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C4331" w14:textId="0947BF4C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F50"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</w:t>
      </w:r>
      <w:bookmarkStart w:id="0" w:name="_Toc32604"/>
      <w:bookmarkStart w:id="1" w:name="_Toc2375"/>
      <w:r w:rsidRPr="000E7F50">
        <w:rPr>
          <w:rFonts w:ascii="Times New Roman" w:hAnsi="Times New Roman" w:cs="Times New Roman"/>
          <w:sz w:val="28"/>
          <w:szCs w:val="28"/>
        </w:rPr>
        <w:t>РЕСПУБЛИКИ КАЗАХСТАН</w:t>
      </w:r>
      <w:bookmarkEnd w:id="0"/>
      <w:bookmarkEnd w:id="1"/>
    </w:p>
    <w:p w14:paraId="44CA9C0C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13154"/>
      <w:bookmarkStart w:id="3" w:name="_Toc33"/>
      <w:r w:rsidRPr="000E7F50">
        <w:rPr>
          <w:rFonts w:ascii="Times New Roman" w:hAnsi="Times New Roman" w:cs="Times New Roman"/>
          <w:sz w:val="28"/>
          <w:szCs w:val="28"/>
        </w:rPr>
        <w:t>УО «АЛМАТЫ МЕНЕДЖМЕНТ УНИВЕРСИТЕТ»</w:t>
      </w:r>
      <w:bookmarkEnd w:id="2"/>
      <w:bookmarkEnd w:id="3"/>
    </w:p>
    <w:p w14:paraId="2BD14BC2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17540B53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0E432B53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  <w:r w:rsidRPr="000E7F50">
        <w:rPr>
          <w:rFonts w:ascii="Times New Roman" w:hAnsi="Times New Roman" w:cs="Times New Roman"/>
          <w:sz w:val="28"/>
          <w:szCs w:val="28"/>
        </w:rPr>
        <w:t xml:space="preserve">УДК 339.92                   </w:t>
      </w:r>
      <w:r w:rsidRPr="000E7F50">
        <w:rPr>
          <w:rFonts w:ascii="Times New Roman" w:hAnsi="Times New Roman" w:cs="Times New Roman"/>
          <w:sz w:val="28"/>
          <w:szCs w:val="28"/>
        </w:rPr>
        <w:tab/>
      </w:r>
      <w:r w:rsidRPr="000E7F50">
        <w:rPr>
          <w:rFonts w:ascii="Times New Roman" w:hAnsi="Times New Roman" w:cs="Times New Roman"/>
          <w:sz w:val="28"/>
          <w:szCs w:val="28"/>
        </w:rPr>
        <w:tab/>
      </w:r>
      <w:r w:rsidRPr="000E7F50">
        <w:rPr>
          <w:rFonts w:ascii="Times New Roman" w:hAnsi="Times New Roman" w:cs="Times New Roman"/>
          <w:sz w:val="28"/>
          <w:szCs w:val="28"/>
        </w:rPr>
        <w:tab/>
      </w:r>
      <w:r w:rsidRPr="000E7F50">
        <w:rPr>
          <w:rFonts w:ascii="Times New Roman" w:hAnsi="Times New Roman" w:cs="Times New Roman"/>
          <w:sz w:val="28"/>
          <w:szCs w:val="28"/>
        </w:rPr>
        <w:tab/>
      </w:r>
      <w:r w:rsidRPr="000E7F50">
        <w:rPr>
          <w:rFonts w:ascii="Times New Roman" w:hAnsi="Times New Roman" w:cs="Times New Roman"/>
          <w:sz w:val="28"/>
          <w:szCs w:val="28"/>
        </w:rPr>
        <w:tab/>
      </w:r>
      <w:r w:rsidRPr="000E7F50">
        <w:rPr>
          <w:rFonts w:ascii="Times New Roman" w:hAnsi="Times New Roman" w:cs="Times New Roman"/>
          <w:sz w:val="28"/>
          <w:szCs w:val="28"/>
        </w:rPr>
        <w:tab/>
        <w:t>На правах рукописи</w:t>
      </w:r>
    </w:p>
    <w:p w14:paraId="41E1BD29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0C22959B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17B59135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2420"/>
      <w:bookmarkStart w:id="5" w:name="_Toc6142"/>
      <w:r w:rsidRPr="000E7F50">
        <w:rPr>
          <w:rFonts w:ascii="Times New Roman" w:hAnsi="Times New Roman" w:cs="Times New Roman"/>
          <w:b/>
          <w:bCs/>
          <w:sz w:val="28"/>
          <w:szCs w:val="28"/>
        </w:rPr>
        <w:t>КОРАБАЕВ КАЗБЕК БЕЙСЕМБАЕВИЧ</w:t>
      </w:r>
      <w:bookmarkEnd w:id="4"/>
      <w:bookmarkEnd w:id="5"/>
    </w:p>
    <w:p w14:paraId="59BC0EB1" w14:textId="77777777" w:rsidR="000E7F50" w:rsidRPr="000E7F50" w:rsidRDefault="000E7F50" w:rsidP="000E7F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B97C71" w14:textId="75E53548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F50">
        <w:rPr>
          <w:rFonts w:ascii="Times New Roman" w:hAnsi="Times New Roman" w:cs="Times New Roman"/>
          <w:b/>
          <w:bCs/>
          <w:sz w:val="28"/>
          <w:szCs w:val="28"/>
        </w:rPr>
        <w:t>Управленческие модели развития зеленой экономики в условиях нестабильности</w:t>
      </w:r>
    </w:p>
    <w:p w14:paraId="59E7A695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76776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F50">
        <w:rPr>
          <w:rFonts w:ascii="Times New Roman" w:hAnsi="Times New Roman" w:cs="Times New Roman"/>
          <w:sz w:val="28"/>
          <w:szCs w:val="28"/>
        </w:rPr>
        <w:t>8D04102 – «Деловое администрирование»</w:t>
      </w:r>
    </w:p>
    <w:p w14:paraId="3B78EECD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CC330E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F50">
        <w:rPr>
          <w:rFonts w:ascii="Times New Roman" w:hAnsi="Times New Roman" w:cs="Times New Roman"/>
          <w:sz w:val="28"/>
          <w:szCs w:val="28"/>
        </w:rPr>
        <w:t>Диссертация на соискание степени</w:t>
      </w:r>
    </w:p>
    <w:p w14:paraId="06CF8DA3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22448"/>
      <w:bookmarkStart w:id="7" w:name="_Toc4181"/>
      <w:r w:rsidRPr="000E7F50">
        <w:rPr>
          <w:rFonts w:ascii="Times New Roman" w:hAnsi="Times New Roman" w:cs="Times New Roman"/>
          <w:sz w:val="28"/>
          <w:szCs w:val="28"/>
        </w:rPr>
        <w:t>доктора делового администрирования (DBA)</w:t>
      </w:r>
      <w:bookmarkEnd w:id="6"/>
      <w:bookmarkEnd w:id="7"/>
    </w:p>
    <w:p w14:paraId="637948E8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6BBB16A3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4086" w:type="dxa"/>
        <w:tblInd w:w="6096" w:type="dxa"/>
        <w:tblLook w:val="04A0" w:firstRow="1" w:lastRow="0" w:firstColumn="1" w:lastColumn="0" w:noHBand="0" w:noVBand="1"/>
      </w:tblPr>
      <w:tblGrid>
        <w:gridCol w:w="4086"/>
      </w:tblGrid>
      <w:tr w:rsidR="000E7F50" w:rsidRPr="000E7F50" w14:paraId="3095C24E" w14:textId="77777777" w:rsidTr="003C63B5">
        <w:tc>
          <w:tcPr>
            <w:tcW w:w="4086" w:type="dxa"/>
            <w:tcBorders>
              <w:top w:val="nil"/>
              <w:left w:val="nil"/>
              <w:bottom w:val="nil"/>
              <w:right w:val="nil"/>
            </w:tcBorders>
          </w:tcPr>
          <w:p w14:paraId="03604C8D" w14:textId="77777777" w:rsidR="000E7F50" w:rsidRPr="000E7F50" w:rsidRDefault="000E7F50" w:rsidP="000E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F50">
              <w:rPr>
                <w:rFonts w:ascii="Times New Roman" w:hAnsi="Times New Roman" w:cs="Times New Roman"/>
                <w:sz w:val="28"/>
                <w:szCs w:val="28"/>
              </w:rPr>
              <w:t xml:space="preserve">Научные консультанты: </w:t>
            </w:r>
          </w:p>
          <w:p w14:paraId="20656EE7" w14:textId="77777777" w:rsidR="000E7F50" w:rsidRPr="000E7F50" w:rsidRDefault="000E7F50" w:rsidP="000E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Чейрханова</w:t>
            </w:r>
            <w:proofErr w:type="spellEnd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Алмагуль</w:t>
            </w:r>
            <w:proofErr w:type="spellEnd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Алибековна</w:t>
            </w:r>
            <w:proofErr w:type="spellEnd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, PhD</w:t>
            </w:r>
          </w:p>
          <w:p w14:paraId="6E5C57CD" w14:textId="77777777" w:rsidR="000E7F50" w:rsidRPr="000E7F50" w:rsidRDefault="000E7F50" w:rsidP="000E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7F50">
              <w:rPr>
                <w:rFonts w:ascii="Times New Roman" w:hAnsi="Times New Roman" w:cs="Times New Roman"/>
                <w:sz w:val="28"/>
                <w:szCs w:val="28"/>
              </w:rPr>
              <w:t xml:space="preserve">Мукаев </w:t>
            </w:r>
            <w:proofErr w:type="spellStart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Сеитжан</w:t>
            </w:r>
            <w:proofErr w:type="spellEnd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Болатович</w:t>
            </w:r>
            <w:proofErr w:type="spellEnd"/>
            <w:r w:rsidRPr="000E7F50">
              <w:rPr>
                <w:rFonts w:ascii="Times New Roman" w:hAnsi="Times New Roman" w:cs="Times New Roman"/>
                <w:sz w:val="28"/>
                <w:szCs w:val="28"/>
              </w:rPr>
              <w:t>, DBA</w:t>
            </w:r>
          </w:p>
          <w:p w14:paraId="67A1430A" w14:textId="77777777" w:rsidR="000E7F50" w:rsidRPr="000E7F50" w:rsidRDefault="000E7F50" w:rsidP="000E7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4C04D9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0B62E2DC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3F825FB8" w14:textId="77777777" w:rsidR="000E7F50" w:rsidRP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</w:p>
    <w:p w14:paraId="079EDFCD" w14:textId="77777777" w:rsidR="000E7F50" w:rsidRPr="000E7F50" w:rsidRDefault="000E7F50" w:rsidP="000E7F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2023"/>
      <w:bookmarkStart w:id="9" w:name="_Toc2042"/>
      <w:r w:rsidRPr="000E7F50">
        <w:rPr>
          <w:rFonts w:ascii="Times New Roman" w:hAnsi="Times New Roman" w:cs="Times New Roman"/>
          <w:sz w:val="28"/>
          <w:szCs w:val="28"/>
        </w:rPr>
        <w:t>Республика Казахстан</w:t>
      </w:r>
      <w:bookmarkEnd w:id="8"/>
      <w:bookmarkEnd w:id="9"/>
    </w:p>
    <w:p w14:paraId="74FC79A9" w14:textId="77777777" w:rsidR="000E7F50" w:rsidRPr="000E7F50" w:rsidRDefault="000E7F50" w:rsidP="000E7F50">
      <w:pPr>
        <w:jc w:val="center"/>
      </w:pPr>
      <w:bookmarkStart w:id="10" w:name="_Toc24003"/>
      <w:bookmarkStart w:id="11" w:name="_Toc16832"/>
      <w:r w:rsidRPr="000E7F50">
        <w:rPr>
          <w:rFonts w:ascii="Times New Roman" w:hAnsi="Times New Roman" w:cs="Times New Roman"/>
          <w:sz w:val="28"/>
          <w:szCs w:val="28"/>
        </w:rPr>
        <w:t>Алматы, 202</w:t>
      </w:r>
      <w:bookmarkEnd w:id="10"/>
      <w:bookmarkEnd w:id="11"/>
      <w:r w:rsidRPr="000E7F50">
        <w:rPr>
          <w:rFonts w:ascii="Times New Roman" w:hAnsi="Times New Roman" w:cs="Times New Roman"/>
          <w:sz w:val="28"/>
          <w:szCs w:val="28"/>
        </w:rPr>
        <w:t>5</w:t>
      </w:r>
    </w:p>
    <w:p w14:paraId="5745D201" w14:textId="75B9FBC6" w:rsidR="000E7F50" w:rsidRDefault="000E7F50" w:rsidP="000E7F50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2" w:name="_Toc215079185"/>
      <w:r w:rsidRPr="000E7F50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Содержание</w:t>
      </w:r>
      <w:bookmarkEnd w:id="12"/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ru-RU" w:eastAsia="en-US"/>
          <w14:ligatures w14:val="standardContextual"/>
        </w:rPr>
        <w:id w:val="-5233286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989762" w14:textId="04D996C7" w:rsidR="001A6560" w:rsidRPr="001A6560" w:rsidRDefault="001A6560" w:rsidP="001A6560">
          <w:pPr>
            <w:pStyle w:val="aff1"/>
            <w:rPr>
              <w:rFonts w:ascii="Times New Roman" w:hAnsi="Times New Roman" w:cs="Times New Roman"/>
              <w:noProof/>
              <w:sz w:val="28"/>
              <w:szCs w:val="28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EF45634" w14:textId="35B9144B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86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НОРМАТИВНЫЕ ССЫЛКИ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_Toc215079186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9BED4B" w14:textId="4497096E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87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ОПРЕДЕЛЕНИЯ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_Toc215079187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EB3F5F" w14:textId="646A0819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88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ОБОЗНАЧЕНИЯ И СОКРАЩЕНИЯ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_Toc215079188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AF348" w14:textId="7FE3D8E6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89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_Toc215079189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83EDD7" w14:textId="48D4F9AA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0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 Теоретико-методологические основы развития возобновляемой энергетики и «зелёной» экономики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_Toc215079190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484564" w14:textId="3911831A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1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1.1. Концептуальные основы и сущность «зелёной экономики»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_Toc215079191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9B09EF" w14:textId="6434F4C1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2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1.2. Теоретические подходы и модели развития возобновляемых источников энергии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_Toc215079192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D8F25D" w14:textId="7EBB02A7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3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1.3. Управленческие модели и международный опыт развития зелёной экономики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_Toc215079193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D699C6" w14:textId="3A096A0D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4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 Анализ состояния и тенденций развития возобновляемой энергетики в Казахстане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_Toc215079194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D61F6A" w14:textId="60530E6B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5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2.1. Характеристика отрасли возобновляемой и низкоуглеродной энергетики Казахстана и исследуемого предприятия ТОО «Корпорация Сайман»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_Toc215079195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800139" w14:textId="22765306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6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2.2. Государственная политика и институциональная среда развития ВИЭ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_Toc215079196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BBA7C6" w14:textId="4EDD51F5" w:rsidR="001A6560" w:rsidRPr="001A6560" w:rsidRDefault="001A6560" w:rsidP="001A6560">
          <w:pPr>
            <w:pStyle w:val="23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7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 xml:space="preserve">2.3 </w:t>
            </w:r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</w:t>
            </w:r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сследование факторов и потенциала торговли оборудованием для ВИЭ между Казахстаном и Китаем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_Toc215079197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201606" w14:textId="79FA0773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8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 Рекомендации по совершенствованию управления развитием зелёной экономики Казахстана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_Toc215079198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86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F99568" w14:textId="782F1E29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199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3.1. Концептуальные направления совершенствования управления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_Toc215079199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86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E59D95" w14:textId="511A8AA8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200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3.2. Экономические инструменты и организационные меры реализации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_Toc215079200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98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DB3F0F" w14:textId="57DFED17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201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3.3 </w:t>
            </w:r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Финансово-экономическая оценка предложенных мер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_Toc215079201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108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0F0BDF" w14:textId="7EE6F9C6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202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_Toc215079202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121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4759A8" w14:textId="415F8F0B" w:rsidR="001A6560" w:rsidRPr="001A6560" w:rsidRDefault="001A6560" w:rsidP="001A6560">
          <w:pPr>
            <w:pStyle w:val="14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5079203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Список использованных источников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_Toc215079203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126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474E3C" w14:textId="2C423BF4" w:rsidR="001A6560" w:rsidRDefault="001A6560" w:rsidP="001A6560">
          <w:pPr>
            <w:pStyle w:val="14"/>
            <w:tabs>
              <w:tab w:val="right" w:leader="dot" w:pos="9628"/>
            </w:tabs>
            <w:rPr>
              <w:noProof/>
            </w:rPr>
          </w:pPr>
          <w:hyperlink w:anchor="_Toc215079204" w:history="1">
            <w:r w:rsidRPr="001A6560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Приложение 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_Toc215079204 \h </w:instrTex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136</w:t>
            </w:r>
            <w:r w:rsidRPr="001A65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CE4AE1" w14:textId="59CC3E2E" w:rsidR="001A6560" w:rsidRDefault="001A6560">
          <w:r>
            <w:rPr>
              <w:b/>
              <w:bCs/>
              <w:lang w:val="ru-RU"/>
            </w:rPr>
            <w:fldChar w:fldCharType="end"/>
          </w:r>
        </w:p>
      </w:sdtContent>
    </w:sdt>
    <w:p w14:paraId="0394BC75" w14:textId="77777777" w:rsidR="001A6560" w:rsidRPr="001A6560" w:rsidRDefault="001A6560" w:rsidP="001A6560">
      <w:pPr>
        <w:rPr>
          <w:lang w:val="ru-RU"/>
        </w:rPr>
      </w:pPr>
    </w:p>
    <w:p w14:paraId="0B9077C1" w14:textId="7D343799" w:rsidR="000E7F50" w:rsidRDefault="000E7F50">
      <w:pPr>
        <w:rPr>
          <w:rFonts w:ascii="Times New Roman" w:eastAsiaTheme="majorEastAsia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</w:pPr>
      <w:r>
        <w:rPr>
          <w:b/>
          <w:bCs/>
        </w:rPr>
        <w:br w:type="page"/>
      </w:r>
    </w:p>
    <w:p w14:paraId="20175B71" w14:textId="260AE8C4" w:rsidR="0017736D" w:rsidRPr="0017736D" w:rsidRDefault="00017FF9" w:rsidP="0017736D">
      <w:pPr>
        <w:pStyle w:val="11"/>
        <w:spacing w:before="0"/>
        <w:ind w:firstLine="567"/>
        <w:jc w:val="both"/>
      </w:pPr>
      <w:r w:rsidRPr="0017736D">
        <w:rPr>
          <w:b w:val="0"/>
          <w:bCs/>
        </w:rPr>
        <w:lastRenderedPageBreak/>
        <w:t xml:space="preserve"> </w:t>
      </w:r>
      <w:bookmarkStart w:id="13" w:name="_Toc215079186"/>
      <w:r w:rsidR="0017736D" w:rsidRPr="0017736D">
        <w:t>НОРМАТИВНЫЕ ССЫЛКИ</w:t>
      </w:r>
      <w:bookmarkEnd w:id="13"/>
    </w:p>
    <w:p w14:paraId="3B1BC84E" w14:textId="77777777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E03267" w14:textId="77777777" w:rsid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736D">
        <w:rPr>
          <w:rFonts w:ascii="Times New Roman" w:hAnsi="Times New Roman" w:cs="Times New Roman"/>
          <w:sz w:val="28"/>
          <w:szCs w:val="28"/>
        </w:rPr>
        <w:t>В настоящем диссертационном исследовании использованы ссылки на следующие документы:</w:t>
      </w:r>
    </w:p>
    <w:p w14:paraId="5E0999A4" w14:textId="77777777" w:rsidR="00A856BA" w:rsidRPr="00A856BA" w:rsidRDefault="00A856BA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6C7C22" w14:textId="54E2FF9D" w:rsidR="00A856BA" w:rsidRPr="00A856BA" w:rsidRDefault="00A856BA" w:rsidP="00A856B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="0017736D" w:rsidRPr="0017736D">
        <w:rPr>
          <w:rFonts w:ascii="Times New Roman" w:hAnsi="Times New Roman" w:cs="Times New Roman"/>
          <w:sz w:val="28"/>
          <w:szCs w:val="28"/>
        </w:rPr>
        <w:t>Закон Республики Казахстан «Об охране окружающей среды» (№ 481-VI, 2 января 2021 г.).</w:t>
      </w:r>
    </w:p>
    <w:p w14:paraId="58B2DA99" w14:textId="77777777" w:rsidR="00A856BA" w:rsidRPr="00A856BA" w:rsidRDefault="00A856BA" w:rsidP="00A856B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56B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7736D" w:rsidRPr="0017736D">
        <w:rPr>
          <w:rFonts w:ascii="Times New Roman" w:hAnsi="Times New Roman" w:cs="Times New Roman"/>
          <w:sz w:val="28"/>
          <w:szCs w:val="28"/>
        </w:rPr>
        <w:t>Закон Республики Казахстан «Об энергетике из возобновляемых источников энергии» (№ 165-IV, 4 июля 2009 г.).</w:t>
      </w:r>
    </w:p>
    <w:p w14:paraId="06B06B75" w14:textId="77777777" w:rsidR="00A856BA" w:rsidRPr="00A856BA" w:rsidRDefault="00A856BA" w:rsidP="00A856B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56B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7736D" w:rsidRPr="0017736D">
        <w:rPr>
          <w:rFonts w:ascii="Times New Roman" w:hAnsi="Times New Roman" w:cs="Times New Roman"/>
          <w:sz w:val="28"/>
          <w:szCs w:val="28"/>
        </w:rPr>
        <w:t>Закон Республики Казахстан «Об энергосбережении и повышении энергоэффективности» (№ 541-IV, 13 января 2012 г.).</w:t>
      </w:r>
    </w:p>
    <w:p w14:paraId="17062129" w14:textId="77777777" w:rsidR="00A856BA" w:rsidRPr="00A856BA" w:rsidRDefault="0017736D" w:rsidP="00A856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736D">
        <w:rPr>
          <w:rFonts w:ascii="Times New Roman" w:hAnsi="Times New Roman" w:cs="Times New Roman"/>
          <w:sz w:val="28"/>
          <w:szCs w:val="28"/>
        </w:rPr>
        <w:t>Стратегия «Казахстан-2050» (Указ Президента РК № 648 от 14 декабря 2012 г.).</w:t>
      </w:r>
    </w:p>
    <w:p w14:paraId="718BE718" w14:textId="77777777" w:rsidR="00A856BA" w:rsidRPr="00A856BA" w:rsidRDefault="0017736D" w:rsidP="00A856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736D">
        <w:rPr>
          <w:rFonts w:ascii="Times New Roman" w:hAnsi="Times New Roman" w:cs="Times New Roman"/>
          <w:sz w:val="28"/>
          <w:szCs w:val="28"/>
        </w:rPr>
        <w:t>Концепция перехода Республики Казахстан к «Зелёной экономике» (Указ Президента РК № 577 от 30 мая 2013 г.).</w:t>
      </w:r>
    </w:p>
    <w:p w14:paraId="61EE8325" w14:textId="77777777" w:rsidR="00A856BA" w:rsidRPr="00A856BA" w:rsidRDefault="0017736D" w:rsidP="00A856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736D">
        <w:rPr>
          <w:rFonts w:ascii="Times New Roman" w:hAnsi="Times New Roman" w:cs="Times New Roman"/>
          <w:sz w:val="28"/>
          <w:szCs w:val="28"/>
        </w:rPr>
        <w:t>Закон Республики Казахстан «О цифровизации» (№ 193-VI, 26 декабря 2018 г.).</w:t>
      </w:r>
    </w:p>
    <w:p w14:paraId="17C2F774" w14:textId="0309EB19" w:rsidR="00A856BA" w:rsidRDefault="00A856BA" w:rsidP="00A856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56BA">
        <w:rPr>
          <w:rFonts w:ascii="Times New Roman" w:hAnsi="Times New Roman" w:cs="Times New Roman"/>
          <w:sz w:val="28"/>
          <w:szCs w:val="28"/>
        </w:rPr>
        <w:t>Приказ Министра по инвестициям и развитию Республики Казахстан от 30 декабря 2014 года № 358</w:t>
      </w:r>
      <w:r w:rsidR="000E7F50">
        <w:rPr>
          <w:rFonts w:ascii="Times New Roman" w:hAnsi="Times New Roman" w:cs="Times New Roman"/>
          <w:sz w:val="28"/>
          <w:szCs w:val="28"/>
        </w:rPr>
        <w:t xml:space="preserve"> </w:t>
      </w:r>
      <w:r w:rsidR="000E7F5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856BA">
        <w:rPr>
          <w:rFonts w:ascii="Times New Roman" w:hAnsi="Times New Roman" w:cs="Times New Roman"/>
          <w:sz w:val="28"/>
          <w:szCs w:val="28"/>
        </w:rPr>
        <w:t>Об утверждении Правил обеспечения промышленной безопасности</w:t>
      </w:r>
      <w:r w:rsidR="000E7F50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06C1C134" w14:textId="17CA7D31" w:rsidR="00A856BA" w:rsidRPr="00A856BA" w:rsidRDefault="0017736D" w:rsidP="00A856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736D">
        <w:rPr>
          <w:rFonts w:ascii="Times New Roman" w:hAnsi="Times New Roman" w:cs="Times New Roman"/>
          <w:sz w:val="28"/>
          <w:szCs w:val="28"/>
        </w:rPr>
        <w:t xml:space="preserve">Парижское соглашение по климату </w:t>
      </w:r>
      <w:r w:rsidR="00A856BA" w:rsidRPr="00A856BA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A856BA" w:rsidRPr="00A856BA">
        <w:rPr>
          <w:rFonts w:ascii="Times New Roman" w:hAnsi="Times New Roman" w:cs="Times New Roman"/>
          <w:sz w:val="28"/>
          <w:szCs w:val="28"/>
        </w:rPr>
        <w:t>12 декабря 2015 года</w:t>
      </w:r>
      <w:r w:rsidR="00A856BA" w:rsidRPr="00A856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230D583" w14:textId="77777777" w:rsidR="00A856BA" w:rsidRPr="00A856BA" w:rsidRDefault="00A856BA" w:rsidP="00A856B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8D20D3" w14:textId="3158112E" w:rsidR="00A856BA" w:rsidRDefault="00A8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BD4F17" w14:textId="77777777" w:rsidR="0017736D" w:rsidRPr="0017736D" w:rsidRDefault="0017736D" w:rsidP="0017736D">
      <w:pPr>
        <w:pStyle w:val="11"/>
        <w:spacing w:before="0"/>
        <w:ind w:firstLine="567"/>
        <w:jc w:val="both"/>
      </w:pPr>
      <w:bookmarkStart w:id="14" w:name="_Toc215079187"/>
      <w:r w:rsidRPr="0017736D">
        <w:lastRenderedPageBreak/>
        <w:t>ОПРЕДЕЛЕНИЯ</w:t>
      </w:r>
      <w:bookmarkEnd w:id="14"/>
    </w:p>
    <w:p w14:paraId="568FE68B" w14:textId="77777777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D9D6FF" w14:textId="77777777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736D">
        <w:rPr>
          <w:rFonts w:ascii="Times New Roman" w:hAnsi="Times New Roman" w:cs="Times New Roman"/>
          <w:sz w:val="28"/>
          <w:szCs w:val="28"/>
        </w:rPr>
        <w:t xml:space="preserve">В настоящем диссертационном исследовании применяют следующие определения: </w:t>
      </w:r>
    </w:p>
    <w:p w14:paraId="28E40135" w14:textId="1AB397A3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Зелёные трансформационные стратегии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A856B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модели управленческих решений, направленные на переход компании к экологически устойчивым технологиям и снижению воздействия на окружающую среду.</w:t>
      </w:r>
    </w:p>
    <w:p w14:paraId="4E0F0F5E" w14:textId="340842A2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Модель циркулярного управления ресурсами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A856B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подход, предусматривающий повторное использование, переработку и минимизацию отходов для повышения устойчивости в условиях ресурсной нестабильности.</w:t>
      </w:r>
    </w:p>
    <w:p w14:paraId="32CD5D12" w14:textId="60D0B4C7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Устойчивое адаптивное планирование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A856B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система управления, предусматривающая гибкие корректировки стратегических решений в ответ на экологические, экономические и технологические изменения.</w:t>
      </w:r>
    </w:p>
    <w:p w14:paraId="0B783FCD" w14:textId="3887843A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Климатически ориентированное управление рисками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A856B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модель, включающая идентификацию, оценку и минимизацию климатических угроз, влияющих на деятельность и устойчивость организаций.</w:t>
      </w:r>
    </w:p>
    <w:p w14:paraId="1F346129" w14:textId="0B54709E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Экосистемный подход к управлению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A856B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управление, основанное на взаимодействии компании с природной, социальной и экономической средой как единой системой.</w:t>
      </w:r>
    </w:p>
    <w:p w14:paraId="37801286" w14:textId="3ECE0AFE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736D">
        <w:rPr>
          <w:rFonts w:ascii="Times New Roman" w:hAnsi="Times New Roman" w:cs="Times New Roman"/>
          <w:b/>
          <w:bCs/>
          <w:sz w:val="28"/>
          <w:szCs w:val="28"/>
        </w:rPr>
        <w:t>Декарбонизационные</w:t>
      </w:r>
      <w:proofErr w:type="spellEnd"/>
      <w:r w:rsidRPr="0017736D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управленческие решения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012F1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комплекс мер, направленных на сокращение выбросов парниковых газов и переход к низкоуглеродным технологиям.</w:t>
      </w:r>
    </w:p>
    <w:p w14:paraId="47537419" w14:textId="6FB5F7B8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Модель устойчивых цепочек поставок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012F1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управление логистикой и поставками, ориентированное на сокращение экологического следа, повышение прозрачности и снижение рисков.</w:t>
      </w:r>
    </w:p>
    <w:p w14:paraId="6799BF9E" w14:textId="5498C27D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Инновационные эко-управленческие практики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012F1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внедрение «зелёных» инноваций, технологий и управленческих инструментов для повышения устойчивости бизнеса.</w:t>
      </w:r>
    </w:p>
    <w:p w14:paraId="1058F6C1" w14:textId="19C05A6E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Зелёная стратегическая интеграция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012F1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встроенность экологических целей в корпоративную стратегию, включая инвестиции в устойчивые проекты и технологии.</w:t>
      </w:r>
    </w:p>
    <w:p w14:paraId="3FFF023C" w14:textId="2B1EAC5E" w:rsidR="0017736D" w:rsidRPr="0017736D" w:rsidRDefault="0017736D" w:rsidP="00177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36D">
        <w:rPr>
          <w:rFonts w:ascii="Times New Roman" w:hAnsi="Times New Roman" w:cs="Times New Roman"/>
          <w:b/>
          <w:bCs/>
          <w:sz w:val="28"/>
          <w:szCs w:val="28"/>
        </w:rPr>
        <w:t>Антикризисное управление устойчивым развитием</w:t>
      </w:r>
      <w:r w:rsidRPr="0017736D">
        <w:rPr>
          <w:rFonts w:ascii="Times New Roman" w:hAnsi="Times New Roman" w:cs="Times New Roman"/>
          <w:sz w:val="28"/>
          <w:szCs w:val="28"/>
        </w:rPr>
        <w:t xml:space="preserve"> </w:t>
      </w:r>
      <w:r w:rsidR="00012F1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736D">
        <w:rPr>
          <w:rFonts w:ascii="Times New Roman" w:hAnsi="Times New Roman" w:cs="Times New Roman"/>
          <w:sz w:val="28"/>
          <w:szCs w:val="28"/>
        </w:rPr>
        <w:t xml:space="preserve"> модель, позволяющая сохранять экологические и социальные обязательства компании даже в условиях экономических или политических кризисов.</w:t>
      </w:r>
    </w:p>
    <w:p w14:paraId="46B4C406" w14:textId="77777777" w:rsidR="00012F10" w:rsidRDefault="00012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1BD61B" w14:textId="6B796796" w:rsidR="0017736D" w:rsidRPr="00012F10" w:rsidRDefault="0017736D" w:rsidP="00012F10">
      <w:pPr>
        <w:pStyle w:val="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5" w:name="_Toc215079188"/>
      <w:r w:rsidRPr="00012F1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ОБОЗНАЧЕНИЯ И СОКРАЩЕНИЯ</w:t>
      </w:r>
      <w:bookmarkEnd w:id="15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3"/>
        <w:gridCol w:w="8185"/>
      </w:tblGrid>
      <w:tr w:rsidR="006A221D" w:rsidRPr="006A221D" w14:paraId="0AB5A2C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BDEF24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АСКУЭ</w:t>
            </w:r>
          </w:p>
        </w:tc>
        <w:tc>
          <w:tcPr>
            <w:tcW w:w="0" w:type="auto"/>
            <w:vAlign w:val="center"/>
            <w:hideMark/>
          </w:tcPr>
          <w:p w14:paraId="6E8BF7FD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Автоматизированная система коммерческого учёта электроэнергии</w:t>
            </w:r>
          </w:p>
        </w:tc>
      </w:tr>
      <w:tr w:rsidR="006A221D" w:rsidRPr="006A221D" w14:paraId="2E18CD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33164B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BEMS</w:t>
            </w:r>
          </w:p>
        </w:tc>
        <w:tc>
          <w:tcPr>
            <w:tcW w:w="0" w:type="auto"/>
            <w:vAlign w:val="center"/>
            <w:hideMark/>
          </w:tcPr>
          <w:p w14:paraId="43EB1F33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Building Energy Management System (система управления энергопотреблением зданий)</w:t>
            </w:r>
          </w:p>
        </w:tc>
      </w:tr>
      <w:tr w:rsidR="006A221D" w:rsidRPr="006A221D" w14:paraId="6BE692E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8AF022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CES</w:t>
            </w:r>
          </w:p>
        </w:tc>
        <w:tc>
          <w:tcPr>
            <w:tcW w:w="0" w:type="auto"/>
            <w:vAlign w:val="center"/>
            <w:hideMark/>
          </w:tcPr>
          <w:p w14:paraId="552AF42F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Circular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Economy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Strategy (стратегия циркулярной экономики)</w:t>
            </w:r>
          </w:p>
        </w:tc>
      </w:tr>
      <w:tr w:rsidR="006A221D" w:rsidRPr="006A221D" w14:paraId="56C9071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A4B849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ЦУР / </w:t>
            </w:r>
            <w:proofErr w:type="spellStart"/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SDGs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3E72DA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устойчивого развития ООН (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Sustainable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Development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Goals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6A221D" w:rsidRPr="006A221D" w14:paraId="15F480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21B46D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ДСБ</w:t>
            </w:r>
          </w:p>
        </w:tc>
        <w:tc>
          <w:tcPr>
            <w:tcW w:w="0" w:type="auto"/>
            <w:vAlign w:val="center"/>
            <w:hideMark/>
          </w:tcPr>
          <w:p w14:paraId="1D13A6D8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Дорожная карта по снижению выбросов</w:t>
            </w:r>
          </w:p>
        </w:tc>
      </w:tr>
      <w:tr w:rsidR="006A221D" w:rsidRPr="006A221D" w14:paraId="1EF442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DFE13C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EIA</w:t>
            </w:r>
          </w:p>
        </w:tc>
        <w:tc>
          <w:tcPr>
            <w:tcW w:w="0" w:type="auto"/>
            <w:vAlign w:val="center"/>
            <w:hideMark/>
          </w:tcPr>
          <w:p w14:paraId="2AD09516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Environmental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Impact Assessment (оценка воздействия на окружающую среду)</w:t>
            </w:r>
          </w:p>
        </w:tc>
      </w:tr>
      <w:tr w:rsidR="006A221D" w:rsidRPr="006A221D" w14:paraId="561048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991333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ESG</w:t>
            </w:r>
          </w:p>
        </w:tc>
        <w:tc>
          <w:tcPr>
            <w:tcW w:w="0" w:type="auto"/>
            <w:vAlign w:val="center"/>
            <w:hideMark/>
          </w:tcPr>
          <w:p w14:paraId="5A825C00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Environmental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Social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Governance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(экологические, социальные и управленческие показатели)</w:t>
            </w:r>
          </w:p>
        </w:tc>
      </w:tr>
      <w:tr w:rsidR="006A221D" w:rsidRPr="006A221D" w14:paraId="69C8B9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CCD558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ESS</w:t>
            </w:r>
          </w:p>
        </w:tc>
        <w:tc>
          <w:tcPr>
            <w:tcW w:w="0" w:type="auto"/>
            <w:vAlign w:val="center"/>
            <w:hideMark/>
          </w:tcPr>
          <w:p w14:paraId="52217D17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Energy Storage System (система накопления энергии)</w:t>
            </w:r>
          </w:p>
        </w:tc>
      </w:tr>
      <w:tr w:rsidR="006A221D" w:rsidRPr="006A221D" w14:paraId="4DF9AF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FBEF7B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FSA</w:t>
            </w:r>
          </w:p>
        </w:tc>
        <w:tc>
          <w:tcPr>
            <w:tcW w:w="0" w:type="auto"/>
            <w:vAlign w:val="center"/>
            <w:hideMark/>
          </w:tcPr>
          <w:p w14:paraId="1D1F1F1F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Fuel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Switching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Analysis (анализ замещения топлива)</w:t>
            </w:r>
          </w:p>
        </w:tc>
      </w:tr>
      <w:tr w:rsidR="006A221D" w:rsidRPr="006A221D" w14:paraId="79C2F7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EDF184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IPP</w:t>
            </w:r>
          </w:p>
        </w:tc>
        <w:tc>
          <w:tcPr>
            <w:tcW w:w="0" w:type="auto"/>
            <w:vAlign w:val="center"/>
            <w:hideMark/>
          </w:tcPr>
          <w:p w14:paraId="64570761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Independent Power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Producer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(независимый производитель электроэнергии)</w:t>
            </w:r>
          </w:p>
        </w:tc>
      </w:tr>
      <w:tr w:rsidR="006A221D" w:rsidRPr="006A221D" w14:paraId="47BD8B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9B96C6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IRENA</w:t>
            </w:r>
          </w:p>
        </w:tc>
        <w:tc>
          <w:tcPr>
            <w:tcW w:w="0" w:type="auto"/>
            <w:vAlign w:val="center"/>
            <w:hideMark/>
          </w:tcPr>
          <w:p w14:paraId="36F3F2FC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Международное агентство по возобновляемой энергетике</w:t>
            </w:r>
          </w:p>
        </w:tc>
      </w:tr>
      <w:tr w:rsidR="006A221D" w:rsidRPr="006A221D" w14:paraId="317332E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24C0A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IRR</w:t>
            </w:r>
          </w:p>
        </w:tc>
        <w:tc>
          <w:tcPr>
            <w:tcW w:w="0" w:type="auto"/>
            <w:vAlign w:val="center"/>
            <w:hideMark/>
          </w:tcPr>
          <w:p w14:paraId="007C0908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Internal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Rate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Return (внутренняя норма доходности)</w:t>
            </w:r>
          </w:p>
        </w:tc>
      </w:tr>
      <w:tr w:rsidR="006A221D" w:rsidRPr="006A221D" w14:paraId="6CA034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739358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KPI</w:t>
            </w:r>
          </w:p>
        </w:tc>
        <w:tc>
          <w:tcPr>
            <w:tcW w:w="0" w:type="auto"/>
            <w:vAlign w:val="center"/>
            <w:hideMark/>
          </w:tcPr>
          <w:p w14:paraId="0BE85F64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Key Performance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Indicators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(ключевые показатели эффективности)</w:t>
            </w:r>
          </w:p>
        </w:tc>
      </w:tr>
      <w:tr w:rsidR="006A221D" w:rsidRPr="006A221D" w14:paraId="6C6B3A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9A0EFA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LTS</w:t>
            </w:r>
          </w:p>
        </w:tc>
        <w:tc>
          <w:tcPr>
            <w:tcW w:w="0" w:type="auto"/>
            <w:vAlign w:val="center"/>
            <w:hideMark/>
          </w:tcPr>
          <w:p w14:paraId="743D3D72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Long-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Term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Strategy (долгосрочная стратегия низкоуглеродного развития)</w:t>
            </w:r>
          </w:p>
        </w:tc>
      </w:tr>
      <w:tr w:rsidR="006A221D" w:rsidRPr="006A221D" w14:paraId="7ED748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A46CB3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МСУ</w:t>
            </w:r>
          </w:p>
        </w:tc>
        <w:tc>
          <w:tcPr>
            <w:tcW w:w="0" w:type="auto"/>
            <w:vAlign w:val="center"/>
            <w:hideMark/>
          </w:tcPr>
          <w:p w14:paraId="06EAF575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Местные исполнительные органы управления</w:t>
            </w:r>
          </w:p>
        </w:tc>
      </w:tr>
      <w:tr w:rsidR="006A221D" w:rsidRPr="006A221D" w14:paraId="7E1DF3C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08C6D0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МЭБ</w:t>
            </w:r>
          </w:p>
        </w:tc>
        <w:tc>
          <w:tcPr>
            <w:tcW w:w="0" w:type="auto"/>
            <w:vAlign w:val="center"/>
            <w:hideMark/>
          </w:tcPr>
          <w:p w14:paraId="7FBFDA12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Многоуровневая энергетическая безопасность</w:t>
            </w:r>
          </w:p>
        </w:tc>
      </w:tr>
      <w:tr w:rsidR="006A221D" w:rsidRPr="006A221D" w14:paraId="2EFEFB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EE4B3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НДТ</w:t>
            </w:r>
          </w:p>
        </w:tc>
        <w:tc>
          <w:tcPr>
            <w:tcW w:w="0" w:type="auto"/>
            <w:vAlign w:val="center"/>
            <w:hideMark/>
          </w:tcPr>
          <w:p w14:paraId="62389026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Наилучшие доступные технологии</w:t>
            </w:r>
          </w:p>
        </w:tc>
      </w:tr>
      <w:tr w:rsidR="006A221D" w:rsidRPr="006A221D" w14:paraId="2F3A75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402E1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NPV</w:t>
            </w:r>
          </w:p>
        </w:tc>
        <w:tc>
          <w:tcPr>
            <w:tcW w:w="0" w:type="auto"/>
            <w:vAlign w:val="center"/>
            <w:hideMark/>
          </w:tcPr>
          <w:p w14:paraId="25BF194D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Net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Present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Value (чистая приведённая стоимость)</w:t>
            </w:r>
          </w:p>
        </w:tc>
      </w:tr>
      <w:tr w:rsidR="006A221D" w:rsidRPr="006A221D" w14:paraId="25D50E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AF9B70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OPEX</w:t>
            </w:r>
          </w:p>
        </w:tc>
        <w:tc>
          <w:tcPr>
            <w:tcW w:w="0" w:type="auto"/>
            <w:vAlign w:val="center"/>
            <w:hideMark/>
          </w:tcPr>
          <w:p w14:paraId="1BEB1D70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Operating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Expenditures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(операционные расходы)</w:t>
            </w:r>
          </w:p>
        </w:tc>
      </w:tr>
      <w:tr w:rsidR="006A221D" w:rsidRPr="006A221D" w14:paraId="6247439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E26CAC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Smart Grid</w:t>
            </w:r>
          </w:p>
        </w:tc>
        <w:tc>
          <w:tcPr>
            <w:tcW w:w="0" w:type="auto"/>
            <w:vAlign w:val="center"/>
            <w:hideMark/>
          </w:tcPr>
          <w:p w14:paraId="5F6FE23E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Интеллектуальная энергосеть</w:t>
            </w:r>
          </w:p>
        </w:tc>
      </w:tr>
      <w:tr w:rsidR="006A221D" w:rsidRPr="006A221D" w14:paraId="51713A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B08775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TCO</w:t>
            </w:r>
          </w:p>
        </w:tc>
        <w:tc>
          <w:tcPr>
            <w:tcW w:w="0" w:type="auto"/>
            <w:vAlign w:val="center"/>
            <w:hideMark/>
          </w:tcPr>
          <w:p w14:paraId="7749488D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Total Cost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Ownership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(полная стоимость владения)</w:t>
            </w:r>
          </w:p>
        </w:tc>
      </w:tr>
      <w:tr w:rsidR="006A221D" w:rsidRPr="006A221D" w14:paraId="5D0E536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D046B9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TPES</w:t>
            </w:r>
          </w:p>
        </w:tc>
        <w:tc>
          <w:tcPr>
            <w:tcW w:w="0" w:type="auto"/>
            <w:vAlign w:val="center"/>
            <w:hideMark/>
          </w:tcPr>
          <w:p w14:paraId="74362AA1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Total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Primary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Energy Supply (совокупное первичное энергоснабжение)</w:t>
            </w:r>
          </w:p>
        </w:tc>
      </w:tr>
      <w:tr w:rsidR="006A221D" w:rsidRPr="006A221D" w14:paraId="55E8F1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A28C6F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UNFCCC</w:t>
            </w:r>
          </w:p>
        </w:tc>
        <w:tc>
          <w:tcPr>
            <w:tcW w:w="0" w:type="auto"/>
            <w:vAlign w:val="center"/>
            <w:hideMark/>
          </w:tcPr>
          <w:p w14:paraId="3BF23506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Рамочная конвенция ООН об изменении климата</w:t>
            </w:r>
          </w:p>
        </w:tc>
      </w:tr>
      <w:tr w:rsidR="006A221D" w:rsidRPr="006A221D" w14:paraId="783C9EE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88C921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WACC</w:t>
            </w:r>
          </w:p>
        </w:tc>
        <w:tc>
          <w:tcPr>
            <w:tcW w:w="0" w:type="auto"/>
            <w:vAlign w:val="center"/>
            <w:hideMark/>
          </w:tcPr>
          <w:p w14:paraId="6E98D552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Weighted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Average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Cost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Capital (средневзвешенная стоимость капитала)</w:t>
            </w:r>
          </w:p>
        </w:tc>
      </w:tr>
      <w:tr w:rsidR="006A221D" w:rsidRPr="006A221D" w14:paraId="35DE45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A9D8EB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ВИЭ / RES</w:t>
            </w:r>
          </w:p>
        </w:tc>
        <w:tc>
          <w:tcPr>
            <w:tcW w:w="0" w:type="auto"/>
            <w:vAlign w:val="center"/>
            <w:hideMark/>
          </w:tcPr>
          <w:p w14:paraId="36F37BB9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Возобновляемые источники энергии (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Renewable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Energy </w:t>
            </w:r>
            <w:proofErr w:type="spellStart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Sources</w:t>
            </w:r>
            <w:proofErr w:type="spellEnd"/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6A221D" w:rsidRPr="006A221D" w14:paraId="22049F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1FB1F4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ЭСР / ESR</w:t>
            </w:r>
          </w:p>
        </w:tc>
        <w:tc>
          <w:tcPr>
            <w:tcW w:w="0" w:type="auto"/>
            <w:vAlign w:val="center"/>
            <w:hideMark/>
          </w:tcPr>
          <w:p w14:paraId="79FAB527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Экологическая социальная ответственность</w:t>
            </w:r>
          </w:p>
        </w:tc>
      </w:tr>
      <w:tr w:rsidR="006A221D" w:rsidRPr="006A221D" w14:paraId="6B82EC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298EA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ЭТП</w:t>
            </w:r>
          </w:p>
        </w:tc>
        <w:tc>
          <w:tcPr>
            <w:tcW w:w="0" w:type="auto"/>
            <w:vAlign w:val="center"/>
            <w:hideMark/>
          </w:tcPr>
          <w:p w14:paraId="2F911297" w14:textId="77777777" w:rsidR="006A221D" w:rsidRPr="006A221D" w:rsidRDefault="006A221D" w:rsidP="006A221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22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Энергетический транзитный потенциал</w:t>
            </w:r>
          </w:p>
        </w:tc>
      </w:tr>
    </w:tbl>
    <w:p w14:paraId="0C07E360" w14:textId="77777777" w:rsidR="006C397A" w:rsidRDefault="0017736D" w:rsidP="001D40DD">
      <w:pPr>
        <w:pStyle w:val="1"/>
        <w:rPr>
          <w:lang w:val="ru-RU"/>
        </w:rPr>
      </w:pPr>
      <w:r>
        <w:br w:type="page"/>
      </w:r>
      <w:bookmarkStart w:id="16" w:name="_Toc215079189"/>
    </w:p>
    <w:p w14:paraId="56DAABB8" w14:textId="4FBC7601" w:rsidR="00017FF9" w:rsidRDefault="00017FF9" w:rsidP="001D40DD">
      <w:pPr>
        <w:pStyle w:val="1"/>
        <w:rPr>
          <w:lang w:val="ru-RU"/>
        </w:rPr>
      </w:pPr>
      <w:r w:rsidRPr="001D40D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6"/>
    </w:p>
    <w:p w14:paraId="06CD4216" w14:textId="498EC963" w:rsidR="00F729D6" w:rsidRPr="0016235D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Общая характеристика работы</w:t>
      </w:r>
      <w:r w:rsidR="00F729D6"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729D6" w:rsidRPr="0016235D">
        <w:rPr>
          <w:rFonts w:ascii="Times New Roman" w:hAnsi="Times New Roman" w:cs="Times New Roman"/>
          <w:sz w:val="28"/>
          <w:szCs w:val="28"/>
        </w:rPr>
        <w:t xml:space="preserve">Диссертационное исследование посвящено комплексному анализу управленческих моделей развития зелёной экономики в условиях макроэкономической, технологической и институциональной нестабильности, а также разработке авторской модели корпоративного зелёного роста, адаптированной к реалиям Республики Казахстан. </w:t>
      </w:r>
    </w:p>
    <w:p w14:paraId="129CA698" w14:textId="61587E23" w:rsidR="00E112AA" w:rsidRPr="00E112AA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 w:rsidR="001623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определяется пересечением глобальных, национальных и корпоративных факторов, формирующих качественно новую конфигурацию экономического развития в XXI веке. Мир вступил в фазу ускоренных климатических, энергетических и технологических трансформаций, в рамках которых вопросы устойчивости, углеродной нейтральности и ресурсной эффективности становятся ключевыми элементами экономической политики и стратегического управления. Усиление климатической повестки, институционализация Парижского соглашения, рост значимости ESG-критериев и расширение «зелёных» рынков капитала обусловили переход ведущих экономик к новой модели роста, основанной на декарбонизации, цифровизации и экологически ответственных бизнес-практиках. </w:t>
      </w:r>
    </w:p>
    <w:p w14:paraId="1EAFC3D4" w14:textId="7F10A0B3" w:rsidR="00E112AA" w:rsidRPr="00E112AA" w:rsidRDefault="0016235D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 процессы оказывают непосредственное влияние на экономическое развитие Республики Казахстан. Как страна с высокой долей ископаемого топлива в энергобалансе и значительной зависимостью от мировой конъюнктуры сырьевых рынков, Казахстан сталкивается с необходимостью перехода к новой модели роста, способной обеспечить устойчивость в условиях внешних и внутренних шоков. Стратегические документы государства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 Стратегия «Казахстан-2050», Концепция перехода к зелёной экономике, Доктрина достижения углеродной нейтральности до 2060 года, фиксируют необходимость глубоких преобразований, охватывающих энергетику, промышленность, инфраструктуру, систему государственного управления и корпоративный сектор. Выполнение международных обязательств по Целям устойчивого развития усиливает требования к адаптации национальной экономики к параметрам глобальной низкоуглеродной системы.</w:t>
      </w:r>
    </w:p>
    <w:p w14:paraId="6BF1A7BC" w14:textId="77777777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2AA">
        <w:rPr>
          <w:rFonts w:ascii="Times New Roman" w:hAnsi="Times New Roman" w:cs="Times New Roman"/>
          <w:sz w:val="28"/>
          <w:szCs w:val="28"/>
        </w:rPr>
        <w:t>Проблема усугубляется структурными особенностями казахстанской экономики: высокой энергоёмкостью, зависимостью от ископаемых ресурсов, ограниченной диверсификацией экспортной базы, недостаточной инновационной активностью и слабой интеграцией в глобальные цепочки добавленной стоимости в сфере чистых технологий. В этих условиях развитие зелёной экономики и формирование низкоуглеродной траектории не могут рассматриваться исключительно как экологическая или технологическая задача; они требуют глубокого пересмотра управленческих подходов, ориентированных на повышение устойчивости, снижение рисков, модернизацию производственных процессов и повышение конкурентоспособности компаний.</w:t>
      </w:r>
    </w:p>
    <w:p w14:paraId="1ECFB85D" w14:textId="27FEB11A" w:rsidR="00E112AA" w:rsidRPr="00E112AA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  <w:lang w:val="kk-KZ"/>
        </w:rPr>
        <w:t>Степень разработанности проблемы</w:t>
      </w:r>
      <w:r w:rsidR="007C1D68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E112AA" w:rsidRPr="0016235D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12AA" w:rsidRPr="00E112AA">
        <w:rPr>
          <w:rFonts w:ascii="Times New Roman" w:hAnsi="Times New Roman" w:cs="Times New Roman"/>
          <w:sz w:val="28"/>
          <w:szCs w:val="28"/>
        </w:rPr>
        <w:t>исследований</w:t>
      </w:r>
      <w:proofErr w:type="gramEnd"/>
      <w:r w:rsidR="00E112AA" w:rsidRPr="00E112AA">
        <w:rPr>
          <w:rFonts w:ascii="Times New Roman" w:hAnsi="Times New Roman" w:cs="Times New Roman"/>
          <w:sz w:val="28"/>
          <w:szCs w:val="28"/>
        </w:rPr>
        <w:t xml:space="preserve"> связан</w:t>
      </w:r>
      <w:proofErr w:type="spellStart"/>
      <w:r w:rsidR="00E112AA" w:rsidRPr="0016235D">
        <w:rPr>
          <w:rFonts w:ascii="Times New Roman" w:hAnsi="Times New Roman" w:cs="Times New Roman"/>
          <w:sz w:val="28"/>
          <w:szCs w:val="28"/>
          <w:lang w:val="ru-RU"/>
        </w:rPr>
        <w:t>ных</w:t>
      </w:r>
      <w:proofErr w:type="spellEnd"/>
      <w:r w:rsidR="00E112AA" w:rsidRPr="00E112AA">
        <w:rPr>
          <w:rFonts w:ascii="Times New Roman" w:hAnsi="Times New Roman" w:cs="Times New Roman"/>
          <w:sz w:val="28"/>
          <w:szCs w:val="28"/>
        </w:rPr>
        <w:t xml:space="preserve"> с концептуализацией устойчивого развития как системы взаимосвязанных </w:t>
      </w:r>
      <w:r w:rsidR="00E112AA" w:rsidRPr="00E112AA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экономических, экологических и социальных </w:t>
      </w:r>
      <w:proofErr w:type="spellStart"/>
      <w:r w:rsidR="00E112AA" w:rsidRPr="00E112AA">
        <w:rPr>
          <w:rFonts w:ascii="Times New Roman" w:hAnsi="Times New Roman" w:cs="Times New Roman"/>
          <w:sz w:val="28"/>
          <w:szCs w:val="28"/>
        </w:rPr>
        <w:t>процессо</w:t>
      </w:r>
      <w:proofErr w:type="spellEnd"/>
      <w:r w:rsidR="00E112AA" w:rsidRPr="0016235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 положили работы Г. Дэйли</w:t>
      </w:r>
      <w:r w:rsidR="001D4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40DD" w:rsidRPr="001D40DD">
        <w:rPr>
          <w:rFonts w:ascii="Times New Roman" w:hAnsi="Times New Roman" w:cs="Times New Roman"/>
          <w:sz w:val="28"/>
          <w:szCs w:val="28"/>
          <w:lang w:val="ru-RU"/>
        </w:rPr>
        <w:t>[1]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 w:rsidR="00E112AA" w:rsidRPr="00E112AA">
        <w:rPr>
          <w:rFonts w:ascii="Times New Roman" w:hAnsi="Times New Roman" w:cs="Times New Roman"/>
          <w:sz w:val="28"/>
          <w:szCs w:val="28"/>
        </w:rPr>
        <w:t>Костанцы</w:t>
      </w:r>
      <w:proofErr w:type="spellEnd"/>
      <w:r w:rsidR="001D40DD">
        <w:rPr>
          <w:rFonts w:ascii="Times New Roman" w:hAnsi="Times New Roman" w:cs="Times New Roman"/>
          <w:sz w:val="28"/>
          <w:szCs w:val="28"/>
        </w:rPr>
        <w:t xml:space="preserve"> [2]</w:t>
      </w:r>
      <w:r w:rsidR="00E112AA" w:rsidRPr="00E112AA">
        <w:rPr>
          <w:rFonts w:ascii="Times New Roman" w:hAnsi="Times New Roman" w:cs="Times New Roman"/>
          <w:sz w:val="28"/>
          <w:szCs w:val="28"/>
        </w:rPr>
        <w:t>, П. Виктора</w:t>
      </w:r>
      <w:r w:rsidR="001D40DD">
        <w:rPr>
          <w:rFonts w:ascii="Times New Roman" w:hAnsi="Times New Roman" w:cs="Times New Roman"/>
          <w:sz w:val="28"/>
          <w:szCs w:val="28"/>
        </w:rPr>
        <w:t xml:space="preserve"> [3]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, которые акцентировали внимание на пределе роста, экологических ограничениях и необходимости перехода к модели «устойчивой экономики». Позднее значительный вклад внесли исследования </w:t>
      </w:r>
      <w:proofErr w:type="spellStart"/>
      <w:r w:rsidR="00E112AA" w:rsidRPr="00E112AA">
        <w:rPr>
          <w:rFonts w:ascii="Times New Roman" w:hAnsi="Times New Roman" w:cs="Times New Roman"/>
          <w:sz w:val="28"/>
          <w:szCs w:val="28"/>
        </w:rPr>
        <w:t>Н.Стерна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[4]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12AA" w:rsidRPr="00E112AA">
        <w:rPr>
          <w:rFonts w:ascii="Times New Roman" w:hAnsi="Times New Roman" w:cs="Times New Roman"/>
          <w:sz w:val="28"/>
          <w:szCs w:val="28"/>
        </w:rPr>
        <w:t>Т.Джексона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[5]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112AA" w:rsidRPr="00E112AA">
        <w:rPr>
          <w:rFonts w:ascii="Times New Roman" w:hAnsi="Times New Roman" w:cs="Times New Roman"/>
          <w:sz w:val="28"/>
          <w:szCs w:val="28"/>
        </w:rPr>
        <w:t>Й.Рокстрёма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[6]</w:t>
      </w:r>
      <w:r w:rsidR="00E112AA" w:rsidRPr="00E112AA">
        <w:rPr>
          <w:rFonts w:ascii="Times New Roman" w:hAnsi="Times New Roman" w:cs="Times New Roman"/>
          <w:sz w:val="28"/>
          <w:szCs w:val="28"/>
        </w:rPr>
        <w:t xml:space="preserve">, сформировавших современные подходы к оценке климатических рисков, декарбонизации и управлению трансформациями в условиях глобальной неопределённости. </w:t>
      </w:r>
    </w:p>
    <w:p w14:paraId="21E0903E" w14:textId="22A37D17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2AA">
        <w:rPr>
          <w:rFonts w:ascii="Times New Roman" w:hAnsi="Times New Roman" w:cs="Times New Roman"/>
          <w:sz w:val="28"/>
          <w:szCs w:val="28"/>
        </w:rPr>
        <w:t xml:space="preserve">В работах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М.Портера</w:t>
      </w:r>
      <w:proofErr w:type="spellEnd"/>
      <w:r w:rsidRPr="00E112AA">
        <w:rPr>
          <w:rFonts w:ascii="Times New Roman" w:hAnsi="Times New Roman" w:cs="Times New Roman"/>
          <w:sz w:val="28"/>
          <w:szCs w:val="28"/>
        </w:rPr>
        <w:t xml:space="preserve"> </w:t>
      </w:r>
      <w:r w:rsidR="007755BF">
        <w:rPr>
          <w:rFonts w:ascii="Times New Roman" w:hAnsi="Times New Roman" w:cs="Times New Roman"/>
          <w:sz w:val="28"/>
          <w:szCs w:val="28"/>
        </w:rPr>
        <w:t xml:space="preserve">[7] </w:t>
      </w:r>
      <w:r w:rsidRPr="00E112A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proofErr w:type="gramStart"/>
      <w:r w:rsidRPr="00E112AA">
        <w:rPr>
          <w:rFonts w:ascii="Times New Roman" w:hAnsi="Times New Roman" w:cs="Times New Roman"/>
          <w:sz w:val="28"/>
          <w:szCs w:val="28"/>
        </w:rPr>
        <w:t>К.ван</w:t>
      </w:r>
      <w:proofErr w:type="spellEnd"/>
      <w:proofErr w:type="gramEnd"/>
      <w:r w:rsidRPr="00E112AA">
        <w:rPr>
          <w:rFonts w:ascii="Times New Roman" w:hAnsi="Times New Roman" w:cs="Times New Roman"/>
          <w:sz w:val="28"/>
          <w:szCs w:val="28"/>
        </w:rPr>
        <w:t xml:space="preserve"> дер Линде</w:t>
      </w:r>
      <w:r w:rsidR="007755BF">
        <w:rPr>
          <w:rFonts w:ascii="Times New Roman" w:hAnsi="Times New Roman" w:cs="Times New Roman"/>
          <w:sz w:val="28"/>
          <w:szCs w:val="28"/>
        </w:rPr>
        <w:t xml:space="preserve"> [8]</w:t>
      </w:r>
      <w:r w:rsidRPr="00E112AA">
        <w:rPr>
          <w:rFonts w:ascii="Times New Roman" w:hAnsi="Times New Roman" w:cs="Times New Roman"/>
          <w:sz w:val="28"/>
          <w:szCs w:val="28"/>
        </w:rPr>
        <w:t xml:space="preserve"> показано, что экологическая модернизация может формировать новые конкурентные преимущества компаний и государств. Исследования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А.Яна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[9]</w:t>
      </w:r>
      <w:r w:rsidRPr="00E112AA">
        <w:rPr>
          <w:rFonts w:ascii="Times New Roman" w:hAnsi="Times New Roman" w:cs="Times New Roman"/>
          <w:sz w:val="28"/>
          <w:szCs w:val="28"/>
        </w:rPr>
        <w:t>, Дж. Фримена</w:t>
      </w:r>
      <w:r w:rsidR="007755BF">
        <w:rPr>
          <w:rFonts w:ascii="Times New Roman" w:hAnsi="Times New Roman" w:cs="Times New Roman"/>
          <w:sz w:val="28"/>
          <w:szCs w:val="28"/>
        </w:rPr>
        <w:t xml:space="preserve"> [10]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Д.Вогеля</w:t>
      </w:r>
      <w:proofErr w:type="spellEnd"/>
      <w:r w:rsidRPr="00E112AA">
        <w:rPr>
          <w:rFonts w:ascii="Times New Roman" w:hAnsi="Times New Roman" w:cs="Times New Roman"/>
          <w:sz w:val="28"/>
          <w:szCs w:val="28"/>
        </w:rPr>
        <w:t xml:space="preserve"> </w:t>
      </w:r>
      <w:r w:rsidR="007755BF">
        <w:rPr>
          <w:rFonts w:ascii="Times New Roman" w:hAnsi="Times New Roman" w:cs="Times New Roman"/>
          <w:sz w:val="28"/>
          <w:szCs w:val="28"/>
        </w:rPr>
        <w:t xml:space="preserve">[11] </w:t>
      </w:r>
      <w:r w:rsidRPr="00E112A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К.Рейнгарда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[12]</w:t>
      </w:r>
      <w:r w:rsidRPr="00E112AA">
        <w:rPr>
          <w:rFonts w:ascii="Times New Roman" w:hAnsi="Times New Roman" w:cs="Times New Roman"/>
          <w:sz w:val="28"/>
          <w:szCs w:val="28"/>
        </w:rPr>
        <w:t xml:space="preserve"> раскрывают механизмы устойчивого корпоративного управления, ESG-интеграции, стратегического управления рисками и формирование устойчивых бизнес-моделей. </w:t>
      </w:r>
    </w:p>
    <w:p w14:paraId="3F0A66CD" w14:textId="1C4E563A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2AA">
        <w:rPr>
          <w:rFonts w:ascii="Times New Roman" w:hAnsi="Times New Roman" w:cs="Times New Roman"/>
          <w:sz w:val="28"/>
          <w:szCs w:val="28"/>
        </w:rPr>
        <w:t xml:space="preserve">Значимыми </w:t>
      </w:r>
      <w:r w:rsidR="009E63BC"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исследованиями в области </w:t>
      </w:r>
      <w:r w:rsidR="009E63BC" w:rsidRPr="00E112AA">
        <w:rPr>
          <w:rFonts w:ascii="Times New Roman" w:hAnsi="Times New Roman" w:cs="Times New Roman"/>
          <w:sz w:val="28"/>
          <w:szCs w:val="28"/>
        </w:rPr>
        <w:t>энергетических трансформаций и политики декарбонизации</w:t>
      </w:r>
      <w:r w:rsidR="009E63BC" w:rsidRPr="0016235D">
        <w:rPr>
          <w:rFonts w:ascii="Times New Roman" w:hAnsi="Times New Roman" w:cs="Times New Roman"/>
          <w:sz w:val="28"/>
          <w:szCs w:val="28"/>
        </w:rPr>
        <w:t xml:space="preserve"> </w:t>
      </w:r>
      <w:r w:rsidRPr="00E112AA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9E63BC" w:rsidRPr="0016235D">
        <w:rPr>
          <w:rFonts w:ascii="Times New Roman" w:hAnsi="Times New Roman" w:cs="Times New Roman"/>
          <w:sz w:val="28"/>
          <w:szCs w:val="28"/>
          <w:lang w:val="ru-RU"/>
        </w:rPr>
        <w:t>работы авторов</w:t>
      </w:r>
      <w:r w:rsidRPr="00E11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В.Смиш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[13]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Б.Соррель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[14]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Ф.Гейлса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[15]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Гевена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[16]</w:t>
      </w:r>
      <w:r w:rsidRPr="00E112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Ф.Карапидиса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[17]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посвящённые энергетическим переходам, технологическим траекториям, роли государства в стимулировании ВИЭ, поведенческим аспектам снижения энергопотребления и формированию низкоуглеродных инфраструктур. </w:t>
      </w:r>
    </w:p>
    <w:p w14:paraId="2BFC74B8" w14:textId="73C5AC55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12AA">
        <w:rPr>
          <w:rFonts w:ascii="Times New Roman" w:hAnsi="Times New Roman" w:cs="Times New Roman"/>
          <w:sz w:val="28"/>
          <w:szCs w:val="28"/>
        </w:rPr>
        <w:t xml:space="preserve">Развитие казахстанской научной школы по тематике зелёной экономики прошло несколько этапов. Начальный этап связан с работами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Г.Кулагина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[18]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К.Ахметова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[19]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Ж.Ахметовой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[20]</w:t>
      </w:r>
      <w:r w:rsidRPr="00E112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М.Алимханова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[21]</w:t>
      </w:r>
      <w:r w:rsidRPr="00E112AA">
        <w:rPr>
          <w:rFonts w:ascii="Times New Roman" w:hAnsi="Times New Roman" w:cs="Times New Roman"/>
          <w:sz w:val="28"/>
          <w:szCs w:val="28"/>
        </w:rPr>
        <w:t>, которые адаптировали концепции устойчивого развития к национальным условиям, анализировали экологическую политику и проблемы энергоёмкости экономики. Следующий этап отражён в трудах А. Сагинтаева</w:t>
      </w:r>
      <w:r w:rsidR="007755BF">
        <w:rPr>
          <w:rFonts w:ascii="Times New Roman" w:hAnsi="Times New Roman" w:cs="Times New Roman"/>
          <w:sz w:val="28"/>
          <w:szCs w:val="28"/>
        </w:rPr>
        <w:t xml:space="preserve"> [22]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А.Исекешова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[23]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У.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Шоканбаева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[24]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где акцент сделан на институциональной трансформации, инновационной политике и модернизации промышленности. В последние годы интерес к зелёному росту расширился в исследованиях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Т.Кожамкуловой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[25]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Н.Бекмагамбетовой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[26]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2AA">
        <w:rPr>
          <w:rFonts w:ascii="Times New Roman" w:hAnsi="Times New Roman" w:cs="Times New Roman"/>
          <w:sz w:val="28"/>
          <w:szCs w:val="28"/>
        </w:rPr>
        <w:t>М.Есимхановой</w:t>
      </w:r>
      <w:proofErr w:type="spellEnd"/>
      <w:r w:rsidR="007755BF">
        <w:rPr>
          <w:rFonts w:ascii="Times New Roman" w:hAnsi="Times New Roman" w:cs="Times New Roman"/>
          <w:sz w:val="28"/>
          <w:szCs w:val="28"/>
        </w:rPr>
        <w:t xml:space="preserve"> [27]</w:t>
      </w:r>
      <w:r w:rsidRPr="00E112AA">
        <w:rPr>
          <w:rFonts w:ascii="Times New Roman" w:hAnsi="Times New Roman" w:cs="Times New Roman"/>
          <w:sz w:val="28"/>
          <w:szCs w:val="28"/>
        </w:rPr>
        <w:t xml:space="preserve">, посвящённых ВИЭ, цифровизации энергетики, декарбонизации и климатической политике. </w:t>
      </w:r>
    </w:p>
    <w:p w14:paraId="0F1673D7" w14:textId="7E7890AD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2AA">
        <w:rPr>
          <w:rFonts w:ascii="Times New Roman" w:hAnsi="Times New Roman" w:cs="Times New Roman"/>
          <w:sz w:val="28"/>
          <w:szCs w:val="28"/>
        </w:rPr>
        <w:t xml:space="preserve">Несмотря на растущий интерес, степень изученности проблематики комплексных управленческих моделей зелёного роста в условиях нестабильности применительно к Казахстану остаётся низкой. Отсутствуют исследования, которые синтезируют макроэкономические факторы, вопросы энергетической безопасности, институциональные ограничения, корпоративные стратегии и международный опыт в единой управленческой конструкции. </w:t>
      </w:r>
    </w:p>
    <w:p w14:paraId="7C9003BD" w14:textId="2603E69D" w:rsidR="00E112AA" w:rsidRPr="0016235D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 xml:space="preserve">Целью диссертационной работы </w:t>
      </w:r>
      <w:r w:rsidRPr="0016235D">
        <w:rPr>
          <w:rFonts w:ascii="Times New Roman" w:hAnsi="Times New Roman" w:cs="Times New Roman"/>
          <w:bCs/>
          <w:sz w:val="28"/>
          <w:szCs w:val="28"/>
        </w:rPr>
        <w:t>является разработка научно обоснованной управленческой модели зелёного экономического роста для Республики Казахстан, адаптированной к условиям макроэкономической, энергетической и институциональной нестабильности, а также оценка её экономической результативности и возможностей корпоративной имплементации на примере национальных промышленных компаний.</w:t>
      </w:r>
    </w:p>
    <w:p w14:paraId="799A3E87" w14:textId="77777777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2AA">
        <w:rPr>
          <w:rFonts w:ascii="Times New Roman" w:hAnsi="Times New Roman" w:cs="Times New Roman"/>
          <w:bCs/>
          <w:sz w:val="28"/>
          <w:szCs w:val="28"/>
        </w:rPr>
        <w:t xml:space="preserve">В соответствии с поставленной целью в работе решается следующий комплекс научных </w:t>
      </w:r>
      <w:r w:rsidRPr="00E112AA">
        <w:rPr>
          <w:rFonts w:ascii="Times New Roman" w:hAnsi="Times New Roman" w:cs="Times New Roman"/>
          <w:b/>
          <w:sz w:val="28"/>
          <w:szCs w:val="28"/>
        </w:rPr>
        <w:t>задач</w:t>
      </w:r>
      <w:r w:rsidRPr="00E112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5DAD3E" w14:textId="57C2D8E0" w:rsidR="00E112AA" w:rsidRPr="0016235D" w:rsidRDefault="00E112AA" w:rsidP="0016235D">
      <w:pPr>
        <w:pStyle w:val="a7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Т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еоретическо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обобщени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концептуальных основ зелёной экономики, устойчивого роста и энергетической трансформации.</w:t>
      </w:r>
    </w:p>
    <w:p w14:paraId="7DCBE216" w14:textId="6906F233" w:rsidR="00E112AA" w:rsidRPr="0016235D" w:rsidRDefault="00E112AA" w:rsidP="0016235D">
      <w:pPr>
        <w:pStyle w:val="a7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ыявлени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систематизаци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факторов макроэкономической, энергетической, экологической и социальной нестабильности.</w:t>
      </w:r>
    </w:p>
    <w:p w14:paraId="11AD5989" w14:textId="22084831" w:rsidR="00E112AA" w:rsidRPr="0016235D" w:rsidRDefault="00E112AA" w:rsidP="0016235D">
      <w:pPr>
        <w:pStyle w:val="a7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О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боснование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</w:rPr>
        <w:t xml:space="preserve"> методологических принципов построения модели зелёного роста.</w:t>
      </w:r>
    </w:p>
    <w:p w14:paraId="28448C5A" w14:textId="32C64C3B" w:rsidR="00E112AA" w:rsidRPr="0016235D" w:rsidRDefault="00E112AA" w:rsidP="0016235D">
      <w:pPr>
        <w:pStyle w:val="a7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Оценка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институциональных и технологических ограничений, влияющих на способность Казахстана реализовать зелёную трансформацию.</w:t>
      </w:r>
    </w:p>
    <w:p w14:paraId="2E55EC3D" w14:textId="0DE507A9" w:rsidR="00461363" w:rsidRPr="0016235D" w:rsidRDefault="006641AE" w:rsidP="0016235D">
      <w:pPr>
        <w:pStyle w:val="a7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П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остроение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эмпирическ</w:t>
      </w: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ая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валидаци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экономическ</w:t>
      </w: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ая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6235D">
        <w:rPr>
          <w:rFonts w:ascii="Times New Roman" w:hAnsi="Times New Roman" w:cs="Times New Roman"/>
          <w:bCs/>
          <w:sz w:val="28"/>
          <w:szCs w:val="28"/>
        </w:rPr>
        <w:t>оценк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а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разработанной управленческой модели, а также моделирование долгосрочных выгод для промышленных предприятий Казахстана и корпоративного сектора.</w:t>
      </w:r>
    </w:p>
    <w:p w14:paraId="08AD4E91" w14:textId="42BC5527" w:rsidR="00E112AA" w:rsidRPr="0016235D" w:rsidRDefault="00461363" w:rsidP="0016235D">
      <w:pPr>
        <w:pStyle w:val="a7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proofErr w:type="spellStart"/>
      <w:r w:rsidR="00E112AA" w:rsidRPr="0016235D">
        <w:rPr>
          <w:rFonts w:ascii="Times New Roman" w:hAnsi="Times New Roman" w:cs="Times New Roman"/>
          <w:bCs/>
          <w:sz w:val="28"/>
          <w:szCs w:val="28"/>
        </w:rPr>
        <w:t>ормировани</w:t>
      </w:r>
      <w:proofErr w:type="spellEnd"/>
      <w:r w:rsidRPr="0016235D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r w:rsidR="00E112AA" w:rsidRPr="0016235D">
        <w:rPr>
          <w:rFonts w:ascii="Times New Roman" w:hAnsi="Times New Roman" w:cs="Times New Roman"/>
          <w:bCs/>
          <w:sz w:val="28"/>
          <w:szCs w:val="28"/>
        </w:rPr>
        <w:t xml:space="preserve"> предложений по практической реализации модели на корпоративном уровне</w:t>
      </w:r>
      <w:r w:rsidR="006A221D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538355F6" w14:textId="4E1B86B8" w:rsidR="00E112AA" w:rsidRPr="00E112AA" w:rsidRDefault="009E63BC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Объектом диссертационного исследования</w:t>
      </w:r>
      <w:r w:rsidRPr="0016235D">
        <w:rPr>
          <w:rFonts w:ascii="Times New Roman" w:hAnsi="Times New Roman" w:cs="Times New Roman"/>
          <w:bCs/>
          <w:sz w:val="28"/>
          <w:szCs w:val="28"/>
        </w:rPr>
        <w:t xml:space="preserve"> выступают социально-экономические и организационно-управленческие отношения, формирующиеся в процессе перехода промышленных предприятий Казахстана к моделям устойчивого и низкоуглеродного развития. </w:t>
      </w:r>
    </w:p>
    <w:p w14:paraId="0DDE22BE" w14:textId="39FAE0DE" w:rsidR="00E112AA" w:rsidRPr="00E112AA" w:rsidRDefault="00E112AA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2AA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="007303E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ом</w:t>
      </w:r>
      <w:r w:rsidRPr="00E112AA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="007303E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112AA">
        <w:rPr>
          <w:rFonts w:ascii="Times New Roman" w:hAnsi="Times New Roman" w:cs="Times New Roman"/>
          <w:bCs/>
          <w:sz w:val="28"/>
          <w:szCs w:val="28"/>
        </w:rPr>
        <w:t>являются управленческие модели, механизмы и инструменты реализации зелёного экономического роста, включая их адаптацию к условиям нестабильности и оценку экономической эффективности, а также возможности их имплементации на корпоративном уровне в национальных промышленных компаниях.</w:t>
      </w:r>
    </w:p>
    <w:p w14:paraId="3797EEC2" w14:textId="5E8FEBD1" w:rsidR="006641AE" w:rsidRPr="006641AE" w:rsidRDefault="006641AE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41AE">
        <w:rPr>
          <w:rFonts w:ascii="Times New Roman" w:hAnsi="Times New Roman" w:cs="Times New Roman"/>
          <w:b/>
          <w:bCs/>
          <w:sz w:val="28"/>
          <w:szCs w:val="28"/>
        </w:rPr>
        <w:t>Теоретической и методологической основой</w:t>
      </w:r>
      <w:r w:rsidRPr="006641AE">
        <w:rPr>
          <w:rFonts w:ascii="Times New Roman" w:hAnsi="Times New Roman" w:cs="Times New Roman"/>
          <w:sz w:val="28"/>
          <w:szCs w:val="28"/>
        </w:rPr>
        <w:t xml:space="preserve"> диссертационного исследования послужили фундаментальные положения институциональной экономической теории, теории устойчивого развития, концепции экологической модернизации, а также современные подходы к формированию низкоуглеродной</w:t>
      </w:r>
      <w:r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 энергетики</w:t>
      </w:r>
      <w:r w:rsidRPr="006641AE">
        <w:rPr>
          <w:rFonts w:ascii="Times New Roman" w:hAnsi="Times New Roman" w:cs="Times New Roman"/>
          <w:sz w:val="28"/>
          <w:szCs w:val="28"/>
        </w:rPr>
        <w:t xml:space="preserve">. Концептуальная рамка исследования опирается на междисциплинарный подход, объединяющий теории инновационного развития, модели энергетического перехода, институциональные механизмы формирования «зелёных» рынков и методы стратегического управления технологическими преобразованиями. </w:t>
      </w:r>
    </w:p>
    <w:p w14:paraId="1CB4E73E" w14:textId="7D1DED97" w:rsidR="001A6560" w:rsidRPr="001A6560" w:rsidRDefault="001A6560" w:rsidP="001A65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560">
        <w:rPr>
          <w:rFonts w:ascii="Times New Roman" w:hAnsi="Times New Roman" w:cs="Times New Roman"/>
          <w:sz w:val="28"/>
          <w:szCs w:val="28"/>
        </w:rPr>
        <w:t>Методология диссертационного исследования основана на сочетании макроэкономического, институционального, системного и сравнительно-аналитического подходов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A6560">
        <w:rPr>
          <w:rFonts w:ascii="Times New Roman" w:hAnsi="Times New Roman" w:cs="Times New Roman"/>
          <w:sz w:val="28"/>
          <w:szCs w:val="28"/>
        </w:rPr>
        <w:t>Эмпирическая часть исследования опирается на статистический анализ, структурно-динамический анализ и тематическую картографию, использованные для оценки состояния энергетического сектора Казахстана, потенциала ВИЭ, динамики выбросов и инфраструктурных ограничений.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6560">
        <w:rPr>
          <w:rFonts w:ascii="Times New Roman" w:hAnsi="Times New Roman" w:cs="Times New Roman"/>
          <w:sz w:val="28"/>
          <w:szCs w:val="28"/>
        </w:rPr>
        <w:t xml:space="preserve">Эконометрическая оценка выполнена с применением корреляционно-регрессионного анализа и панельных моделей (FE/RE), включая тесты стационарности и тест </w:t>
      </w:r>
      <w:proofErr w:type="spellStart"/>
      <w:r w:rsidRPr="001A6560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 w:rsidR="00F80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80F88" w:rsidRPr="006641AE">
        <w:rPr>
          <w:rFonts w:ascii="Times New Roman" w:hAnsi="Times New Roman" w:cs="Times New Roman"/>
          <w:sz w:val="28"/>
          <w:szCs w:val="28"/>
        </w:rPr>
        <w:t>работа с динамическими рядами и графической визуализацией осуществлялась в Microsoft Excel.</w:t>
      </w:r>
    </w:p>
    <w:p w14:paraId="63180180" w14:textId="7DD2CF55" w:rsidR="001A6560" w:rsidRPr="001A6560" w:rsidRDefault="001A6560" w:rsidP="001A65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560">
        <w:rPr>
          <w:rFonts w:ascii="Times New Roman" w:hAnsi="Times New Roman" w:cs="Times New Roman"/>
          <w:sz w:val="28"/>
          <w:szCs w:val="28"/>
        </w:rPr>
        <w:t xml:space="preserve">Для корпоративного уровня использованы методы SWOT-анализа, сравнительной диагностики, экспертных оценок, структурного анализа и анализа </w:t>
      </w:r>
      <w:r w:rsidRPr="001A6560">
        <w:rPr>
          <w:rFonts w:ascii="Times New Roman" w:hAnsi="Times New Roman" w:cs="Times New Roman"/>
          <w:sz w:val="28"/>
          <w:szCs w:val="28"/>
        </w:rPr>
        <w:lastRenderedPageBreak/>
        <w:t xml:space="preserve">корпоративных </w:t>
      </w:r>
      <w:proofErr w:type="spellStart"/>
      <w:r w:rsidRPr="001A6560">
        <w:rPr>
          <w:rFonts w:ascii="Times New Roman" w:hAnsi="Times New Roman" w:cs="Times New Roman"/>
          <w:sz w:val="28"/>
          <w:szCs w:val="28"/>
        </w:rPr>
        <w:t>энергопрофилей</w:t>
      </w:r>
      <w:proofErr w:type="spellEnd"/>
      <w:r w:rsidRPr="001A6560">
        <w:rPr>
          <w:rFonts w:ascii="Times New Roman" w:hAnsi="Times New Roman" w:cs="Times New Roman"/>
          <w:sz w:val="28"/>
          <w:szCs w:val="28"/>
        </w:rPr>
        <w:t>, что позволило выявить институциональные и технологические барьеры зелёной трансформации предприятий.</w:t>
      </w:r>
    </w:p>
    <w:p w14:paraId="47970DA3" w14:textId="559A006A" w:rsidR="006641AE" w:rsidRPr="006641AE" w:rsidRDefault="00B80E66" w:rsidP="004652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  <w:lang w:val="kk-KZ"/>
        </w:rPr>
        <w:t>Информационная база исследования</w:t>
      </w:r>
      <w:r w:rsidR="002D2B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641AE" w:rsidRPr="006641AE">
        <w:rPr>
          <w:rFonts w:ascii="Times New Roman" w:hAnsi="Times New Roman" w:cs="Times New Roman"/>
          <w:sz w:val="28"/>
          <w:szCs w:val="28"/>
        </w:rPr>
        <w:t>сформирована на основе совокупности первичных и вторичных данных, обеспечивающих полноту, достоверность и репрезентативность проводимого анализа. К первичным источникам относятся результаты экспертных оценок. В качестве вторичных источников информации использовались официальные статистические данные Бюро национальной статистики Агентства по стратегическому планированию и реформам Республики Казахстан. Существенную часть аналитической базы составили отчёты и методические материалы Министерства энергетики Республики Казахстан, Министерства экологии и природных ресурсов, Министерства индустрии и строительства, представленные в рамках стратегий энергетической модернизации и климатической политики</w:t>
      </w:r>
      <w:r w:rsidR="006641AE"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8F0CAC1" w14:textId="271879EA" w:rsidR="009E63BC" w:rsidRPr="009E63BC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="00814F0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E63BC" w:rsidRPr="009E63BC">
        <w:rPr>
          <w:rFonts w:ascii="Times New Roman" w:hAnsi="Times New Roman" w:cs="Times New Roman"/>
          <w:sz w:val="28"/>
          <w:szCs w:val="28"/>
        </w:rPr>
        <w:t>диссертационного исследования заключается в разработке теоретико-методологических положений и практико-ориентированной управленческой модели развития зелёной экономики Казахстана</w:t>
      </w:r>
      <w:r w:rsidR="00814F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89F2614" w14:textId="77777777" w:rsidR="009E63BC" w:rsidRPr="009E63BC" w:rsidRDefault="009E63BC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3BC">
        <w:rPr>
          <w:rFonts w:ascii="Times New Roman" w:hAnsi="Times New Roman" w:cs="Times New Roman"/>
          <w:sz w:val="28"/>
          <w:szCs w:val="28"/>
        </w:rPr>
        <w:t>Новизна выражается в нескольких ключевых результатах.</w:t>
      </w:r>
    </w:p>
    <w:p w14:paraId="6C84B08B" w14:textId="32F7747F" w:rsidR="009E63BC" w:rsidRPr="0016235D" w:rsidRDefault="009E63BC" w:rsidP="0016235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sz w:val="28"/>
          <w:szCs w:val="28"/>
        </w:rPr>
        <w:t xml:space="preserve">обоснована интерпретация содержания и структуры управленческих моделей зелёной экономики применительно к странам с высокой </w:t>
      </w:r>
      <w:proofErr w:type="spellStart"/>
      <w:r w:rsidRPr="0016235D">
        <w:rPr>
          <w:rFonts w:ascii="Times New Roman" w:hAnsi="Times New Roman" w:cs="Times New Roman"/>
          <w:sz w:val="28"/>
          <w:szCs w:val="28"/>
        </w:rPr>
        <w:t>углеродоёмкостью</w:t>
      </w:r>
      <w:proofErr w:type="spellEnd"/>
      <w:r w:rsidRPr="0016235D">
        <w:rPr>
          <w:rFonts w:ascii="Times New Roman" w:hAnsi="Times New Roman" w:cs="Times New Roman"/>
          <w:sz w:val="28"/>
          <w:szCs w:val="28"/>
        </w:rPr>
        <w:t xml:space="preserve"> и ограниченной институциональной гибкостью. </w:t>
      </w:r>
    </w:p>
    <w:p w14:paraId="3975B830" w14:textId="57100FF3" w:rsidR="009E63BC" w:rsidRPr="0016235D" w:rsidRDefault="009E63BC" w:rsidP="0016235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sz w:val="28"/>
          <w:szCs w:val="28"/>
        </w:rPr>
        <w:t xml:space="preserve">выявлены ключевые ограничения и институциональные разрывы, препятствующие эффективному развитию низкоуглеродной и возобновляемой энергетики Казахстана. </w:t>
      </w:r>
    </w:p>
    <w:p w14:paraId="7427CE4B" w14:textId="6929929E" w:rsidR="009E63BC" w:rsidRPr="0016235D" w:rsidRDefault="009E63BC" w:rsidP="0016235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sz w:val="28"/>
          <w:szCs w:val="28"/>
        </w:rPr>
        <w:t>разработана и научно обоснована авторская</w:t>
      </w:r>
      <w:r w:rsidRPr="00814F0A">
        <w:rPr>
          <w:rFonts w:ascii="Times New Roman" w:hAnsi="Times New Roman" w:cs="Times New Roman"/>
          <w:sz w:val="28"/>
          <w:szCs w:val="28"/>
        </w:rPr>
        <w:t xml:space="preserve"> многоуровневая управленческая модель развития зелёной экономики, </w:t>
      </w:r>
      <w:r w:rsidRPr="0016235D">
        <w:rPr>
          <w:rFonts w:ascii="Times New Roman" w:hAnsi="Times New Roman" w:cs="Times New Roman"/>
          <w:sz w:val="28"/>
          <w:szCs w:val="28"/>
        </w:rPr>
        <w:t>структурированная по пяти системным блокам: макроэкономическая устойчивость, энергетическая трансформация, повышение энергоэффективности, промышленная политика и локализация, международное сотрудничество. Модель впервые адаптирована к корпоративному уровню, что обеспечивает возможность её практического применения в условиях казахстанских промышленных предприятий.</w:t>
      </w:r>
    </w:p>
    <w:p w14:paraId="362210AD" w14:textId="1E40B1F3" w:rsidR="009E63BC" w:rsidRPr="0016235D" w:rsidRDefault="009E63BC" w:rsidP="0016235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sz w:val="28"/>
          <w:szCs w:val="28"/>
        </w:rPr>
        <w:t xml:space="preserve">предложен и апробирован механизм бюджетирования управленческой модели на трёхлетнем горизонте, позволяющий оценить объёмы и структуру необходимых инвестиций, соотнести капитальные и операционные затраты. </w:t>
      </w:r>
    </w:p>
    <w:p w14:paraId="4A4C727B" w14:textId="77777777" w:rsidR="00B07559" w:rsidRPr="0016235D" w:rsidRDefault="009E63BC" w:rsidP="0016235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sz w:val="28"/>
          <w:szCs w:val="28"/>
        </w:rPr>
        <w:t xml:space="preserve">разработана количественная экономическая оценка </w:t>
      </w:r>
      <w:proofErr w:type="spellStart"/>
      <w:r w:rsidRPr="0016235D">
        <w:rPr>
          <w:rFonts w:ascii="Times New Roman" w:hAnsi="Times New Roman" w:cs="Times New Roman"/>
          <w:sz w:val="28"/>
          <w:szCs w:val="28"/>
        </w:rPr>
        <w:t>модел</w:t>
      </w:r>
      <w:proofErr w:type="spellEnd"/>
      <w:r w:rsidR="00514AF5"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и. </w:t>
      </w:r>
      <w:r w:rsidRPr="0016235D">
        <w:rPr>
          <w:rFonts w:ascii="Times New Roman" w:hAnsi="Times New Roman" w:cs="Times New Roman"/>
          <w:sz w:val="28"/>
          <w:szCs w:val="28"/>
        </w:rPr>
        <w:t>Получены научные результаты, подтверждающие финансовую состоятельность внедрения зелёных технологий в условиях высокой стоимости капитала и макроэкономической нестабильности.</w:t>
      </w:r>
    </w:p>
    <w:p w14:paraId="5257B120" w14:textId="7D42C853" w:rsidR="009E63BC" w:rsidRPr="0016235D" w:rsidRDefault="009E63BC" w:rsidP="0016235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sz w:val="28"/>
          <w:szCs w:val="28"/>
        </w:rPr>
        <w:t>предложен практический инструментарий корпоративной адаптации, включающий организационные меры, программы модернизации, механизмы управления спросом на энергию и решения по цифровизации энергопотребления, что обеспечивает трансляцию результатов исследования на микроуровень и усиливает прикладную значимость работы.</w:t>
      </w:r>
    </w:p>
    <w:p w14:paraId="2A801E93" w14:textId="77777777" w:rsidR="009E63BC" w:rsidRPr="009E63BC" w:rsidRDefault="009E63BC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3BC">
        <w:rPr>
          <w:rFonts w:ascii="Times New Roman" w:hAnsi="Times New Roman" w:cs="Times New Roman"/>
          <w:b/>
          <w:bCs/>
          <w:sz w:val="28"/>
          <w:szCs w:val="28"/>
        </w:rPr>
        <w:t>Основные положения, выносимые на защиту</w:t>
      </w:r>
    </w:p>
    <w:p w14:paraId="3BB5ED9A" w14:textId="6E16AC38" w:rsidR="00681095" w:rsidRPr="00681095" w:rsidRDefault="00681095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095">
        <w:rPr>
          <w:rFonts w:ascii="Times New Roman" w:hAnsi="Times New Roman" w:cs="Times New Roman"/>
          <w:sz w:val="28"/>
          <w:szCs w:val="28"/>
        </w:rPr>
        <w:lastRenderedPageBreak/>
        <w:t xml:space="preserve">1. На основе теоретического обобщения концептуальных основ зелёной экономики, устойчивого роста и энергетической трансформации обосновано авторское представление о зелёном росте как сложной многоуровневой управленческой системе. </w:t>
      </w:r>
    </w:p>
    <w:p w14:paraId="4D690F07" w14:textId="76D9D4C8" w:rsidR="00681095" w:rsidRPr="00681095" w:rsidRDefault="00681095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095">
        <w:rPr>
          <w:rFonts w:ascii="Times New Roman" w:hAnsi="Times New Roman" w:cs="Times New Roman"/>
          <w:sz w:val="28"/>
          <w:szCs w:val="28"/>
        </w:rPr>
        <w:t xml:space="preserve">2. В результате выявления и систематизации факторов макроэкономической, энергетической, экологической и социальной нестабильности определено, что ключевое влияние на траекторию зелёного роста Казахстана оказывают институциональная волатильность, технологическая импортозависимость, структурные диспропорции энергосистемы, ограниченная гибкость инфраструктуры и дефицит компетенций. </w:t>
      </w:r>
    </w:p>
    <w:p w14:paraId="52725077" w14:textId="1DC4E0FD" w:rsidR="00681095" w:rsidRPr="00681095" w:rsidRDefault="00681095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095">
        <w:rPr>
          <w:rFonts w:ascii="Times New Roman" w:hAnsi="Times New Roman" w:cs="Times New Roman"/>
          <w:sz w:val="28"/>
          <w:szCs w:val="28"/>
        </w:rPr>
        <w:t xml:space="preserve">3. В соответствии с методологическими принципами построения модели зелёного роста предложена и апробирована модифицированная система индикаторов, включающая показатели энергетической уязвимости, инфраструктурной готовности, </w:t>
      </w:r>
      <w:proofErr w:type="spellStart"/>
      <w:r w:rsidRPr="00681095">
        <w:rPr>
          <w:rFonts w:ascii="Times New Roman" w:hAnsi="Times New Roman" w:cs="Times New Roman"/>
          <w:sz w:val="28"/>
          <w:szCs w:val="28"/>
        </w:rPr>
        <w:t>локализационного</w:t>
      </w:r>
      <w:proofErr w:type="spellEnd"/>
      <w:r w:rsidRPr="00681095">
        <w:rPr>
          <w:rFonts w:ascii="Times New Roman" w:hAnsi="Times New Roman" w:cs="Times New Roman"/>
          <w:sz w:val="28"/>
          <w:szCs w:val="28"/>
        </w:rPr>
        <w:t xml:space="preserve"> потенциала, технологической зависимости и логистической связанности. </w:t>
      </w:r>
    </w:p>
    <w:p w14:paraId="0685C5AB" w14:textId="24F805C8" w:rsidR="00681095" w:rsidRPr="00681095" w:rsidRDefault="00681095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095">
        <w:rPr>
          <w:rFonts w:ascii="Times New Roman" w:hAnsi="Times New Roman" w:cs="Times New Roman"/>
          <w:sz w:val="28"/>
          <w:szCs w:val="28"/>
        </w:rPr>
        <w:t xml:space="preserve">4. На основе анализа институциональных и технологических ограничений выявлено, что развитие возобновляемой энергетики и зелёной трансформации в Казахстане сдерживается высокой изношенностью сетевой инфраструктуры, низкой локализацией оборудования, технологическим разрывом, ограниченной устойчивостью корпоративного сектора к внешним шокам и регуляторной волатильностью. </w:t>
      </w:r>
    </w:p>
    <w:p w14:paraId="54FCDBD4" w14:textId="3E0D832E" w:rsidR="00681095" w:rsidRPr="00681095" w:rsidRDefault="00681095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095">
        <w:rPr>
          <w:rFonts w:ascii="Times New Roman" w:hAnsi="Times New Roman" w:cs="Times New Roman"/>
          <w:sz w:val="28"/>
          <w:szCs w:val="28"/>
        </w:rPr>
        <w:t>5. В ходе построения, эмпирической валидации и экономической оценки разработанной управленческой модели зелёного роста доказана её финансовая и стратегическая состоятельность. Показано, что модель создаёт долгосрочные выгоды для промышленных предприятий и укрепляет устойчивость корпоративных энергосистем.</w:t>
      </w:r>
    </w:p>
    <w:p w14:paraId="038A4264" w14:textId="276E4837" w:rsidR="00681095" w:rsidRPr="00681095" w:rsidRDefault="00681095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095">
        <w:rPr>
          <w:rFonts w:ascii="Times New Roman" w:hAnsi="Times New Roman" w:cs="Times New Roman"/>
          <w:sz w:val="28"/>
          <w:szCs w:val="28"/>
        </w:rPr>
        <w:t xml:space="preserve">6. Сформирован комплекс практических мер по внедрению модели на корпоративном уровне, включающий модернизацию энергетической инфраструктуры, переход к управлению спросом, развитие цифрового мониторинга, формирование внутренних фондов устойчивого развития, повышение квалификации персонала и механизмы локализации оборудования. </w:t>
      </w:r>
    </w:p>
    <w:p w14:paraId="3202F74F" w14:textId="31D0447D" w:rsidR="00681095" w:rsidRPr="0016235D" w:rsidRDefault="00681095" w:rsidP="002D2B56">
      <w:pPr>
        <w:pStyle w:val="a7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B56">
        <w:rPr>
          <w:rFonts w:ascii="Times New Roman" w:hAnsi="Times New Roman" w:cs="Times New Roman"/>
          <w:b/>
          <w:bCs/>
          <w:sz w:val="28"/>
          <w:szCs w:val="28"/>
        </w:rPr>
        <w:t>Теоретическая значимость диссертационного</w:t>
      </w:r>
      <w:r w:rsidRPr="0016235D">
        <w:rPr>
          <w:rFonts w:ascii="Times New Roman" w:hAnsi="Times New Roman" w:cs="Times New Roman"/>
          <w:sz w:val="28"/>
          <w:szCs w:val="28"/>
        </w:rPr>
        <w:t xml:space="preserve"> исследования состоит в развитии научно-методологических подходов к управлению зелёным ростом в условиях многомерной экономической, энергетической и институциональной нестабильности, характерной для ресурсозависимых стран. В работе предложена новая концептуальная рамка анализа зелёной экономики, основанная на интеграции положений теории устойчивого развития, концепции экологической модернизации, институциональной экономики, теории энергетического перехода и современных моделей управления технологической трансформацией.</w:t>
      </w:r>
      <w:r w:rsidR="007C1D68" w:rsidRPr="007C1D68">
        <w:rPr>
          <w:rFonts w:ascii="Times New Roman" w:hAnsi="Times New Roman" w:cs="Times New Roman"/>
          <w:sz w:val="28"/>
          <w:szCs w:val="28"/>
        </w:rPr>
        <w:t xml:space="preserve"> </w:t>
      </w:r>
      <w:r w:rsidR="007C1D68" w:rsidRPr="00681095">
        <w:rPr>
          <w:rFonts w:ascii="Times New Roman" w:hAnsi="Times New Roman" w:cs="Times New Roman"/>
          <w:sz w:val="28"/>
          <w:szCs w:val="28"/>
        </w:rPr>
        <w:t>Модель дополняет существующие теоретические конструкции, демонстрируя необходимость включения параметров многомерной нестабильности в систему стратегического планирования зелёного перехода</w:t>
      </w:r>
    </w:p>
    <w:p w14:paraId="099974D4" w14:textId="364BABAB" w:rsidR="00681095" w:rsidRPr="00681095" w:rsidRDefault="00681095" w:rsidP="002D2B56">
      <w:pPr>
        <w:pStyle w:val="a7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1095">
        <w:rPr>
          <w:rFonts w:ascii="Times New Roman" w:hAnsi="Times New Roman" w:cs="Times New Roman"/>
          <w:b/>
          <w:bCs/>
          <w:sz w:val="28"/>
          <w:szCs w:val="28"/>
        </w:rPr>
        <w:t>Практическая ценность результатов исследования</w:t>
      </w:r>
      <w:r w:rsidR="002D2B5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81095">
        <w:rPr>
          <w:rFonts w:ascii="Times New Roman" w:hAnsi="Times New Roman" w:cs="Times New Roman"/>
          <w:sz w:val="28"/>
          <w:szCs w:val="28"/>
        </w:rPr>
        <w:t xml:space="preserve">заключается в разработке прикладного инструментария внедрения управленческой модели </w:t>
      </w:r>
      <w:r w:rsidRPr="00681095">
        <w:rPr>
          <w:rFonts w:ascii="Times New Roman" w:hAnsi="Times New Roman" w:cs="Times New Roman"/>
          <w:sz w:val="28"/>
          <w:szCs w:val="28"/>
        </w:rPr>
        <w:lastRenderedPageBreak/>
        <w:t>зелёного роста на уровне промышленных компаний Казахстана, а также в формировании комплекса конкретных организационных, технологических и институциональных мер, обеспечивающих переход предприятий к энергоэффективным и низкоуглеродным производственным системам.</w:t>
      </w:r>
    </w:p>
    <w:p w14:paraId="778E7398" w14:textId="01861343" w:rsidR="00681095" w:rsidRPr="00681095" w:rsidRDefault="00681095" w:rsidP="006A221D">
      <w:pPr>
        <w:pStyle w:val="a7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95">
        <w:rPr>
          <w:rFonts w:ascii="Times New Roman" w:hAnsi="Times New Roman" w:cs="Times New Roman"/>
          <w:sz w:val="28"/>
          <w:szCs w:val="28"/>
        </w:rPr>
        <w:t>Результаты исследования могут быть полезны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 для: </w:t>
      </w:r>
      <w:r w:rsidRPr="00681095">
        <w:rPr>
          <w:rFonts w:ascii="Times New Roman" w:hAnsi="Times New Roman" w:cs="Times New Roman"/>
          <w:sz w:val="28"/>
          <w:szCs w:val="28"/>
        </w:rPr>
        <w:t>промышленных предприятий при разработке стратегий зелёной модернизации;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1095">
        <w:rPr>
          <w:rFonts w:ascii="Times New Roman" w:hAnsi="Times New Roman" w:cs="Times New Roman"/>
          <w:sz w:val="28"/>
          <w:szCs w:val="28"/>
        </w:rPr>
        <w:t>государственных органов при формировании мер поддержки низкоуглеродных проектов и инструментов стимулирования локализации;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1095">
        <w:rPr>
          <w:rFonts w:ascii="Times New Roman" w:hAnsi="Times New Roman" w:cs="Times New Roman"/>
          <w:sz w:val="28"/>
          <w:szCs w:val="28"/>
        </w:rPr>
        <w:t>финансовых институтов при разработке механизмов «зелёного» финансирования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A22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1095">
        <w:rPr>
          <w:rFonts w:ascii="Times New Roman" w:hAnsi="Times New Roman" w:cs="Times New Roman"/>
          <w:sz w:val="28"/>
          <w:szCs w:val="28"/>
        </w:rPr>
        <w:t>Материалы диссертации могут быть включены в образовательные программы магистратуры и докторантуры по направлениям «Государственное управление», «Устойчивое развитие», «Экономика природопользования», «Стратегический менеджмент»</w:t>
      </w:r>
      <w:r w:rsidR="00996DA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810844" w14:textId="0A8B52B0" w:rsidR="00B21111" w:rsidRPr="00B21111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Апробация результатов исследования</w:t>
      </w:r>
      <w:r w:rsidR="00B21111" w:rsidRPr="0016235D">
        <w:rPr>
          <w:rFonts w:ascii="Times New Roman" w:hAnsi="Times New Roman" w:cs="Times New Roman"/>
          <w:sz w:val="28"/>
          <w:szCs w:val="28"/>
        </w:rPr>
        <w:t xml:space="preserve"> проведена на Первой Международной научно-практической конференции «Государственно-частное партнёрство как механизм привлечения инвестиций: модели и опыт», состоявшейся 28 февраля 2020 года в г. 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>Астана, на которой обсуждены</w:t>
      </w:r>
      <w:r w:rsidR="00B21111" w:rsidRPr="00B21111">
        <w:rPr>
          <w:rFonts w:ascii="Times New Roman" w:hAnsi="Times New Roman" w:cs="Times New Roman"/>
          <w:sz w:val="28"/>
          <w:szCs w:val="28"/>
        </w:rPr>
        <w:t xml:space="preserve"> ключевые положения исследования в профессиональной среде, а также </w:t>
      </w:r>
      <w:proofErr w:type="spellStart"/>
      <w:r w:rsidR="00B21111" w:rsidRPr="00B21111">
        <w:rPr>
          <w:rFonts w:ascii="Times New Roman" w:hAnsi="Times New Roman" w:cs="Times New Roman"/>
          <w:sz w:val="28"/>
          <w:szCs w:val="28"/>
        </w:rPr>
        <w:t>подтвер</w:t>
      </w:r>
      <w:proofErr w:type="spellEnd"/>
      <w:r w:rsidR="007C1D68">
        <w:rPr>
          <w:rFonts w:ascii="Times New Roman" w:hAnsi="Times New Roman" w:cs="Times New Roman"/>
          <w:sz w:val="28"/>
          <w:szCs w:val="28"/>
          <w:lang w:val="ru-RU"/>
        </w:rPr>
        <w:t>ж</w:t>
      </w:r>
      <w:r w:rsidR="00B21111" w:rsidRPr="00B21111"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="007C1D68">
        <w:rPr>
          <w:rFonts w:ascii="Times New Roman" w:hAnsi="Times New Roman" w:cs="Times New Roman"/>
          <w:sz w:val="28"/>
          <w:szCs w:val="28"/>
          <w:lang w:val="ru-RU"/>
        </w:rPr>
        <w:t>ены</w:t>
      </w:r>
      <w:proofErr w:type="spellEnd"/>
      <w:r w:rsidR="00B21111" w:rsidRPr="00B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1111" w:rsidRPr="00B21111">
        <w:rPr>
          <w:rFonts w:ascii="Times New Roman" w:hAnsi="Times New Roman" w:cs="Times New Roman"/>
          <w:sz w:val="28"/>
          <w:szCs w:val="28"/>
        </w:rPr>
        <w:t>научн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="00B21111" w:rsidRPr="00B2111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111" w:rsidRPr="00B21111">
        <w:rPr>
          <w:rFonts w:ascii="Times New Roman" w:hAnsi="Times New Roman" w:cs="Times New Roman"/>
          <w:sz w:val="28"/>
          <w:szCs w:val="28"/>
        </w:rPr>
        <w:t>практическ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="00B21111" w:rsidRPr="00B21111">
        <w:rPr>
          <w:rFonts w:ascii="Times New Roman" w:hAnsi="Times New Roman" w:cs="Times New Roman"/>
          <w:sz w:val="28"/>
          <w:szCs w:val="28"/>
        </w:rPr>
        <w:t xml:space="preserve"> значимость результатов диссертации.</w:t>
      </w:r>
    </w:p>
    <w:p w14:paraId="32B53FE2" w14:textId="72021BD4" w:rsidR="00B21111" w:rsidRPr="00B21111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Публикация результатов исследования.</w:t>
      </w:r>
      <w:r w:rsidRPr="0016235D">
        <w:rPr>
          <w:rFonts w:ascii="Times New Roman" w:hAnsi="Times New Roman" w:cs="Times New Roman"/>
          <w:sz w:val="28"/>
          <w:szCs w:val="28"/>
        </w:rPr>
        <w:t xml:space="preserve"> </w:t>
      </w:r>
      <w:r w:rsidR="00B21111" w:rsidRPr="0016235D">
        <w:rPr>
          <w:rFonts w:ascii="Times New Roman" w:hAnsi="Times New Roman" w:cs="Times New Roman"/>
          <w:sz w:val="28"/>
          <w:szCs w:val="28"/>
        </w:rPr>
        <w:t>Основные научные результаты диссертационной работы нашли отражение в научных публикациях, соответствующих требованиям к публикационной активности докторантов программ DBA.</w:t>
      </w:r>
      <w:r w:rsidR="0016235D"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1111" w:rsidRPr="00B21111">
        <w:rPr>
          <w:rFonts w:ascii="Times New Roman" w:hAnsi="Times New Roman" w:cs="Times New Roman"/>
          <w:sz w:val="28"/>
          <w:szCs w:val="28"/>
        </w:rPr>
        <w:t>Из них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235D" w:rsidRPr="0016235D">
        <w:rPr>
          <w:rFonts w:ascii="Times New Roman" w:hAnsi="Times New Roman" w:cs="Times New Roman"/>
          <w:sz w:val="28"/>
          <w:szCs w:val="28"/>
        </w:rPr>
        <w:t>одна</w:t>
      </w:r>
      <w:r w:rsidR="00B21111" w:rsidRPr="00B21111">
        <w:rPr>
          <w:rFonts w:ascii="Times New Roman" w:hAnsi="Times New Roman" w:cs="Times New Roman"/>
          <w:sz w:val="28"/>
          <w:szCs w:val="28"/>
        </w:rPr>
        <w:t xml:space="preserve"> статья опубликована в журнале, индексируемом в международных базах данных </w:t>
      </w:r>
      <w:proofErr w:type="spellStart"/>
      <w:r w:rsidR="00B21111" w:rsidRPr="00B21111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1111" w:rsidRPr="00B21111">
        <w:rPr>
          <w:rFonts w:ascii="Times New Roman" w:hAnsi="Times New Roman" w:cs="Times New Roman"/>
          <w:sz w:val="28"/>
          <w:szCs w:val="28"/>
        </w:rPr>
        <w:t xml:space="preserve">Management </w:t>
      </w:r>
      <w:proofErr w:type="spellStart"/>
      <w:r w:rsidR="00B21111" w:rsidRPr="00B2111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B21111" w:rsidRPr="00B21111">
        <w:rPr>
          <w:rFonts w:ascii="Times New Roman" w:hAnsi="Times New Roman" w:cs="Times New Roman"/>
          <w:sz w:val="28"/>
          <w:szCs w:val="28"/>
        </w:rPr>
        <w:t xml:space="preserve"> Production Engineering Review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 (направление </w:t>
      </w:r>
      <w:r w:rsidR="007C1D68" w:rsidRPr="007C1D68">
        <w:rPr>
          <w:rFonts w:ascii="Times New Roman" w:hAnsi="Times New Roman" w:cs="Times New Roman"/>
          <w:sz w:val="28"/>
          <w:szCs w:val="28"/>
        </w:rPr>
        <w:t xml:space="preserve">Business </w:t>
      </w:r>
      <w:proofErr w:type="spellStart"/>
      <w:r w:rsidR="007C1D68" w:rsidRPr="007C1D6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7C1D68" w:rsidRPr="007C1D68">
        <w:rPr>
          <w:rFonts w:ascii="Times New Roman" w:hAnsi="Times New Roman" w:cs="Times New Roman"/>
          <w:sz w:val="28"/>
          <w:szCs w:val="28"/>
        </w:rPr>
        <w:t xml:space="preserve"> International Management</w:t>
      </w:r>
      <w:r w:rsidR="007C1D68">
        <w:rPr>
          <w:rFonts w:ascii="Times New Roman" w:hAnsi="Times New Roman" w:cs="Times New Roman"/>
          <w:sz w:val="28"/>
          <w:szCs w:val="28"/>
          <w:lang w:val="ru-RU"/>
        </w:rPr>
        <w:t xml:space="preserve">, процентиль 34). </w:t>
      </w:r>
      <w:r w:rsidR="0016235D" w:rsidRPr="0016235D">
        <w:rPr>
          <w:rFonts w:ascii="Times New Roman" w:hAnsi="Times New Roman" w:cs="Times New Roman"/>
          <w:sz w:val="28"/>
          <w:szCs w:val="28"/>
          <w:lang w:val="ru-RU"/>
        </w:rPr>
        <w:t>Три</w:t>
      </w:r>
      <w:r w:rsidR="00B21111" w:rsidRPr="00B21111">
        <w:rPr>
          <w:rFonts w:ascii="Times New Roman" w:hAnsi="Times New Roman" w:cs="Times New Roman"/>
          <w:sz w:val="28"/>
          <w:szCs w:val="28"/>
        </w:rPr>
        <w:t xml:space="preserve"> статьи опубликованы в зарубежных научных журналах, что подтверждает международную апробацию результатов исследования</w:t>
      </w:r>
      <w:r w:rsidR="00996DA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6235D" w:rsidRPr="0016235D">
        <w:rPr>
          <w:rFonts w:ascii="Times New Roman" w:hAnsi="Times New Roman" w:cs="Times New Roman"/>
          <w:sz w:val="28"/>
          <w:szCs w:val="28"/>
          <w:lang w:val="ru-RU"/>
        </w:rPr>
        <w:t>Четыре</w:t>
      </w:r>
      <w:r w:rsidR="00B21111" w:rsidRPr="00B21111">
        <w:rPr>
          <w:rFonts w:ascii="Times New Roman" w:hAnsi="Times New Roman" w:cs="Times New Roman"/>
          <w:sz w:val="28"/>
          <w:szCs w:val="28"/>
        </w:rPr>
        <w:t xml:space="preserve"> публикации в журналах стран СНГ, по проблематике устойчивого развития, климатической политики, международной торговли и моделей «умного» производства</w:t>
      </w:r>
      <w:r w:rsidR="00B21111" w:rsidRPr="001623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21111" w:rsidRPr="00B21111">
        <w:rPr>
          <w:rFonts w:ascii="Times New Roman" w:hAnsi="Times New Roman" w:cs="Times New Roman"/>
          <w:sz w:val="28"/>
          <w:szCs w:val="28"/>
        </w:rPr>
        <w:t xml:space="preserve">Публикации охватывают ключевые направления диссертационного исследования: принципы циркулярной экономики, международный опыт ВИЭ, развитие зелёной индустрии, институциональные модели, устойчивое государственно-частное партнёрство и климатическую политику. </w:t>
      </w:r>
    </w:p>
    <w:p w14:paraId="79453050" w14:textId="7CC3F966" w:rsidR="0016235D" w:rsidRPr="0016235D" w:rsidRDefault="00B80E66" w:rsidP="00162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35D">
        <w:rPr>
          <w:rFonts w:ascii="Times New Roman" w:hAnsi="Times New Roman" w:cs="Times New Roman"/>
          <w:b/>
          <w:sz w:val="28"/>
          <w:szCs w:val="28"/>
        </w:rPr>
        <w:t>Структура и объем диссертации</w:t>
      </w:r>
      <w:r w:rsidR="00996D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6235D" w:rsidRPr="0016235D">
        <w:rPr>
          <w:rFonts w:ascii="Times New Roman" w:hAnsi="Times New Roman" w:cs="Times New Roman"/>
          <w:sz w:val="28"/>
          <w:szCs w:val="28"/>
        </w:rPr>
        <w:t>отражает внутреннюю логику исследования, последовательность решения поставленных задач и методологический алгоритм построения научного анализа. Диссертация включает введение, три главы, заключение, список использованных источников и приложения.</w:t>
      </w:r>
      <w:r w:rsidR="006A22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235D" w:rsidRPr="0016235D">
        <w:rPr>
          <w:rFonts w:ascii="Times New Roman" w:hAnsi="Times New Roman" w:cs="Times New Roman"/>
          <w:sz w:val="28"/>
          <w:szCs w:val="28"/>
        </w:rPr>
        <w:t>Объём диссертационного исследования составляет _ страниц и содержит 2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6235D" w:rsidRPr="0016235D">
        <w:rPr>
          <w:rFonts w:ascii="Times New Roman" w:hAnsi="Times New Roman" w:cs="Times New Roman"/>
          <w:sz w:val="28"/>
          <w:szCs w:val="28"/>
        </w:rPr>
        <w:t xml:space="preserve"> таблиц и 8 рисунков, а также ___ формулу(ы). Список использованных источников насчитывает ___ наименований и включает отечественные и зарубежные публикации.</w:t>
      </w:r>
    </w:p>
    <w:p w14:paraId="2BC7D193" w14:textId="6E5B5F53" w:rsidR="00B80E66" w:rsidRPr="00B80E66" w:rsidRDefault="00B80E66" w:rsidP="0016235D">
      <w:pPr>
        <w:spacing w:after="0" w:line="240" w:lineRule="auto"/>
        <w:ind w:firstLine="567"/>
        <w:jc w:val="both"/>
        <w:rPr>
          <w:lang w:val="ru-RU"/>
        </w:rPr>
      </w:pPr>
      <w:r w:rsidRPr="0016235D">
        <w:rPr>
          <w:rFonts w:ascii="Times New Roman" w:hAnsi="Times New Roman" w:cs="Times New Roman"/>
          <w:sz w:val="28"/>
          <w:szCs w:val="28"/>
        </w:rPr>
        <w:br w:type="page"/>
      </w:r>
    </w:p>
    <w:p w14:paraId="2C3F0F28" w14:textId="63613E70" w:rsidR="00017FF9" w:rsidRDefault="00017FF9" w:rsidP="00EC64BF">
      <w:pPr>
        <w:pStyle w:val="2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17" w:name="_Toc215079190"/>
      <w:r w:rsidRPr="00EC6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 Теоретико-методологические основы развития возобновляемой энергетики и «зелёной» экономики</w:t>
      </w:r>
      <w:bookmarkEnd w:id="17"/>
    </w:p>
    <w:p w14:paraId="34ADB544" w14:textId="77777777" w:rsidR="00EC64BF" w:rsidRPr="00EC64BF" w:rsidRDefault="00EC64BF" w:rsidP="00EC64BF">
      <w:pPr>
        <w:rPr>
          <w:lang w:val="ru-RU"/>
        </w:rPr>
      </w:pPr>
    </w:p>
    <w:p w14:paraId="0A35465B" w14:textId="77777777" w:rsidR="00017FF9" w:rsidRPr="00EC64BF" w:rsidRDefault="00017FF9" w:rsidP="00EC64BF">
      <w:pPr>
        <w:pStyle w:val="2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215079191"/>
      <w:r w:rsidRPr="00EC6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1.1. Концептуальные основы и сущность «зелёной экономики»</w:t>
      </w:r>
      <w:bookmarkEnd w:id="18"/>
    </w:p>
    <w:p w14:paraId="1BC60E88" w14:textId="77777777" w:rsidR="00740705" w:rsidRPr="00740705" w:rsidRDefault="00740705" w:rsidP="007407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705">
        <w:rPr>
          <w:rFonts w:ascii="Times New Roman" w:hAnsi="Times New Roman" w:cs="Times New Roman"/>
          <w:sz w:val="28"/>
          <w:szCs w:val="28"/>
        </w:rPr>
        <w:t xml:space="preserve">Возобновляемые источники энергии представляют собой естественно воспроизводимые энергетические потоки и ресурсы, чья эксплуатация не приводит к их исчерпанию в масштабе человеческого времени. Их концептуализация тесно связана с фундаментальными идеями устойчивого развития, заложенными в работах Г. Дэйли [1], Р.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Костанцы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[2] и П. Виктора [3], которые рассматривали ВИЭ как основу перехода к устойчивой и низкоуглеродной экономике. В современной теории устойчивого роста, развитой также Н. Стерном [4], Т. Джексоном [5] и Й.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Рокстрёмом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[6], интеграция ВИЭ трактуется как ключевое направление обеспечения климатической безопасности, декарбонизации и экосистемной сбалансированности.</w:t>
      </w:r>
    </w:p>
    <w:p w14:paraId="182834DA" w14:textId="3602747B" w:rsidR="00740705" w:rsidRPr="00740705" w:rsidRDefault="00740705" w:rsidP="007407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705">
        <w:rPr>
          <w:rFonts w:ascii="Times New Roman" w:hAnsi="Times New Roman" w:cs="Times New Roman"/>
          <w:sz w:val="28"/>
          <w:szCs w:val="28"/>
        </w:rPr>
        <w:t xml:space="preserve">Исторически становление концепции ВИЭ связано с энергетическими кризисами 1970-х годов, которые продемонстрировали ограниченность ископаемых ресурсов и уязвимость глобальной энергетической системы. Международным документом, сформировавшим основу системного подхода к альтернативной энергетике, стала Найробийская программа действий ООН. Она определила ВИЭ как источники, воспроизводящиеся естественным образом и не создающие существенного загрязнения окружающей среды, что согласуется с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экологико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-экономическими подходами «устойчивой экономики», обоснованными в работах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М.Портера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[7] и </w:t>
      </w:r>
      <w:proofErr w:type="spellStart"/>
      <w:proofErr w:type="gramStart"/>
      <w:r w:rsidRPr="00740705">
        <w:rPr>
          <w:rFonts w:ascii="Times New Roman" w:hAnsi="Times New Roman" w:cs="Times New Roman"/>
          <w:sz w:val="28"/>
          <w:szCs w:val="28"/>
        </w:rPr>
        <w:t>К.ван</w:t>
      </w:r>
      <w:proofErr w:type="spellEnd"/>
      <w:proofErr w:type="gramEnd"/>
      <w:r w:rsidRPr="00740705">
        <w:rPr>
          <w:rFonts w:ascii="Times New Roman" w:hAnsi="Times New Roman" w:cs="Times New Roman"/>
          <w:sz w:val="28"/>
          <w:szCs w:val="28"/>
        </w:rPr>
        <w:t xml:space="preserve"> дер Линде [8], где подчёркивается роль экологической модернизации в повышении конкурентоспособности.</w:t>
      </w:r>
    </w:p>
    <w:p w14:paraId="59804092" w14:textId="59C59022" w:rsidR="00740705" w:rsidRPr="00740705" w:rsidRDefault="00740705" w:rsidP="007407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705">
        <w:rPr>
          <w:rFonts w:ascii="Times New Roman" w:hAnsi="Times New Roman" w:cs="Times New Roman"/>
          <w:sz w:val="28"/>
          <w:szCs w:val="28"/>
        </w:rPr>
        <w:t xml:space="preserve">В Казахстане правовое закрепление ВИЭ реализовано в Законе Республики Казахстан «О поддержке использования возобновляемых источников энергии», согласно которому к ним отнесены солнечная, ветровая, малая гидроэнергетика, геотермальная энергия и биомасса. Схожие положения закреплены и в законодательстве Китая, что обеспечивает сопоставимость статистики и единство методологических подходов. Данные нормативные определения коррелируют с международной практикой устойчивого корпоративного управления и ESG-подходов, представленных в исследованиях А. Яна [9], Дж. Фримена [10],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Д.Вогеля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[11] и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К.Рейнгарда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[12], акцентирующих внимание на экологически ориентированных стратегиях и управлении рисками.</w:t>
      </w:r>
    </w:p>
    <w:p w14:paraId="283A15C7" w14:textId="2EBD502E" w:rsidR="00740705" w:rsidRPr="00740705" w:rsidRDefault="00740705" w:rsidP="007407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705">
        <w:rPr>
          <w:rFonts w:ascii="Times New Roman" w:hAnsi="Times New Roman" w:cs="Times New Roman"/>
          <w:sz w:val="28"/>
          <w:szCs w:val="28"/>
        </w:rPr>
        <w:t xml:space="preserve">Современное понимание «энергетического перехода» базируется на концепциях В.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Смила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[13], который трактует его как длительный эволюционный процесс, начинающийся при достижении новой энергией доли 5% в структуре энергопотребления и завершающийся её доминированием свыше 50%. Значимый вклад в развитие анализа энергетических трансформаций внесли работы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Б.Сорреля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[14],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Ф.Гейлса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[15],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М.Гевена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[16] и </w:t>
      </w:r>
      <w:proofErr w:type="spellStart"/>
      <w:r w:rsidRPr="00740705">
        <w:rPr>
          <w:rFonts w:ascii="Times New Roman" w:hAnsi="Times New Roman" w:cs="Times New Roman"/>
          <w:sz w:val="28"/>
          <w:szCs w:val="28"/>
        </w:rPr>
        <w:t>Ф.Карапидиса</w:t>
      </w:r>
      <w:proofErr w:type="spellEnd"/>
      <w:r w:rsidRPr="00740705">
        <w:rPr>
          <w:rFonts w:ascii="Times New Roman" w:hAnsi="Times New Roman" w:cs="Times New Roman"/>
          <w:sz w:val="28"/>
          <w:szCs w:val="28"/>
        </w:rPr>
        <w:t xml:space="preserve"> [17], посвящённые исследованию энергетической эффективности, технологических траекторий, государственных мер стимулирования ВИЭ и формированию низкоуглеродной инфраструктуры.</w:t>
      </w:r>
    </w:p>
    <w:p w14:paraId="3D67B556" w14:textId="77777777" w:rsidR="008B221B" w:rsidRPr="008B221B" w:rsidRDefault="008B221B" w:rsidP="008B2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21B">
        <w:rPr>
          <w:rFonts w:ascii="Times New Roman" w:hAnsi="Times New Roman" w:cs="Times New Roman"/>
          <w:sz w:val="28"/>
          <w:szCs w:val="28"/>
        </w:rPr>
        <w:lastRenderedPageBreak/>
        <w:t>Применение стандартизированной классификации оборудования для возобновляемой энергетики является ключевым методологическим условием проведения сопоставимого и корректного анализа торговых потоков между государствами. В отечественной научной традиции внимание к вопросам систематизации данных и унификации подходов к оценке развития «зелёной» энергетики подчёркивается в работах Г. Кулагина [18] и К. Ахметова [19], которые акцентируют важность методологической согласованности при межстрановых исследованиях и необходимости адаптации международных классификаций к национальным особенностям.</w:t>
      </w:r>
    </w:p>
    <w:p w14:paraId="4EA47A69" w14:textId="36E50BC9" w:rsidR="008B221B" w:rsidRPr="008B221B" w:rsidRDefault="008B221B" w:rsidP="008B2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21B"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 xml:space="preserve">с чем </w:t>
      </w:r>
      <w:r w:rsidRPr="008B221B">
        <w:rPr>
          <w:rFonts w:ascii="Times New Roman" w:hAnsi="Times New Roman" w:cs="Times New Roman"/>
          <w:sz w:val="28"/>
          <w:szCs w:val="28"/>
        </w:rPr>
        <w:t xml:space="preserve">использование классификации оборудования для ВИЭ, основанной на стандартах IRENA и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Harmonized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System, позволяет обеспечить корректность межстрановых сопоставлений и дифференцировать товарные потоки по технологическим направлениям. Такой подход особенно значим при анализе структуры торговли между Казахстаном и Китаем, где наблюдается существенное доминирование оборудования для солнечных и ветровых установок.</w:t>
      </w:r>
    </w:p>
    <w:p w14:paraId="5E0F8359" w14:textId="6BD4036E" w:rsidR="00017FF9" w:rsidRDefault="00D87060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="00017FF9" w:rsidRPr="00017FF9">
        <w:rPr>
          <w:rFonts w:ascii="Times New Roman" w:hAnsi="Times New Roman" w:cs="Times New Roman"/>
          <w:sz w:val="28"/>
          <w:szCs w:val="28"/>
        </w:rPr>
        <w:t>лассификация</w:t>
      </w:r>
      <w:proofErr w:type="spellEnd"/>
      <w:r w:rsidR="00017FF9" w:rsidRPr="00017FF9">
        <w:rPr>
          <w:rFonts w:ascii="Times New Roman" w:hAnsi="Times New Roman" w:cs="Times New Roman"/>
          <w:sz w:val="28"/>
          <w:szCs w:val="28"/>
        </w:rPr>
        <w:t xml:space="preserve"> применяется в целях систематизации и анализа международной торговли оборудованием для возобновляемой энергетики между Казахстаном и Китаем</w:t>
      </w:r>
      <w:r w:rsidR="005A5117">
        <w:rPr>
          <w:rFonts w:ascii="Times New Roman" w:hAnsi="Times New Roman" w:cs="Times New Roman"/>
          <w:sz w:val="28"/>
          <w:szCs w:val="28"/>
          <w:lang w:val="ru-RU"/>
        </w:rPr>
        <w:t xml:space="preserve"> (таблица 1).</w:t>
      </w:r>
      <w:r w:rsidR="00017FF9" w:rsidRPr="00017F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E830A6" w14:textId="77777777" w:rsidR="00D87060" w:rsidRPr="00D87060" w:rsidRDefault="00D87060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E6029D" w14:textId="77777777" w:rsidR="00017FF9" w:rsidRPr="00EC64BF" w:rsidRDefault="00017FF9" w:rsidP="00A16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4BF">
        <w:rPr>
          <w:rFonts w:ascii="Times New Roman" w:hAnsi="Times New Roman" w:cs="Times New Roman"/>
          <w:sz w:val="28"/>
          <w:szCs w:val="28"/>
        </w:rPr>
        <w:t>Таблица 1 – Классификация оборудования для ВИЭ</w:t>
      </w:r>
    </w:p>
    <w:tbl>
      <w:tblPr>
        <w:tblStyle w:val="ad"/>
        <w:tblW w:w="9703" w:type="dxa"/>
        <w:tblLook w:val="04A0" w:firstRow="1" w:lastRow="0" w:firstColumn="1" w:lastColumn="0" w:noHBand="0" w:noVBand="1"/>
      </w:tblPr>
      <w:tblGrid>
        <w:gridCol w:w="2122"/>
        <w:gridCol w:w="7581"/>
      </w:tblGrid>
      <w:tr w:rsidR="00017FF9" w:rsidRPr="008B221B" w14:paraId="1C04605C" w14:textId="77777777" w:rsidTr="00A1652D">
        <w:trPr>
          <w:tblHeader/>
        </w:trPr>
        <w:tc>
          <w:tcPr>
            <w:tcW w:w="2122" w:type="dxa"/>
          </w:tcPr>
          <w:p w14:paraId="69FF1866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Категория</w:t>
            </w:r>
          </w:p>
        </w:tc>
        <w:tc>
          <w:tcPr>
            <w:tcW w:w="7577" w:type="dxa"/>
            <w:tcBorders>
              <w:bottom w:val="single" w:sz="4" w:space="0" w:color="auto"/>
            </w:tcBorders>
          </w:tcPr>
          <w:p w14:paraId="7A57F950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Код HS</w:t>
            </w:r>
          </w:p>
        </w:tc>
      </w:tr>
      <w:tr w:rsidR="00017FF9" w:rsidRPr="008B221B" w14:paraId="2555B69E" w14:textId="77777777" w:rsidTr="00A1652D">
        <w:tc>
          <w:tcPr>
            <w:tcW w:w="2122" w:type="dxa"/>
          </w:tcPr>
          <w:p w14:paraId="6EF16B48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Солнечная энергетика</w:t>
            </w:r>
          </w:p>
        </w:tc>
        <w:tc>
          <w:tcPr>
            <w:tcW w:w="7577" w:type="dxa"/>
          </w:tcPr>
          <w:p w14:paraId="3EAD9C65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700991, 700992, 711590, 730890, 732290, 761090, 830630, 841280, 841919, 841990, 850239, 850440, 854140, 900190, 900290, 900580, 901380</w:t>
            </w:r>
          </w:p>
        </w:tc>
      </w:tr>
      <w:tr w:rsidR="00017FF9" w:rsidRPr="008B221B" w14:paraId="30A6AC61" w14:textId="77777777" w:rsidTr="00A1652D">
        <w:tc>
          <w:tcPr>
            <w:tcW w:w="2122" w:type="dxa"/>
          </w:tcPr>
          <w:p w14:paraId="644BA2C3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Ветро-энергетика</w:t>
            </w:r>
          </w:p>
        </w:tc>
        <w:tc>
          <w:tcPr>
            <w:tcW w:w="7577" w:type="dxa"/>
          </w:tcPr>
          <w:p w14:paraId="44B00B1A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730820, 841290, 848210, 848220, 848230, 848240, 848250, 848280, 848340, 850231, 850300, 853710, 853720, 890790, 902830, 903020, 903031, 903039, 903289</w:t>
            </w:r>
          </w:p>
        </w:tc>
      </w:tr>
      <w:tr w:rsidR="00017FF9" w:rsidRPr="008B221B" w14:paraId="3C041A91" w14:textId="77777777" w:rsidTr="00A1652D">
        <w:tc>
          <w:tcPr>
            <w:tcW w:w="2122" w:type="dxa"/>
          </w:tcPr>
          <w:p w14:paraId="052FC71B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Гидро-энергетика</w:t>
            </w:r>
          </w:p>
        </w:tc>
        <w:tc>
          <w:tcPr>
            <w:tcW w:w="7577" w:type="dxa"/>
          </w:tcPr>
          <w:p w14:paraId="14F5FD53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 xml:space="preserve">382450, 681091, </w:t>
            </w:r>
            <w:proofErr w:type="gramStart"/>
            <w:r w:rsidRPr="008B221B">
              <w:rPr>
                <w:sz w:val="24"/>
                <w:szCs w:val="24"/>
              </w:rPr>
              <w:t>841011-841013</w:t>
            </w:r>
            <w:proofErr w:type="gramEnd"/>
            <w:r w:rsidRPr="008B221B">
              <w:rPr>
                <w:sz w:val="24"/>
                <w:szCs w:val="24"/>
              </w:rPr>
              <w:t xml:space="preserve">, 841090, </w:t>
            </w:r>
            <w:proofErr w:type="gramStart"/>
            <w:r w:rsidRPr="008B221B">
              <w:rPr>
                <w:sz w:val="24"/>
                <w:szCs w:val="24"/>
              </w:rPr>
              <w:t>850161-850164</w:t>
            </w:r>
            <w:proofErr w:type="gramEnd"/>
            <w:r w:rsidRPr="008B221B">
              <w:rPr>
                <w:sz w:val="24"/>
                <w:szCs w:val="24"/>
              </w:rPr>
              <w:t xml:space="preserve">, </w:t>
            </w:r>
            <w:proofErr w:type="gramStart"/>
            <w:r w:rsidRPr="008B221B">
              <w:rPr>
                <w:sz w:val="24"/>
                <w:szCs w:val="24"/>
              </w:rPr>
              <w:t>850421-850423</w:t>
            </w:r>
            <w:proofErr w:type="gramEnd"/>
            <w:r w:rsidRPr="008B221B">
              <w:rPr>
                <w:sz w:val="24"/>
                <w:szCs w:val="24"/>
              </w:rPr>
              <w:t>, 850431-850434</w:t>
            </w:r>
          </w:p>
        </w:tc>
      </w:tr>
      <w:tr w:rsidR="00017FF9" w:rsidRPr="008B221B" w14:paraId="06448877" w14:textId="77777777" w:rsidTr="00A1652D">
        <w:tc>
          <w:tcPr>
            <w:tcW w:w="2122" w:type="dxa"/>
          </w:tcPr>
          <w:p w14:paraId="047BF61C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Энергия биомассы</w:t>
            </w:r>
          </w:p>
        </w:tc>
        <w:tc>
          <w:tcPr>
            <w:tcW w:w="7577" w:type="dxa"/>
          </w:tcPr>
          <w:p w14:paraId="229D43F3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220710, 220720, 380210, 382490, 730900, 741999, 761100, 840681, 840682, 841182, 841620, 841931, 841940, 841989, 842129, 842139, 847920, 847989</w:t>
            </w:r>
          </w:p>
        </w:tc>
      </w:tr>
      <w:tr w:rsidR="00017FF9" w:rsidRPr="008B221B" w14:paraId="1B33B0B3" w14:textId="77777777" w:rsidTr="00A1652D">
        <w:tc>
          <w:tcPr>
            <w:tcW w:w="2122" w:type="dxa"/>
          </w:tcPr>
          <w:p w14:paraId="0E33DFC7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Геотермальная энергия</w:t>
            </w:r>
          </w:p>
        </w:tc>
        <w:tc>
          <w:tcPr>
            <w:tcW w:w="7577" w:type="dxa"/>
          </w:tcPr>
          <w:p w14:paraId="771C7EA6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730431, 730441, 730451, 741121, 741122, 741129, 841861, 841950</w:t>
            </w:r>
          </w:p>
        </w:tc>
      </w:tr>
      <w:tr w:rsidR="00017FF9" w:rsidRPr="008B221B" w14:paraId="3C3C119B" w14:textId="77777777" w:rsidTr="00A1652D">
        <w:tc>
          <w:tcPr>
            <w:tcW w:w="2122" w:type="dxa"/>
          </w:tcPr>
          <w:p w14:paraId="290E8963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Энергия океана</w:t>
            </w:r>
          </w:p>
        </w:tc>
        <w:tc>
          <w:tcPr>
            <w:tcW w:w="7577" w:type="dxa"/>
          </w:tcPr>
          <w:p w14:paraId="2DB963F2" w14:textId="77777777" w:rsidR="00017FF9" w:rsidRPr="008B221B" w:rsidRDefault="00017FF9" w:rsidP="00D150F3">
            <w:pPr>
              <w:pStyle w:val="ae"/>
              <w:spacing w:before="0" w:after="0"/>
              <w:jc w:val="both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854449, 854460</w:t>
            </w:r>
          </w:p>
        </w:tc>
      </w:tr>
      <w:tr w:rsidR="00017FF9" w:rsidRPr="008B221B" w14:paraId="25C4F601" w14:textId="77777777" w:rsidTr="00A1652D">
        <w:tc>
          <w:tcPr>
            <w:tcW w:w="9703" w:type="dxa"/>
            <w:gridSpan w:val="2"/>
          </w:tcPr>
          <w:p w14:paraId="677C4737" w14:textId="22B5ED16" w:rsidR="00017FF9" w:rsidRPr="008B221B" w:rsidRDefault="00017FF9" w:rsidP="00D150F3">
            <w:pPr>
              <w:pStyle w:val="af"/>
              <w:ind w:firstLineChars="0" w:firstLine="0"/>
              <w:rPr>
                <w:sz w:val="24"/>
                <w:szCs w:val="24"/>
              </w:rPr>
            </w:pPr>
            <w:r w:rsidRPr="008B221B">
              <w:rPr>
                <w:sz w:val="24"/>
                <w:szCs w:val="24"/>
              </w:rPr>
              <w:t>Примечание</w:t>
            </w:r>
            <w:r w:rsidR="00D150F3" w:rsidRPr="008B221B">
              <w:rPr>
                <w:sz w:val="24"/>
                <w:szCs w:val="24"/>
              </w:rPr>
              <w:t>:</w:t>
            </w:r>
            <w:r w:rsidRPr="008B221B">
              <w:rPr>
                <w:sz w:val="24"/>
                <w:szCs w:val="24"/>
              </w:rPr>
              <w:t xml:space="preserve"> составлено автором</w:t>
            </w:r>
            <w:r w:rsidRPr="008B221B">
              <w:rPr>
                <w:sz w:val="24"/>
                <w:szCs w:val="24"/>
                <w:lang w:val="kk-KZ"/>
              </w:rPr>
              <w:t xml:space="preserve"> на основании источник</w:t>
            </w:r>
            <w:proofErr w:type="spellStart"/>
            <w:r w:rsidR="008B221B">
              <w:rPr>
                <w:sz w:val="24"/>
                <w:szCs w:val="24"/>
              </w:rPr>
              <w:t>ов</w:t>
            </w:r>
            <w:proofErr w:type="spellEnd"/>
            <w:r w:rsidRPr="008B221B">
              <w:rPr>
                <w:sz w:val="24"/>
                <w:szCs w:val="24"/>
                <w:lang w:val="kk-KZ"/>
              </w:rPr>
              <w:t xml:space="preserve"> </w:t>
            </w:r>
            <w:r w:rsidRPr="008B221B">
              <w:rPr>
                <w:sz w:val="24"/>
                <w:szCs w:val="24"/>
              </w:rPr>
              <w:t>[</w:t>
            </w:r>
            <w:r w:rsidR="008B221B" w:rsidRPr="008B221B">
              <w:rPr>
                <w:sz w:val="24"/>
                <w:szCs w:val="24"/>
              </w:rPr>
              <w:t>18, 19</w:t>
            </w:r>
            <w:r w:rsidRPr="008B221B">
              <w:rPr>
                <w:sz w:val="24"/>
                <w:szCs w:val="24"/>
              </w:rPr>
              <w:t>]</w:t>
            </w:r>
          </w:p>
        </w:tc>
      </w:tr>
    </w:tbl>
    <w:p w14:paraId="08807A71" w14:textId="77777777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670C8A" w14:textId="0098CFDF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FF9">
        <w:rPr>
          <w:rFonts w:ascii="Times New Roman" w:hAnsi="Times New Roman" w:cs="Times New Roman"/>
          <w:sz w:val="28"/>
          <w:szCs w:val="28"/>
        </w:rPr>
        <w:t>Данная классификация обеспечивает корректность межстрановых сопоставлений и позволяет дифференцировать товарные потоки по технологическим направлениям</w:t>
      </w:r>
      <w:r w:rsidR="00D87060"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017FF9">
        <w:rPr>
          <w:rFonts w:ascii="Times New Roman" w:hAnsi="Times New Roman" w:cs="Times New Roman"/>
          <w:sz w:val="28"/>
          <w:szCs w:val="28"/>
        </w:rPr>
        <w:t>то особенно важно при анализе структуры торговли между Казахстаном и Китаем, где наблюдается существенное доминирование оборудования для солнечных и ветровых установок.</w:t>
      </w:r>
    </w:p>
    <w:p w14:paraId="3A58BCC9" w14:textId="62C52186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FF9">
        <w:rPr>
          <w:rFonts w:ascii="Times New Roman" w:hAnsi="Times New Roman" w:cs="Times New Roman"/>
          <w:sz w:val="28"/>
          <w:szCs w:val="28"/>
        </w:rPr>
        <w:t xml:space="preserve">Устойчивое использование энергии, как показывают исследования в области глобальной энергетической политики, является одной из ключевых движущих сил развития возобновляемой энергетики. Энергетические кризисы 1970-х годов актуализировали проблему энергетической безопасности, сосредоточенную на </w:t>
      </w:r>
      <w:r w:rsidRPr="00017FF9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обеспечении стабильности поставок, тогда как в 1990-е годы концепция устойчивого развития сместила акцент на энергетическую устойчивость, ориентированную на сокращение выбросов и борьбу с изменением климата. С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данного</w:t>
      </w:r>
      <w:r w:rsidRPr="00017FF9">
        <w:rPr>
          <w:rFonts w:ascii="Times New Roman" w:hAnsi="Times New Roman" w:cs="Times New Roman"/>
          <w:sz w:val="28"/>
          <w:szCs w:val="28"/>
        </w:rPr>
        <w:t xml:space="preserve"> периода </w:t>
      </w:r>
      <w:proofErr w:type="spellStart"/>
      <w:r w:rsidRPr="00017FF9">
        <w:rPr>
          <w:rFonts w:ascii="Times New Roman" w:hAnsi="Times New Roman" w:cs="Times New Roman"/>
          <w:sz w:val="28"/>
          <w:szCs w:val="28"/>
        </w:rPr>
        <w:t>низкоуглеродизация</w:t>
      </w:r>
      <w:proofErr w:type="spellEnd"/>
      <w:r w:rsidRPr="00017FF9">
        <w:rPr>
          <w:rFonts w:ascii="Times New Roman" w:hAnsi="Times New Roman" w:cs="Times New Roman"/>
          <w:sz w:val="28"/>
          <w:szCs w:val="28"/>
        </w:rPr>
        <w:t xml:space="preserve"> энергетического сектора и диверсификация его структуры стали приоритетными направлениями энергетической политики большинства стран.</w:t>
      </w:r>
    </w:p>
    <w:p w14:paraId="02EA06FE" w14:textId="77D4BBFB" w:rsidR="008B221B" w:rsidRPr="008B221B" w:rsidRDefault="008B221B" w:rsidP="008B2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21B">
        <w:rPr>
          <w:rFonts w:ascii="Times New Roman" w:hAnsi="Times New Roman" w:cs="Times New Roman"/>
          <w:sz w:val="28"/>
          <w:szCs w:val="28"/>
        </w:rPr>
        <w:t xml:space="preserve">Ряд казахстанских исследователей подчёркивает, что развитие возобновляемых источников энергии обладает стратегическим значением для обеспечения энергетической безопасности страны, снижения энергоёмкости экономики и минимизации экологических рисков. В работах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Ж.Ахметовой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[20] и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М.Алимханова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[21] показано, что адаптация принципов устойчивого развития к национальным условиям требует ускоренной диверсификации энергобаланса, так как избыточная зависимость от ископаемых ресурсов усиливает уязвимость перед внешними ценовыми шоками и приводит к росту выбросов. Исследователи подчёркивают, что ВИЭ способны стать ключевым инструментом решения экологических проблем и формирования долгосрочной модели низкоуглеродного роста в Казахстане, особенно в контексте необходимости модернизации устаревших производственных мощностей и сокращения энергоёмкости промышленности.</w:t>
      </w:r>
    </w:p>
    <w:p w14:paraId="671ADEDD" w14:textId="373C820C" w:rsidR="008B221B" w:rsidRPr="008B221B" w:rsidRDefault="008B221B" w:rsidP="008B2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21B">
        <w:rPr>
          <w:rFonts w:ascii="Times New Roman" w:hAnsi="Times New Roman" w:cs="Times New Roman"/>
          <w:sz w:val="28"/>
          <w:szCs w:val="28"/>
        </w:rPr>
        <w:t xml:space="preserve">Дальнейшее развитие научного дискурса отражено в трудах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А.Сагинтаева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[22],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А.Исекешова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[23] и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У.Шоканбаева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[24], которые акцентируют внимание на институциональных преобразованиях и инновационной политике, определяющих условия для интеграции ВИЭ в общенациональную систему энергетического управления. В современных исследованиях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Т.Кожамкуловой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[25],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Н.Бекмагамбетовой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[26] и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М.Есимхановой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[27] подчёркивается, что цифровизация отрасли, </w:t>
      </w:r>
      <w:proofErr w:type="spellStart"/>
      <w:r w:rsidRPr="008B221B">
        <w:rPr>
          <w:rFonts w:ascii="Times New Roman" w:hAnsi="Times New Roman" w:cs="Times New Roman"/>
          <w:sz w:val="28"/>
          <w:szCs w:val="28"/>
        </w:rPr>
        <w:t>декарбонизационные</w:t>
      </w:r>
      <w:proofErr w:type="spellEnd"/>
      <w:r w:rsidRPr="008B221B">
        <w:rPr>
          <w:rFonts w:ascii="Times New Roman" w:hAnsi="Times New Roman" w:cs="Times New Roman"/>
          <w:sz w:val="28"/>
          <w:szCs w:val="28"/>
        </w:rPr>
        <w:t xml:space="preserve"> меры и формирование эффективной климатической политики усиливают потенциал Казахстана в продвижении зелёного роста.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8B221B">
        <w:rPr>
          <w:rFonts w:ascii="Times New Roman" w:hAnsi="Times New Roman" w:cs="Times New Roman"/>
          <w:sz w:val="28"/>
          <w:szCs w:val="28"/>
        </w:rPr>
        <w:t>работы демонстрируют, что ВИЭ становятся не только экологическим, но и экономически значимым фактором повышения устойчивости, конкурентоспособности и технологической модернизации национальной экономики.</w:t>
      </w:r>
    </w:p>
    <w:p w14:paraId="1C9D11BD" w14:textId="6B94486C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FF9">
        <w:rPr>
          <w:rFonts w:ascii="Times New Roman" w:hAnsi="Times New Roman" w:cs="Times New Roman"/>
          <w:sz w:val="28"/>
          <w:szCs w:val="28"/>
        </w:rPr>
        <w:t xml:space="preserve">Одним из фундаментальных факторов, определяющих темпы и устойчивость развития возобновляемых источников энергии, выступает поведение государства в сфере регулирования и поддержки энергетического сектора. Поскольку рыночная цена традиционных ископаемых энергоресурсов не отражает их полных экологических издержек, а ВИЭ, напротив, находятся на ранней стадии технологического и рыночного становления, их себестоимость в настоящее время, как правило, превышает стоимость энергии, произведённой из </w:t>
      </w:r>
      <w:proofErr w:type="spellStart"/>
      <w:r w:rsidRPr="00017FF9">
        <w:rPr>
          <w:rFonts w:ascii="Times New Roman" w:hAnsi="Times New Roman" w:cs="Times New Roman"/>
          <w:sz w:val="28"/>
          <w:szCs w:val="28"/>
        </w:rPr>
        <w:t>углеродоёмких</w:t>
      </w:r>
      <w:proofErr w:type="spellEnd"/>
      <w:r w:rsidRPr="00017FF9">
        <w:rPr>
          <w:rFonts w:ascii="Times New Roman" w:hAnsi="Times New Roman" w:cs="Times New Roman"/>
          <w:sz w:val="28"/>
          <w:szCs w:val="28"/>
        </w:rPr>
        <w:t xml:space="preserve"> источников. В связи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 xml:space="preserve"> с чем</w:t>
      </w:r>
      <w:r w:rsidRPr="00017FF9">
        <w:rPr>
          <w:rFonts w:ascii="Times New Roman" w:hAnsi="Times New Roman" w:cs="Times New Roman"/>
          <w:sz w:val="28"/>
          <w:szCs w:val="28"/>
        </w:rPr>
        <w:t xml:space="preserve"> именно государственная политика становится решающим драйвером формирования и развития сектора ВИЭ, компенсируя рыночные дисбалансы посредством финансовых и институциональных инструментов.</w:t>
      </w:r>
    </w:p>
    <w:p w14:paraId="50BE518E" w14:textId="3F18071E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FF9">
        <w:rPr>
          <w:rFonts w:ascii="Times New Roman" w:hAnsi="Times New Roman" w:cs="Times New Roman"/>
          <w:sz w:val="28"/>
          <w:szCs w:val="28"/>
        </w:rPr>
        <w:t xml:space="preserve">В отчётах Межправительственной группы экспертов по изменению климата неоднократно подчёркивается, что возобновляемая энергетика обладает </w:t>
      </w:r>
      <w:r w:rsidRPr="00017FF9">
        <w:rPr>
          <w:rFonts w:ascii="Times New Roman" w:hAnsi="Times New Roman" w:cs="Times New Roman"/>
          <w:sz w:val="28"/>
          <w:szCs w:val="28"/>
        </w:rPr>
        <w:lastRenderedPageBreak/>
        <w:t>значительным потенциалом для смягчения последствий глобального потепления и снижения выбросов, однако для его реализации требуется усиление государственной поддержки в части устранения технологических барьеров и снижения капитальных затрат на внедрение инноваций. Таким образом, роль государства проявляется не только в прямом финансировании и субсидировании проектов, но и в формировании устойчивых институциональных рамок, обеспечивающих долгосрочную предсказуемость и инвестиционную привлекательность отрасли.</w:t>
      </w:r>
    </w:p>
    <w:p w14:paraId="0DC2DDF1" w14:textId="61B2AF00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>Исследование влияния государственной политики на развитие возобновляемых источников энергии сформировалось как самостоятельное научное направление</w:t>
      </w:r>
      <w:r w:rsidR="008B22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51CC">
        <w:rPr>
          <w:rFonts w:ascii="Times New Roman" w:hAnsi="Times New Roman" w:cs="Times New Roman"/>
          <w:sz w:val="28"/>
          <w:szCs w:val="28"/>
        </w:rPr>
        <w:t xml:space="preserve">в конце </w:t>
      </w:r>
      <w:proofErr w:type="gramStart"/>
      <w:r w:rsidRPr="00E951CC">
        <w:rPr>
          <w:rFonts w:ascii="Times New Roman" w:hAnsi="Times New Roman" w:cs="Times New Roman"/>
          <w:sz w:val="28"/>
          <w:szCs w:val="28"/>
        </w:rPr>
        <w:t>XX</w:t>
      </w:r>
      <w:r w:rsidR="008B221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951CC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Pr="00E951CC">
        <w:rPr>
          <w:rFonts w:ascii="Times New Roman" w:hAnsi="Times New Roman" w:cs="Times New Roman"/>
          <w:sz w:val="28"/>
          <w:szCs w:val="28"/>
        </w:rPr>
        <w:t xml:space="preserve"> XXI века. Ранние работы преимущественно носили описательно-аналитический характер и были направлены на выявление начальных факторов, определяющих способность государства стимулировать энергетический переход. </w:t>
      </w:r>
      <w:r w:rsidR="008B221B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сследования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рассматривали государственную политику как набор инструментов </w:t>
      </w:r>
      <w:proofErr w:type="gramStart"/>
      <w:r w:rsidRPr="00E951CC">
        <w:rPr>
          <w:rFonts w:ascii="Times New Roman" w:hAnsi="Times New Roman" w:cs="Times New Roman"/>
          <w:sz w:val="28"/>
          <w:szCs w:val="28"/>
        </w:rPr>
        <w:t>эффективность</w:t>
      </w:r>
      <w:proofErr w:type="gramEnd"/>
      <w:r w:rsidRPr="00E951CC">
        <w:rPr>
          <w:rFonts w:ascii="Times New Roman" w:hAnsi="Times New Roman" w:cs="Times New Roman"/>
          <w:sz w:val="28"/>
          <w:szCs w:val="28"/>
        </w:rPr>
        <w:t xml:space="preserve"> которых оценивалась в основном через фактическую динамику ввода мощностей.</w:t>
      </w:r>
    </w:p>
    <w:p w14:paraId="07C919BB" w14:textId="563AB8D0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Так, одними из наиболее цитируемых исследований являются работы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Bird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и соавторов </w:t>
      </w:r>
      <w:r w:rsidR="008B221B" w:rsidRPr="008B221B">
        <w:rPr>
          <w:rFonts w:ascii="Times New Roman" w:hAnsi="Times New Roman" w:cs="Times New Roman"/>
          <w:sz w:val="28"/>
          <w:szCs w:val="28"/>
          <w:lang w:val="ru-RU"/>
        </w:rPr>
        <w:t>[28]</w:t>
      </w:r>
      <w:r w:rsidRPr="00E951CC">
        <w:rPr>
          <w:rFonts w:ascii="Times New Roman" w:hAnsi="Times New Roman" w:cs="Times New Roman"/>
          <w:sz w:val="28"/>
          <w:szCs w:val="28"/>
        </w:rPr>
        <w:t xml:space="preserve">, анализировавших опыт 12 штатов США, где впервые было показано, что отдельные инструменты поддержки демонстрируют ограниченный эффект, тогда как их сочетание формирует устойчивую динамику роста ВИЭ. В </w:t>
      </w:r>
      <w:r w:rsidR="008B221B"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Pr="00E951CC">
        <w:rPr>
          <w:rFonts w:ascii="Times New Roman" w:hAnsi="Times New Roman" w:cs="Times New Roman"/>
          <w:sz w:val="28"/>
          <w:szCs w:val="28"/>
        </w:rPr>
        <w:t xml:space="preserve"> период научный дискурс концентрировался на сравнении схем поддержки — инвестиционных субсидий, налоговых кредитов, тарифов на сетевую энергию и стандартов портфеля ВИЭ. Публикации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Wiser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Bolinger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8B221B" w:rsidRPr="008B221B">
        <w:rPr>
          <w:rFonts w:ascii="Times New Roman" w:hAnsi="Times New Roman" w:cs="Times New Roman"/>
          <w:sz w:val="28"/>
          <w:szCs w:val="28"/>
          <w:lang w:val="ru-RU"/>
        </w:rPr>
        <w:t>[29]</w:t>
      </w:r>
      <w:r w:rsidRPr="00E951CC">
        <w:rPr>
          <w:rFonts w:ascii="Times New Roman" w:hAnsi="Times New Roman" w:cs="Times New Roman"/>
          <w:sz w:val="28"/>
          <w:szCs w:val="28"/>
        </w:rPr>
        <w:t xml:space="preserve"> развили подход, показав, что успешность конкретного инструмента зависит от зрелости отрасли: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эффективны на ранних этапах формирования рынка, тогда как RPS более результативны в условиях конкуренции технологических поставщиков.</w:t>
      </w:r>
    </w:p>
    <w:p w14:paraId="48ECD0BB" w14:textId="60011BCB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Поскольку к середине 2000-х многие развитые страны уже перешли к активной фазе внедрения ВИЭ, научная повестка сместилась от описания инструментов к исследованию условий, обеспечивающих устойчивость политических решений. Работы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Yoon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Sim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8B221B">
        <w:rPr>
          <w:rFonts w:ascii="Times New Roman" w:hAnsi="Times New Roman" w:cs="Times New Roman"/>
          <w:sz w:val="28"/>
          <w:szCs w:val="28"/>
        </w:rPr>
        <w:t>[30]</w:t>
      </w:r>
      <w:r w:rsidRPr="00E951CC">
        <w:rPr>
          <w:rFonts w:ascii="Times New Roman" w:hAnsi="Times New Roman" w:cs="Times New Roman"/>
          <w:sz w:val="28"/>
          <w:szCs w:val="28"/>
        </w:rPr>
        <w:t xml:space="preserve"> продемонстрировали, что низкая доля ВИЭ в Республике Корея объясняется не экономическими, а институциональными факторами непоследовательностью планирования, слабой координацией государственных органов и доминированием традиционной энергетик</w:t>
      </w:r>
      <w:r w:rsidR="008B221B">
        <w:rPr>
          <w:rFonts w:ascii="Times New Roman" w:hAnsi="Times New Roman" w:cs="Times New Roman"/>
          <w:sz w:val="28"/>
          <w:szCs w:val="28"/>
          <w:lang w:val="ru-RU"/>
        </w:rPr>
        <w:t>и, ч</w:t>
      </w:r>
      <w:r w:rsidRPr="00E951CC">
        <w:rPr>
          <w:rFonts w:ascii="Times New Roman" w:hAnsi="Times New Roman" w:cs="Times New Roman"/>
          <w:sz w:val="28"/>
          <w:szCs w:val="28"/>
        </w:rPr>
        <w:t>то стало ключевым аргументом в пользу того, что политические инструменты сами по себе не обеспечивают требуемый эффект без согласованной институциональной среды.</w:t>
      </w:r>
    </w:p>
    <w:p w14:paraId="40107FCF" w14:textId="4BCBED2A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В дальнейшем тематика исследований расширилась за счёт включения анализа политико-экономических коалиций и механизмов взаимодействия участников энергетического рынка. Значительный вклад в направление внесли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Pahle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8B221B">
        <w:rPr>
          <w:rFonts w:ascii="Times New Roman" w:hAnsi="Times New Roman" w:cs="Times New Roman"/>
          <w:sz w:val="28"/>
          <w:szCs w:val="28"/>
        </w:rPr>
        <w:t>[31]</w:t>
      </w:r>
      <w:r w:rsidRPr="00E951CC">
        <w:rPr>
          <w:rFonts w:ascii="Times New Roman" w:hAnsi="Times New Roman" w:cs="Times New Roman"/>
          <w:sz w:val="28"/>
          <w:szCs w:val="28"/>
        </w:rPr>
        <w:t xml:space="preserve">, которые в рамках исследования процессов энергетического перехода в ряде стран ЕС выявили три фундаментальных условия успешной политики: формулирование долгосрочной стратегии, институциональная предсказуемость </w:t>
      </w:r>
      <w:r w:rsidRPr="00E951CC">
        <w:rPr>
          <w:rFonts w:ascii="Times New Roman" w:hAnsi="Times New Roman" w:cs="Times New Roman"/>
          <w:sz w:val="28"/>
          <w:szCs w:val="28"/>
        </w:rPr>
        <w:lastRenderedPageBreak/>
        <w:t xml:space="preserve">и комплексность мер поддержки. Не менее значимыми стали исследования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Quitzow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8B221B">
        <w:rPr>
          <w:rFonts w:ascii="Times New Roman" w:hAnsi="Times New Roman" w:cs="Times New Roman"/>
          <w:sz w:val="28"/>
          <w:szCs w:val="28"/>
        </w:rPr>
        <w:t>[32]</w:t>
      </w:r>
      <w:r w:rsidRPr="00E951CC">
        <w:rPr>
          <w:rFonts w:ascii="Times New Roman" w:hAnsi="Times New Roman" w:cs="Times New Roman"/>
          <w:sz w:val="28"/>
          <w:szCs w:val="28"/>
        </w:rPr>
        <w:t xml:space="preserve">, показывающие, что успех германской модели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Energiewende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обусловлен не только финансовыми стимулами, но и развитием новых форм участия — муниципалитетов, кооперативов, локальных сетевых компаний. Таким образом, исследования периода определили переход научной парадигмы от анализа инструментов государственной политики к исследованию институциональной архитектуры энергетического перехода.</w:t>
      </w:r>
    </w:p>
    <w:p w14:paraId="5403F4ED" w14:textId="53A97A71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Следующим этапом развития научного направления стало систематическое применение эконометрических методов и панельных моделей.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Marques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Fuinhas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8B221B">
        <w:rPr>
          <w:rFonts w:ascii="Times New Roman" w:hAnsi="Times New Roman" w:cs="Times New Roman"/>
          <w:sz w:val="28"/>
          <w:szCs w:val="28"/>
        </w:rPr>
        <w:t xml:space="preserve">[33] </w:t>
      </w:r>
      <w:r w:rsidRPr="00E951CC">
        <w:rPr>
          <w:rFonts w:ascii="Times New Roman" w:hAnsi="Times New Roman" w:cs="Times New Roman"/>
          <w:sz w:val="28"/>
          <w:szCs w:val="28"/>
        </w:rPr>
        <w:t xml:space="preserve">показали, что эффективность инструментов поддержки зависит от макроэкономической конъюнктуры и зрелости рынка: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оказывают сильное стимулирующее воздействие на солнечную энергетику, тогда как налоговые стимулы имеют краткосрочный характер. Важным методологическим продвижением стала работа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Böhringer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и соавторов </w:t>
      </w:r>
      <w:r w:rsidR="008B221B">
        <w:rPr>
          <w:rFonts w:ascii="Times New Roman" w:hAnsi="Times New Roman" w:cs="Times New Roman"/>
          <w:sz w:val="28"/>
          <w:szCs w:val="28"/>
        </w:rPr>
        <w:t>[34]</w:t>
      </w:r>
      <w:r w:rsidRPr="00E951CC">
        <w:rPr>
          <w:rFonts w:ascii="Times New Roman" w:hAnsi="Times New Roman" w:cs="Times New Roman"/>
          <w:sz w:val="28"/>
          <w:szCs w:val="28"/>
        </w:rPr>
        <w:t>, использовавших комплексные модели общего равновесия для анализа эффектов тарифных и нетарифных инструментов. Их выводы указывают на то, что формирование конкурентной среды в секторе ВИЭ требует синхронизации регуляторных стимулов с инвестиционной и промышленной политикой.</w:t>
      </w:r>
    </w:p>
    <w:p w14:paraId="36D801F0" w14:textId="4BF59E09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Начиная с середины 2010-х, всё больше исследований фокусируются на странах с переходной экономикой и развивающихся государствах, где государственная политика становится основным фактором роста ВИЭ.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Painuly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F70677">
        <w:rPr>
          <w:rFonts w:ascii="Times New Roman" w:hAnsi="Times New Roman" w:cs="Times New Roman"/>
          <w:sz w:val="28"/>
          <w:szCs w:val="28"/>
        </w:rPr>
        <w:t>[35]</w:t>
      </w:r>
      <w:r w:rsidRPr="00E951CC">
        <w:rPr>
          <w:rFonts w:ascii="Times New Roman" w:hAnsi="Times New Roman" w:cs="Times New Roman"/>
          <w:sz w:val="28"/>
          <w:szCs w:val="28"/>
        </w:rPr>
        <w:t xml:space="preserve"> ещё в ранних работах подчёркивал, что ключевым барьером является не стоимость технологий, а институциональная слабость</w:t>
      </w:r>
      <w:r w:rsidR="00F70677">
        <w:rPr>
          <w:rFonts w:ascii="Times New Roman" w:hAnsi="Times New Roman" w:cs="Times New Roman"/>
          <w:sz w:val="28"/>
          <w:szCs w:val="28"/>
        </w:rPr>
        <w:t xml:space="preserve">, </w:t>
      </w:r>
      <w:r w:rsidRPr="00E951CC">
        <w:rPr>
          <w:rFonts w:ascii="Times New Roman" w:hAnsi="Times New Roman" w:cs="Times New Roman"/>
          <w:sz w:val="28"/>
          <w:szCs w:val="28"/>
        </w:rPr>
        <w:t xml:space="preserve">отсутствие механизмов долгосрочного финансирования, неопределённость тарифов, низкая квалификация регуляторов. Позднейшие исследования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Bhattacharya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F70677">
        <w:rPr>
          <w:rFonts w:ascii="Times New Roman" w:hAnsi="Times New Roman" w:cs="Times New Roman"/>
          <w:sz w:val="28"/>
          <w:szCs w:val="28"/>
        </w:rPr>
        <w:t>[36]</w:t>
      </w:r>
      <w:r w:rsidRPr="00E951CC">
        <w:rPr>
          <w:rFonts w:ascii="Times New Roman" w:hAnsi="Times New Roman" w:cs="Times New Roman"/>
          <w:sz w:val="28"/>
          <w:szCs w:val="28"/>
        </w:rPr>
        <w:t xml:space="preserve"> подтвердили, что в развивающихся экономиках наибольшее влияние оказывают не прямые субсидии, а устойчивость регуляторной среды и наличие международных инвестиционных потоков. Аналогичные выводы были сделаны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Aguirre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Ibikunle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F70677">
        <w:rPr>
          <w:rFonts w:ascii="Times New Roman" w:hAnsi="Times New Roman" w:cs="Times New Roman"/>
          <w:sz w:val="28"/>
          <w:szCs w:val="28"/>
        </w:rPr>
        <w:t>[37]</w:t>
      </w:r>
      <w:r w:rsidRPr="00E951CC">
        <w:rPr>
          <w:rFonts w:ascii="Times New Roman" w:hAnsi="Times New Roman" w:cs="Times New Roman"/>
          <w:sz w:val="28"/>
          <w:szCs w:val="28"/>
        </w:rPr>
        <w:t>, которые установили, что политическая стабильность объясняет различия в уровне развития ВИЭ более существенно, чем объём государственных субсидий.</w:t>
      </w:r>
    </w:p>
    <w:p w14:paraId="17CF25DD" w14:textId="1EB827D0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Особого внимания заслуживают исследования китайской модели, которая рассматривается как пример интеграции промышленной и энергетической политики. </w:t>
      </w:r>
      <w:proofErr w:type="spellStart"/>
      <w:r w:rsidRPr="00E951CC">
        <w:rPr>
          <w:rFonts w:ascii="Times New Roman" w:hAnsi="Times New Roman" w:cs="Times New Roman"/>
          <w:sz w:val="28"/>
          <w:szCs w:val="28"/>
        </w:rPr>
        <w:t>Zhang</w:t>
      </w:r>
      <w:proofErr w:type="spellEnd"/>
      <w:r w:rsidRPr="00E951CC">
        <w:rPr>
          <w:rFonts w:ascii="Times New Roman" w:hAnsi="Times New Roman" w:cs="Times New Roman"/>
          <w:sz w:val="28"/>
          <w:szCs w:val="28"/>
        </w:rPr>
        <w:t xml:space="preserve"> </w:t>
      </w:r>
      <w:r w:rsidR="00F70677">
        <w:rPr>
          <w:rFonts w:ascii="Times New Roman" w:hAnsi="Times New Roman" w:cs="Times New Roman"/>
          <w:sz w:val="28"/>
          <w:szCs w:val="28"/>
        </w:rPr>
        <w:t xml:space="preserve">[38] </w:t>
      </w:r>
      <w:r w:rsidRPr="00E951CC">
        <w:rPr>
          <w:rFonts w:ascii="Times New Roman" w:hAnsi="Times New Roman" w:cs="Times New Roman"/>
          <w:sz w:val="28"/>
          <w:szCs w:val="28"/>
        </w:rPr>
        <w:t>показали, что быстрый рост китайской солнечной и ветровой генерации стал результатом сочетания долгосрочного планирования, масштабной государственно-промышленной координации, субсидирования производства и стимулирования экспорта. Китайский опыт демонстрирует, что ВИЭ могут стать инструментом ускоренного технологического развития и формирования новых экспортных отраслей, что особенно актуально для стран, стремящихся к экономической диверсификации.</w:t>
      </w:r>
    </w:p>
    <w:p w14:paraId="00EC4251" w14:textId="77777777" w:rsidR="00E951CC" w:rsidRPr="00E951CC" w:rsidRDefault="00E951CC" w:rsidP="00E95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C">
        <w:rPr>
          <w:rFonts w:ascii="Times New Roman" w:hAnsi="Times New Roman" w:cs="Times New Roman"/>
          <w:sz w:val="28"/>
          <w:szCs w:val="28"/>
        </w:rPr>
        <w:t xml:space="preserve">Таким образом, хронологический и проблемно-ориентированный анализ литературы указывает на эволюцию научного понимания государственной политики в сфере ВИЭ от рассмотрения отдельных стимулов к комплексному учёту институциональной, макроэкономической и политической динамики. </w:t>
      </w:r>
      <w:r w:rsidRPr="00E951CC">
        <w:rPr>
          <w:rFonts w:ascii="Times New Roman" w:hAnsi="Times New Roman" w:cs="Times New Roman"/>
          <w:sz w:val="28"/>
          <w:szCs w:val="28"/>
        </w:rPr>
        <w:lastRenderedPageBreak/>
        <w:t>Современный научный консенсус предполагает, что успешная политика в области ВИЭ требует не только финансовых и тарифных стимулов, но и системной институциональной устойчивости, согласованности регуляторных механизмов, долгосрочной стратегии, а также активного участия рыночных и общественных акторов. Для стран с переходной экономикой, включая Казахстан, данный подход приобретает особое значение, так как позволяет сочетать цели климатической трансформации с задачами индустриального развития и международного экономического сотрудничества.</w:t>
      </w:r>
    </w:p>
    <w:p w14:paraId="0DEE8754" w14:textId="5A167411" w:rsidR="005A5117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FF9">
        <w:rPr>
          <w:rFonts w:ascii="Times New Roman" w:hAnsi="Times New Roman" w:cs="Times New Roman"/>
          <w:sz w:val="28"/>
          <w:szCs w:val="28"/>
        </w:rPr>
        <w:t xml:space="preserve">Несмотря на наличие широкого теоретического и аналитического материала, эмпирические исследования влияния государственной политики на динамику ВИЭ остаются ограниченными и концентрируются, как правило, в странах с развитой экономикой. Среди наиболее известных эмпирических работ можно выделить исследования </w:t>
      </w:r>
      <w:proofErr w:type="spellStart"/>
      <w:r w:rsidRPr="00017FF9">
        <w:rPr>
          <w:rFonts w:ascii="Times New Roman" w:hAnsi="Times New Roman" w:cs="Times New Roman"/>
          <w:sz w:val="28"/>
          <w:szCs w:val="28"/>
        </w:rPr>
        <w:t>Menz</w:t>
      </w:r>
      <w:proofErr w:type="spellEnd"/>
      <w:r w:rsidRPr="00017F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17FF9">
        <w:rPr>
          <w:rFonts w:ascii="Times New Roman" w:hAnsi="Times New Roman" w:cs="Times New Roman"/>
          <w:sz w:val="28"/>
          <w:szCs w:val="28"/>
        </w:rPr>
        <w:t>Vachon</w:t>
      </w:r>
      <w:proofErr w:type="spellEnd"/>
      <w:r w:rsidRPr="00017FF9">
        <w:rPr>
          <w:rFonts w:ascii="Times New Roman" w:hAnsi="Times New Roman" w:cs="Times New Roman"/>
          <w:sz w:val="28"/>
          <w:szCs w:val="28"/>
        </w:rPr>
        <w:t xml:space="preserve"> </w:t>
      </w:r>
      <w:r w:rsidR="00F70677">
        <w:rPr>
          <w:rFonts w:ascii="Times New Roman" w:hAnsi="Times New Roman" w:cs="Times New Roman"/>
          <w:sz w:val="28"/>
          <w:szCs w:val="28"/>
        </w:rPr>
        <w:t>[39]</w:t>
      </w:r>
      <w:r w:rsidRPr="00017FF9">
        <w:rPr>
          <w:rFonts w:ascii="Times New Roman" w:hAnsi="Times New Roman" w:cs="Times New Roman"/>
          <w:sz w:val="28"/>
          <w:szCs w:val="28"/>
        </w:rPr>
        <w:t>, использовавших метод множественной регрессии для оценки эффективности политик стимулирования ветроэнергетики в 39 штатах США в период 1998–2003 гг. Авторы оценивали воздействие пяти инструментов государственной политики:</w:t>
      </w:r>
    </w:p>
    <w:p w14:paraId="024E31E9" w14:textId="77777777" w:rsidR="005A5117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FF9">
        <w:rPr>
          <w:rFonts w:ascii="Times New Roman" w:hAnsi="Times New Roman" w:cs="Times New Roman"/>
          <w:sz w:val="28"/>
          <w:szCs w:val="28"/>
        </w:rPr>
        <w:t>– стандартов портфеля возобновляемой энергии,</w:t>
      </w:r>
    </w:p>
    <w:p w14:paraId="11C12FDF" w14:textId="77777777" w:rsidR="005A5117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FF9">
        <w:rPr>
          <w:rFonts w:ascii="Times New Roman" w:hAnsi="Times New Roman" w:cs="Times New Roman"/>
          <w:sz w:val="28"/>
          <w:szCs w:val="28"/>
        </w:rPr>
        <w:t>– обязательного выбора «зелёной» энергии,</w:t>
      </w:r>
    </w:p>
    <w:p w14:paraId="15D36CFB" w14:textId="77777777" w:rsidR="005A5117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FF9">
        <w:rPr>
          <w:rFonts w:ascii="Times New Roman" w:hAnsi="Times New Roman" w:cs="Times New Roman"/>
          <w:sz w:val="28"/>
          <w:szCs w:val="28"/>
        </w:rPr>
        <w:t>– руководства по раскрытию информации о составе топлива,</w:t>
      </w:r>
    </w:p>
    <w:p w14:paraId="13B8BBDE" w14:textId="77777777" w:rsidR="005A5117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FF9">
        <w:rPr>
          <w:rFonts w:ascii="Times New Roman" w:hAnsi="Times New Roman" w:cs="Times New Roman"/>
          <w:sz w:val="28"/>
          <w:szCs w:val="28"/>
        </w:rPr>
        <w:t>– фонда общественных благ,</w:t>
      </w:r>
    </w:p>
    <w:p w14:paraId="62AE6B0E" w14:textId="0B5C81DB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FF9">
        <w:rPr>
          <w:rFonts w:ascii="Times New Roman" w:hAnsi="Times New Roman" w:cs="Times New Roman"/>
          <w:sz w:val="28"/>
          <w:szCs w:val="28"/>
        </w:rPr>
        <w:t>– розничных программ альтернативных поставок.</w:t>
      </w:r>
    </w:p>
    <w:p w14:paraId="584DE75A" w14:textId="77777777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FF9">
        <w:rPr>
          <w:rFonts w:ascii="Times New Roman" w:hAnsi="Times New Roman" w:cs="Times New Roman"/>
          <w:sz w:val="28"/>
          <w:szCs w:val="28"/>
        </w:rPr>
        <w:t>Результаты анализа показали, что наибольшее положительное влияние на развитие ветроэнергетики оказывают стандарты портфеля ВИЭ и программы обязательного выбора «зелёной» энергии, тогда как инициативы розничного выбора электроэнергии, напротив, демонстрируют отрицательную корреляцию. Влияние фондов общественных благ оказалось статистически незначимым, что авторы связывают с ограниченным объёмом выборки и возможностью смещения из-за пропущенных переменных.</w:t>
      </w:r>
    </w:p>
    <w:p w14:paraId="3FB15DC8" w14:textId="6B0BB1D8" w:rsidR="00017FF9" w:rsidRP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7FF9">
        <w:rPr>
          <w:rFonts w:ascii="Times New Roman" w:hAnsi="Times New Roman" w:cs="Times New Roman"/>
          <w:sz w:val="28"/>
          <w:szCs w:val="28"/>
        </w:rPr>
        <w:t>Carley</w:t>
      </w:r>
      <w:proofErr w:type="spellEnd"/>
      <w:r w:rsidRPr="00017FF9">
        <w:rPr>
          <w:rFonts w:ascii="Times New Roman" w:hAnsi="Times New Roman" w:cs="Times New Roman"/>
          <w:sz w:val="28"/>
          <w:szCs w:val="28"/>
        </w:rPr>
        <w:t xml:space="preserve"> </w:t>
      </w:r>
      <w:r w:rsidR="00056D34">
        <w:rPr>
          <w:rFonts w:ascii="Times New Roman" w:hAnsi="Times New Roman" w:cs="Times New Roman"/>
          <w:sz w:val="28"/>
          <w:szCs w:val="28"/>
        </w:rPr>
        <w:t>[40]</w:t>
      </w:r>
      <w:r w:rsidRPr="00017FF9">
        <w:rPr>
          <w:rFonts w:ascii="Times New Roman" w:hAnsi="Times New Roman" w:cs="Times New Roman"/>
          <w:sz w:val="28"/>
          <w:szCs w:val="28"/>
        </w:rPr>
        <w:t xml:space="preserve"> расширила модель Менза и </w:t>
      </w:r>
      <w:proofErr w:type="spellStart"/>
      <w:r w:rsidRPr="00017FF9">
        <w:rPr>
          <w:rFonts w:ascii="Times New Roman" w:hAnsi="Times New Roman" w:cs="Times New Roman"/>
          <w:sz w:val="28"/>
          <w:szCs w:val="28"/>
        </w:rPr>
        <w:t>Вакона</w:t>
      </w:r>
      <w:proofErr w:type="spellEnd"/>
      <w:r w:rsidRPr="00017FF9">
        <w:rPr>
          <w:rFonts w:ascii="Times New Roman" w:hAnsi="Times New Roman" w:cs="Times New Roman"/>
          <w:sz w:val="28"/>
          <w:szCs w:val="28"/>
        </w:rPr>
        <w:t>, включив дополнительные макроэкономические переменные подтвердив, что наличие стандарта портфеля ВИЭ способствует росту потребления возобновляемой энергии, хотя его влияние на долю ВИЭ в энергобалансе остаётся ограниченным</w:t>
      </w:r>
      <w:r w:rsidR="005A5117"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017FF9">
        <w:rPr>
          <w:rFonts w:ascii="Times New Roman" w:hAnsi="Times New Roman" w:cs="Times New Roman"/>
          <w:sz w:val="28"/>
          <w:szCs w:val="28"/>
        </w:rPr>
        <w:t>то указывает на то, что даже эффективные инструменты политики могут иметь скрытые структурные ограничения, зависящие от экономического контекста и степени зрелости энергетического рынка.</w:t>
      </w:r>
    </w:p>
    <w:p w14:paraId="1267A5B0" w14:textId="77777777" w:rsidR="00017FF9" w:rsidRDefault="00017FF9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FF9">
        <w:rPr>
          <w:rFonts w:ascii="Times New Roman" w:hAnsi="Times New Roman" w:cs="Times New Roman"/>
          <w:sz w:val="28"/>
          <w:szCs w:val="28"/>
        </w:rPr>
        <w:t>В совокупности проведённые исследования демонстрируют, что эффективность государственной политики в области ВИЭ определяется не только набором инструментов, но и степенью их согласованности, институциональной последовательностью и способностью адаптироваться к изменениям рыночной конъюнктуры. Для стран с формирующимися рынками энергетики, таких как Казахстан, данное обстоятельство имеет особую значимость, поскольку обеспечивает основу для выработки адаптивных стратегий поддержки энергетического перехода, минимизирующих ценовые и технологические риски.</w:t>
      </w:r>
    </w:p>
    <w:p w14:paraId="140AD35F" w14:textId="0939F770" w:rsidR="00EC64BF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4BF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взаимосвязи между потреблением энергии и экономическим ростом является наиболее обсуждаемых направлений эконометрических и энергетических исследований, сформировавшимся ещё в 1970-е годы. </w:t>
      </w:r>
      <w:r w:rsidR="00056D3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EC64BF">
        <w:rPr>
          <w:rFonts w:ascii="Times New Roman" w:hAnsi="Times New Roman" w:cs="Times New Roman"/>
          <w:sz w:val="28"/>
          <w:szCs w:val="28"/>
        </w:rPr>
        <w:t>опросы влияния энергетических факторов на макроэкономическую динамику привлекли внимание исследователей различных школ. Несмотря на значительное количество эмпирических работ, консенсус относительно характера и направления взаимосвязи до сих пор не достигнут. Различия в выборке, периодизации, используемых методах оценки и типах моделей приводят к вариативности результатов и, как следствие, к формированию четырёх конкурирующих гипотез, объясняющих природу связи между потреблением энергии и экономическим ростом</w:t>
      </w:r>
      <w:r w:rsidR="005A5117">
        <w:rPr>
          <w:rFonts w:ascii="Times New Roman" w:hAnsi="Times New Roman" w:cs="Times New Roman"/>
          <w:sz w:val="28"/>
          <w:szCs w:val="28"/>
          <w:lang w:val="ru-RU"/>
        </w:rPr>
        <w:t xml:space="preserve"> (таблица 2)</w:t>
      </w:r>
      <w:r w:rsidRPr="00EC64BF">
        <w:rPr>
          <w:rFonts w:ascii="Times New Roman" w:hAnsi="Times New Roman" w:cs="Times New Roman"/>
          <w:sz w:val="28"/>
          <w:szCs w:val="28"/>
        </w:rPr>
        <w:t>.</w:t>
      </w:r>
    </w:p>
    <w:p w14:paraId="5F3198D8" w14:textId="77777777" w:rsidR="00056D34" w:rsidRPr="00056D34" w:rsidRDefault="00056D34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9A19B9" w14:textId="3D9FF4E4" w:rsidR="00D150F3" w:rsidRPr="00D150F3" w:rsidRDefault="00D150F3" w:rsidP="00A16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0F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A51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D150F3">
        <w:rPr>
          <w:rFonts w:ascii="Times New Roman" w:hAnsi="Times New Roman" w:cs="Times New Roman"/>
          <w:sz w:val="28"/>
          <w:szCs w:val="28"/>
        </w:rPr>
        <w:t xml:space="preserve"> – Основные гипотезы взаимосвязи между энергопотреблением и экономическим ростом</w:t>
      </w:r>
    </w:p>
    <w:tbl>
      <w:tblPr>
        <w:tblStyle w:val="ad"/>
        <w:tblW w:w="9792" w:type="dxa"/>
        <w:tblLook w:val="04A0" w:firstRow="1" w:lastRow="0" w:firstColumn="1" w:lastColumn="0" w:noHBand="0" w:noVBand="1"/>
      </w:tblPr>
      <w:tblGrid>
        <w:gridCol w:w="445"/>
        <w:gridCol w:w="1735"/>
        <w:gridCol w:w="4856"/>
        <w:gridCol w:w="2756"/>
      </w:tblGrid>
      <w:tr w:rsidR="00D150F3" w:rsidRPr="00D150F3" w14:paraId="619F00DD" w14:textId="77777777" w:rsidTr="00A1652D">
        <w:trPr>
          <w:trHeight w:val="623"/>
        </w:trPr>
        <w:tc>
          <w:tcPr>
            <w:tcW w:w="0" w:type="auto"/>
            <w:hideMark/>
          </w:tcPr>
          <w:p w14:paraId="62D9B47C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№</w:t>
            </w:r>
          </w:p>
        </w:tc>
        <w:tc>
          <w:tcPr>
            <w:tcW w:w="0" w:type="auto"/>
            <w:hideMark/>
          </w:tcPr>
          <w:p w14:paraId="54EDE791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Гипотеза</w:t>
            </w:r>
          </w:p>
        </w:tc>
        <w:tc>
          <w:tcPr>
            <w:tcW w:w="0" w:type="auto"/>
            <w:hideMark/>
          </w:tcPr>
          <w:p w14:paraId="45D97C71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14:paraId="4387E1ED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Причинно-следственная направленность</w:t>
            </w:r>
          </w:p>
        </w:tc>
      </w:tr>
      <w:tr w:rsidR="00D150F3" w:rsidRPr="00D150F3" w14:paraId="30831882" w14:textId="77777777" w:rsidTr="00A1652D">
        <w:trPr>
          <w:trHeight w:val="1592"/>
        </w:trPr>
        <w:tc>
          <w:tcPr>
            <w:tcW w:w="0" w:type="auto"/>
            <w:hideMark/>
          </w:tcPr>
          <w:p w14:paraId="2BF10756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8B33B0B" w14:textId="695AEAF8" w:rsidR="00D150F3" w:rsidRPr="00056D34" w:rsidRDefault="00D150F3" w:rsidP="00D150F3">
            <w:pPr>
              <w:jc w:val="both"/>
              <w:rPr>
                <w:sz w:val="24"/>
                <w:szCs w:val="24"/>
                <w:lang w:val="ru-RU"/>
              </w:rPr>
            </w:pPr>
            <w:r w:rsidRPr="00D150F3">
              <w:rPr>
                <w:sz w:val="24"/>
                <w:szCs w:val="24"/>
              </w:rPr>
              <w:t xml:space="preserve">Гипотеза роста </w:t>
            </w:r>
          </w:p>
        </w:tc>
        <w:tc>
          <w:tcPr>
            <w:tcW w:w="0" w:type="auto"/>
            <w:hideMark/>
          </w:tcPr>
          <w:p w14:paraId="6EECF5CD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Потребление энергии является фактором экономического роста; увеличение энергопотребления стимулирует рост ВВП, а его сокращение ведёт к экономическому спаду.</w:t>
            </w:r>
          </w:p>
        </w:tc>
        <w:tc>
          <w:tcPr>
            <w:tcW w:w="0" w:type="auto"/>
            <w:hideMark/>
          </w:tcPr>
          <w:p w14:paraId="139EAD64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Односторонняя: от потребления энергии к экономическому росту</w:t>
            </w:r>
          </w:p>
        </w:tc>
      </w:tr>
      <w:tr w:rsidR="00D150F3" w:rsidRPr="00D150F3" w14:paraId="6138F84D" w14:textId="77777777" w:rsidTr="00A1652D">
        <w:trPr>
          <w:trHeight w:val="1263"/>
        </w:trPr>
        <w:tc>
          <w:tcPr>
            <w:tcW w:w="0" w:type="auto"/>
            <w:hideMark/>
          </w:tcPr>
          <w:p w14:paraId="30500C9E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A00D7A1" w14:textId="77DB2BE1" w:rsidR="00D150F3" w:rsidRPr="00056D34" w:rsidRDefault="00D150F3" w:rsidP="00D150F3">
            <w:pPr>
              <w:jc w:val="both"/>
              <w:rPr>
                <w:sz w:val="24"/>
                <w:szCs w:val="24"/>
                <w:lang w:val="ru-RU"/>
              </w:rPr>
            </w:pPr>
            <w:r w:rsidRPr="00D150F3">
              <w:rPr>
                <w:sz w:val="24"/>
                <w:szCs w:val="24"/>
              </w:rPr>
              <w:t xml:space="preserve">Гипотеза сохранения </w:t>
            </w:r>
          </w:p>
        </w:tc>
        <w:tc>
          <w:tcPr>
            <w:tcW w:w="0" w:type="auto"/>
            <w:hideMark/>
          </w:tcPr>
          <w:p w14:paraId="5D5CE0E0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Экономический рост вызывает увеличение энергопотребления; меры по энергосбережению не оказывают существенного влияния на ВВП.</w:t>
            </w:r>
          </w:p>
        </w:tc>
        <w:tc>
          <w:tcPr>
            <w:tcW w:w="0" w:type="auto"/>
            <w:hideMark/>
          </w:tcPr>
          <w:p w14:paraId="4F2BE3B7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Односторонняя: от экономического роста к потреблению энергии</w:t>
            </w:r>
          </w:p>
        </w:tc>
      </w:tr>
      <w:tr w:rsidR="00D150F3" w:rsidRPr="00D150F3" w14:paraId="19D481E8" w14:textId="77777777" w:rsidTr="00A1652D">
        <w:trPr>
          <w:trHeight w:val="1592"/>
        </w:trPr>
        <w:tc>
          <w:tcPr>
            <w:tcW w:w="0" w:type="auto"/>
            <w:hideMark/>
          </w:tcPr>
          <w:p w14:paraId="619A9DFA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3AB7144" w14:textId="49A7F9CD" w:rsidR="00D150F3" w:rsidRPr="00056D34" w:rsidRDefault="00D150F3" w:rsidP="00D150F3">
            <w:pPr>
              <w:jc w:val="both"/>
              <w:rPr>
                <w:sz w:val="24"/>
                <w:szCs w:val="24"/>
                <w:lang w:val="ru-RU"/>
              </w:rPr>
            </w:pPr>
            <w:r w:rsidRPr="00D150F3">
              <w:rPr>
                <w:sz w:val="24"/>
                <w:szCs w:val="24"/>
              </w:rPr>
              <w:t>Гипотеза обратной связи</w:t>
            </w:r>
          </w:p>
        </w:tc>
        <w:tc>
          <w:tcPr>
            <w:tcW w:w="0" w:type="auto"/>
            <w:hideMark/>
          </w:tcPr>
          <w:p w14:paraId="6324F154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Между потреблением энергии и экономическим ростом существует взаимная зависимость; изменения одной переменной вызывают изменения другой в том же направлении.</w:t>
            </w:r>
          </w:p>
        </w:tc>
        <w:tc>
          <w:tcPr>
            <w:tcW w:w="0" w:type="auto"/>
            <w:hideMark/>
          </w:tcPr>
          <w:p w14:paraId="1B4B0320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Двусторонняя: взаимное усиление процессов</w:t>
            </w:r>
          </w:p>
        </w:tc>
      </w:tr>
      <w:tr w:rsidR="00D150F3" w:rsidRPr="00D150F3" w14:paraId="39D36B21" w14:textId="77777777" w:rsidTr="00A1652D">
        <w:trPr>
          <w:trHeight w:val="1263"/>
        </w:trPr>
        <w:tc>
          <w:tcPr>
            <w:tcW w:w="0" w:type="auto"/>
            <w:hideMark/>
          </w:tcPr>
          <w:p w14:paraId="088865FF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73BD8A67" w14:textId="5FF50EFF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 xml:space="preserve">Нейтральная гипотеза </w:t>
            </w:r>
          </w:p>
        </w:tc>
        <w:tc>
          <w:tcPr>
            <w:tcW w:w="0" w:type="auto"/>
            <w:hideMark/>
          </w:tcPr>
          <w:p w14:paraId="4973760C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Между потреблением энергии и экономическим ростом отсутствует статистически значимая взаимосвязь; оба процесса независимы.</w:t>
            </w:r>
          </w:p>
        </w:tc>
        <w:tc>
          <w:tcPr>
            <w:tcW w:w="0" w:type="auto"/>
            <w:hideMark/>
          </w:tcPr>
          <w:p w14:paraId="6D848219" w14:textId="77777777" w:rsidR="00D150F3" w:rsidRPr="00D150F3" w:rsidRDefault="00D150F3" w:rsidP="00D150F3">
            <w:pPr>
              <w:jc w:val="both"/>
              <w:rPr>
                <w:sz w:val="24"/>
                <w:szCs w:val="24"/>
              </w:rPr>
            </w:pPr>
            <w:r w:rsidRPr="00D150F3">
              <w:rPr>
                <w:sz w:val="24"/>
                <w:szCs w:val="24"/>
              </w:rPr>
              <w:t>Отсутствует</w:t>
            </w:r>
          </w:p>
        </w:tc>
      </w:tr>
      <w:tr w:rsidR="00D150F3" w:rsidRPr="00D150F3" w14:paraId="434F7BF2" w14:textId="77777777" w:rsidTr="00A1652D">
        <w:trPr>
          <w:trHeight w:val="311"/>
        </w:trPr>
        <w:tc>
          <w:tcPr>
            <w:tcW w:w="0" w:type="auto"/>
            <w:gridSpan w:val="4"/>
          </w:tcPr>
          <w:p w14:paraId="4FE0C94F" w14:textId="1FDE899D" w:rsidR="00D150F3" w:rsidRPr="00056D34" w:rsidRDefault="00D150F3" w:rsidP="00D150F3">
            <w:pPr>
              <w:jc w:val="both"/>
              <w:rPr>
                <w:sz w:val="24"/>
                <w:szCs w:val="24"/>
              </w:rPr>
            </w:pPr>
            <w:r w:rsidRPr="00056D34">
              <w:rPr>
                <w:sz w:val="24"/>
                <w:szCs w:val="24"/>
              </w:rPr>
              <w:t>Примечание: составлено автором</w:t>
            </w:r>
            <w:r w:rsidRPr="00056D34">
              <w:rPr>
                <w:sz w:val="24"/>
                <w:szCs w:val="24"/>
                <w:lang w:val="kk-KZ"/>
              </w:rPr>
              <w:t xml:space="preserve"> на основании источник</w:t>
            </w:r>
            <w:r w:rsidR="00056D34" w:rsidRPr="00056D34">
              <w:rPr>
                <w:sz w:val="24"/>
                <w:szCs w:val="24"/>
                <w:lang w:val="kk-KZ"/>
              </w:rPr>
              <w:t>ов</w:t>
            </w:r>
            <w:r w:rsidRPr="00056D34">
              <w:rPr>
                <w:sz w:val="24"/>
                <w:szCs w:val="24"/>
                <w:lang w:val="kk-KZ"/>
              </w:rPr>
              <w:t xml:space="preserve"> </w:t>
            </w:r>
            <w:r w:rsidRPr="00056D34">
              <w:rPr>
                <w:sz w:val="24"/>
                <w:szCs w:val="24"/>
              </w:rPr>
              <w:t>[</w:t>
            </w:r>
            <w:r w:rsidR="00056D34" w:rsidRPr="00056D34">
              <w:rPr>
                <w:sz w:val="24"/>
                <w:szCs w:val="24"/>
                <w:lang w:val="ru-RU"/>
              </w:rPr>
              <w:t xml:space="preserve">40-43] </w:t>
            </w:r>
          </w:p>
        </w:tc>
      </w:tr>
    </w:tbl>
    <w:p w14:paraId="4DEB3827" w14:textId="77777777" w:rsidR="00D150F3" w:rsidRPr="00D150F3" w:rsidRDefault="00D150F3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246FA8" w14:textId="3C37109C" w:rsidR="00E173F8" w:rsidRPr="00E173F8" w:rsidRDefault="00E173F8" w:rsidP="00E173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F8">
        <w:rPr>
          <w:rFonts w:ascii="Times New Roman" w:hAnsi="Times New Roman" w:cs="Times New Roman"/>
          <w:sz w:val="28"/>
          <w:szCs w:val="28"/>
        </w:rPr>
        <w:t xml:space="preserve">Представленные гипотезы отражают эволюцию научных взглядов на характер связи между энергопотреблением и экономическим развитием, начиная с работ </w:t>
      </w:r>
      <w:proofErr w:type="spellStart"/>
      <w:r w:rsidR="00056D34" w:rsidRPr="0088577A">
        <w:rPr>
          <w:rFonts w:ascii="Times New Roman" w:hAnsi="Times New Roman" w:cs="Times New Roman"/>
          <w:sz w:val="28"/>
          <w:szCs w:val="28"/>
        </w:rPr>
        <w:t>Nazlioglu</w:t>
      </w:r>
      <w:proofErr w:type="spellEnd"/>
      <w:r w:rsidR="00056D34" w:rsidRPr="0088577A">
        <w:rPr>
          <w:rFonts w:ascii="Times New Roman" w:hAnsi="Times New Roman" w:cs="Times New Roman"/>
          <w:sz w:val="28"/>
          <w:szCs w:val="28"/>
        </w:rPr>
        <w:t xml:space="preserve"> S., </w:t>
      </w:r>
      <w:proofErr w:type="spellStart"/>
      <w:r w:rsidR="00056D34" w:rsidRPr="0088577A">
        <w:rPr>
          <w:rFonts w:ascii="Times New Roman" w:hAnsi="Times New Roman" w:cs="Times New Roman"/>
          <w:sz w:val="28"/>
          <w:szCs w:val="28"/>
        </w:rPr>
        <w:t>Ozatac</w:t>
      </w:r>
      <w:proofErr w:type="spellEnd"/>
      <w:r w:rsidR="00056D34" w:rsidRPr="0088577A">
        <w:rPr>
          <w:rFonts w:ascii="Times New Roman" w:hAnsi="Times New Roman" w:cs="Times New Roman"/>
          <w:sz w:val="28"/>
          <w:szCs w:val="28"/>
        </w:rPr>
        <w:t xml:space="preserve"> M</w:t>
      </w:r>
      <w:r w:rsidR="00056D34">
        <w:rPr>
          <w:rFonts w:ascii="Times New Roman" w:hAnsi="Times New Roman" w:cs="Times New Roman"/>
          <w:sz w:val="28"/>
          <w:szCs w:val="28"/>
        </w:rPr>
        <w:t xml:space="preserve">. [44] </w:t>
      </w:r>
      <w:r w:rsidRPr="00E173F8">
        <w:rPr>
          <w:rFonts w:ascii="Times New Roman" w:hAnsi="Times New Roman" w:cs="Times New Roman"/>
          <w:sz w:val="28"/>
          <w:szCs w:val="28"/>
        </w:rPr>
        <w:t xml:space="preserve">и заканчивая современными исследованиями, использующими методы </w:t>
      </w:r>
      <w:proofErr w:type="spellStart"/>
      <w:r w:rsidRPr="00E173F8">
        <w:rPr>
          <w:rFonts w:ascii="Times New Roman" w:hAnsi="Times New Roman" w:cs="Times New Roman"/>
          <w:sz w:val="28"/>
          <w:szCs w:val="28"/>
        </w:rPr>
        <w:t>коинтеграции</w:t>
      </w:r>
      <w:proofErr w:type="spellEnd"/>
      <w:r w:rsidR="00056D34">
        <w:rPr>
          <w:rFonts w:ascii="Times New Roman" w:hAnsi="Times New Roman" w:cs="Times New Roman"/>
          <w:sz w:val="28"/>
          <w:szCs w:val="28"/>
        </w:rPr>
        <w:t xml:space="preserve"> </w:t>
      </w:r>
      <w:r w:rsidRPr="00E173F8">
        <w:rPr>
          <w:rFonts w:ascii="Times New Roman" w:hAnsi="Times New Roman" w:cs="Times New Roman"/>
          <w:sz w:val="28"/>
          <w:szCs w:val="28"/>
        </w:rPr>
        <w:t xml:space="preserve">и панельные модели с фиксированными и случайными эффектами. Несмотря на значительный массив эмпирических данных, единая парадигма по-прежнему отсутствует, что обусловлено существенными различиями в структуре экономик, уровне технологического </w:t>
      </w:r>
      <w:r w:rsidRPr="00E173F8">
        <w:rPr>
          <w:rFonts w:ascii="Times New Roman" w:hAnsi="Times New Roman" w:cs="Times New Roman"/>
          <w:sz w:val="28"/>
          <w:szCs w:val="28"/>
        </w:rPr>
        <w:lastRenderedPageBreak/>
        <w:t>развития, институциональной среде и динамике энергетического перехода в исследуемых странах.</w:t>
      </w:r>
    </w:p>
    <w:p w14:paraId="39DC45CA" w14:textId="1F87973B" w:rsidR="00E173F8" w:rsidRPr="00E173F8" w:rsidRDefault="00E173F8" w:rsidP="00E173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F8">
        <w:rPr>
          <w:rFonts w:ascii="Times New Roman" w:hAnsi="Times New Roman" w:cs="Times New Roman"/>
          <w:sz w:val="28"/>
          <w:szCs w:val="28"/>
        </w:rPr>
        <w:t xml:space="preserve">Гипотеза роста предполагает, что энергия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173F8">
        <w:rPr>
          <w:rFonts w:ascii="Times New Roman" w:hAnsi="Times New Roman" w:cs="Times New Roman"/>
          <w:sz w:val="28"/>
          <w:szCs w:val="28"/>
        </w:rPr>
        <w:t>один из ключевых факторов производства наряду с трудом и капиталом. При таком подходе увеличение энергопотребления рассматривается как необходимое условие расширения промышленного производства, развития инфраструктуры и роста производительности. Эмпирические подтверждения гипотезы преимущественно характерны для развивающихся стран, где высокое энергопотребление связано с индустриализацией и менее энергоэффективными технологиями. В таких экономиках политика энергосбережения или резкое повышение тарифов может привести к снижению деловой активности и замедлению темпов роста ВВП.</w:t>
      </w:r>
    </w:p>
    <w:p w14:paraId="526E3458" w14:textId="1F0F188A" w:rsidR="00E173F8" w:rsidRPr="00E173F8" w:rsidRDefault="00E173F8" w:rsidP="00E173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F8">
        <w:rPr>
          <w:rFonts w:ascii="Times New Roman" w:hAnsi="Times New Roman" w:cs="Times New Roman"/>
          <w:sz w:val="28"/>
          <w:szCs w:val="28"/>
        </w:rPr>
        <w:t>Гипотеза сохранения, напротив, утверждает, что энергоемкость экономики постепенно снижается по мере её структурной модернизации. Рост ВВП приводит к расширению сектора услуг, внедрению энергоэффективных технологий и снижению относительной зависимости от энергетических ресурсов. В рамках гипотезы ограничительные меры на потребление энергии, повышение тарифов или «зелёные» реформы не оказывают заметного негативного эффекта на экономическую динамику. Такие результаты чаще фиксируются в развитых странах, где технологически сложные отрасли способны производить большую добавленную стоимость при меньших энергозатратах.</w:t>
      </w:r>
    </w:p>
    <w:p w14:paraId="68DAE544" w14:textId="59CF3146" w:rsidR="00E173F8" w:rsidRPr="00E173F8" w:rsidRDefault="00E173F8" w:rsidP="00E173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F8">
        <w:rPr>
          <w:rFonts w:ascii="Times New Roman" w:hAnsi="Times New Roman" w:cs="Times New Roman"/>
          <w:sz w:val="28"/>
          <w:szCs w:val="28"/>
        </w:rPr>
        <w:t xml:space="preserve">Гипотеза обратной связи отражает наиболее сложный и реалистичный характер взаимозависимости, в рамках которого энергия и экономический рост усиливают друг друга. Рост экономики повышает спрос на энергию, а расширение энергопотребления стимулирует промышленное развитие. Наличие двусторонней причинности означает, что энергетическая политика государства оказывает мультипликативный эффект, влияя не только на потребление ресурсов, но и на производственную активность.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spellStart"/>
      <w:r w:rsidRPr="00E173F8">
        <w:rPr>
          <w:rFonts w:ascii="Times New Roman" w:hAnsi="Times New Roman" w:cs="Times New Roman"/>
          <w:sz w:val="28"/>
          <w:szCs w:val="28"/>
        </w:rPr>
        <w:t>ипотеза</w:t>
      </w:r>
      <w:proofErr w:type="spellEnd"/>
      <w:r w:rsidRPr="00E173F8">
        <w:rPr>
          <w:rFonts w:ascii="Times New Roman" w:hAnsi="Times New Roman" w:cs="Times New Roman"/>
          <w:sz w:val="28"/>
          <w:szCs w:val="28"/>
        </w:rPr>
        <w:t xml:space="preserve"> особенно актуальна для экономик, находящихся в фазе активного технологического развития, индустриальной модернизации и внедрения инноваций в энергетическом секторе.</w:t>
      </w:r>
    </w:p>
    <w:p w14:paraId="309A3E9E" w14:textId="02F2BA49" w:rsidR="00E173F8" w:rsidRPr="00E173F8" w:rsidRDefault="00E173F8" w:rsidP="00E173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F8">
        <w:rPr>
          <w:rFonts w:ascii="Times New Roman" w:hAnsi="Times New Roman" w:cs="Times New Roman"/>
          <w:sz w:val="28"/>
          <w:szCs w:val="28"/>
        </w:rPr>
        <w:t xml:space="preserve">Нейтральная гипотеза предполагает отсутствие статистически значимой связи между анализируемыми переменными. В рамках данного подхода энергопотребление не считается ограничивающим фактором экономического роста, а ВВП не выступает ключевым драйвером спроса на энергию. </w:t>
      </w:r>
      <w:r>
        <w:rPr>
          <w:rFonts w:ascii="Times New Roman" w:hAnsi="Times New Roman" w:cs="Times New Roman"/>
          <w:sz w:val="28"/>
          <w:szCs w:val="28"/>
          <w:lang w:val="ru-RU"/>
        </w:rPr>
        <w:t>Данная</w:t>
      </w:r>
      <w:r w:rsidRPr="00E173F8">
        <w:rPr>
          <w:rFonts w:ascii="Times New Roman" w:hAnsi="Times New Roman" w:cs="Times New Roman"/>
          <w:sz w:val="28"/>
          <w:szCs w:val="28"/>
        </w:rPr>
        <w:t xml:space="preserve"> ситуация характерна для стран со стабильными показателями энергопотребления, высоким уровнем энергоэффективности и зрелой экономической структурой, где технологические инновации и диверсификация снижают зависимость промышленности от энергоресурсов. Для политиков такая гипотеза означает возможность корректировать энергетическую политику независимо от макроэкономических целей.</w:t>
      </w:r>
    </w:p>
    <w:p w14:paraId="2860EFDE" w14:textId="4A931214" w:rsidR="00E173F8" w:rsidRPr="00E173F8" w:rsidRDefault="00E173F8" w:rsidP="00E173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73F8">
        <w:rPr>
          <w:rFonts w:ascii="Times New Roman" w:hAnsi="Times New Roman" w:cs="Times New Roman"/>
          <w:sz w:val="28"/>
          <w:szCs w:val="28"/>
        </w:rPr>
        <w:t xml:space="preserve">В целом совокупность гипотез демонстрирует, что характер связи между энергопотреблением и экономическим ростом не является универсальным и может существенно варьироваться в зависимости от стадии развития экономики, </w:t>
      </w:r>
      <w:r w:rsidRPr="00E173F8">
        <w:rPr>
          <w:rFonts w:ascii="Times New Roman" w:hAnsi="Times New Roman" w:cs="Times New Roman"/>
          <w:sz w:val="28"/>
          <w:szCs w:val="28"/>
        </w:rPr>
        <w:lastRenderedPageBreak/>
        <w:t xml:space="preserve">институциональных условий, структуры энергетического баланса и уровня внедрения возобновляемых источников энергии. 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>В связи с чем</w:t>
      </w:r>
      <w:r w:rsidRPr="00E173F8">
        <w:rPr>
          <w:rFonts w:ascii="Times New Roman" w:hAnsi="Times New Roman" w:cs="Times New Roman"/>
          <w:sz w:val="28"/>
          <w:szCs w:val="28"/>
        </w:rPr>
        <w:t xml:space="preserve"> современные исследования всё чаще используют комплексные модели и панельные данные, позволяющие учитывать межстрановые различия, структурные сдвиги и нелинейные эффекты, возникающие в процессе энергетического перехода.</w:t>
      </w:r>
    </w:p>
    <w:p w14:paraId="02228AC9" w14:textId="4584E351" w:rsidR="00D150F3" w:rsidRPr="00D150F3" w:rsidRDefault="00D150F3" w:rsidP="00D15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0F3">
        <w:rPr>
          <w:rFonts w:ascii="Times New Roman" w:hAnsi="Times New Roman" w:cs="Times New Roman"/>
          <w:sz w:val="28"/>
          <w:szCs w:val="28"/>
        </w:rPr>
        <w:t xml:space="preserve">Так, исследования, охватывающие страны с разным уровнем развития, — от Китая и Индии до государств ОЭСР и Центральной Америки </w:t>
      </w:r>
      <w:r w:rsidR="00056D34">
        <w:rPr>
          <w:rFonts w:ascii="Times New Roman" w:hAnsi="Times New Roman" w:cs="Times New Roman"/>
          <w:sz w:val="28"/>
          <w:szCs w:val="28"/>
        </w:rPr>
        <w:t>[45]</w:t>
      </w:r>
      <w:r w:rsidRPr="00D150F3">
        <w:rPr>
          <w:rFonts w:ascii="Times New Roman" w:hAnsi="Times New Roman" w:cs="Times New Roman"/>
          <w:sz w:val="28"/>
          <w:szCs w:val="28"/>
        </w:rPr>
        <w:t xml:space="preserve"> демонстрируют схожие результаты. В большинстве выборок выявляется положительная долгосрочная корреляция между потреблением возобновляемой энергии и экономическим ростом, тогда как в краткосрочной перспективе связь носит асимметричный характер: экономический рост стимулирует расширение потребления энергии, но не всегда наоборот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D150F3">
        <w:rPr>
          <w:rFonts w:ascii="Times New Roman" w:hAnsi="Times New Roman" w:cs="Times New Roman"/>
          <w:sz w:val="28"/>
          <w:szCs w:val="28"/>
        </w:rPr>
        <w:t>указывает на существование обратной связи между процессами экономического и энергетического развития, особенно в странах с формирующимся рынком, где рост доходов ускоряет внедрение ВИЭ, а энергетическая модернизация, в свою очередь, укрепляет макроэкономическую устойчивость.</w:t>
      </w:r>
    </w:p>
    <w:p w14:paraId="0232E058" w14:textId="745E61F0" w:rsidR="00D150F3" w:rsidRPr="00D150F3" w:rsidRDefault="00D150F3" w:rsidP="00D15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0F3">
        <w:rPr>
          <w:rFonts w:ascii="Times New Roman" w:hAnsi="Times New Roman" w:cs="Times New Roman"/>
          <w:sz w:val="28"/>
          <w:szCs w:val="28"/>
        </w:rPr>
        <w:t xml:space="preserve">В более широких межстрановых исследованиях (на примере 108 стран) установлено, что большинство экономик демонстрируют двустороннюю положительную зависимость между развитием ВИЭ и ростом ВВП, тогда как оставшиеся характеризуются нейтральной или односторонней связью, зависящей от структуры энергобаланса, технологического уровня и государственной политики.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D150F3">
        <w:rPr>
          <w:rFonts w:ascii="Times New Roman" w:hAnsi="Times New Roman" w:cs="Times New Roman"/>
          <w:sz w:val="28"/>
          <w:szCs w:val="28"/>
        </w:rPr>
        <w:t>результаты подтверждают, что эффект ВИЭ на экономическое развитие является контекстно обусловленным, а не универсальным, и формируется под влиянием совокупности факторов институциональных, ресурсных и инновационных</w:t>
      </w:r>
      <w:r w:rsidR="00056D34">
        <w:rPr>
          <w:rFonts w:ascii="Times New Roman" w:hAnsi="Times New Roman" w:cs="Times New Roman"/>
          <w:sz w:val="28"/>
          <w:szCs w:val="28"/>
        </w:rPr>
        <w:t xml:space="preserve"> [46]</w:t>
      </w:r>
      <w:r w:rsidRPr="00D150F3">
        <w:rPr>
          <w:rFonts w:ascii="Times New Roman" w:hAnsi="Times New Roman" w:cs="Times New Roman"/>
          <w:sz w:val="28"/>
          <w:szCs w:val="28"/>
        </w:rPr>
        <w:t>.</w:t>
      </w:r>
    </w:p>
    <w:p w14:paraId="74D54099" w14:textId="67101A92" w:rsidR="00D150F3" w:rsidRPr="00D150F3" w:rsidRDefault="00056D34" w:rsidP="00D15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="00D150F3" w:rsidRPr="00D150F3">
        <w:rPr>
          <w:rFonts w:ascii="Times New Roman" w:hAnsi="Times New Roman" w:cs="Times New Roman"/>
          <w:sz w:val="28"/>
          <w:szCs w:val="28"/>
        </w:rPr>
        <w:t>овокупный</w:t>
      </w:r>
      <w:proofErr w:type="spellEnd"/>
      <w:r w:rsidR="00D150F3" w:rsidRPr="00D150F3">
        <w:rPr>
          <w:rFonts w:ascii="Times New Roman" w:hAnsi="Times New Roman" w:cs="Times New Roman"/>
          <w:sz w:val="28"/>
          <w:szCs w:val="28"/>
        </w:rPr>
        <w:t xml:space="preserve"> анализ работ современных исследователей позволяет заключить, что возобновляемая энергетика выполняет двойную функцию: в краткосрочной перспективе она зависит от уровня экономической активности и государственной поддержки, а в долгосрочной становится самостоятельным драйвером устойчивого роста. В развивающихся странах формируется синергетический эффект, при котором экономический рост и развитие ВИЭ взаимно усиливают друг друга, формируя основу для перехода к «зелёной» экономике.</w:t>
      </w:r>
    </w:p>
    <w:p w14:paraId="3F4F6994" w14:textId="6995741D" w:rsidR="00D150F3" w:rsidRPr="00D150F3" w:rsidRDefault="00D150F3" w:rsidP="00D150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50F3">
        <w:rPr>
          <w:rFonts w:ascii="Times New Roman" w:hAnsi="Times New Roman" w:cs="Times New Roman"/>
          <w:sz w:val="28"/>
          <w:szCs w:val="28"/>
        </w:rPr>
        <w:t>В целом, обобщение результатов современных исследований позволяет заключить, что влияние возобновляемой энергетики на экономику является нелинейным, асимметричным и институционально детерминированным. Положительные эффекты проявляются преимущественно в долгосрочной перспективе, тогда как краткосрочные последствия включают рост ценовой волатильности, нагрузку на бюджеты и социальные издержки переходного периода. Следовательно, для повышения эффективности ВИЭ необходим баланс между экономическими, экологическими и социальными целями, а также адаптация политики поддержки к уровню зрелости национальной энергетической системы и её структурным особенностям.</w:t>
      </w:r>
    </w:p>
    <w:p w14:paraId="2F4AFF0E" w14:textId="77777777" w:rsidR="00EC64BF" w:rsidRPr="00EC64BF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64BF">
        <w:rPr>
          <w:rFonts w:ascii="Times New Roman" w:hAnsi="Times New Roman" w:cs="Times New Roman"/>
          <w:sz w:val="28"/>
          <w:szCs w:val="28"/>
        </w:rPr>
        <w:lastRenderedPageBreak/>
        <w:t>Таким образом, современная научная литература демонстрирует неоднозначность влияния возобновляемой энергетики на экономику: при наличии долгосрочных экологических и структурных выгод, краткосрочные социально-экономические эффекты могут быть асимметричными. Эффективное управление переходом к ВИЭ требует балансирования между экологическими целями, экономической устойчивостью и социальной справедливостью, а также адаптации национальной политики к структурным особенностям экономики и уровням технологической готовности.</w:t>
      </w:r>
    </w:p>
    <w:p w14:paraId="054256B0" w14:textId="77777777" w:rsidR="00EC64BF" w:rsidRPr="00D150F3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74E407" w14:textId="77777777" w:rsidR="00EC64BF" w:rsidRPr="00017FF9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F26367" w14:textId="03963127" w:rsidR="008440F8" w:rsidRPr="008440F8" w:rsidRDefault="00017FF9" w:rsidP="008440F8">
      <w:pPr>
        <w:pStyle w:val="2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9" w:name="_Toc215079192"/>
      <w:r w:rsidRPr="00EC64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1.2. </w:t>
      </w:r>
      <w:r w:rsidRPr="0084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="008440F8" w:rsidRPr="0084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еоретические подходы и модели развития возобновляемых источников энергии</w:t>
      </w:r>
      <w:bookmarkEnd w:id="19"/>
      <w:r w:rsidR="008440F8" w:rsidRPr="0084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FDC53BD" w14:textId="4B958AD5" w:rsidR="008440F8" w:rsidRP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0F8">
        <w:rPr>
          <w:rFonts w:ascii="Times New Roman" w:hAnsi="Times New Roman" w:cs="Times New Roman"/>
          <w:sz w:val="28"/>
          <w:szCs w:val="28"/>
        </w:rPr>
        <w:t>Современные теоретические концепции, объясняющие закономерности развития возобновляемой энергетики, формировались на пересечении экономической теории, инновационного менеджмента и теории устойчивого роста. Эволюция научных представлений о ВИЭ отражает переход от ресурсно-технологического подхода, рассматривавшего энергию как производственный фактор, к институционально-инновационной парадигме, в рамках которой возобновляемая энергетика трактуется как катализатор структурной трансформации экономики. В современных исследованиях развитие ВИЭ объясняется совокупностью факторов</w:t>
      </w:r>
      <w:r w:rsidR="00AF62E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440F8">
        <w:rPr>
          <w:rFonts w:ascii="Times New Roman" w:hAnsi="Times New Roman" w:cs="Times New Roman"/>
          <w:sz w:val="28"/>
          <w:szCs w:val="28"/>
        </w:rPr>
        <w:t xml:space="preserve"> технологических, рыночных, поведенческих и политических, что привело к формированию ряда теоретических моделей, среди которых особое место занимает теория пути роста возобновляемой энергетики.</w:t>
      </w:r>
    </w:p>
    <w:p w14:paraId="6A27F140" w14:textId="77777777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t>Развитие сектора возобновляемой и низкоуглеродной энергетики представляет собой сложный, многокомпонентный и длительный процесс, который не может быть объяснён исключительно через призму классических экономических концепций спроса, предложения и ценовых стимулов. В научной литературе постепенно сформировался эволюционный подход, трактующий энергетический переход как результат коэволюции технологий, институтов, инфраструктуры и стратегической политики государства. Он возник как реакция на методологические ограничения неоклассических и институциональных моделей, которые рассматривали технологические инновации как внешние по отношению к экономической системе и недооценивали роль структурных изменений и накопления знаний.</w:t>
      </w:r>
    </w:p>
    <w:p w14:paraId="195F18E1" w14:textId="355CAD78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t xml:space="preserve">Эволюционный взгляд на развитие ВИЭ опирается на концепции, вытекающие из работ 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Nelson</w:t>
      </w:r>
      <w:proofErr w:type="spellEnd"/>
      <w:r w:rsidRPr="00271D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Winter</w:t>
      </w:r>
      <w:proofErr w:type="spellEnd"/>
      <w:r w:rsidR="00056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6D34" w:rsidRPr="00056D34">
        <w:rPr>
          <w:rFonts w:ascii="Times New Roman" w:hAnsi="Times New Roman" w:cs="Times New Roman"/>
          <w:sz w:val="28"/>
          <w:szCs w:val="28"/>
          <w:lang w:val="ru-RU"/>
        </w:rPr>
        <w:t>[47]</w:t>
      </w:r>
      <w:r w:rsidRPr="00271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Freeman</w:t>
      </w:r>
      <w:proofErr w:type="spellEnd"/>
      <w:r w:rsidRPr="00271D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Perez</w:t>
      </w:r>
      <w:proofErr w:type="spellEnd"/>
      <w:r w:rsidR="00056D34">
        <w:rPr>
          <w:rFonts w:ascii="Times New Roman" w:hAnsi="Times New Roman" w:cs="Times New Roman"/>
          <w:sz w:val="28"/>
          <w:szCs w:val="28"/>
        </w:rPr>
        <w:t xml:space="preserve"> [48]</w:t>
      </w:r>
      <w:r w:rsidRPr="00271D54">
        <w:rPr>
          <w:rFonts w:ascii="Times New Roman" w:hAnsi="Times New Roman" w:cs="Times New Roman"/>
          <w:sz w:val="28"/>
          <w:szCs w:val="28"/>
        </w:rPr>
        <w:t xml:space="preserve">, а также последующих исследований устойчивых технологических трансформаций. </w:t>
      </w: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нергетические</w:t>
      </w:r>
      <w:proofErr w:type="spellEnd"/>
      <w:r w:rsidRPr="00271D54">
        <w:rPr>
          <w:rFonts w:ascii="Times New Roman" w:hAnsi="Times New Roman" w:cs="Times New Roman"/>
          <w:sz w:val="28"/>
          <w:szCs w:val="28"/>
        </w:rPr>
        <w:t xml:space="preserve"> системы развиваются по траекториям зависимости от предшествующих решений, характеризуются накоплением компетенций, глубокой инерционностью и необходимостью формировать институциональную поддержку на ранних стадиях развития технологий. В отличие от традиционных моделей, предполагающих способность рынка саморегулироваться, эволюционная модель акцентирует внимание на институциональной логике </w:t>
      </w:r>
      <w:r w:rsidRPr="00271D54">
        <w:rPr>
          <w:rFonts w:ascii="Times New Roman" w:hAnsi="Times New Roman" w:cs="Times New Roman"/>
          <w:sz w:val="28"/>
          <w:szCs w:val="28"/>
        </w:rPr>
        <w:lastRenderedPageBreak/>
        <w:t>формирования нового технологического кластера, где государство выступает не только как регулятор, но и как инициатор, инвестор и предприниматель.</w:t>
      </w:r>
    </w:p>
    <w:p w14:paraId="704A2BD4" w14:textId="18A13A36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t xml:space="preserve">Для корректного понимания преимуществ эволюционного подхода целесообразно рассмотреть его ключевые особенности. </w:t>
      </w:r>
      <w:r>
        <w:rPr>
          <w:rFonts w:ascii="Times New Roman" w:hAnsi="Times New Roman" w:cs="Times New Roman"/>
          <w:sz w:val="28"/>
          <w:szCs w:val="28"/>
          <w:lang w:val="ru-RU"/>
        </w:rPr>
        <w:t>На рисунке</w:t>
      </w:r>
      <w:r w:rsidRPr="00271D54">
        <w:rPr>
          <w:rFonts w:ascii="Times New Roman" w:hAnsi="Times New Roman" w:cs="Times New Roman"/>
          <w:sz w:val="28"/>
          <w:szCs w:val="28"/>
        </w:rPr>
        <w:t xml:space="preserve"> 1 систематизированы базовые характеристики данной концепции, отражающие её теоретическую специфику и практическую значимость.</w:t>
      </w:r>
    </w:p>
    <w:p w14:paraId="688057C7" w14:textId="35982C40" w:rsid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E2C951" w14:textId="7E7B032F" w:rsidR="00271D54" w:rsidRDefault="00271D54" w:rsidP="00271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03610E4" wp14:editId="2B9E997E">
            <wp:extent cx="5867400" cy="5353050"/>
            <wp:effectExtent l="0" t="0" r="0" b="19050"/>
            <wp:docPr id="130591619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18A91C9" w14:textId="77777777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B45F90" w14:textId="2FDC77AA" w:rsidR="00271D54" w:rsidRDefault="00271D54" w:rsidP="00A1652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271D54">
        <w:rPr>
          <w:rFonts w:ascii="Times New Roman" w:hAnsi="Times New Roman" w:cs="Times New Roman"/>
          <w:sz w:val="28"/>
          <w:szCs w:val="28"/>
        </w:rPr>
        <w:t>– Ключевые особенности эволюционной модели развития ВИЭ</w:t>
      </w:r>
    </w:p>
    <w:p w14:paraId="5118EDDD" w14:textId="77777777" w:rsidR="00A1652D" w:rsidRDefault="00A1652D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14:paraId="6AAE498D" w14:textId="1B3EBE58" w:rsidR="00056D34" w:rsidRPr="00271D54" w:rsidRDefault="00056D3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A1652D">
        <w:rPr>
          <w:rFonts w:ascii="Times New Roman" w:hAnsi="Times New Roman" w:cs="Times New Roman"/>
          <w:lang w:val="ru-RU"/>
        </w:rPr>
        <w:t xml:space="preserve">Примечание: составлено автором </w:t>
      </w:r>
    </w:p>
    <w:p w14:paraId="7C1E1837" w14:textId="0885E305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0568EE" w14:textId="77777777" w:rsidR="00A1652D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1D54">
        <w:rPr>
          <w:rFonts w:ascii="Times New Roman" w:hAnsi="Times New Roman" w:cs="Times New Roman"/>
          <w:sz w:val="28"/>
          <w:szCs w:val="28"/>
        </w:rPr>
        <w:t xml:space="preserve">Выделенные характеристики демонстрируют, что развитие ВИЭ не может быть сведено к механизму рыночного равновесия. Для более глубокого понимания роли эволюционной модели необходимо сопоставить её с традиционными подходами. </w:t>
      </w:r>
    </w:p>
    <w:p w14:paraId="2993DDAF" w14:textId="446A2475" w:rsid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1D54">
        <w:rPr>
          <w:rFonts w:ascii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71D54">
        <w:rPr>
          <w:rFonts w:ascii="Times New Roman" w:hAnsi="Times New Roman" w:cs="Times New Roman"/>
          <w:sz w:val="28"/>
          <w:szCs w:val="28"/>
        </w:rPr>
        <w:t xml:space="preserve"> представлена сравнительная характеристика эволюционной теории и наиболее распространённых моделей регулирования энергетики.</w:t>
      </w:r>
    </w:p>
    <w:p w14:paraId="73E14887" w14:textId="3072C1FD" w:rsidR="00271D54" w:rsidRPr="00271D54" w:rsidRDefault="00271D54" w:rsidP="00271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271D5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71D54">
        <w:rPr>
          <w:rFonts w:ascii="Times New Roman" w:hAnsi="Times New Roman" w:cs="Times New Roman"/>
          <w:sz w:val="28"/>
          <w:szCs w:val="28"/>
        </w:rPr>
        <w:t xml:space="preserve"> – Сравнение эволюционного подхода и традиционных моделей регулирования энергетики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697"/>
        <w:gridCol w:w="3099"/>
        <w:gridCol w:w="3832"/>
      </w:tblGrid>
      <w:tr w:rsidR="00271D54" w:rsidRPr="00271D54" w14:paraId="047C3A39" w14:textId="77777777" w:rsidTr="00271D54">
        <w:tc>
          <w:tcPr>
            <w:tcW w:w="2697" w:type="dxa"/>
            <w:hideMark/>
          </w:tcPr>
          <w:p w14:paraId="24A85037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Подход</w:t>
            </w:r>
          </w:p>
        </w:tc>
        <w:tc>
          <w:tcPr>
            <w:tcW w:w="0" w:type="auto"/>
            <w:hideMark/>
          </w:tcPr>
          <w:p w14:paraId="681A1A7B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Теоретическая основа</w:t>
            </w:r>
          </w:p>
        </w:tc>
        <w:tc>
          <w:tcPr>
            <w:tcW w:w="0" w:type="auto"/>
            <w:hideMark/>
          </w:tcPr>
          <w:p w14:paraId="4C76CBFB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Ограничения в контексте развития ВИЭ</w:t>
            </w:r>
          </w:p>
        </w:tc>
      </w:tr>
      <w:tr w:rsidR="00271D54" w:rsidRPr="00271D54" w14:paraId="0A67F043" w14:textId="77777777" w:rsidTr="00271D54">
        <w:tc>
          <w:tcPr>
            <w:tcW w:w="2697" w:type="dxa"/>
            <w:hideMark/>
          </w:tcPr>
          <w:p w14:paraId="2CD24E9C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Неоклассическая модель</w:t>
            </w:r>
          </w:p>
        </w:tc>
        <w:tc>
          <w:tcPr>
            <w:tcW w:w="0" w:type="auto"/>
            <w:hideMark/>
          </w:tcPr>
          <w:p w14:paraId="1B1E8F77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Рыночное равновесие, минимизация издержек, саморегулирование</w:t>
            </w:r>
          </w:p>
        </w:tc>
        <w:tc>
          <w:tcPr>
            <w:tcW w:w="0" w:type="auto"/>
            <w:hideMark/>
          </w:tcPr>
          <w:p w14:paraId="7E728512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Недооценивает роль инфраструктурных барьеров, стоимость капитала, технологическую незрелость и внешние эффекты.</w:t>
            </w:r>
          </w:p>
        </w:tc>
      </w:tr>
      <w:tr w:rsidR="00271D54" w:rsidRPr="00271D54" w14:paraId="67726314" w14:textId="77777777" w:rsidTr="00271D54">
        <w:tc>
          <w:tcPr>
            <w:tcW w:w="2697" w:type="dxa"/>
            <w:hideMark/>
          </w:tcPr>
          <w:p w14:paraId="50790365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Рыночно-системная модель</w:t>
            </w:r>
          </w:p>
        </w:tc>
        <w:tc>
          <w:tcPr>
            <w:tcW w:w="0" w:type="auto"/>
            <w:hideMark/>
          </w:tcPr>
          <w:p w14:paraId="4D84175A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Регулирование через ценовые сигналы и конкуренцию</w:t>
            </w:r>
          </w:p>
        </w:tc>
        <w:tc>
          <w:tcPr>
            <w:tcW w:w="0" w:type="auto"/>
            <w:hideMark/>
          </w:tcPr>
          <w:p w14:paraId="5F80B37B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Не обеспечивает условия для появления новых технологий с высокими первоначальными издержками.</w:t>
            </w:r>
          </w:p>
        </w:tc>
      </w:tr>
      <w:tr w:rsidR="00271D54" w:rsidRPr="00271D54" w14:paraId="1861B868" w14:textId="77777777" w:rsidTr="00271D54">
        <w:tc>
          <w:tcPr>
            <w:tcW w:w="2697" w:type="dxa"/>
            <w:hideMark/>
          </w:tcPr>
          <w:p w14:paraId="2A4FD799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proofErr w:type="spellStart"/>
            <w:r w:rsidRPr="00271D54">
              <w:rPr>
                <w:sz w:val="24"/>
                <w:szCs w:val="24"/>
              </w:rPr>
              <w:t>Неоинституциональный</w:t>
            </w:r>
            <w:proofErr w:type="spellEnd"/>
            <w:r w:rsidRPr="00271D54">
              <w:rPr>
                <w:sz w:val="24"/>
                <w:szCs w:val="24"/>
              </w:rPr>
              <w:t xml:space="preserve"> подход</w:t>
            </w:r>
          </w:p>
        </w:tc>
        <w:tc>
          <w:tcPr>
            <w:tcW w:w="0" w:type="auto"/>
            <w:hideMark/>
          </w:tcPr>
          <w:p w14:paraId="540EE08C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Значение правил, институтов и транзакционных издержек</w:t>
            </w:r>
          </w:p>
        </w:tc>
        <w:tc>
          <w:tcPr>
            <w:tcW w:w="0" w:type="auto"/>
            <w:hideMark/>
          </w:tcPr>
          <w:p w14:paraId="59C93E23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Описывает рамочные условия, но не раскрывает механизмы стимулирования инноваций.</w:t>
            </w:r>
          </w:p>
        </w:tc>
      </w:tr>
      <w:tr w:rsidR="00271D54" w:rsidRPr="00271D54" w14:paraId="2659E0AD" w14:textId="77777777" w:rsidTr="00271D54">
        <w:tc>
          <w:tcPr>
            <w:tcW w:w="2697" w:type="dxa"/>
            <w:hideMark/>
          </w:tcPr>
          <w:p w14:paraId="77EC32A3" w14:textId="4F9F3746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 xml:space="preserve">Технологический уклад </w:t>
            </w:r>
          </w:p>
        </w:tc>
        <w:tc>
          <w:tcPr>
            <w:tcW w:w="0" w:type="auto"/>
            <w:hideMark/>
          </w:tcPr>
          <w:p w14:paraId="3B5F94A5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Переходы между технологическими волнами</w:t>
            </w:r>
          </w:p>
        </w:tc>
        <w:tc>
          <w:tcPr>
            <w:tcW w:w="0" w:type="auto"/>
            <w:hideMark/>
          </w:tcPr>
          <w:p w14:paraId="5CD65A7A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Недостаточно учитывает особенности энергетической инфраструктуры и роль государства на ранних стадиях.</w:t>
            </w:r>
          </w:p>
        </w:tc>
      </w:tr>
      <w:tr w:rsidR="00271D54" w:rsidRPr="00271D54" w14:paraId="589381CB" w14:textId="77777777" w:rsidTr="00271D54">
        <w:tc>
          <w:tcPr>
            <w:tcW w:w="2697" w:type="dxa"/>
            <w:hideMark/>
          </w:tcPr>
          <w:p w14:paraId="610D04F8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Эволюционный подход к ВИЭ</w:t>
            </w:r>
          </w:p>
        </w:tc>
        <w:tc>
          <w:tcPr>
            <w:tcW w:w="0" w:type="auto"/>
            <w:hideMark/>
          </w:tcPr>
          <w:p w14:paraId="4B8479CE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Коэволюция технологий, знаний и институтов; активная роль государства</w:t>
            </w:r>
          </w:p>
        </w:tc>
        <w:tc>
          <w:tcPr>
            <w:tcW w:w="0" w:type="auto"/>
            <w:hideMark/>
          </w:tcPr>
          <w:p w14:paraId="3441BA44" w14:textId="77777777" w:rsidR="00271D54" w:rsidRPr="00271D54" w:rsidRDefault="00271D54" w:rsidP="00271D54">
            <w:pPr>
              <w:jc w:val="both"/>
              <w:rPr>
                <w:sz w:val="24"/>
                <w:szCs w:val="24"/>
              </w:rPr>
            </w:pPr>
            <w:r w:rsidRPr="00271D54">
              <w:rPr>
                <w:sz w:val="24"/>
                <w:szCs w:val="24"/>
              </w:rPr>
              <w:t>Наиболее полно отражает нелинейность, высокую инерционность и необходимость долгосрочной политики.</w:t>
            </w:r>
          </w:p>
        </w:tc>
      </w:tr>
      <w:tr w:rsidR="00271D54" w:rsidRPr="00056D34" w14:paraId="5BBBCBC1" w14:textId="77777777" w:rsidTr="009E4CDD">
        <w:tc>
          <w:tcPr>
            <w:tcW w:w="9345" w:type="dxa"/>
            <w:gridSpan w:val="3"/>
          </w:tcPr>
          <w:p w14:paraId="5B1BFCBD" w14:textId="5F4E42FB" w:rsidR="00271D54" w:rsidRPr="00056D34" w:rsidRDefault="00056D34" w:rsidP="00271D54">
            <w:pPr>
              <w:jc w:val="both"/>
              <w:rPr>
                <w:sz w:val="24"/>
                <w:szCs w:val="24"/>
              </w:rPr>
            </w:pPr>
            <w:r w:rsidRPr="00056D34">
              <w:rPr>
                <w:sz w:val="24"/>
                <w:szCs w:val="24"/>
                <w:lang w:val="ru-RU"/>
              </w:rPr>
              <w:t>Примечание: составлено автором на основании источника [49-53]</w:t>
            </w:r>
          </w:p>
        </w:tc>
      </w:tr>
    </w:tbl>
    <w:p w14:paraId="2DE72057" w14:textId="4E8496EF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D06A0C" w14:textId="15CCBAE0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t xml:space="preserve">Сопоставление показывает, что традиционные модели ориентированы на уже сформированные рынки и зрелые технологии. Однако внедрение ВИЭ требует иной логики: поскольку новые технологии изначально проигрывают ископаемой генерации по издержкам, требуется не корректировка рыночных сигналов, а целенаправленное создание условий для развития сектора. 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>В связи с чем</w:t>
      </w:r>
      <w:r w:rsidRPr="00271D54">
        <w:rPr>
          <w:rFonts w:ascii="Times New Roman" w:hAnsi="Times New Roman" w:cs="Times New Roman"/>
          <w:sz w:val="28"/>
          <w:szCs w:val="28"/>
        </w:rPr>
        <w:t xml:space="preserve"> эволюционный подход оказался концептуально адекватным рамкам современного энергетического перехода.</w:t>
      </w:r>
    </w:p>
    <w:p w14:paraId="548109ED" w14:textId="6FC21B00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t>Эволюционная теория также позволяет объяснить межстрановые различия в динамике внедрения ВИЭ. Государства, которые обеспечили комплексное сочетание тарифных стимулов, институциональной стабильности и инвестиций в инфраструктуру, смогли сформировать устойчивые технологические экосистемы. Страны, ориентированные исключительно на рыночные механизмы, напротив, сталкивались с замедлением темпов внедрения и высокой волатильностью сектора.</w:t>
      </w:r>
    </w:p>
    <w:p w14:paraId="7FD8A816" w14:textId="78A53C17" w:rsidR="00271D54" w:rsidRPr="00271D54" w:rsidRDefault="00271D54" w:rsidP="00271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54">
        <w:rPr>
          <w:rFonts w:ascii="Times New Roman" w:hAnsi="Times New Roman" w:cs="Times New Roman"/>
          <w:sz w:val="28"/>
          <w:szCs w:val="28"/>
        </w:rPr>
        <w:t xml:space="preserve">В контексте Казахстана и Китая эволюционный подход имеет особую значимость. Для Казахстана он объясняет необходимость активной государственной политики в условиях высокой 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углеродоёмкости</w:t>
      </w:r>
      <w:proofErr w:type="spellEnd"/>
      <w:r w:rsidRPr="00271D54">
        <w:rPr>
          <w:rFonts w:ascii="Times New Roman" w:hAnsi="Times New Roman" w:cs="Times New Roman"/>
          <w:sz w:val="28"/>
          <w:szCs w:val="28"/>
        </w:rPr>
        <w:t xml:space="preserve"> экономики, ограниченности маневренных мощностей и существующих инфраструктурных барьеров. Для Китая эволюционная теория отражает фактическую траекторию развития сектора, основанную на сочетании масштабных инвестиций, долгосрочного планирования, субсидирования отрасли и формирования </w:t>
      </w:r>
      <w:r w:rsidRPr="00271D54">
        <w:rPr>
          <w:rFonts w:ascii="Times New Roman" w:hAnsi="Times New Roman" w:cs="Times New Roman"/>
          <w:sz w:val="28"/>
          <w:szCs w:val="28"/>
        </w:rPr>
        <w:lastRenderedPageBreak/>
        <w:t>глобальной производственной базы ВИЭ.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волюционный</w:t>
      </w:r>
      <w:proofErr w:type="spellEnd"/>
      <w:r w:rsidRPr="00271D54">
        <w:rPr>
          <w:rFonts w:ascii="Times New Roman" w:hAnsi="Times New Roman" w:cs="Times New Roman"/>
          <w:sz w:val="28"/>
          <w:szCs w:val="28"/>
        </w:rPr>
        <w:t xml:space="preserve"> подход формирует методологический фундамент для анализа энергетического перехода, поскольку учитывает структурную сложность сектора, институциональную специфику и технологические зависимости. </w:t>
      </w:r>
      <w:r w:rsidR="00A1652D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271D54">
        <w:rPr>
          <w:rFonts w:ascii="Times New Roman" w:hAnsi="Times New Roman" w:cs="Times New Roman"/>
          <w:sz w:val="28"/>
          <w:szCs w:val="28"/>
        </w:rPr>
        <w:t>озволяет</w:t>
      </w:r>
      <w:proofErr w:type="spellEnd"/>
      <w:r w:rsidRPr="00271D54">
        <w:rPr>
          <w:rFonts w:ascii="Times New Roman" w:hAnsi="Times New Roman" w:cs="Times New Roman"/>
          <w:sz w:val="28"/>
          <w:szCs w:val="28"/>
        </w:rPr>
        <w:t xml:space="preserve"> рассматривать развитие ВИЭ не как следствие рыночного равновесия, а как результат последовательной государственной политики, направленной на формирование нового технологического режима</w:t>
      </w:r>
      <w:r w:rsidR="00056D34">
        <w:rPr>
          <w:rFonts w:ascii="Times New Roman" w:hAnsi="Times New Roman" w:cs="Times New Roman"/>
          <w:sz w:val="28"/>
          <w:szCs w:val="28"/>
        </w:rPr>
        <w:t xml:space="preserve"> [54]</w:t>
      </w:r>
      <w:r w:rsidRPr="00271D54">
        <w:rPr>
          <w:rFonts w:ascii="Times New Roman" w:hAnsi="Times New Roman" w:cs="Times New Roman"/>
          <w:sz w:val="28"/>
          <w:szCs w:val="28"/>
        </w:rPr>
        <w:t>.</w:t>
      </w:r>
    </w:p>
    <w:p w14:paraId="1E4BDF4A" w14:textId="77777777" w:rsidR="00AF62E2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0F8">
        <w:rPr>
          <w:rFonts w:ascii="Times New Roman" w:hAnsi="Times New Roman" w:cs="Times New Roman"/>
          <w:sz w:val="28"/>
          <w:szCs w:val="28"/>
        </w:rPr>
        <w:t>Возобновляемая энергия, в первую очередь ветровая и солнечная, характеризуется двумя ключевыми техническими ограничениями, которые существенно влияют на экономику её внедрения</w:t>
      </w:r>
      <w:r w:rsidR="00AF62E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FF54644" w14:textId="5FC1ECAD" w:rsidR="008440F8" w:rsidRP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0F8">
        <w:rPr>
          <w:rFonts w:ascii="Times New Roman" w:hAnsi="Times New Roman" w:cs="Times New Roman"/>
          <w:sz w:val="28"/>
          <w:szCs w:val="28"/>
        </w:rPr>
        <w:t>Во-первых,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40F8">
        <w:rPr>
          <w:rFonts w:ascii="Times New Roman" w:hAnsi="Times New Roman" w:cs="Times New Roman"/>
          <w:sz w:val="28"/>
          <w:szCs w:val="28"/>
        </w:rPr>
        <w:t>прерывистый характер генерации, вызванный высокой зависимостью от погодных и природно-климатических факторов. Изменчивость и случайность выработки электроэнергии делают невозможным стабильное энергоснабжение исключительно за счёт ВИЭ без использования резервных мощностей. В практике энергетического баланса для компенсации таких колебаний используется тепловая генерация как источник пикового регулирования.</w:t>
      </w:r>
    </w:p>
    <w:p w14:paraId="5F95819B" w14:textId="5DCEF606" w:rsidR="008440F8" w:rsidRP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0F8">
        <w:rPr>
          <w:rFonts w:ascii="Times New Roman" w:hAnsi="Times New Roman" w:cs="Times New Roman"/>
          <w:sz w:val="28"/>
          <w:szCs w:val="28"/>
        </w:rPr>
        <w:t>Во-вторых, возобновляемые источники обладают свойством непосредственности потребления, поскольку существующие технологии хранения электроэнергии пока не обеспечивают масштабного и экономически эффективного накопления энергии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8440F8">
        <w:rPr>
          <w:rFonts w:ascii="Times New Roman" w:hAnsi="Times New Roman" w:cs="Times New Roman"/>
          <w:sz w:val="28"/>
          <w:szCs w:val="28"/>
        </w:rPr>
        <w:t>то обуславливает необходимость немедленного потребления произведённой электроэнергии, что требует глубокой интеграции ВИЭ в общую энергосистему и согласования режимов генерации и потребления.</w:t>
      </w:r>
    </w:p>
    <w:p w14:paraId="059A0E86" w14:textId="3B6BCFEC" w:rsidR="008440F8" w:rsidRP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0F8">
        <w:rPr>
          <w:rFonts w:ascii="Times New Roman" w:hAnsi="Times New Roman" w:cs="Times New Roman"/>
          <w:sz w:val="28"/>
          <w:szCs w:val="28"/>
        </w:rPr>
        <w:t>Комбинация двух технологических факторов</w:t>
      </w:r>
      <w:r w:rsidR="00AF62E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440F8">
        <w:rPr>
          <w:rFonts w:ascii="Times New Roman" w:hAnsi="Times New Roman" w:cs="Times New Roman"/>
          <w:sz w:val="28"/>
          <w:szCs w:val="28"/>
        </w:rPr>
        <w:t xml:space="preserve"> нестабильности и невозможности длительного хранения</w:t>
      </w:r>
      <w:r w:rsidR="00AF62E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440F8">
        <w:rPr>
          <w:rFonts w:ascii="Times New Roman" w:hAnsi="Times New Roman" w:cs="Times New Roman"/>
          <w:sz w:val="28"/>
          <w:szCs w:val="28"/>
        </w:rPr>
        <w:t xml:space="preserve"> делает себестоимость электроэнергии из ВИЭ выше, чем у традиционной тепловой генерации, в особенности на ранних стадиях развития отрасли. В результате рыночный механизм сам по себе не обеспечивает достаточного уровня инвестиций и масштабирования возобновляемых технологий. 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>В связи с чем</w:t>
      </w:r>
      <w:r w:rsidRPr="008440F8">
        <w:rPr>
          <w:rFonts w:ascii="Times New Roman" w:hAnsi="Times New Roman" w:cs="Times New Roman"/>
          <w:sz w:val="28"/>
          <w:szCs w:val="28"/>
        </w:rPr>
        <w:t xml:space="preserve"> теория пути роста ВИЭ исходит из того, что развитие возобновляемой энергетики не может происходить исключительно спонтанно: необходимы инструменты государственного вмешательства, направленные на компенсацию рыночных провалов и создание благоприятных институциональных условий</w:t>
      </w:r>
      <w:r w:rsidR="00056D34">
        <w:rPr>
          <w:rFonts w:ascii="Times New Roman" w:hAnsi="Times New Roman" w:cs="Times New Roman"/>
          <w:sz w:val="28"/>
          <w:szCs w:val="28"/>
        </w:rPr>
        <w:t xml:space="preserve"> [55]</w:t>
      </w:r>
      <w:r w:rsidRPr="008440F8">
        <w:rPr>
          <w:rFonts w:ascii="Times New Roman" w:hAnsi="Times New Roman" w:cs="Times New Roman"/>
          <w:sz w:val="28"/>
          <w:szCs w:val="28"/>
        </w:rPr>
        <w:t>.</w:t>
      </w:r>
    </w:p>
    <w:p w14:paraId="53299AF6" w14:textId="2D5EE83F" w:rsid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40F8">
        <w:rPr>
          <w:rFonts w:ascii="Times New Roman" w:hAnsi="Times New Roman" w:cs="Times New Roman"/>
          <w:sz w:val="28"/>
          <w:szCs w:val="28"/>
          <w:lang w:val="ru-RU"/>
        </w:rPr>
        <w:t xml:space="preserve">В контексте теории пути роста возобновляемой энергетики ключевая роль государства заключается в создании институциональной и экономической среды, способствующей переходу от традиционной </w:t>
      </w:r>
      <w:proofErr w:type="spellStart"/>
      <w:r w:rsidRPr="008440F8">
        <w:rPr>
          <w:rFonts w:ascii="Times New Roman" w:hAnsi="Times New Roman" w:cs="Times New Roman"/>
          <w:sz w:val="28"/>
          <w:szCs w:val="28"/>
          <w:lang w:val="ru-RU"/>
        </w:rPr>
        <w:t>углеродоёмкой</w:t>
      </w:r>
      <w:proofErr w:type="spellEnd"/>
      <w:r w:rsidRPr="008440F8">
        <w:rPr>
          <w:rFonts w:ascii="Times New Roman" w:hAnsi="Times New Roman" w:cs="Times New Roman"/>
          <w:sz w:val="28"/>
          <w:szCs w:val="28"/>
          <w:lang w:val="ru-RU"/>
        </w:rPr>
        <w:t xml:space="preserve"> модели к устойчивой энергетической системе. Государственное регулирование в данном случае рассматривается не как внешний инструмент воздействия, а как структурный элемент энергетического цикла, обеспечивающий баланс между инновационным развитием, рыночной динамикой и общественными интересами.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40F8">
        <w:rPr>
          <w:rFonts w:ascii="Times New Roman" w:hAnsi="Times New Roman" w:cs="Times New Roman"/>
          <w:sz w:val="28"/>
          <w:szCs w:val="28"/>
          <w:lang w:val="ru-RU"/>
        </w:rPr>
        <w:t xml:space="preserve">Для устойчивого развития ВИЭ необходимо формирование комплексного механизма, включающего экономические стимулы, правовые основы, поддержку научно-технических инноваций, развитие инфраструктуры и обеспечение </w:t>
      </w:r>
      <w:r w:rsidRPr="008440F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энергетической безопасности.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8440F8">
        <w:rPr>
          <w:rFonts w:ascii="Times New Roman" w:hAnsi="Times New Roman" w:cs="Times New Roman"/>
          <w:sz w:val="28"/>
          <w:szCs w:val="28"/>
          <w:lang w:val="ru-RU"/>
        </w:rPr>
        <w:t xml:space="preserve"> элементы взаимосвязаны и образуют замкнутый энергетический цикл, в котором каждый компонент усиливает действие других, создавая эффект системного роста. Сущность данного взаимодействия представлена на </w:t>
      </w:r>
      <w:r w:rsidR="00271D54">
        <w:rPr>
          <w:rFonts w:ascii="Times New Roman" w:hAnsi="Times New Roman" w:cs="Times New Roman"/>
          <w:sz w:val="28"/>
          <w:szCs w:val="28"/>
          <w:lang w:val="ru-RU"/>
        </w:rPr>
        <w:t>рисунке 2</w:t>
      </w:r>
      <w:r w:rsidRPr="008440F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DAEC57" w14:textId="3472D3D5" w:rsid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BC20A5C" w14:textId="77777777" w:rsidR="008440F8" w:rsidRP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833C8E" w14:textId="111A2DEE" w:rsid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460BFBE" wp14:editId="1518255F">
            <wp:extent cx="5486400" cy="4733925"/>
            <wp:effectExtent l="0" t="0" r="0" b="0"/>
            <wp:docPr id="36780939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0F9DD1C" w14:textId="043EAB12" w:rsidR="008440F8" w:rsidRDefault="008440F8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643754" w14:textId="46532303" w:rsidR="008440F8" w:rsidRDefault="00302C02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Pr="00302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71D5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302C02">
        <w:rPr>
          <w:rFonts w:ascii="Times New Roman" w:hAnsi="Times New Roman" w:cs="Times New Roman"/>
          <w:sz w:val="28"/>
          <w:szCs w:val="28"/>
        </w:rPr>
        <w:t xml:space="preserve"> </w:t>
      </w:r>
      <w:r w:rsidR="00056D34">
        <w:rPr>
          <w:rFonts w:ascii="Times New Roman" w:hAnsi="Times New Roman" w:cs="Times New Roman"/>
          <w:sz w:val="28"/>
          <w:szCs w:val="28"/>
        </w:rPr>
        <w:t xml:space="preserve">- </w:t>
      </w:r>
      <w:r w:rsidRPr="00302C02">
        <w:rPr>
          <w:rFonts w:ascii="Times New Roman" w:hAnsi="Times New Roman" w:cs="Times New Roman"/>
          <w:sz w:val="28"/>
          <w:szCs w:val="28"/>
        </w:rPr>
        <w:t>Роль государства в формировании устойчивого энергетического цикла в теории пути роста ВИЭ</w:t>
      </w:r>
    </w:p>
    <w:p w14:paraId="5740212C" w14:textId="77777777" w:rsidR="00056D34" w:rsidRPr="00056D34" w:rsidRDefault="00056D34" w:rsidP="00056D3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E70690C" w14:textId="5C201E88" w:rsidR="00302C02" w:rsidRPr="00056D34" w:rsidRDefault="00302C02" w:rsidP="00056D3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56D34">
        <w:rPr>
          <w:rFonts w:ascii="Times New Roman" w:hAnsi="Times New Roman" w:cs="Times New Roman"/>
          <w:lang w:val="ru-RU"/>
        </w:rPr>
        <w:t xml:space="preserve">Примечание: </w:t>
      </w:r>
      <w:r w:rsidR="00AF62E2" w:rsidRPr="00056D34">
        <w:rPr>
          <w:rFonts w:ascii="Times New Roman" w:hAnsi="Times New Roman" w:cs="Times New Roman"/>
          <w:lang w:val="ru-RU"/>
        </w:rPr>
        <w:t>составлено автором на основании источника [</w:t>
      </w:r>
      <w:r w:rsidR="00056D34" w:rsidRPr="00056D34">
        <w:rPr>
          <w:rFonts w:ascii="Times New Roman" w:hAnsi="Times New Roman" w:cs="Times New Roman"/>
          <w:lang w:val="ru-RU"/>
        </w:rPr>
        <w:t>56</w:t>
      </w:r>
      <w:r w:rsidR="00AF62E2" w:rsidRPr="00056D34">
        <w:rPr>
          <w:rFonts w:ascii="Times New Roman" w:hAnsi="Times New Roman" w:cs="Times New Roman"/>
          <w:lang w:val="ru-RU"/>
        </w:rPr>
        <w:t>]</w:t>
      </w:r>
    </w:p>
    <w:p w14:paraId="2A08504A" w14:textId="77777777" w:rsidR="00302C02" w:rsidRDefault="00302C02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BFADF1" w14:textId="33CD2E11" w:rsidR="008440F8" w:rsidRPr="008440F8" w:rsidRDefault="00445F33" w:rsidP="00844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Start"/>
      <w:r w:rsidR="008440F8" w:rsidRPr="008440F8">
        <w:rPr>
          <w:rFonts w:ascii="Times New Roman" w:hAnsi="Times New Roman" w:cs="Times New Roman"/>
          <w:sz w:val="28"/>
          <w:szCs w:val="28"/>
        </w:rPr>
        <w:t>еория</w:t>
      </w:r>
      <w:proofErr w:type="spellEnd"/>
      <w:r w:rsidR="008440F8" w:rsidRPr="008440F8">
        <w:rPr>
          <w:rFonts w:ascii="Times New Roman" w:hAnsi="Times New Roman" w:cs="Times New Roman"/>
          <w:sz w:val="28"/>
          <w:szCs w:val="28"/>
        </w:rPr>
        <w:t xml:space="preserve"> пути роста ВИЭ отражает ключевой тезис современной «зелёной» экономики: устойчивое развитие энергетического сектора возможно только при сочетании технологических инноваций, государственной поддержки и рыночных механизмов конкуренции. В </w:t>
      </w:r>
      <w:proofErr w:type="spellStart"/>
      <w:r w:rsidR="00056D34">
        <w:rPr>
          <w:rFonts w:ascii="Times New Roman" w:hAnsi="Times New Roman" w:cs="Times New Roman"/>
          <w:sz w:val="28"/>
          <w:szCs w:val="28"/>
          <w:lang w:val="ru-RU"/>
        </w:rPr>
        <w:t>данно</w:t>
      </w:r>
      <w:proofErr w:type="spellEnd"/>
      <w:r w:rsidR="008440F8" w:rsidRPr="008440F8">
        <w:rPr>
          <w:rFonts w:ascii="Times New Roman" w:hAnsi="Times New Roman" w:cs="Times New Roman"/>
          <w:sz w:val="28"/>
          <w:szCs w:val="28"/>
        </w:rPr>
        <w:t>м контексте государственная политика выступает не как внешний модератор, а как структурообразующий фактор, определяющий скорость и качество энергетического перехода.</w:t>
      </w:r>
    </w:p>
    <w:p w14:paraId="68242D59" w14:textId="306A5301" w:rsidR="00EC64BF" w:rsidRPr="00EC64BF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4BF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Существующие исследования показывают, что развитие ВИЭ обычно проходит четыре различных этапа, а именно этап исследований и разработок, этап демонстрации технологий, начальный этап коммерциализации и зрелый 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этап коммерциализации. Разные этапы развития имеют разные характеристики, в основном проявляющиеся в разных ролях правительства. На этапе исследований и разработок необходимо сосредоточиться на повышении технической силы, снижении стоимости индустриализации ВИЭ и закладке прочной основы для следующего этапа. 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t>равительство, как лидер, должно обратить внимание на внедрение передовых технологий и вложение средств на исследования и разработки. На этапе демонстрации технологии стоимость возобновляемой энергии была снижена, но конкурировать с традиционной ископаемой энергией по-прежнему сложно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>. Г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t>осударство должно брать на себя ведущую роль, продолжать увеличивать инвестиции в исследования и разработки, преодолевать технические узкие места и еще больше сокращать расходы</w:t>
      </w:r>
      <w:r w:rsidR="00F80F88">
        <w:rPr>
          <w:rFonts w:ascii="Times New Roman" w:hAnsi="Times New Roman" w:cs="Times New Roman"/>
          <w:sz w:val="28"/>
          <w:szCs w:val="28"/>
          <w:lang w:val="ru-RU"/>
        </w:rPr>
        <w:t xml:space="preserve"> и п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t>роводить необходимую преференциальную политику, чтобы побудить больше инвесторов войти в отрасль ВИЭ</w:t>
      </w:r>
      <w:r w:rsidR="00056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6D34" w:rsidRPr="00056D34">
        <w:rPr>
          <w:rFonts w:ascii="Times New Roman" w:hAnsi="Times New Roman" w:cs="Times New Roman"/>
          <w:sz w:val="28"/>
          <w:szCs w:val="28"/>
          <w:lang w:val="ru-RU"/>
        </w:rPr>
        <w:t>[57]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ECA2B9" w14:textId="0D6EF98D" w:rsidR="00EC64BF" w:rsidRPr="00EC64BF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4BF">
        <w:rPr>
          <w:rFonts w:ascii="Times New Roman" w:hAnsi="Times New Roman" w:cs="Times New Roman"/>
          <w:sz w:val="28"/>
          <w:szCs w:val="28"/>
          <w:lang w:val="ru-RU"/>
        </w:rPr>
        <w:t xml:space="preserve">На ранней стадии коммерциализации, благодаря первоначальным инвестициям и поддержке правительства, по сравнению с традиционной ископаемой энергией, возобновляемая энергия в настоящее время имеет определенную степень конкурентоспособности, руководствуясь интересами, предприятия будут играть более важную роль на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данном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t xml:space="preserve"> этапе, взяв на себя ответственность за технологические инновации и снижение затрат, в то время как правительство превратится из лидера в направляющего. Особое внимание следует уделять внедрению и совершенствованию рыночных механизмов, совершенствованию соответствующих политик и правил, усилению конкуренции в области ВИЭ и поощрению потребителей приобретать продукты ВИЭ посредством рекламы. Последний этап является зрелой стадией коммерциализации, правительство будет продолжать играть направляющую роль для обеспечения упорядоченного развития рынка ВИЭ путем раскрытия информации и предоставления сервисных и консультационных платформ, предприятия, как крупные участники рынка ВИЭ, будут играть ведущую роль и стимулировать здоровое развитие всей отрасли [</w:t>
      </w:r>
      <w:r w:rsidR="00056D34" w:rsidRPr="00056D34">
        <w:rPr>
          <w:rFonts w:ascii="Times New Roman" w:hAnsi="Times New Roman" w:cs="Times New Roman"/>
          <w:sz w:val="28"/>
          <w:szCs w:val="28"/>
          <w:lang w:val="ru-RU"/>
        </w:rPr>
        <w:t>58</w:t>
      </w:r>
      <w:r w:rsidRPr="00EC64BF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5A94B4D" w14:textId="78B12F7E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Развитие возобновляемых источников энергии подчиняется определённой экономической логике роста, отражающей постепенное выравнивание предельных издержек производства «зелёной» и традиционной энергии. В основе модели лежит соотношение предельных издержек возобновляемой энергии и ископаемой энергии, которое определяет конкурентоспособность технологий на каждом этапе энергетического перехода.</w:t>
      </w:r>
    </w:p>
    <w:p w14:paraId="7ABAC6B3" w14:textId="228CF97D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На ранних стадиях развития сектора предельные издержки производства ВИЭ существенно выше, чем у ископаемой энергетики, что ограничивает их рыночное распространение. По мере накопления технологических инноваций и масштабирования производства издержки постепенно снижаются, приближаясь к уровню традиционных источников. В теоретической модели процесс можно разделить на четыре последовательные стадии</w:t>
      </w:r>
      <w:r w:rsidR="00056D34">
        <w:rPr>
          <w:rFonts w:ascii="Times New Roman" w:hAnsi="Times New Roman" w:cs="Times New Roman"/>
          <w:sz w:val="28"/>
          <w:szCs w:val="28"/>
        </w:rPr>
        <w:t xml:space="preserve"> [59]</w:t>
      </w:r>
      <w:r w:rsidRPr="00AC6289">
        <w:rPr>
          <w:rFonts w:ascii="Times New Roman" w:hAnsi="Times New Roman" w:cs="Times New Roman"/>
          <w:sz w:val="28"/>
          <w:szCs w:val="28"/>
        </w:rPr>
        <w:t>:</w:t>
      </w:r>
    </w:p>
    <w:p w14:paraId="6A65B96F" w14:textId="4E7CD366" w:rsidR="00AC6289" w:rsidRPr="00AC6289" w:rsidRDefault="00AC6289" w:rsidP="00AC6289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Нишевая стадия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AC6289">
        <w:rPr>
          <w:rFonts w:ascii="Times New Roman" w:hAnsi="Times New Roman" w:cs="Times New Roman"/>
          <w:sz w:val="28"/>
          <w:szCs w:val="28"/>
        </w:rPr>
        <w:t xml:space="preserve"> период</w:t>
      </w:r>
      <w:proofErr w:type="gramEnd"/>
      <w:r w:rsidRPr="00AC6289">
        <w:rPr>
          <w:rFonts w:ascii="Times New Roman" w:hAnsi="Times New Roman" w:cs="Times New Roman"/>
          <w:sz w:val="28"/>
          <w:szCs w:val="28"/>
        </w:rPr>
        <w:t>, когда ВИЭ существуют в ограниченных сегментах рынка, выполняя преимущественно экспериментальные и демонстрационные функции.</w:t>
      </w:r>
    </w:p>
    <w:p w14:paraId="5B87D3A1" w14:textId="55EBAB7C" w:rsidR="00AC6289" w:rsidRPr="00AC6289" w:rsidRDefault="00AC6289" w:rsidP="00AC6289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lastRenderedPageBreak/>
        <w:t xml:space="preserve">Этап формирования рынка при государственной поддержке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>стадия, на которой возобновляемая энергетика получает возможность выхода на рынок, но требует субсидий, тарифных стимулов и институциональной поддержки, компенсирующих высокие издержки.</w:t>
      </w:r>
    </w:p>
    <w:p w14:paraId="04CEAE72" w14:textId="461FB8A1" w:rsidR="00AC6289" w:rsidRPr="00AC6289" w:rsidRDefault="00AC6289" w:rsidP="00AC6289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Фаза конкурентного выравнивания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момент, когда себестоимость производства электроэнергии из ВИЭ становится сопоставимой или ниже стоимости ископаемой энергии, что открывает путь к постепенному вытеснению традиционных мощностей.</w:t>
      </w:r>
    </w:p>
    <w:p w14:paraId="0806EE8F" w14:textId="2BDCD31B" w:rsidR="00AC6289" w:rsidRPr="00AC6289" w:rsidRDefault="00AC6289" w:rsidP="00AC6289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Этап устойчивого доминирования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заключительная фаза, при которой ВИЭ получают абсолютное экономическое преимущество (и становятся ведущим источником энергии, обеспечивая низкоуглеродное развитие и энергетическую независимость.</w:t>
      </w:r>
    </w:p>
    <w:p w14:paraId="0CFA9EB2" w14:textId="464A6E2D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Современная мировая энергетика в целом находится на втором этапе, когда роль государства является определяющей. Для перехода к фазе конкурентного выравнивания необходимо поддержание стимулирующей цены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AC6289">
        <w:rPr>
          <w:rFonts w:ascii="Times New Roman" w:hAnsi="Times New Roman" w:cs="Times New Roman"/>
          <w:sz w:val="28"/>
          <w:szCs w:val="28"/>
        </w:rPr>
        <w:t xml:space="preserve">разницы между себестоимостью ВИЭ и ископаемой энергии, компенсируемой государством в виде тарифных надбавок и субсидий. </w:t>
      </w:r>
    </w:p>
    <w:p w14:paraId="05A6D5BB" w14:textId="0FFC47D9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В то же время экономическая логика энергетического роста тесно связана с международными теориями торговли, которые объясняют взаимодействие стран в процессе технологического обмена. Ещё меркантилисты XVII–XVIII вв. полагали, что богатство нации определяется накоплением драгоценных металлов и торговым профицитом. </w:t>
      </w:r>
    </w:p>
    <w:p w14:paraId="6C6209D9" w14:textId="736E153F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Развитие идей продолжил Давид Рикардо</w:t>
      </w:r>
      <w:r w:rsidR="00056D34">
        <w:rPr>
          <w:rFonts w:ascii="Times New Roman" w:hAnsi="Times New Roman" w:cs="Times New Roman"/>
          <w:sz w:val="28"/>
          <w:szCs w:val="28"/>
        </w:rPr>
        <w:t xml:space="preserve"> [60]</w:t>
      </w:r>
      <w:r w:rsidRPr="00AC6289">
        <w:rPr>
          <w:rFonts w:ascii="Times New Roman" w:hAnsi="Times New Roman" w:cs="Times New Roman"/>
          <w:sz w:val="28"/>
          <w:szCs w:val="28"/>
        </w:rPr>
        <w:t>, предложивший теорию сравнительных преимуществ, согласно которой международная торговля выгодна даже в случае, если одна из стран обладает преимуществом во всех видах продукции. Эффект достигается за счёт различий в относительных издержках: государства специализируются на производстве тех товаров, где их относительные издержки ниже, что обеспечивает взаимовыгодный обмен.</w:t>
      </w:r>
    </w:p>
    <w:p w14:paraId="0820BC67" w14:textId="77777777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Применительно к торговле оборудованием для возобновляемой энергетики между Казахстаном и Китаем данная теория объясняет устойчивый характер двустороннего сотрудничества. Китай, обладая сравнительным преимуществом в технологиях, производственной эффективности и масштабах выпуска, выступает ключевым поставщиком оборудования, компонентов и технологий для ВИЭ. Казахстан, в свою очередь, используя импорт как инструмент технологического трансфера, получает возможность ускоренного развития собственной индустрии возобновляемой энергетики и накопления компетенций в сфере эксплуатации и адаптации оборудования.</w:t>
      </w:r>
    </w:p>
    <w:p w14:paraId="6AE8648D" w14:textId="60506C4A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Такое взаимодействие соответствует второй стадии энергетического роста </w:t>
      </w:r>
      <w:r w:rsidR="00C90F9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этапу, когда внутренний рынок страны опирается на внешние поставки и государственные стимулы, формируя предпосылки для последующего перехода к конкурентной и самоподдерживающейся модели</w:t>
      </w:r>
      <w:r w:rsidR="00056D34">
        <w:rPr>
          <w:rFonts w:ascii="Times New Roman" w:hAnsi="Times New Roman" w:cs="Times New Roman"/>
          <w:sz w:val="28"/>
          <w:szCs w:val="28"/>
        </w:rPr>
        <w:t xml:space="preserve"> [61]</w:t>
      </w:r>
      <w:r w:rsidRPr="00AC6289">
        <w:rPr>
          <w:rFonts w:ascii="Times New Roman" w:hAnsi="Times New Roman" w:cs="Times New Roman"/>
          <w:sz w:val="28"/>
          <w:szCs w:val="28"/>
        </w:rPr>
        <w:t>.</w:t>
      </w:r>
    </w:p>
    <w:p w14:paraId="70666AB5" w14:textId="77777777" w:rsid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В совокупности теория роста ВИЭ и теория сравнительных преимуществ создают комплексную объяснительную модель: развитие возобновляемой энергетики представляет собой не только технологическую, но и международно-</w:t>
      </w:r>
      <w:r w:rsidRPr="00AC6289">
        <w:rPr>
          <w:rFonts w:ascii="Times New Roman" w:hAnsi="Times New Roman" w:cs="Times New Roman"/>
          <w:sz w:val="28"/>
          <w:szCs w:val="28"/>
        </w:rPr>
        <w:lastRenderedPageBreak/>
        <w:t>экономическую трансформацию, где государственная политика и внешнеторговые связи действуют как взаимодополняющие механизмы устойчивого роста.</w:t>
      </w:r>
    </w:p>
    <w:p w14:paraId="3E9E67FB" w14:textId="3E529F5C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Эволюция теорий международной торговли показывает, что различия в эффективности производства</w:t>
      </w:r>
      <w:r w:rsidR="00056D34">
        <w:rPr>
          <w:rFonts w:ascii="Times New Roman" w:hAnsi="Times New Roman" w:cs="Times New Roman"/>
          <w:sz w:val="28"/>
          <w:szCs w:val="28"/>
        </w:rPr>
        <w:t xml:space="preserve"> </w:t>
      </w:r>
      <w:r w:rsidRPr="00AC6289">
        <w:rPr>
          <w:rFonts w:ascii="Times New Roman" w:hAnsi="Times New Roman" w:cs="Times New Roman"/>
          <w:sz w:val="28"/>
          <w:szCs w:val="28"/>
        </w:rPr>
        <w:t xml:space="preserve">не исчерпывают всех причин формирования внешнеэкономических связей. Одним из наиболее значимых направлений развития классической теории стала теория обеспеченности факторами производства, разработанная шведскими экономистами Эли </w:t>
      </w:r>
      <w:proofErr w:type="spellStart"/>
      <w:r w:rsidRPr="00AC6289">
        <w:rPr>
          <w:rFonts w:ascii="Times New Roman" w:hAnsi="Times New Roman" w:cs="Times New Roman"/>
          <w:sz w:val="28"/>
          <w:szCs w:val="28"/>
        </w:rPr>
        <w:t>Хекшером</w:t>
      </w:r>
      <w:proofErr w:type="spellEnd"/>
      <w:r w:rsidRPr="00AC628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6289">
        <w:rPr>
          <w:rFonts w:ascii="Times New Roman" w:hAnsi="Times New Roman" w:cs="Times New Roman"/>
          <w:sz w:val="28"/>
          <w:szCs w:val="28"/>
        </w:rPr>
        <w:t>Бертилом</w:t>
      </w:r>
      <w:proofErr w:type="spellEnd"/>
      <w:r w:rsidRPr="00AC6289">
        <w:rPr>
          <w:rFonts w:ascii="Times New Roman" w:hAnsi="Times New Roman" w:cs="Times New Roman"/>
          <w:sz w:val="28"/>
          <w:szCs w:val="28"/>
        </w:rPr>
        <w:t xml:space="preserve"> Олином</w:t>
      </w:r>
      <w:r w:rsidR="00056D34">
        <w:rPr>
          <w:rFonts w:ascii="Times New Roman" w:hAnsi="Times New Roman" w:cs="Times New Roman"/>
          <w:sz w:val="28"/>
          <w:szCs w:val="28"/>
        </w:rPr>
        <w:t xml:space="preserve"> [62]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которая</w:t>
      </w:r>
      <w:r w:rsidRPr="00AC6289">
        <w:rPr>
          <w:rFonts w:ascii="Times New Roman" w:hAnsi="Times New Roman" w:cs="Times New Roman"/>
          <w:sz w:val="28"/>
          <w:szCs w:val="28"/>
        </w:rPr>
        <w:t xml:space="preserve"> утверждает, что решающим источником сравнительных преимуществ стран является не только производительность труда, но и различие в относительной обеспеченности факторами производства</w:t>
      </w:r>
      <w:r w:rsidR="00C90F95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AC6289">
        <w:rPr>
          <w:rFonts w:ascii="Times New Roman" w:hAnsi="Times New Roman" w:cs="Times New Roman"/>
          <w:sz w:val="28"/>
          <w:szCs w:val="28"/>
        </w:rPr>
        <w:t xml:space="preserve"> трудом, капиталом, землёй, природными ресурсами и технологиями.</w:t>
      </w:r>
    </w:p>
    <w:p w14:paraId="5E07D416" w14:textId="02B856E8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Основная логика модели заключается в том, что каждая страна будет экспортировать товары, интенсивно использующие избыточные факторы производства, и импортировать товары, для производства которых требуются дефицитные факторы. Тем самым достигается международное перераспределение ресурсов, ведущее к снижению совокупных издержек и повышению глобального благосостояния. Разница в относительных ценах факторов формирует основу для различий в ценах товаров: страны, богатые капиталом, специализируются на капиталоёмких отраслях, а страны с избытком трудовых </w:t>
      </w:r>
      <w:proofErr w:type="gramStart"/>
      <w:r w:rsidRPr="00AC6289">
        <w:rPr>
          <w:rFonts w:ascii="Times New Roman" w:hAnsi="Times New Roman" w:cs="Times New Roman"/>
          <w:sz w:val="28"/>
          <w:szCs w:val="28"/>
        </w:rPr>
        <w:t>ресурсов  на</w:t>
      </w:r>
      <w:proofErr w:type="gramEnd"/>
      <w:r w:rsidRPr="00AC6289">
        <w:rPr>
          <w:rFonts w:ascii="Times New Roman" w:hAnsi="Times New Roman" w:cs="Times New Roman"/>
          <w:sz w:val="28"/>
          <w:szCs w:val="28"/>
        </w:rPr>
        <w:t xml:space="preserve"> трудоёмких.</w:t>
      </w:r>
    </w:p>
    <w:p w14:paraId="6D6029E7" w14:textId="362E3A4E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В последующих модификациях модели </w:t>
      </w:r>
      <w:r w:rsidR="00056D34">
        <w:rPr>
          <w:rFonts w:ascii="Times New Roman" w:hAnsi="Times New Roman" w:cs="Times New Roman"/>
          <w:sz w:val="28"/>
          <w:szCs w:val="28"/>
        </w:rPr>
        <w:t xml:space="preserve">[63] </w:t>
      </w:r>
      <w:r w:rsidRPr="00AC6289">
        <w:rPr>
          <w:rFonts w:ascii="Times New Roman" w:hAnsi="Times New Roman" w:cs="Times New Roman"/>
          <w:sz w:val="28"/>
          <w:szCs w:val="28"/>
        </w:rPr>
        <w:t>акцент был сделан на многофакторной структуре и на эффектах международной мобильности капитала и технологий. Особое значение получила гипотеза выравнивания цен факторов, согласно которой международная торговля приводит к постепенному сближению уровня заработной платы, доходности капитала и технологической эффективности между странами.</w:t>
      </w:r>
    </w:p>
    <w:p w14:paraId="1D3481ED" w14:textId="57F8D950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Применительно к торговле оборудованием для возобновляемой энергетики теория обеспеченности факторами позволяет объяснить устойчивую асимметрию между Китаем и Казахстаном, а также структуру двустороннего энергетического взаимодействия.</w:t>
      </w:r>
    </w:p>
    <w:p w14:paraId="02691015" w14:textId="017E261E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Китай характеризуется высокой обеспеченностью технологическими и производственными факторами: развитой промышленной базой, масштабным капиталом, научно-инновационным потенциалом и значительными инвестициями в сектор ВИЭ. В результате он обладает капиталоёмким и технологически насыщенным преимуществом в производстве оборудования для солнечной, ветровой и гидроэнергетики. На мировом рынке китайские компании демонстрируют устойчивую динамику экспорта панелей, инверторов, турбин и аккумуляторных систем, что соответствует закономерностям Н–О модели: страна с избытком капитала и технологий экспортирует продукцию, где эти факторы определяют основную добавленную стоимость</w:t>
      </w:r>
      <w:r w:rsidR="00056D34">
        <w:rPr>
          <w:rFonts w:ascii="Times New Roman" w:hAnsi="Times New Roman" w:cs="Times New Roman"/>
          <w:sz w:val="28"/>
          <w:szCs w:val="28"/>
        </w:rPr>
        <w:t xml:space="preserve"> [64]</w:t>
      </w:r>
      <w:r w:rsidRPr="00AC6289">
        <w:rPr>
          <w:rFonts w:ascii="Times New Roman" w:hAnsi="Times New Roman" w:cs="Times New Roman"/>
          <w:sz w:val="28"/>
          <w:szCs w:val="28"/>
        </w:rPr>
        <w:t>.</w:t>
      </w:r>
    </w:p>
    <w:p w14:paraId="139AA4D6" w14:textId="0B3138B8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Казахстан, напротив, имеет богатую природно-ресурсную базу, включая значительный потенциал солнечной, ветровой и гидроэнергии, но испытывает дефицит производственных и технологических факторов. Индустрия </w:t>
      </w:r>
      <w:r w:rsidRPr="00AC6289">
        <w:rPr>
          <w:rFonts w:ascii="Times New Roman" w:hAnsi="Times New Roman" w:cs="Times New Roman"/>
          <w:sz w:val="28"/>
          <w:szCs w:val="28"/>
        </w:rPr>
        <w:lastRenderedPageBreak/>
        <w:t>возобновляемой энергетики в стране находится в стадии становления, а внутренние мощности по производству оборудования ограничены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AC6289">
        <w:rPr>
          <w:rFonts w:ascii="Times New Roman" w:hAnsi="Times New Roman" w:cs="Times New Roman"/>
          <w:sz w:val="28"/>
          <w:szCs w:val="28"/>
        </w:rPr>
        <w:t>то определяет импортозависимость Казахстана в сфере высокотехнологичных компонентов и систем ВИЭ, особенно в сегментах генерации и накопления энергии.</w:t>
      </w:r>
    </w:p>
    <w:p w14:paraId="38D39FA9" w14:textId="158012A5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Дополнительным аспектом, усиливающим действие модели, является географическая и логистическая близость стран, что снижает трансакционные издержки и повышает привлекательность торговых потоков. С учётом стратегических инициатив</w:t>
      </w:r>
      <w:r w:rsidR="00056D34">
        <w:rPr>
          <w:rFonts w:ascii="Times New Roman" w:hAnsi="Times New Roman" w:cs="Times New Roman"/>
          <w:sz w:val="28"/>
          <w:szCs w:val="28"/>
        </w:rPr>
        <w:t>,</w:t>
      </w:r>
      <w:r w:rsidRPr="00AC6289">
        <w:rPr>
          <w:rFonts w:ascii="Times New Roman" w:hAnsi="Times New Roman" w:cs="Times New Roman"/>
          <w:sz w:val="28"/>
          <w:szCs w:val="28"/>
        </w:rPr>
        <w:t xml:space="preserve"> таких как китайская программа «Один пояс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AC6289">
        <w:rPr>
          <w:rFonts w:ascii="Times New Roman" w:hAnsi="Times New Roman" w:cs="Times New Roman"/>
          <w:sz w:val="28"/>
          <w:szCs w:val="28"/>
        </w:rPr>
        <w:t xml:space="preserve"> один путь»</w:t>
      </w:r>
      <w:r w:rsidR="00056D34">
        <w:rPr>
          <w:rFonts w:ascii="Times New Roman" w:hAnsi="Times New Roman" w:cs="Times New Roman"/>
          <w:sz w:val="28"/>
          <w:szCs w:val="28"/>
        </w:rPr>
        <w:t xml:space="preserve"> [65]</w:t>
      </w:r>
      <w:r w:rsidRPr="00AC6289">
        <w:rPr>
          <w:rFonts w:ascii="Times New Roman" w:hAnsi="Times New Roman" w:cs="Times New Roman"/>
          <w:sz w:val="28"/>
          <w:szCs w:val="28"/>
        </w:rPr>
        <w:t xml:space="preserve"> и казахстанская стратегия «Зелёная экономика до 2050 года»</w:t>
      </w:r>
      <w:r w:rsidR="00056D34">
        <w:rPr>
          <w:rFonts w:ascii="Times New Roman" w:hAnsi="Times New Roman" w:cs="Times New Roman"/>
          <w:sz w:val="28"/>
          <w:szCs w:val="28"/>
        </w:rPr>
        <w:t xml:space="preserve"> [66],</w:t>
      </w:r>
      <w:r w:rsidRPr="00AC6289">
        <w:rPr>
          <w:rFonts w:ascii="Times New Roman" w:hAnsi="Times New Roman" w:cs="Times New Roman"/>
          <w:sz w:val="28"/>
          <w:szCs w:val="28"/>
        </w:rPr>
        <w:t xml:space="preserve"> взаимодействие в секторе ВИЭ приобретает системный характер, объединяя экономические и экологические цели.</w:t>
      </w:r>
    </w:p>
    <w:p w14:paraId="6803DCFE" w14:textId="06FD2788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Майкл Портер </w:t>
      </w:r>
      <w:r w:rsidR="00DF3CFF">
        <w:rPr>
          <w:rFonts w:ascii="Times New Roman" w:hAnsi="Times New Roman" w:cs="Times New Roman"/>
          <w:sz w:val="28"/>
          <w:szCs w:val="28"/>
        </w:rPr>
        <w:t xml:space="preserve">[67] </w:t>
      </w:r>
      <w:r w:rsidRPr="00AC6289">
        <w:rPr>
          <w:rFonts w:ascii="Times New Roman" w:hAnsi="Times New Roman" w:cs="Times New Roman"/>
          <w:sz w:val="28"/>
          <w:szCs w:val="28"/>
        </w:rPr>
        <w:t>в конце XX века предложил теорию конкурентного преимущества наций, также известную как модель алмаза Портера, которая сместила акцент с природных и факторных преимуществ на инновационно-институциональные и стратегические механизмы формирования конкурентоспособности.</w:t>
      </w:r>
    </w:p>
    <w:p w14:paraId="7741D9A2" w14:textId="77777777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Согласно Портеру, устойчивое конкурентное преимущество страны формируется не только благодаря изобилию факторов производства, но прежде всего за счёт системного взаимодействия шести ключевых элементов (детерминант), образующих структуру так называемого «алмаза»:</w:t>
      </w:r>
    </w:p>
    <w:p w14:paraId="34470221" w14:textId="2A7432BF" w:rsidR="00AC6289" w:rsidRPr="00AC6289" w:rsidRDefault="00AC6289" w:rsidP="00C90F95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Факторы производства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материальные (природные ресурсы, капитал, инфраструктура) и нематериальные (технологии, квалификация, инновации, человеческий капитал).</w:t>
      </w:r>
    </w:p>
    <w:p w14:paraId="23298395" w14:textId="0B89ED88" w:rsidR="00AC6289" w:rsidRPr="00AC6289" w:rsidRDefault="00AC6289" w:rsidP="00C90F95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Условия внутреннего спроса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характер, объём и уровень требований внутреннего рынка, стимулирующий компании к повышению качества и эффективности продукции.</w:t>
      </w:r>
    </w:p>
    <w:p w14:paraId="0AA9AB92" w14:textId="17DECCB6" w:rsidR="00AC6289" w:rsidRPr="00AC6289" w:rsidRDefault="00AC6289" w:rsidP="00C90F95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Связанные и поддерживающие отрасли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наличие развитой промышленной и научной экосистемы, обеспечивающей межотраслевые связи и инновационное взаимодействие.</w:t>
      </w:r>
    </w:p>
    <w:p w14:paraId="2A27BB9C" w14:textId="77777777" w:rsidR="00AC6289" w:rsidRPr="00AC6289" w:rsidRDefault="00AC6289" w:rsidP="00C90F95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Стратегия фирм, структура и уровень конкуренции в отрасли – организационные модели, управленческие практики и интенсивность соперничества, стимулирующие повышение производительности.</w:t>
      </w:r>
    </w:p>
    <w:p w14:paraId="515512A8" w14:textId="77777777" w:rsidR="00AC6289" w:rsidRPr="00AC6289" w:rsidRDefault="00AC6289" w:rsidP="00C90F95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Роль государства – институциональная и нормативная поддержка, инвестиции в инфраструктуру, образование, исследования и международное сотрудничество.</w:t>
      </w:r>
    </w:p>
    <w:p w14:paraId="47B99FB5" w14:textId="00104148" w:rsidR="00AC6289" w:rsidRPr="00AC6289" w:rsidRDefault="00AC6289" w:rsidP="00C90F95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Случайные факторы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C6289">
        <w:rPr>
          <w:rFonts w:ascii="Times New Roman" w:hAnsi="Times New Roman" w:cs="Times New Roman"/>
          <w:sz w:val="28"/>
          <w:szCs w:val="28"/>
        </w:rPr>
        <w:t xml:space="preserve"> внешние обстоятельства, создающие новые возможности или вызовы.</w:t>
      </w:r>
    </w:p>
    <w:p w14:paraId="726BC566" w14:textId="2F83A96E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В контексте развития возобновляемой энергетики теория Портера приобретает особую актуальность, поскольку конкурентоспособность отрасли формируется не только на основе ресурсной обеспеченности, но и через институциональные и технологические механизмы.</w:t>
      </w:r>
      <w:r w:rsidR="00C90F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6289">
        <w:rPr>
          <w:rFonts w:ascii="Times New Roman" w:hAnsi="Times New Roman" w:cs="Times New Roman"/>
          <w:sz w:val="28"/>
          <w:szCs w:val="28"/>
        </w:rPr>
        <w:t>Казахстан</w:t>
      </w:r>
      <w:r w:rsidR="00C90F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6289">
        <w:rPr>
          <w:rFonts w:ascii="Times New Roman" w:hAnsi="Times New Roman" w:cs="Times New Roman"/>
          <w:sz w:val="28"/>
          <w:szCs w:val="28"/>
        </w:rPr>
        <w:t xml:space="preserve">находится на этапе формирования конкурентных преимуществ в секторе ВИЭ. Страна обладает богатыми природными ресурсами и потенциалом возобновляемых </w:t>
      </w:r>
      <w:r w:rsidRPr="00AC6289">
        <w:rPr>
          <w:rFonts w:ascii="Times New Roman" w:hAnsi="Times New Roman" w:cs="Times New Roman"/>
          <w:sz w:val="28"/>
          <w:szCs w:val="28"/>
        </w:rPr>
        <w:lastRenderedPageBreak/>
        <w:t>источников, однако пока ограничена в производственных, технологических и кадровых ресурсах. Государственная политика направлена на стимулирование внутреннего спроса, локализацию производства и интеграцию в глобальные «зелёные» цепочки поставок</w:t>
      </w:r>
      <w:r w:rsidR="00DF3CFF">
        <w:rPr>
          <w:rFonts w:ascii="Times New Roman" w:hAnsi="Times New Roman" w:cs="Times New Roman"/>
          <w:sz w:val="28"/>
          <w:szCs w:val="28"/>
        </w:rPr>
        <w:t xml:space="preserve"> [68]</w:t>
      </w:r>
      <w:r w:rsidRPr="00AC6289">
        <w:rPr>
          <w:rFonts w:ascii="Times New Roman" w:hAnsi="Times New Roman" w:cs="Times New Roman"/>
          <w:sz w:val="28"/>
          <w:szCs w:val="28"/>
        </w:rPr>
        <w:t>.</w:t>
      </w:r>
    </w:p>
    <w:p w14:paraId="3633E553" w14:textId="6009C4F4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Анализ исторической эволюции возобновляемой энергетики показывает, что формирование современной модели устойчивого энергетического развития происходило под воздействием совокупности экономических, технологических и экологических факторов. Одним из ключевых стимулов стал нефтяной кризис 1970-х годов, который впервые заставил мировое сообщество осознать уязвимость традиционной энергозависимости и необходимость диверсификации источников энергии</w:t>
      </w:r>
      <w:r w:rsidR="00DF3CFF">
        <w:rPr>
          <w:rFonts w:ascii="Times New Roman" w:hAnsi="Times New Roman" w:cs="Times New Roman"/>
          <w:sz w:val="28"/>
          <w:szCs w:val="28"/>
        </w:rPr>
        <w:t xml:space="preserve"> [69]</w:t>
      </w:r>
      <w:r w:rsidRPr="00AC6289">
        <w:rPr>
          <w:rFonts w:ascii="Times New Roman" w:hAnsi="Times New Roman" w:cs="Times New Roman"/>
          <w:sz w:val="28"/>
          <w:szCs w:val="28"/>
        </w:rPr>
        <w:t>.</w:t>
      </w:r>
    </w:p>
    <w:p w14:paraId="7FF15EF7" w14:textId="7CB845B2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Во второй половине XX века энергетическая политика большинства стран сместилась от ориентации исключительно на ископаемое топливо к поиску альтернативных решений. В 1990-х годах концепция устойчивого развития и борьба с изменением климата придали процессу дополнительный импульс. Энергетическая безопасность, экологическая стабильность и технологические инновации стали взаимосвязанными целями государственной и международной энергетической политики.</w:t>
      </w:r>
    </w:p>
    <w:p w14:paraId="3CBB4610" w14:textId="503316F5" w:rsidR="00AC6289" w:rsidRPr="00AC6289" w:rsidRDefault="00AC6289" w:rsidP="00C90F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После 2000 года, на фоне глобализации и стремительного роста научно-технического прогресса, возобновляемая энергетика перешла на новый уровень развития. Снижение себестоимости технологий, прежде всего в области солнечной и ветровой генерации, сделало ВИЭ не только экологически, но и экономически конкурентоспособными. </w:t>
      </w:r>
    </w:p>
    <w:p w14:paraId="777B9B37" w14:textId="70867260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По данным Межправительственной группы экспертов по изменению климата, при сохранении текущих темпов роста доля возобновляемых источников в мировой структуре потребления первичной энергии может достичь 80% к 2050 году</w:t>
      </w:r>
      <w:r w:rsidR="00C90F95"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AC6289">
        <w:rPr>
          <w:rFonts w:ascii="Times New Roman" w:hAnsi="Times New Roman" w:cs="Times New Roman"/>
          <w:sz w:val="28"/>
          <w:szCs w:val="28"/>
        </w:rPr>
        <w:t>то указывает на переход глобальной энергетики от «фазы адаптации» к фазе доминирования ВИЭ, в рамках которой ключевыми факторами становятся инновации, энергоэффективность и трансграничная кооперация.</w:t>
      </w:r>
    </w:p>
    <w:p w14:paraId="50136EE4" w14:textId="1305F1AB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>Пространственный анализ показывает, что энергетический переход происходит неравномерно. Развитые страны достигли стадии рыночной самодостаточности ВИЭ, где рост обеспечивается внутренними инвестициями, технологическим лидерством и регуляторной стабильностью. Развивающиеся экономики находятся на переходном этапе, характеризующемся зависимостью от импортных технологий, государственной поддержки и формированием национальных стратегий «зелёного роста».</w:t>
      </w:r>
      <w:r w:rsidR="00C90F95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proofErr w:type="spellStart"/>
      <w:r w:rsidRPr="00AC6289">
        <w:rPr>
          <w:rFonts w:ascii="Times New Roman" w:hAnsi="Times New Roman" w:cs="Times New Roman"/>
          <w:sz w:val="28"/>
          <w:szCs w:val="28"/>
        </w:rPr>
        <w:t>еждународная</w:t>
      </w:r>
      <w:proofErr w:type="spellEnd"/>
      <w:r w:rsidRPr="00AC6289">
        <w:rPr>
          <w:rFonts w:ascii="Times New Roman" w:hAnsi="Times New Roman" w:cs="Times New Roman"/>
          <w:sz w:val="28"/>
          <w:szCs w:val="28"/>
        </w:rPr>
        <w:t xml:space="preserve"> динамика развития ВИЭ демонстрирует, что глобальная энергетическая трансформация носит кумулятивный характер, объединяя в себе технологические инновации, институциональные реформы и рыночную адаптацию</w:t>
      </w:r>
      <w:r w:rsidR="00DF3CFF">
        <w:rPr>
          <w:rFonts w:ascii="Times New Roman" w:hAnsi="Times New Roman" w:cs="Times New Roman"/>
          <w:sz w:val="28"/>
          <w:szCs w:val="28"/>
        </w:rPr>
        <w:t xml:space="preserve"> [70]</w:t>
      </w:r>
      <w:r w:rsidRPr="00AC6289">
        <w:rPr>
          <w:rFonts w:ascii="Times New Roman" w:hAnsi="Times New Roman" w:cs="Times New Roman"/>
          <w:sz w:val="28"/>
          <w:szCs w:val="28"/>
        </w:rPr>
        <w:t>.</w:t>
      </w:r>
    </w:p>
    <w:p w14:paraId="46BE7979" w14:textId="2B10D022" w:rsidR="00AC6289" w:rsidRPr="00AC6289" w:rsidRDefault="00AC6289" w:rsidP="00AC62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289">
        <w:rPr>
          <w:rFonts w:ascii="Times New Roman" w:hAnsi="Times New Roman" w:cs="Times New Roman"/>
          <w:sz w:val="28"/>
          <w:szCs w:val="28"/>
        </w:rPr>
        <w:t xml:space="preserve">В совокупности теоретический и эмпирический анализ показывает, что развитие возобновляемых источников энергии представляет собой сложный и многоуровневый процесс, зависящий от сочетания экономических, институциональных и технологических факторов. Глобальная динамика демонстрирует закономерный переход от ресурсно-факторных моделей к </w:t>
      </w:r>
      <w:r w:rsidRPr="00AC6289">
        <w:rPr>
          <w:rFonts w:ascii="Times New Roman" w:hAnsi="Times New Roman" w:cs="Times New Roman"/>
          <w:sz w:val="28"/>
          <w:szCs w:val="28"/>
        </w:rPr>
        <w:lastRenderedPageBreak/>
        <w:t>инновационно-интеграционным, где ключевую роль играют государственная политика, международное сотрудничество и технологические инновации. Для Казахстана, находящегося на стадии формирования внутреннего рынка ВИЭ, решающим направлением является переход от модели импортозависимости к модели технологического партнёрства через локализацию производства, развитие НИОКР и создание национальной конкурентоспособности в секторе «зелёной» энергетики.</w:t>
      </w:r>
    </w:p>
    <w:p w14:paraId="6600411F" w14:textId="747C6B92" w:rsidR="00EC64BF" w:rsidRPr="00AC6289" w:rsidRDefault="00EC64BF" w:rsidP="00EC6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71B29C" w14:textId="77777777" w:rsidR="00017FF9" w:rsidRDefault="00017FF9" w:rsidP="00A1652D">
      <w:pPr>
        <w:pStyle w:val="2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20" w:name="_Toc215079193"/>
      <w:r w:rsidRPr="00C90F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1.3. Управленческие модели и международный опыт развития зелёной экономики</w:t>
      </w:r>
      <w:bookmarkEnd w:id="20"/>
    </w:p>
    <w:p w14:paraId="18E84DCB" w14:textId="05777F7E" w:rsidR="00371760" w:rsidRPr="00371760" w:rsidRDefault="00371760" w:rsidP="003717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t>Современное развитие зелёной экономики характеризуется формированием нескольких устойчивых управленческих моделей, каждая из которых отражает особенности институциональной структуры, стратегических приоритетов и экономического устройства государства. В отличие от исключительно технологических или рыночных концепций, управленческие модели концентрируются на механизмах координации, распределении ролей между государством, частным сектором и обществом, а также на инструментах реализации долгосрочной климатической и энергетической политики. Анализ международного опыта показывает, что успешность зелёного перехода в значительной мере определяется именно качеством управленческих решений, степенью согласованности политики, последовательностью регулирующих мер и способностью государства обеспечивать предсказуемость экономической среды</w:t>
      </w:r>
      <w:r w:rsidR="00DF3CFF">
        <w:rPr>
          <w:rFonts w:ascii="Times New Roman" w:hAnsi="Times New Roman" w:cs="Times New Roman"/>
          <w:sz w:val="28"/>
          <w:szCs w:val="28"/>
        </w:rPr>
        <w:t xml:space="preserve"> [71]</w:t>
      </w:r>
      <w:r w:rsidRPr="00371760">
        <w:rPr>
          <w:rFonts w:ascii="Times New Roman" w:hAnsi="Times New Roman" w:cs="Times New Roman"/>
          <w:sz w:val="28"/>
          <w:szCs w:val="28"/>
        </w:rPr>
        <w:t>.</w:t>
      </w:r>
    </w:p>
    <w:p w14:paraId="22FD299B" w14:textId="4A498106" w:rsidR="00371760" w:rsidRPr="00371760" w:rsidRDefault="00371760" w:rsidP="003717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t xml:space="preserve">В литературе прослеживается эволюция управленческих моделей от нормативно-административных схем к комплексным гибридным системам, объединяющим инструменты стратегического планирования, рыночного регулирования и кластерного управления. Ранние модели зелёной трансформации основывались на директивном регулировании, характерном для европейских стран 1990-х годов, где ключевую роль играли обязательные квоты, стандарты энергоэффективности и нормативы по сокращению выбросов. </w:t>
      </w:r>
      <w:r w:rsidR="00DF3CFF"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371760">
        <w:rPr>
          <w:rFonts w:ascii="Times New Roman" w:hAnsi="Times New Roman" w:cs="Times New Roman"/>
          <w:sz w:val="28"/>
          <w:szCs w:val="28"/>
        </w:rPr>
        <w:t>механизмы обеспечивали быстрый запуск сектора, но были ограничены недостаточной гибкостью и высокой нагрузкой на бюджет.</w:t>
      </w:r>
    </w:p>
    <w:p w14:paraId="48C59D43" w14:textId="61CD9948" w:rsidR="00371760" w:rsidRPr="00371760" w:rsidRDefault="00371760" w:rsidP="003717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t xml:space="preserve">В дальнейшем государственная политика стала трансформироваться в направлении стимулирования инноваций и поддержки формирования рыночных механизмов. В ряде стран была реализована модель стратегического государства, интегрированная с механизмами общественно-государственного партнёрства. В </w:t>
      </w:r>
      <w:proofErr w:type="spellStart"/>
      <w:r w:rsidR="00DF3CFF">
        <w:rPr>
          <w:rFonts w:ascii="Times New Roman" w:hAnsi="Times New Roman" w:cs="Times New Roman"/>
          <w:sz w:val="28"/>
          <w:szCs w:val="28"/>
          <w:lang w:val="ru-RU"/>
        </w:rPr>
        <w:t>данны</w:t>
      </w:r>
      <w:proofErr w:type="spellEnd"/>
      <w:r w:rsidRPr="00371760">
        <w:rPr>
          <w:rFonts w:ascii="Times New Roman" w:hAnsi="Times New Roman" w:cs="Times New Roman"/>
          <w:sz w:val="28"/>
          <w:szCs w:val="28"/>
        </w:rPr>
        <w:t>х условиях государство выступает не только регулятором, но и инвестором, координатором научно-исследовательских проектов и создателем институциональной инфраструктуры</w:t>
      </w:r>
      <w:r w:rsidR="00FA0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3CFF" w:rsidRPr="00DF3CFF">
        <w:rPr>
          <w:rFonts w:ascii="Times New Roman" w:hAnsi="Times New Roman" w:cs="Times New Roman"/>
          <w:sz w:val="28"/>
          <w:szCs w:val="28"/>
          <w:lang w:val="ru-RU"/>
        </w:rPr>
        <w:t>[73]</w:t>
      </w:r>
      <w:r w:rsidRPr="00371760">
        <w:rPr>
          <w:rFonts w:ascii="Times New Roman" w:hAnsi="Times New Roman" w:cs="Times New Roman"/>
          <w:sz w:val="28"/>
          <w:szCs w:val="28"/>
        </w:rPr>
        <w:t>.</w:t>
      </w:r>
      <w:r w:rsidR="00FA0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1760">
        <w:rPr>
          <w:rFonts w:ascii="Times New Roman" w:hAnsi="Times New Roman" w:cs="Times New Roman"/>
          <w:sz w:val="28"/>
          <w:szCs w:val="28"/>
        </w:rPr>
        <w:t>Китай развивает собственную модель государственного предпринимательства, основанную на централизованном стратегическом планировании, масштабной промышленной политике и вертикально интегрированном управлении цепочками создания стоимости</w:t>
      </w:r>
      <w:r w:rsidR="00DF3CF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F3CFF">
        <w:rPr>
          <w:rFonts w:ascii="Times New Roman" w:hAnsi="Times New Roman" w:cs="Times New Roman"/>
          <w:sz w:val="28"/>
          <w:szCs w:val="28"/>
          <w:lang w:val="ru-RU"/>
        </w:rPr>
        <w:t>чт</w:t>
      </w:r>
      <w:proofErr w:type="spellEnd"/>
      <w:r w:rsidRPr="00371760">
        <w:rPr>
          <w:rFonts w:ascii="Times New Roman" w:hAnsi="Times New Roman" w:cs="Times New Roman"/>
          <w:sz w:val="28"/>
          <w:szCs w:val="28"/>
        </w:rPr>
        <w:t xml:space="preserve">о позволяет ускоренно масштабировать технологии, снижать их себестоимость и </w:t>
      </w:r>
      <w:r w:rsidRPr="00371760">
        <w:rPr>
          <w:rFonts w:ascii="Times New Roman" w:hAnsi="Times New Roman" w:cs="Times New Roman"/>
          <w:sz w:val="28"/>
          <w:szCs w:val="28"/>
        </w:rPr>
        <w:lastRenderedPageBreak/>
        <w:t xml:space="preserve">контролировать ключевые производственные мощности. В отличие от европейской модели, китайская опирается на директивные пятилетние планы, национальные программы развития отраслей и активное участие государства в капиталоёмких инфраструктурных проектах. </w:t>
      </w:r>
    </w:p>
    <w:p w14:paraId="031731D8" w14:textId="7F8AA46D" w:rsidR="00371760" w:rsidRPr="00371760" w:rsidRDefault="00371760" w:rsidP="003717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t>Североамериканская модель характеризуется децентрализованной системой управления, высокой ролью частного капитала, развитой венчурной экосистемой и доминированием рыночных стимулов. При этом федеральная политика США основана на комбинации налоговых льгот, инвестиционных кредитов и программ субсидирования инноваций. Важным элементом является регулятивный федерализм, при котором отдельные штаты реализуют собственные программы зелёного перехода, что создаёт лаборатории политических инноваций</w:t>
      </w:r>
      <w:r w:rsidR="00DF3CFF" w:rsidRPr="00DF3CFF">
        <w:rPr>
          <w:rFonts w:ascii="Times New Roman" w:hAnsi="Times New Roman" w:cs="Times New Roman"/>
          <w:sz w:val="28"/>
          <w:szCs w:val="28"/>
          <w:lang w:val="ru-RU"/>
        </w:rPr>
        <w:t xml:space="preserve"> [74]</w:t>
      </w:r>
      <w:r w:rsidRPr="00371760">
        <w:rPr>
          <w:rFonts w:ascii="Times New Roman" w:hAnsi="Times New Roman" w:cs="Times New Roman"/>
          <w:sz w:val="28"/>
          <w:szCs w:val="28"/>
        </w:rPr>
        <w:t>.</w:t>
      </w:r>
      <w:r w:rsidR="00A165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1760">
        <w:rPr>
          <w:rFonts w:ascii="Times New Roman" w:hAnsi="Times New Roman" w:cs="Times New Roman"/>
          <w:sz w:val="28"/>
          <w:szCs w:val="28"/>
        </w:rPr>
        <w:t>Сравнение управленческих моделей показывает, что они различаются по ряду ключевых параметров: степени централизации, роли государства, структуре финансовых стимулов, институциональной архитектуре и степени участия частного сектора. Для систематизации различий целесообразно представить сравнительную таблицу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 w:rsidRPr="00371760">
        <w:rPr>
          <w:rFonts w:ascii="Times New Roman" w:hAnsi="Times New Roman" w:cs="Times New Roman"/>
          <w:sz w:val="28"/>
          <w:szCs w:val="28"/>
        </w:rPr>
        <w:t>.</w:t>
      </w:r>
    </w:p>
    <w:p w14:paraId="2AE40A36" w14:textId="77777777" w:rsidR="00371760" w:rsidRDefault="00371760" w:rsidP="00371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A3D9A6" w14:textId="07C910E7" w:rsidR="00371760" w:rsidRPr="00371760" w:rsidRDefault="00371760" w:rsidP="00371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4 </w:t>
      </w:r>
      <w:r w:rsidRPr="00371760">
        <w:rPr>
          <w:rFonts w:ascii="Times New Roman" w:hAnsi="Times New Roman" w:cs="Times New Roman"/>
          <w:sz w:val="28"/>
          <w:szCs w:val="28"/>
        </w:rPr>
        <w:t>– Сравнительная характеристика международных управленческих моделей зелёной экономики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77"/>
        <w:gridCol w:w="1970"/>
        <w:gridCol w:w="1599"/>
        <w:gridCol w:w="2179"/>
        <w:gridCol w:w="1803"/>
      </w:tblGrid>
      <w:tr w:rsidR="000E7F50" w:rsidRPr="00371760" w14:paraId="7CA78361" w14:textId="77777777" w:rsidTr="00A1652D">
        <w:tc>
          <w:tcPr>
            <w:tcW w:w="1696" w:type="dxa"/>
            <w:hideMark/>
          </w:tcPr>
          <w:p w14:paraId="16E18E3F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Модель</w:t>
            </w:r>
          </w:p>
        </w:tc>
        <w:tc>
          <w:tcPr>
            <w:tcW w:w="0" w:type="auto"/>
            <w:hideMark/>
          </w:tcPr>
          <w:p w14:paraId="661AD1AA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Управленческая логика</w:t>
            </w:r>
          </w:p>
        </w:tc>
        <w:tc>
          <w:tcPr>
            <w:tcW w:w="0" w:type="auto"/>
            <w:hideMark/>
          </w:tcPr>
          <w:p w14:paraId="2DEA4B3D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Роль государства</w:t>
            </w:r>
          </w:p>
        </w:tc>
        <w:tc>
          <w:tcPr>
            <w:tcW w:w="0" w:type="auto"/>
            <w:hideMark/>
          </w:tcPr>
          <w:p w14:paraId="10552CE5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Основные инструменты</w:t>
            </w:r>
          </w:p>
        </w:tc>
        <w:tc>
          <w:tcPr>
            <w:tcW w:w="0" w:type="auto"/>
            <w:hideMark/>
          </w:tcPr>
          <w:p w14:paraId="2EA7F67A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Потенциальные ограничения</w:t>
            </w:r>
          </w:p>
        </w:tc>
      </w:tr>
      <w:tr w:rsidR="000E7F50" w:rsidRPr="00371760" w14:paraId="64B9FA42" w14:textId="77777777" w:rsidTr="00A1652D">
        <w:tc>
          <w:tcPr>
            <w:tcW w:w="1696" w:type="dxa"/>
            <w:hideMark/>
          </w:tcPr>
          <w:p w14:paraId="41681101" w14:textId="5328BDE4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 xml:space="preserve">Европейская </w:t>
            </w:r>
          </w:p>
        </w:tc>
        <w:tc>
          <w:tcPr>
            <w:tcW w:w="0" w:type="auto"/>
            <w:hideMark/>
          </w:tcPr>
          <w:p w14:paraId="50613B70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Стратегическое управление, долгосрочное планирование, высокая институциональная согласованность</w:t>
            </w:r>
          </w:p>
        </w:tc>
        <w:tc>
          <w:tcPr>
            <w:tcW w:w="0" w:type="auto"/>
            <w:hideMark/>
          </w:tcPr>
          <w:p w14:paraId="3D321CFE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Регулятор, стратегический координатор</w:t>
            </w:r>
          </w:p>
        </w:tc>
        <w:tc>
          <w:tcPr>
            <w:tcW w:w="0" w:type="auto"/>
            <w:hideMark/>
          </w:tcPr>
          <w:p w14:paraId="468F05EE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Директивные стандарты, аукционные механизмы, климатические пакеты, субсидии</w:t>
            </w:r>
          </w:p>
        </w:tc>
        <w:tc>
          <w:tcPr>
            <w:tcW w:w="0" w:type="auto"/>
            <w:hideMark/>
          </w:tcPr>
          <w:p w14:paraId="77E34423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Высокие бюджетные обязательства, длительный процесс принятия решений</w:t>
            </w:r>
          </w:p>
        </w:tc>
      </w:tr>
      <w:tr w:rsidR="000E7F50" w:rsidRPr="00371760" w14:paraId="75C98EBD" w14:textId="77777777" w:rsidTr="00A1652D">
        <w:tc>
          <w:tcPr>
            <w:tcW w:w="1696" w:type="dxa"/>
            <w:hideMark/>
          </w:tcPr>
          <w:p w14:paraId="4DC2A672" w14:textId="70F71D3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 xml:space="preserve">Китайская </w:t>
            </w:r>
          </w:p>
        </w:tc>
        <w:tc>
          <w:tcPr>
            <w:tcW w:w="0" w:type="auto"/>
            <w:hideMark/>
          </w:tcPr>
          <w:p w14:paraId="3F782F8B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Централизованное планирование, вертикальная интеграция, кластеризация отраслей</w:t>
            </w:r>
          </w:p>
        </w:tc>
        <w:tc>
          <w:tcPr>
            <w:tcW w:w="0" w:type="auto"/>
            <w:hideMark/>
          </w:tcPr>
          <w:p w14:paraId="00C4AFF5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Инвестор, собственник активов, регулятор</w:t>
            </w:r>
          </w:p>
        </w:tc>
        <w:tc>
          <w:tcPr>
            <w:tcW w:w="0" w:type="auto"/>
            <w:hideMark/>
          </w:tcPr>
          <w:p w14:paraId="149EEFEC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Пятилетние планы, промышленные программы, льготное финансирование, госхолдинги</w:t>
            </w:r>
          </w:p>
        </w:tc>
        <w:tc>
          <w:tcPr>
            <w:tcW w:w="0" w:type="auto"/>
            <w:hideMark/>
          </w:tcPr>
          <w:p w14:paraId="3066E0C4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Риск избыточного производства, чувствительность к структурным дисбалансам</w:t>
            </w:r>
          </w:p>
        </w:tc>
      </w:tr>
      <w:tr w:rsidR="000E7F50" w:rsidRPr="00371760" w14:paraId="2DDEF823" w14:textId="77777777" w:rsidTr="00A1652D">
        <w:tc>
          <w:tcPr>
            <w:tcW w:w="1696" w:type="dxa"/>
            <w:hideMark/>
          </w:tcPr>
          <w:p w14:paraId="5075CE73" w14:textId="6DFF29E5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 xml:space="preserve">Североамериканская </w:t>
            </w:r>
          </w:p>
        </w:tc>
        <w:tc>
          <w:tcPr>
            <w:tcW w:w="0" w:type="auto"/>
            <w:hideMark/>
          </w:tcPr>
          <w:p w14:paraId="527DF5A8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Децентрализация, конкуренция юрисдикций, частные инвестиции</w:t>
            </w:r>
          </w:p>
        </w:tc>
        <w:tc>
          <w:tcPr>
            <w:tcW w:w="0" w:type="auto"/>
            <w:hideMark/>
          </w:tcPr>
          <w:p w14:paraId="45460CBE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Модератор рынка, поставщик налоговых стимулов</w:t>
            </w:r>
          </w:p>
        </w:tc>
        <w:tc>
          <w:tcPr>
            <w:tcW w:w="0" w:type="auto"/>
            <w:hideMark/>
          </w:tcPr>
          <w:p w14:paraId="2B639F47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Инвестиционные кредиты, налоговые льготы, венчурная поддержка</w:t>
            </w:r>
          </w:p>
        </w:tc>
        <w:tc>
          <w:tcPr>
            <w:tcW w:w="0" w:type="auto"/>
            <w:hideMark/>
          </w:tcPr>
          <w:p w14:paraId="27E240DC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Волатильность политики, зависимость от рыночных циклов</w:t>
            </w:r>
          </w:p>
        </w:tc>
      </w:tr>
      <w:tr w:rsidR="000E7F50" w:rsidRPr="00371760" w14:paraId="15A07F78" w14:textId="77777777" w:rsidTr="00A1652D">
        <w:tc>
          <w:tcPr>
            <w:tcW w:w="1696" w:type="dxa"/>
            <w:hideMark/>
          </w:tcPr>
          <w:p w14:paraId="5DE223BD" w14:textId="1D01ED74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 xml:space="preserve">Нордическая </w:t>
            </w:r>
          </w:p>
        </w:tc>
        <w:tc>
          <w:tcPr>
            <w:tcW w:w="0" w:type="auto"/>
            <w:hideMark/>
          </w:tcPr>
          <w:p w14:paraId="4781FF5F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Социальное партнёрство, высокое доверие к институтам, экосистемный подход</w:t>
            </w:r>
          </w:p>
        </w:tc>
        <w:tc>
          <w:tcPr>
            <w:tcW w:w="0" w:type="auto"/>
            <w:hideMark/>
          </w:tcPr>
          <w:p w14:paraId="612EC710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Партнёр частного сектора</w:t>
            </w:r>
          </w:p>
        </w:tc>
        <w:tc>
          <w:tcPr>
            <w:tcW w:w="0" w:type="auto"/>
            <w:hideMark/>
          </w:tcPr>
          <w:p w14:paraId="5A978BB3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Инновационные фонды, зелёные сертификаты, развитая система энергоэффективности</w:t>
            </w:r>
          </w:p>
        </w:tc>
        <w:tc>
          <w:tcPr>
            <w:tcW w:w="0" w:type="auto"/>
            <w:hideMark/>
          </w:tcPr>
          <w:p w14:paraId="02D73889" w14:textId="77777777" w:rsidR="00371760" w:rsidRPr="00371760" w:rsidRDefault="00371760" w:rsidP="00371760">
            <w:pPr>
              <w:jc w:val="both"/>
              <w:rPr>
                <w:sz w:val="24"/>
                <w:szCs w:val="24"/>
              </w:rPr>
            </w:pPr>
            <w:r w:rsidRPr="00371760">
              <w:rPr>
                <w:sz w:val="24"/>
                <w:szCs w:val="24"/>
              </w:rPr>
              <w:t>Высокие требования к качеству институтов</w:t>
            </w:r>
          </w:p>
        </w:tc>
      </w:tr>
      <w:tr w:rsidR="00DF3CFF" w:rsidRPr="00371760" w14:paraId="5867F96F" w14:textId="77777777" w:rsidTr="00A1652D">
        <w:tc>
          <w:tcPr>
            <w:tcW w:w="9252" w:type="dxa"/>
            <w:gridSpan w:val="5"/>
          </w:tcPr>
          <w:p w14:paraId="419A52D1" w14:textId="131EBB3E" w:rsidR="00DF3CFF" w:rsidRPr="00DF3CFF" w:rsidRDefault="00DF3CFF" w:rsidP="00DF3CFF">
            <w:pPr>
              <w:jc w:val="both"/>
              <w:rPr>
                <w:sz w:val="24"/>
                <w:szCs w:val="24"/>
              </w:rPr>
            </w:pPr>
            <w:r w:rsidRPr="00DF3CFF">
              <w:rPr>
                <w:sz w:val="24"/>
                <w:szCs w:val="24"/>
                <w:lang w:val="ru-RU"/>
              </w:rPr>
              <w:t>Примечание: составлено автором на основании источников [75, 76]</w:t>
            </w:r>
          </w:p>
        </w:tc>
      </w:tr>
    </w:tbl>
    <w:p w14:paraId="3C019035" w14:textId="764BD8AC" w:rsidR="00371760" w:rsidRPr="00371760" w:rsidRDefault="00371760" w:rsidP="003717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lastRenderedPageBreak/>
        <w:t>Представленные модели демонстрируют, что успешное развитие зелёной экономики не может быть сведено к внедрению единственного инструмента или политического решения. Решающим фактором становится согласованность управленческой архитектуры, наличие устойчивых институтов, долгосрочная предсказуемость политики и сбалансированное распределение функций между государством и частным сектором. Именно управленческие модели определяют скорость внедрения зелёных технологий, уровень привлечения инвестиций, степень локализации производства и устойчивость энергетического перехода.</w:t>
      </w:r>
    </w:p>
    <w:p w14:paraId="23061699" w14:textId="647B131A" w:rsidR="00371760" w:rsidRPr="00371760" w:rsidRDefault="00371760" w:rsidP="003717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760">
        <w:rPr>
          <w:rFonts w:ascii="Times New Roman" w:hAnsi="Times New Roman" w:cs="Times New Roman"/>
          <w:sz w:val="28"/>
          <w:szCs w:val="28"/>
        </w:rPr>
        <w:t>Для Казахстана анализ международных подходов представляет особую значимость, поскольку страна находится в фазе формирования собственной модели управления зелёным переходом. Комбинация элементов европейской, китайской и североамериканской моделей может обеспечить необходимую гибкость и устойчивость в условиях масштабных структурных трансформаций.</w:t>
      </w:r>
    </w:p>
    <w:p w14:paraId="639075AD" w14:textId="7ECDA4C3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Современный переход к «зелёной» экономике представляет собой глобальный процесс, основанный на системной трансформации энергетики, промышленности и государственного управления. На фоне ускоряющихся климатических изменений и необходимости декарбонизации мировой экономики ведущие страны вырабатывают собственные управленческие модели энергетического перехода, в которых ключевую роль играют сочетание инновационной политики, институциональных реформ и стимулирования частного сектора. Международный опыт демонстрирует, что успех в построении низкоуглеродной экономики определяется не только природными ресурсами, но прежде всего эффективностью государственного регулирования, инвестиционными инструментами и способностью создавать устойчивые технологические экосистемы</w:t>
      </w:r>
      <w:r w:rsidR="00DF3CFF">
        <w:rPr>
          <w:rFonts w:ascii="Times New Roman" w:hAnsi="Times New Roman" w:cs="Times New Roman"/>
          <w:sz w:val="28"/>
          <w:szCs w:val="28"/>
        </w:rPr>
        <w:t xml:space="preserve"> [77]</w:t>
      </w:r>
      <w:r w:rsidRPr="00C65446">
        <w:rPr>
          <w:rFonts w:ascii="Times New Roman" w:hAnsi="Times New Roman" w:cs="Times New Roman"/>
          <w:sz w:val="28"/>
          <w:szCs w:val="28"/>
        </w:rPr>
        <w:t>.</w:t>
      </w:r>
    </w:p>
    <w:p w14:paraId="37FF631C" w14:textId="5BA54E9B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Историческая ретроспектива развития мировой энергетики показывает, что человечество прошло два крупных энергетических перехода, инициированных промышленно развитыми странами. Первый переход, знаменовавший переход от биомассы к углю, произошёл в Великобритании в XVI–XVII веках под влиянием «топливного кризиса дров» (1550–1619 гг.), а позднее был повторён в Германии (1815–1853 гг.) и США (1850–1885 гг.). Второй энергетический переход, занявший почти весь XX век, характеризовался замещением угля нефтью и последующим внедрением природного газа и ядерной энергетики. Так, США завершили переход от угля к нефти в 1910–1950 гг., Италия – замену нефти природным газом в 1965–2007 гг., а Франция в течение 20 лет (1980–2000 гг.) осуществила переход от нефтяной зависимости к ядерной энергетике</w:t>
      </w:r>
      <w:r w:rsidR="00DF3CFF">
        <w:rPr>
          <w:rFonts w:ascii="Times New Roman" w:hAnsi="Times New Roman" w:cs="Times New Roman"/>
          <w:sz w:val="28"/>
          <w:szCs w:val="28"/>
        </w:rPr>
        <w:t xml:space="preserve"> [78]</w:t>
      </w:r>
      <w:r w:rsidRPr="00C65446">
        <w:rPr>
          <w:rFonts w:ascii="Times New Roman" w:hAnsi="Times New Roman" w:cs="Times New Roman"/>
          <w:sz w:val="28"/>
          <w:szCs w:val="28"/>
        </w:rPr>
        <w:t>.</w:t>
      </w:r>
    </w:p>
    <w:p w14:paraId="5B8A0D46" w14:textId="6C6F8011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В 1970-х годах мировой нефтяной кризис стал стимулом для переосмысления энергетических стратегий, заставив правительства искать альтернативы ископаемым ресурсам. Параллельно в 1990-х годах концепция устойчивого развития и борьба с изменением климата сформировали новый вектор государственной политики </w:t>
      </w:r>
      <w:r w:rsidR="00DF3CFF">
        <w:rPr>
          <w:rFonts w:ascii="Times New Roman" w:hAnsi="Times New Roman" w:cs="Times New Roman"/>
          <w:sz w:val="28"/>
          <w:szCs w:val="28"/>
        </w:rPr>
        <w:t>-</w:t>
      </w:r>
      <w:r w:rsidRPr="00C65446">
        <w:rPr>
          <w:rFonts w:ascii="Times New Roman" w:hAnsi="Times New Roman" w:cs="Times New Roman"/>
          <w:sz w:val="28"/>
          <w:szCs w:val="28"/>
        </w:rPr>
        <w:t xml:space="preserve"> переход к низкоуглеродной энергетике.</w:t>
      </w:r>
    </w:p>
    <w:p w14:paraId="5A2C2A0B" w14:textId="02846E7C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С начала XXI века наступил этап третьего энергетического перехода, связанного с масштабным внедрением возобновляемых источников энергии. Развитые страны реализуют собственные модели, объединяющие </w:t>
      </w:r>
      <w:r w:rsidRPr="00C65446">
        <w:rPr>
          <w:rFonts w:ascii="Times New Roman" w:hAnsi="Times New Roman" w:cs="Times New Roman"/>
          <w:sz w:val="28"/>
          <w:szCs w:val="28"/>
        </w:rPr>
        <w:lastRenderedPageBreak/>
        <w:t>технологические инновации и политические стимулы. Например, Германия и Дания сделали ставку на развитие ветровой и солнечной энергетики, тогда как Франция сохранила баланс между ядерной и возобновляемой генерацией. В Южной Корее с 2008 года реализуется государственная стратегия «зелёного роста» — закреплённая законом система перехода к низкоуглеродной экономике, предусматривающая ежегодное инвестирование около 2% ВВП и снижение выбросов на 30% от сценария Business-</w:t>
      </w:r>
      <w:proofErr w:type="spellStart"/>
      <w:r w:rsidRPr="00C65446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C654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65446">
        <w:rPr>
          <w:rFonts w:ascii="Times New Roman" w:hAnsi="Times New Roman" w:cs="Times New Roman"/>
          <w:sz w:val="28"/>
          <w:szCs w:val="28"/>
        </w:rPr>
        <w:t>Usual</w:t>
      </w:r>
      <w:proofErr w:type="spellEnd"/>
      <w:r w:rsidRPr="00C65446">
        <w:rPr>
          <w:rFonts w:ascii="Times New Roman" w:hAnsi="Times New Roman" w:cs="Times New Roman"/>
          <w:sz w:val="28"/>
          <w:szCs w:val="28"/>
        </w:rPr>
        <w:t>.</w:t>
      </w:r>
    </w:p>
    <w:p w14:paraId="6B55CC3F" w14:textId="62EEE73D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Китай демонстрирует наиболее масштабную государственную модель энергетического перехода. Вопросы экологии и устойчивости включены в пятилетние планы развития, а с середины 2010-х годов реализуется концепция «экологической цивилизации», ориентированная на гармонизацию экономики и природы. В 2020 году Китай объявил стратегические цели: достижение пика выбросов CO₂ до 2030 года и углеродной нейтральности к 2060 году. </w:t>
      </w:r>
      <w:r w:rsidR="00934A2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Pr="00C65446">
        <w:rPr>
          <w:rFonts w:ascii="Times New Roman" w:hAnsi="Times New Roman" w:cs="Times New Roman"/>
          <w:sz w:val="28"/>
          <w:szCs w:val="28"/>
        </w:rPr>
        <w:t>ели подкреплены рекордными инвестициями в солнечную, ветровую и водородную энергетику, что позволило Китаю занять лидирующие позиции на мировом рынке ВИЭ.</w:t>
      </w:r>
    </w:p>
    <w:p w14:paraId="55898E70" w14:textId="77777777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Опыт перечисленных стран показывает, что успешные модели «зелёного» роста базируются на трёх ключевых принципах:</w:t>
      </w:r>
    </w:p>
    <w:p w14:paraId="192A3AC7" w14:textId="032449E1" w:rsidR="00C65446" w:rsidRPr="00C65446" w:rsidRDefault="00C65446" w:rsidP="00C65446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Активная роль государства </w:t>
      </w:r>
      <w:r w:rsidR="00DF3CFF">
        <w:rPr>
          <w:rFonts w:ascii="Times New Roman" w:hAnsi="Times New Roman" w:cs="Times New Roman"/>
          <w:sz w:val="28"/>
          <w:szCs w:val="28"/>
        </w:rPr>
        <w:t>-</w:t>
      </w:r>
      <w:r w:rsidRPr="00C65446">
        <w:rPr>
          <w:rFonts w:ascii="Times New Roman" w:hAnsi="Times New Roman" w:cs="Times New Roman"/>
          <w:sz w:val="28"/>
          <w:szCs w:val="28"/>
        </w:rPr>
        <w:t xml:space="preserve"> создание нормативной базы, тарифных стимулов, механизмов субсидирования и прямых инвестиций.</w:t>
      </w:r>
    </w:p>
    <w:p w14:paraId="041DA0D7" w14:textId="15255774" w:rsidR="00C65446" w:rsidRPr="00C65446" w:rsidRDefault="00C65446" w:rsidP="00C65446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Интеграция частного сектора и науки </w:t>
      </w:r>
      <w:r w:rsidR="00DF3CFF">
        <w:rPr>
          <w:rFonts w:ascii="Times New Roman" w:hAnsi="Times New Roman" w:cs="Times New Roman"/>
          <w:sz w:val="28"/>
          <w:szCs w:val="28"/>
        </w:rPr>
        <w:t>-</w:t>
      </w:r>
      <w:r w:rsidRPr="00C65446">
        <w:rPr>
          <w:rFonts w:ascii="Times New Roman" w:hAnsi="Times New Roman" w:cs="Times New Roman"/>
          <w:sz w:val="28"/>
          <w:szCs w:val="28"/>
        </w:rPr>
        <w:t xml:space="preserve"> развитие инновационных кластеров, партнёрств и венчурных механизмов в сфере ВИЭ.</w:t>
      </w:r>
    </w:p>
    <w:p w14:paraId="7FB00296" w14:textId="681CE87D" w:rsidR="00C65446" w:rsidRPr="00C65446" w:rsidRDefault="00C65446" w:rsidP="00C65446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Системное планирование и долгосрочная стратегия </w:t>
      </w:r>
      <w:r w:rsidR="00DF3CFF">
        <w:rPr>
          <w:rFonts w:ascii="Times New Roman" w:hAnsi="Times New Roman" w:cs="Times New Roman"/>
          <w:sz w:val="28"/>
          <w:szCs w:val="28"/>
        </w:rPr>
        <w:t>-</w:t>
      </w:r>
      <w:r w:rsidRPr="00C65446">
        <w:rPr>
          <w:rFonts w:ascii="Times New Roman" w:hAnsi="Times New Roman" w:cs="Times New Roman"/>
          <w:sz w:val="28"/>
          <w:szCs w:val="28"/>
        </w:rPr>
        <w:t xml:space="preserve"> ориентация на достижение углеродной нейтральности и формирование новых технологических рынков</w:t>
      </w:r>
      <w:r w:rsidR="00DF3CFF">
        <w:rPr>
          <w:rFonts w:ascii="Times New Roman" w:hAnsi="Times New Roman" w:cs="Times New Roman"/>
          <w:sz w:val="28"/>
          <w:szCs w:val="28"/>
        </w:rPr>
        <w:t xml:space="preserve"> [79]</w:t>
      </w:r>
      <w:r w:rsidRPr="00C65446">
        <w:rPr>
          <w:rFonts w:ascii="Times New Roman" w:hAnsi="Times New Roman" w:cs="Times New Roman"/>
          <w:sz w:val="28"/>
          <w:szCs w:val="28"/>
        </w:rPr>
        <w:t>.</w:t>
      </w:r>
    </w:p>
    <w:p w14:paraId="1E603452" w14:textId="77777777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Для Казахстана международный опыт является методологическим ориентиром при формировании собственной модели зелёной экономики. Учёт закономерностей энергетических переходов и институциональных практик развитых стран позволяет адаптировать глобальные механизмы к национальной специфике — сочетая богатые природные ресурсы, региональные преимущества и необходимость технологического обновления.</w:t>
      </w:r>
    </w:p>
    <w:p w14:paraId="4265C9E0" w14:textId="28AD479A" w:rsid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Исторический анализ мировых энергетических переходов позволяет выявить ключевые этапы эволюции глобальной энергетической системы и закономерности замещения доминирующих источников энергии. На основании данных Международного энергетического агентства можно выделить два крупных исторических энергетических перехода, определивших траекторию промышленного развития и изменения структуры потребления энергоресурсов в ведущих экономиках мира. Первый переход был связан с заменой биомассы углём в эпоху индустриализации, а второй — с переходом от угля к нефти и последующим внедрением природного газа и ядерной энергетики. Сравнительная характеристика процессов приведена в таблице </w:t>
      </w:r>
      <w:r w:rsidR="00FA09C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C65446">
        <w:rPr>
          <w:rFonts w:ascii="Times New Roman" w:hAnsi="Times New Roman" w:cs="Times New Roman"/>
          <w:sz w:val="28"/>
          <w:szCs w:val="28"/>
        </w:rPr>
        <w:t>.</w:t>
      </w:r>
    </w:p>
    <w:p w14:paraId="29EABE01" w14:textId="77777777" w:rsidR="005A5117" w:rsidRPr="00C65446" w:rsidRDefault="005A5117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6A67DB" w14:textId="77777777" w:rsidR="00FA09CC" w:rsidRDefault="00FA09CC" w:rsidP="00FA09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28B97D" w14:textId="77777777" w:rsidR="00FA09CC" w:rsidRDefault="00FA09CC" w:rsidP="00FA09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FE62CD" w14:textId="311F3B0A" w:rsidR="00C65446" w:rsidRPr="00C65446" w:rsidRDefault="00C65446" w:rsidP="00FA09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A09C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C65446">
        <w:rPr>
          <w:rFonts w:ascii="Times New Roman" w:hAnsi="Times New Roman" w:cs="Times New Roman"/>
          <w:sz w:val="28"/>
          <w:szCs w:val="28"/>
        </w:rPr>
        <w:t xml:space="preserve"> – Сравнение двух процессов энергоперехода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890"/>
        <w:gridCol w:w="1458"/>
        <w:gridCol w:w="1019"/>
        <w:gridCol w:w="1019"/>
        <w:gridCol w:w="1312"/>
        <w:gridCol w:w="2815"/>
      </w:tblGrid>
      <w:tr w:rsidR="00C65446" w:rsidRPr="00A338A1" w14:paraId="7E0B68F9" w14:textId="77777777" w:rsidTr="00A338A1">
        <w:trPr>
          <w:trHeight w:val="290"/>
          <w:tblHeader/>
        </w:trPr>
        <w:tc>
          <w:tcPr>
            <w:tcW w:w="1890" w:type="dxa"/>
            <w:vAlign w:val="center"/>
          </w:tcPr>
          <w:p w14:paraId="19979A9D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Энергопереход</w:t>
            </w:r>
          </w:p>
        </w:tc>
        <w:tc>
          <w:tcPr>
            <w:tcW w:w="1458" w:type="dxa"/>
            <w:vAlign w:val="center"/>
          </w:tcPr>
          <w:p w14:paraId="6813472F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Страна</w:t>
            </w:r>
          </w:p>
        </w:tc>
        <w:tc>
          <w:tcPr>
            <w:tcW w:w="1019" w:type="dxa"/>
            <w:vAlign w:val="center"/>
          </w:tcPr>
          <w:p w14:paraId="469EC139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Начало (год)</w:t>
            </w:r>
          </w:p>
        </w:tc>
        <w:tc>
          <w:tcPr>
            <w:tcW w:w="1019" w:type="dxa"/>
            <w:vAlign w:val="center"/>
          </w:tcPr>
          <w:p w14:paraId="536777CE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Конец (год)</w:t>
            </w:r>
          </w:p>
        </w:tc>
        <w:tc>
          <w:tcPr>
            <w:tcW w:w="1312" w:type="dxa"/>
            <w:vAlign w:val="center"/>
          </w:tcPr>
          <w:p w14:paraId="436BFA58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Срок (лет)</w:t>
            </w:r>
          </w:p>
        </w:tc>
        <w:tc>
          <w:tcPr>
            <w:tcW w:w="2813" w:type="dxa"/>
            <w:vAlign w:val="center"/>
          </w:tcPr>
          <w:p w14:paraId="206FDA03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Вид энергоперехода</w:t>
            </w:r>
          </w:p>
        </w:tc>
      </w:tr>
      <w:tr w:rsidR="00C65446" w:rsidRPr="00A338A1" w14:paraId="3182615E" w14:textId="77777777" w:rsidTr="00A338A1">
        <w:trPr>
          <w:trHeight w:val="1052"/>
        </w:trPr>
        <w:tc>
          <w:tcPr>
            <w:tcW w:w="1890" w:type="dxa"/>
            <w:vMerge w:val="restart"/>
            <w:vAlign w:val="center"/>
          </w:tcPr>
          <w:p w14:paraId="16C70807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Первый переход</w:t>
            </w:r>
          </w:p>
        </w:tc>
        <w:tc>
          <w:tcPr>
            <w:tcW w:w="1458" w:type="dxa"/>
            <w:vAlign w:val="center"/>
          </w:tcPr>
          <w:p w14:paraId="6C8BB9D9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Великобритания</w:t>
            </w:r>
          </w:p>
        </w:tc>
        <w:tc>
          <w:tcPr>
            <w:tcW w:w="1019" w:type="dxa"/>
            <w:vAlign w:val="center"/>
          </w:tcPr>
          <w:p w14:paraId="4765BAB5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1850</w:t>
            </w:r>
          </w:p>
        </w:tc>
        <w:tc>
          <w:tcPr>
            <w:tcW w:w="1019" w:type="dxa"/>
            <w:vAlign w:val="center"/>
          </w:tcPr>
          <w:p w14:paraId="24B89BC8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1619</w:t>
            </w:r>
          </w:p>
        </w:tc>
        <w:tc>
          <w:tcPr>
            <w:tcW w:w="1312" w:type="dxa"/>
            <w:vAlign w:val="center"/>
          </w:tcPr>
          <w:p w14:paraId="593CFBF4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69</w:t>
            </w:r>
          </w:p>
        </w:tc>
        <w:tc>
          <w:tcPr>
            <w:tcW w:w="2813" w:type="dxa"/>
            <w:vAlign w:val="center"/>
          </w:tcPr>
          <w:p w14:paraId="139AB79B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Уголь вместо дров</w:t>
            </w:r>
          </w:p>
        </w:tc>
      </w:tr>
      <w:tr w:rsidR="00C65446" w:rsidRPr="00A338A1" w14:paraId="46F6EC73" w14:textId="77777777" w:rsidTr="00A338A1">
        <w:trPr>
          <w:trHeight w:val="263"/>
        </w:trPr>
        <w:tc>
          <w:tcPr>
            <w:tcW w:w="1890" w:type="dxa"/>
            <w:vMerge/>
            <w:vAlign w:val="center"/>
          </w:tcPr>
          <w:p w14:paraId="71DE257E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</w:p>
        </w:tc>
        <w:tc>
          <w:tcPr>
            <w:tcW w:w="1458" w:type="dxa"/>
            <w:vAlign w:val="center"/>
          </w:tcPr>
          <w:p w14:paraId="72514483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США</w:t>
            </w:r>
          </w:p>
        </w:tc>
        <w:tc>
          <w:tcPr>
            <w:tcW w:w="1019" w:type="dxa"/>
            <w:vAlign w:val="center"/>
          </w:tcPr>
          <w:p w14:paraId="32BE4B9A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1915</w:t>
            </w:r>
          </w:p>
        </w:tc>
        <w:tc>
          <w:tcPr>
            <w:tcW w:w="1019" w:type="dxa"/>
            <w:vAlign w:val="center"/>
          </w:tcPr>
          <w:p w14:paraId="49673015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1950</w:t>
            </w:r>
          </w:p>
        </w:tc>
        <w:tc>
          <w:tcPr>
            <w:tcW w:w="1312" w:type="dxa"/>
            <w:vAlign w:val="center"/>
          </w:tcPr>
          <w:p w14:paraId="16AC6701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40</w:t>
            </w:r>
          </w:p>
        </w:tc>
        <w:tc>
          <w:tcPr>
            <w:tcW w:w="2813" w:type="dxa"/>
            <w:vAlign w:val="center"/>
          </w:tcPr>
          <w:p w14:paraId="6EF84EE0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Нефть вместо угля</w:t>
            </w:r>
          </w:p>
        </w:tc>
      </w:tr>
      <w:tr w:rsidR="00C65446" w:rsidRPr="00A338A1" w14:paraId="2913BCFC" w14:textId="77777777" w:rsidTr="00A338A1">
        <w:trPr>
          <w:trHeight w:val="1143"/>
        </w:trPr>
        <w:tc>
          <w:tcPr>
            <w:tcW w:w="1890" w:type="dxa"/>
            <w:vMerge w:val="restart"/>
            <w:vAlign w:val="center"/>
          </w:tcPr>
          <w:p w14:paraId="09D9C209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Второй переход</w:t>
            </w:r>
          </w:p>
        </w:tc>
        <w:tc>
          <w:tcPr>
            <w:tcW w:w="1458" w:type="dxa"/>
            <w:vAlign w:val="center"/>
          </w:tcPr>
          <w:p w14:paraId="01F586F9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Италия</w:t>
            </w:r>
          </w:p>
        </w:tc>
        <w:tc>
          <w:tcPr>
            <w:tcW w:w="1019" w:type="dxa"/>
            <w:vAlign w:val="center"/>
          </w:tcPr>
          <w:p w14:paraId="4347BEAC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1965</w:t>
            </w:r>
          </w:p>
        </w:tc>
        <w:tc>
          <w:tcPr>
            <w:tcW w:w="1019" w:type="dxa"/>
            <w:vAlign w:val="center"/>
          </w:tcPr>
          <w:p w14:paraId="326A9984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2007</w:t>
            </w:r>
          </w:p>
        </w:tc>
        <w:tc>
          <w:tcPr>
            <w:tcW w:w="1312" w:type="dxa"/>
            <w:vAlign w:val="center"/>
          </w:tcPr>
          <w:p w14:paraId="3E901CF1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42</w:t>
            </w:r>
          </w:p>
        </w:tc>
        <w:tc>
          <w:tcPr>
            <w:tcW w:w="2813" w:type="dxa"/>
            <w:vAlign w:val="center"/>
          </w:tcPr>
          <w:p w14:paraId="39B32809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Природный газ вместо нефти</w:t>
            </w:r>
          </w:p>
        </w:tc>
      </w:tr>
      <w:tr w:rsidR="00C65446" w:rsidRPr="00A338A1" w14:paraId="3B15BC85" w14:textId="77777777" w:rsidTr="00A338A1">
        <w:trPr>
          <w:trHeight w:val="225"/>
        </w:trPr>
        <w:tc>
          <w:tcPr>
            <w:tcW w:w="1890" w:type="dxa"/>
            <w:vMerge/>
            <w:vAlign w:val="center"/>
          </w:tcPr>
          <w:p w14:paraId="7545CF9C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</w:p>
        </w:tc>
        <w:tc>
          <w:tcPr>
            <w:tcW w:w="1458" w:type="dxa"/>
            <w:vAlign w:val="center"/>
          </w:tcPr>
          <w:p w14:paraId="123A7921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Франция</w:t>
            </w:r>
          </w:p>
        </w:tc>
        <w:tc>
          <w:tcPr>
            <w:tcW w:w="1019" w:type="dxa"/>
            <w:vAlign w:val="center"/>
          </w:tcPr>
          <w:p w14:paraId="6845985D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1980</w:t>
            </w:r>
          </w:p>
        </w:tc>
        <w:tc>
          <w:tcPr>
            <w:tcW w:w="1019" w:type="dxa"/>
            <w:vAlign w:val="center"/>
          </w:tcPr>
          <w:p w14:paraId="50F31C86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2000</w:t>
            </w:r>
          </w:p>
        </w:tc>
        <w:tc>
          <w:tcPr>
            <w:tcW w:w="1312" w:type="dxa"/>
            <w:vAlign w:val="center"/>
          </w:tcPr>
          <w:p w14:paraId="199A1A5F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20</w:t>
            </w:r>
          </w:p>
        </w:tc>
        <w:tc>
          <w:tcPr>
            <w:tcW w:w="2813" w:type="dxa"/>
            <w:vAlign w:val="center"/>
          </w:tcPr>
          <w:p w14:paraId="47F2723F" w14:textId="77777777" w:rsidR="00C65446" w:rsidRPr="00A338A1" w:rsidRDefault="00C65446" w:rsidP="00C65446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8"/>
                <w:szCs w:val="28"/>
                <w:lang w:val="ru-KZ" w:eastAsia="en-US"/>
                <w14:ligatures w14:val="standardContextual"/>
              </w:rPr>
              <w:t>Ядерная энергетика вместо нефти</w:t>
            </w:r>
          </w:p>
        </w:tc>
      </w:tr>
      <w:tr w:rsidR="00C65446" w:rsidRPr="00A338A1" w14:paraId="05ADC98C" w14:textId="77777777" w:rsidTr="00A338A1">
        <w:trPr>
          <w:trHeight w:val="663"/>
        </w:trPr>
        <w:tc>
          <w:tcPr>
            <w:tcW w:w="9513" w:type="dxa"/>
            <w:gridSpan w:val="6"/>
            <w:vAlign w:val="center"/>
          </w:tcPr>
          <w:p w14:paraId="4BEE07CB" w14:textId="23C6A5DC" w:rsidR="00C65446" w:rsidRPr="00A338A1" w:rsidRDefault="00C65446" w:rsidP="00C65446">
            <w:pPr>
              <w:pStyle w:val="af"/>
              <w:ind w:firstLineChars="0" w:firstLine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Примечание</w:t>
            </w:r>
            <w:r w:rsidR="00931A9C"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: сос</w:t>
            </w:r>
            <w:r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тавлено</w:t>
            </w:r>
            <w:r w:rsidR="00931A9C"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 автором на основании </w:t>
            </w:r>
            <w:proofErr w:type="gramStart"/>
            <w:r w:rsidR="00931A9C"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источника </w:t>
            </w:r>
            <w:r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 [</w:t>
            </w:r>
            <w:proofErr w:type="gramEnd"/>
            <w:r w:rsidR="00DF3CFF"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80</w:t>
            </w:r>
            <w:r w:rsidRPr="00A338A1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]</w:t>
            </w:r>
          </w:p>
        </w:tc>
      </w:tr>
    </w:tbl>
    <w:p w14:paraId="60673C23" w14:textId="77777777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C4CB571" w14:textId="77EDFF8A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Сравнение исторических энергетических переходов демонстрирует, что смена доминирующих источников энергии является длительным, но закономерным процессом, зависящим от уровня технологического развития, государственной политики и глобальных экономических условий. Каждый новый переход сопровождается не только структурными изменениями в производстве и потреблении энергии, но и трансформацией институциональных и управленческих механизмов.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Данный </w:t>
      </w:r>
      <w:r w:rsidRPr="00C65446">
        <w:rPr>
          <w:rFonts w:ascii="Times New Roman" w:hAnsi="Times New Roman" w:cs="Times New Roman"/>
          <w:sz w:val="28"/>
          <w:szCs w:val="28"/>
        </w:rPr>
        <w:t>опыт служит важной теоретической основой для анализа современного третьего энергетического перехода</w:t>
      </w:r>
      <w:r w:rsidR="00DF3CFF">
        <w:rPr>
          <w:rFonts w:ascii="Times New Roman" w:hAnsi="Times New Roman" w:cs="Times New Roman"/>
          <w:sz w:val="28"/>
          <w:szCs w:val="28"/>
        </w:rPr>
        <w:t xml:space="preserve"> -</w:t>
      </w:r>
      <w:r w:rsidRPr="00C65446">
        <w:rPr>
          <w:rFonts w:ascii="Times New Roman" w:hAnsi="Times New Roman" w:cs="Times New Roman"/>
          <w:sz w:val="28"/>
          <w:szCs w:val="28"/>
        </w:rPr>
        <w:t xml:space="preserve"> перехода к возобновляемым источникам энергии, который сегодня становится центральным направлением «зелёной» трансформации мировой экономики и актуальной задачей для Казахстана.</w:t>
      </w:r>
    </w:p>
    <w:p w14:paraId="7F7103F2" w14:textId="4B31B826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Историческая динамика энергетических переходов не только изменила структуру мирового энергопотребления, но и стала движущей силой экономической и технологической трансформации человечества. Первый энергетический переход, сопровождавший промышленную революцию, ознаменовался переходом от биомассы к углю.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Pr="00C65446">
        <w:rPr>
          <w:rFonts w:ascii="Times New Roman" w:hAnsi="Times New Roman" w:cs="Times New Roman"/>
          <w:sz w:val="28"/>
          <w:szCs w:val="28"/>
        </w:rPr>
        <w:t xml:space="preserve"> этап обеспечил основу для механизации производства и становления промышленного общества: использование угля дало мощный импульс развитию горнодобывающей, металлургической и текстильной отраслей, ускорило процессы урбанизации и сформировало новую структуру общественного труда</w:t>
      </w:r>
      <w:r w:rsidR="00DF3CFF">
        <w:rPr>
          <w:rFonts w:ascii="Times New Roman" w:hAnsi="Times New Roman" w:cs="Times New Roman"/>
          <w:sz w:val="28"/>
          <w:szCs w:val="28"/>
        </w:rPr>
        <w:t xml:space="preserve"> [81]</w:t>
      </w:r>
      <w:r w:rsidRPr="00C65446">
        <w:rPr>
          <w:rFonts w:ascii="Times New Roman" w:hAnsi="Times New Roman" w:cs="Times New Roman"/>
          <w:sz w:val="28"/>
          <w:szCs w:val="28"/>
        </w:rPr>
        <w:t>.</w:t>
      </w:r>
    </w:p>
    <w:p w14:paraId="2DB15F50" w14:textId="77777777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Второй энергетический переход, базировавшийся на широком внедрении нефти, природного газа и ядерной энергии, радикально повысил эффективность энергетических систем и стал фундаментом для бурного роста химической промышленности, транспорта и автомобилестроения. Энергия стала не только источником производственной мощности, но и фактором глобальной мобильности, стимулируя формирование мировой экономики индустриального типа.</w:t>
      </w:r>
    </w:p>
    <w:p w14:paraId="08A25868" w14:textId="2390CA2D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современную эпоху человечество вступило в третий энергетический переход, ядром которого являются возобновляемые источники энергии. По определению канадского исследователя Вацлава </w:t>
      </w:r>
      <w:proofErr w:type="spellStart"/>
      <w:r w:rsidRPr="00C65446">
        <w:rPr>
          <w:rFonts w:ascii="Times New Roman" w:hAnsi="Times New Roman" w:cs="Times New Roman"/>
          <w:sz w:val="28"/>
          <w:szCs w:val="28"/>
        </w:rPr>
        <w:t>Смила</w:t>
      </w:r>
      <w:proofErr w:type="spellEnd"/>
      <w:r w:rsidR="00DF3CFF">
        <w:rPr>
          <w:rFonts w:ascii="Times New Roman" w:hAnsi="Times New Roman" w:cs="Times New Roman"/>
          <w:sz w:val="28"/>
          <w:szCs w:val="28"/>
        </w:rPr>
        <w:t xml:space="preserve"> [82]</w:t>
      </w:r>
      <w:r w:rsidRPr="00C65446">
        <w:rPr>
          <w:rFonts w:ascii="Times New Roman" w:hAnsi="Times New Roman" w:cs="Times New Roman"/>
          <w:sz w:val="28"/>
          <w:szCs w:val="28"/>
        </w:rPr>
        <w:t xml:space="preserve">, о начале нового энергетического цикла можно говорить тогда, когда доля ВИЭ в мировой энергосистеме превышает 5%.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Pr="00C65446">
        <w:rPr>
          <w:rFonts w:ascii="Times New Roman" w:hAnsi="Times New Roman" w:cs="Times New Roman"/>
          <w:sz w:val="28"/>
          <w:szCs w:val="28"/>
        </w:rPr>
        <w:t xml:space="preserve"> порог уже преодолён, что свидетельствует о переходе глобальной энергетики на качественно новый уровень.</w:t>
      </w:r>
    </w:p>
    <w:p w14:paraId="5726472D" w14:textId="77777777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Развитие ВИЭ, прежде всего солнечной и ветровой энергетики, создаёт основу для формирования новых отраслей промышленности — производства аккумуляторных батарей, систем хранения энергии, оборудования для генерации и новых материалов. Тем самым энергетический переход превращается в драйвер индустриальной и технологической диверсификации мировой экономики.</w:t>
      </w:r>
    </w:p>
    <w:p w14:paraId="7285686E" w14:textId="707B15DD" w:rsidR="00C65446" w:rsidRP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5446">
        <w:rPr>
          <w:rFonts w:ascii="Times New Roman" w:hAnsi="Times New Roman" w:cs="Times New Roman"/>
          <w:sz w:val="28"/>
          <w:szCs w:val="28"/>
        </w:rPr>
        <w:t>Историческая эволюция энергетических систем также демонстрирует закономерность движения в сторону декарбонизации: переход от «твёрдых» к «жидким»</w:t>
      </w:r>
      <w:r w:rsidR="00822B28">
        <w:rPr>
          <w:rFonts w:ascii="Times New Roman" w:hAnsi="Times New Roman" w:cs="Times New Roman"/>
          <w:sz w:val="28"/>
          <w:szCs w:val="28"/>
        </w:rPr>
        <w:t xml:space="preserve"> </w:t>
      </w:r>
      <w:r w:rsidRPr="00C65446">
        <w:rPr>
          <w:rFonts w:ascii="Times New Roman" w:hAnsi="Times New Roman" w:cs="Times New Roman"/>
          <w:sz w:val="28"/>
          <w:szCs w:val="28"/>
        </w:rPr>
        <w:t xml:space="preserve">и далее к «газовым» источникам энергии сопровождается снижением доли углерода и увеличением доли водорода в структуре энергетического баланса.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В связи с чем</w:t>
      </w:r>
      <w:r w:rsidRPr="00C65446">
        <w:rPr>
          <w:rFonts w:ascii="Times New Roman" w:hAnsi="Times New Roman" w:cs="Times New Roman"/>
          <w:sz w:val="28"/>
          <w:szCs w:val="28"/>
        </w:rPr>
        <w:t xml:space="preserve"> современные исследователи </w:t>
      </w:r>
      <w:proofErr w:type="spellStart"/>
      <w:r w:rsidR="00822B28" w:rsidRPr="00C65446">
        <w:rPr>
          <w:rFonts w:ascii="Times New Roman" w:hAnsi="Times New Roman" w:cs="Times New Roman"/>
          <w:sz w:val="28"/>
          <w:szCs w:val="28"/>
        </w:rPr>
        <w:t>Löffler</w:t>
      </w:r>
      <w:proofErr w:type="spellEnd"/>
      <w:r w:rsidR="00822B28" w:rsidRPr="00C65446">
        <w:rPr>
          <w:rFonts w:ascii="Times New Roman" w:hAnsi="Times New Roman" w:cs="Times New Roman"/>
          <w:sz w:val="28"/>
          <w:szCs w:val="28"/>
        </w:rPr>
        <w:t xml:space="preserve"> </w:t>
      </w:r>
      <w:r w:rsidR="00822B28">
        <w:rPr>
          <w:rFonts w:ascii="Times New Roman" w:hAnsi="Times New Roman" w:cs="Times New Roman"/>
          <w:sz w:val="28"/>
          <w:szCs w:val="28"/>
        </w:rPr>
        <w:t xml:space="preserve">[83], </w:t>
      </w:r>
      <w:proofErr w:type="spellStart"/>
      <w:r w:rsidRPr="00C65446">
        <w:rPr>
          <w:rFonts w:ascii="Times New Roman" w:hAnsi="Times New Roman" w:cs="Times New Roman"/>
          <w:sz w:val="28"/>
          <w:szCs w:val="28"/>
        </w:rPr>
        <w:t>Peyerl</w:t>
      </w:r>
      <w:proofErr w:type="spellEnd"/>
      <w:r w:rsidR="00822B28">
        <w:rPr>
          <w:rFonts w:ascii="Times New Roman" w:hAnsi="Times New Roman" w:cs="Times New Roman"/>
          <w:sz w:val="28"/>
          <w:szCs w:val="28"/>
        </w:rPr>
        <w:t xml:space="preserve"> [84]</w:t>
      </w:r>
      <w:r w:rsidRPr="00C654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5446">
        <w:rPr>
          <w:rFonts w:ascii="Times New Roman" w:hAnsi="Times New Roman" w:cs="Times New Roman"/>
          <w:sz w:val="28"/>
          <w:szCs w:val="28"/>
        </w:rPr>
        <w:t>Dong</w:t>
      </w:r>
      <w:proofErr w:type="spellEnd"/>
      <w:r w:rsidR="00822B28">
        <w:rPr>
          <w:rFonts w:ascii="Times New Roman" w:hAnsi="Times New Roman" w:cs="Times New Roman"/>
          <w:sz w:val="28"/>
          <w:szCs w:val="28"/>
        </w:rPr>
        <w:t xml:space="preserve"> [85]</w:t>
      </w:r>
      <w:r w:rsidRPr="00C65446">
        <w:rPr>
          <w:rFonts w:ascii="Times New Roman" w:hAnsi="Times New Roman" w:cs="Times New Roman"/>
          <w:sz w:val="28"/>
          <w:szCs w:val="28"/>
        </w:rPr>
        <w:t xml:space="preserve"> всё чаще используют термин «низкоуглеродный энергетический переход», подчеркивая его экологическую и технологическую направленность.</w:t>
      </w:r>
    </w:p>
    <w:p w14:paraId="03043110" w14:textId="010E8075" w:rsidR="00C65446" w:rsidRDefault="00C65446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544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данном</w:t>
      </w:r>
      <w:r w:rsidRPr="00C65446">
        <w:rPr>
          <w:rFonts w:ascii="Times New Roman" w:hAnsi="Times New Roman" w:cs="Times New Roman"/>
          <w:sz w:val="28"/>
          <w:szCs w:val="28"/>
        </w:rPr>
        <w:t xml:space="preserve"> контексте возобновляемая энергетика становится не только новым источником энергии, но и системным фактором социально-экономического обновления, определяющим устойчивость и конкурентоспособность национальных экономик. Для Казахстана, обладающего значительным потенциалом солнечных и ветровых ресурсов, осмысление закономерностей этих переходов имеет принципиальное значение при формировании собственной модели «зелёного» роста.</w:t>
      </w:r>
    </w:p>
    <w:p w14:paraId="0CCF339A" w14:textId="0F045217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Анализ динамики выбросов CO₂ и потребления энергии на душу населения в развитых странах свидетельствует о поэтапной трансформации их энергетических и экономических систем. Начиная с середины XX века, устойчивый рост валового внутреннего продукта сопровождался структурными изменениями в производстве и потреблении энергии.</w:t>
      </w:r>
    </w:p>
    <w:p w14:paraId="03FB412A" w14:textId="6062F7B6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С 1965 года ВВП на душу населения в ведущих экономиках мира демонстрировал среднегодовой прирост на уровне 2–3%, что отражает этап индустриального и постиндустриального роста. По данным за 2017 год, ВВП на душу населения составил: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E7277">
        <w:rPr>
          <w:rFonts w:ascii="Times New Roman" w:hAnsi="Times New Roman" w:cs="Times New Roman"/>
          <w:sz w:val="28"/>
          <w:szCs w:val="28"/>
        </w:rPr>
        <w:t xml:space="preserve">США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E7277">
        <w:rPr>
          <w:rFonts w:ascii="Times New Roman" w:hAnsi="Times New Roman" w:cs="Times New Roman"/>
          <w:sz w:val="28"/>
          <w:szCs w:val="28"/>
        </w:rPr>
        <w:t xml:space="preserve">59 531 долл., Австралия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53 799 долл., Канада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45 032 долл., Германия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44 469 долл., Великобритания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39 720 долл., Франция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38 476 долл., Япония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38 428 долл., Италия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31 952 </w:t>
      </w:r>
      <w:proofErr w:type="spellStart"/>
      <w:r w:rsidRPr="00EE7277">
        <w:rPr>
          <w:rFonts w:ascii="Times New Roman" w:hAnsi="Times New Roman" w:cs="Times New Roman"/>
          <w:sz w:val="28"/>
          <w:szCs w:val="28"/>
        </w:rPr>
        <w:t>долл</w:t>
      </w:r>
      <w:proofErr w:type="spellEnd"/>
      <w:r w:rsidR="00822B28">
        <w:rPr>
          <w:rFonts w:ascii="Times New Roman" w:hAnsi="Times New Roman" w:cs="Times New Roman"/>
          <w:sz w:val="28"/>
          <w:szCs w:val="28"/>
        </w:rPr>
        <w:t xml:space="preserve"> [86]</w:t>
      </w:r>
      <w:r w:rsidRPr="00EE7277">
        <w:rPr>
          <w:rFonts w:ascii="Times New Roman" w:hAnsi="Times New Roman" w:cs="Times New Roman"/>
          <w:sz w:val="28"/>
          <w:szCs w:val="28"/>
        </w:rPr>
        <w:t>.</w:t>
      </w:r>
    </w:p>
    <w:p w14:paraId="58FF8DCC" w14:textId="58C91924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Однако наряду с экономическим ростом показатели потребления энергии и выбросов CO₂ на душу населения не демонстрировали линейной зависимости. Наоборот, в течение последних шести десятилетий наблюдалась их четко выраженная стадийность, отражающая воздействие технологических, политических и структурных факторов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 xml:space="preserve"> (таблица </w:t>
      </w:r>
      <w:r w:rsidR="00FA09CC">
        <w:rPr>
          <w:rFonts w:ascii="Times New Roman" w:hAnsi="Times New Roman" w:cs="Times New Roman"/>
          <w:sz w:val="28"/>
          <w:szCs w:val="28"/>
          <w:lang w:val="ru-RU"/>
        </w:rPr>
        <w:t>6)</w:t>
      </w:r>
      <w:r w:rsidRPr="00EE7277">
        <w:rPr>
          <w:rFonts w:ascii="Times New Roman" w:hAnsi="Times New Roman" w:cs="Times New Roman"/>
          <w:sz w:val="28"/>
          <w:szCs w:val="28"/>
        </w:rPr>
        <w:t>.</w:t>
      </w:r>
    </w:p>
    <w:p w14:paraId="5EEFA506" w14:textId="42FA1106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4EE9FA9" w14:textId="7EA83EA3" w:rsidR="00822B28" w:rsidRDefault="00EE7277" w:rsidP="00822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A09C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EE7277">
        <w:rPr>
          <w:rFonts w:ascii="Times New Roman" w:hAnsi="Times New Roman" w:cs="Times New Roman"/>
          <w:sz w:val="28"/>
          <w:szCs w:val="28"/>
        </w:rPr>
        <w:t xml:space="preserve"> – Этапы изменения выбросов CO₂ и потребления энергии на душу населения в развитых странах (1965–2023 гг.)</w:t>
      </w:r>
    </w:p>
    <w:p w14:paraId="2A9AAFD2" w14:textId="716FEE22" w:rsidR="00EE7277" w:rsidRPr="00EE7277" w:rsidRDefault="00EE7277" w:rsidP="00822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14"/>
        <w:gridCol w:w="812"/>
        <w:gridCol w:w="1745"/>
        <w:gridCol w:w="1078"/>
        <w:gridCol w:w="1339"/>
        <w:gridCol w:w="1339"/>
        <w:gridCol w:w="2001"/>
      </w:tblGrid>
      <w:tr w:rsidR="00EE7277" w:rsidRPr="00EE7277" w14:paraId="61F103BF" w14:textId="77777777" w:rsidTr="00EE7277">
        <w:tc>
          <w:tcPr>
            <w:tcW w:w="0" w:type="auto"/>
            <w:hideMark/>
          </w:tcPr>
          <w:p w14:paraId="0B57E090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Этап</w:t>
            </w:r>
          </w:p>
        </w:tc>
        <w:tc>
          <w:tcPr>
            <w:tcW w:w="0" w:type="auto"/>
            <w:hideMark/>
          </w:tcPr>
          <w:p w14:paraId="454E9C8D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Период</w:t>
            </w:r>
          </w:p>
        </w:tc>
        <w:tc>
          <w:tcPr>
            <w:tcW w:w="0" w:type="auto"/>
            <w:hideMark/>
          </w:tcPr>
          <w:p w14:paraId="73D89573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Характеристика периода</w:t>
            </w:r>
          </w:p>
        </w:tc>
        <w:tc>
          <w:tcPr>
            <w:tcW w:w="0" w:type="auto"/>
            <w:hideMark/>
          </w:tcPr>
          <w:p w14:paraId="56EA60E0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Среднее изменение ВВП на душу населения, %/год</w:t>
            </w:r>
          </w:p>
        </w:tc>
        <w:tc>
          <w:tcPr>
            <w:tcW w:w="0" w:type="auto"/>
            <w:hideMark/>
          </w:tcPr>
          <w:p w14:paraId="78935434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Тенденция выбросов CO₂ на душу населения</w:t>
            </w:r>
          </w:p>
        </w:tc>
        <w:tc>
          <w:tcPr>
            <w:tcW w:w="0" w:type="auto"/>
            <w:hideMark/>
          </w:tcPr>
          <w:p w14:paraId="47123F22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Тенденция потребления энергии на душу населения</w:t>
            </w:r>
          </w:p>
        </w:tc>
        <w:tc>
          <w:tcPr>
            <w:tcW w:w="0" w:type="auto"/>
            <w:hideMark/>
          </w:tcPr>
          <w:p w14:paraId="220CD917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Ключевые факторы</w:t>
            </w:r>
          </w:p>
        </w:tc>
      </w:tr>
      <w:tr w:rsidR="00EE7277" w:rsidRPr="00EE7277" w14:paraId="2C780E53" w14:textId="77777777" w:rsidTr="00EE7277">
        <w:tc>
          <w:tcPr>
            <w:tcW w:w="0" w:type="auto"/>
            <w:hideMark/>
          </w:tcPr>
          <w:p w14:paraId="76299FA8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I. Этап роста</w:t>
            </w:r>
          </w:p>
        </w:tc>
        <w:tc>
          <w:tcPr>
            <w:tcW w:w="0" w:type="auto"/>
            <w:hideMark/>
          </w:tcPr>
          <w:p w14:paraId="35DEF81A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1965–1973</w:t>
            </w:r>
          </w:p>
        </w:tc>
        <w:tc>
          <w:tcPr>
            <w:tcW w:w="0" w:type="auto"/>
            <w:hideMark/>
          </w:tcPr>
          <w:p w14:paraId="45E0D1E4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Быстрый экономический рост, индустриализация, рост энергопотребления</w:t>
            </w:r>
          </w:p>
        </w:tc>
        <w:tc>
          <w:tcPr>
            <w:tcW w:w="0" w:type="auto"/>
            <w:hideMark/>
          </w:tcPr>
          <w:p w14:paraId="5CE0E680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3,0–3,5</w:t>
            </w:r>
          </w:p>
        </w:tc>
        <w:tc>
          <w:tcPr>
            <w:tcW w:w="0" w:type="auto"/>
            <w:hideMark/>
          </w:tcPr>
          <w:p w14:paraId="3AF7B210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Рост (на 40–50%)</w:t>
            </w:r>
          </w:p>
        </w:tc>
        <w:tc>
          <w:tcPr>
            <w:tcW w:w="0" w:type="auto"/>
            <w:hideMark/>
          </w:tcPr>
          <w:p w14:paraId="4B76E96D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Рост (на 35–45%)</w:t>
            </w:r>
          </w:p>
        </w:tc>
        <w:tc>
          <w:tcPr>
            <w:tcW w:w="0" w:type="auto"/>
            <w:hideMark/>
          </w:tcPr>
          <w:p w14:paraId="2BE5DDBB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Экономический подъём, доминирование нефти и угля</w:t>
            </w:r>
          </w:p>
        </w:tc>
      </w:tr>
      <w:tr w:rsidR="00EE7277" w:rsidRPr="00EE7277" w14:paraId="5D5EFA76" w14:textId="77777777" w:rsidTr="00EE7277">
        <w:tc>
          <w:tcPr>
            <w:tcW w:w="0" w:type="auto"/>
            <w:hideMark/>
          </w:tcPr>
          <w:p w14:paraId="14CA5342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II. Этап спада</w:t>
            </w:r>
          </w:p>
        </w:tc>
        <w:tc>
          <w:tcPr>
            <w:tcW w:w="0" w:type="auto"/>
            <w:hideMark/>
          </w:tcPr>
          <w:p w14:paraId="30E8BAEF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1974–1981</w:t>
            </w:r>
          </w:p>
        </w:tc>
        <w:tc>
          <w:tcPr>
            <w:tcW w:w="0" w:type="auto"/>
            <w:hideMark/>
          </w:tcPr>
          <w:p w14:paraId="6B581FE3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Нефтяные кризисы, энергетическая неустойчивость, снижение производства</w:t>
            </w:r>
          </w:p>
        </w:tc>
        <w:tc>
          <w:tcPr>
            <w:tcW w:w="0" w:type="auto"/>
            <w:hideMark/>
          </w:tcPr>
          <w:p w14:paraId="2ECC4918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1,0–1,5</w:t>
            </w:r>
          </w:p>
        </w:tc>
        <w:tc>
          <w:tcPr>
            <w:tcW w:w="0" w:type="auto"/>
            <w:hideMark/>
          </w:tcPr>
          <w:p w14:paraId="6E1CDA7C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Снижение (на 10–15%)</w:t>
            </w:r>
          </w:p>
        </w:tc>
        <w:tc>
          <w:tcPr>
            <w:tcW w:w="0" w:type="auto"/>
            <w:hideMark/>
          </w:tcPr>
          <w:p w14:paraId="63F6ACCC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Снижение (на 8–12%)</w:t>
            </w:r>
          </w:p>
        </w:tc>
        <w:tc>
          <w:tcPr>
            <w:tcW w:w="0" w:type="auto"/>
            <w:hideMark/>
          </w:tcPr>
          <w:p w14:paraId="095001BA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Перестройка энергетической политики, повышение энергоэффективности</w:t>
            </w:r>
          </w:p>
        </w:tc>
      </w:tr>
      <w:tr w:rsidR="00EE7277" w:rsidRPr="00EE7277" w14:paraId="6A87793C" w14:textId="77777777" w:rsidTr="00EE7277">
        <w:tc>
          <w:tcPr>
            <w:tcW w:w="0" w:type="auto"/>
            <w:hideMark/>
          </w:tcPr>
          <w:p w14:paraId="1FBB5C0F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III. Этап стабилизации</w:t>
            </w:r>
          </w:p>
        </w:tc>
        <w:tc>
          <w:tcPr>
            <w:tcW w:w="0" w:type="auto"/>
            <w:hideMark/>
          </w:tcPr>
          <w:p w14:paraId="71C76118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1982–2008</w:t>
            </w:r>
          </w:p>
        </w:tc>
        <w:tc>
          <w:tcPr>
            <w:tcW w:w="0" w:type="auto"/>
            <w:hideMark/>
          </w:tcPr>
          <w:p w14:paraId="08E4D806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Рост ВВП без роста выбросов, начало декарбонизации</w:t>
            </w:r>
          </w:p>
        </w:tc>
        <w:tc>
          <w:tcPr>
            <w:tcW w:w="0" w:type="auto"/>
            <w:hideMark/>
          </w:tcPr>
          <w:p w14:paraId="4E400CDC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2,0–2,5</w:t>
            </w:r>
          </w:p>
        </w:tc>
        <w:tc>
          <w:tcPr>
            <w:tcW w:w="0" w:type="auto"/>
            <w:hideMark/>
          </w:tcPr>
          <w:p w14:paraId="0A3A33FC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Стабилизация</w:t>
            </w:r>
          </w:p>
        </w:tc>
        <w:tc>
          <w:tcPr>
            <w:tcW w:w="0" w:type="auto"/>
            <w:hideMark/>
          </w:tcPr>
          <w:p w14:paraId="75E8F8C6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Стабилизация</w:t>
            </w:r>
          </w:p>
        </w:tc>
        <w:tc>
          <w:tcPr>
            <w:tcW w:w="0" w:type="auto"/>
            <w:hideMark/>
          </w:tcPr>
          <w:p w14:paraId="059CC6E9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Технологические инновации, рост роли услуг и информационных технологий</w:t>
            </w:r>
          </w:p>
        </w:tc>
      </w:tr>
      <w:tr w:rsidR="00EE7277" w:rsidRPr="00EE7277" w14:paraId="0649D34E" w14:textId="77777777" w:rsidTr="00EE7277">
        <w:tc>
          <w:tcPr>
            <w:tcW w:w="0" w:type="auto"/>
            <w:hideMark/>
          </w:tcPr>
          <w:p w14:paraId="6A42F385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IV. Этап сокращения</w:t>
            </w:r>
          </w:p>
        </w:tc>
        <w:tc>
          <w:tcPr>
            <w:tcW w:w="0" w:type="auto"/>
            <w:hideMark/>
          </w:tcPr>
          <w:p w14:paraId="258537C5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2009–2023</w:t>
            </w:r>
          </w:p>
        </w:tc>
        <w:tc>
          <w:tcPr>
            <w:tcW w:w="0" w:type="auto"/>
            <w:hideMark/>
          </w:tcPr>
          <w:p w14:paraId="02B93D1D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Рост ВВП при снижении выбросов и энергопотребления</w:t>
            </w:r>
          </w:p>
        </w:tc>
        <w:tc>
          <w:tcPr>
            <w:tcW w:w="0" w:type="auto"/>
            <w:hideMark/>
          </w:tcPr>
          <w:p w14:paraId="176A2C06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1,5–2,0</w:t>
            </w:r>
          </w:p>
        </w:tc>
        <w:tc>
          <w:tcPr>
            <w:tcW w:w="0" w:type="auto"/>
            <w:hideMark/>
          </w:tcPr>
          <w:p w14:paraId="5F279548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Снижение (на 15–25%)</w:t>
            </w:r>
          </w:p>
        </w:tc>
        <w:tc>
          <w:tcPr>
            <w:tcW w:w="0" w:type="auto"/>
            <w:hideMark/>
          </w:tcPr>
          <w:p w14:paraId="0C96D75B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Снижение (на 10–20%)</w:t>
            </w:r>
          </w:p>
        </w:tc>
        <w:tc>
          <w:tcPr>
            <w:tcW w:w="0" w:type="auto"/>
            <w:hideMark/>
          </w:tcPr>
          <w:p w14:paraId="11D07CA0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ВИЭ, энергоэффективность, «зелёные» инвестиции, Парижское соглашение</w:t>
            </w:r>
          </w:p>
        </w:tc>
      </w:tr>
      <w:tr w:rsidR="00931A9C" w:rsidRPr="00EE7277" w14:paraId="15822FB1" w14:textId="77777777" w:rsidTr="00DC4028">
        <w:tc>
          <w:tcPr>
            <w:tcW w:w="0" w:type="auto"/>
            <w:gridSpan w:val="7"/>
          </w:tcPr>
          <w:p w14:paraId="3ADB98D0" w14:textId="3A90377F" w:rsidR="00931A9C" w:rsidRPr="00822B28" w:rsidRDefault="00931A9C" w:rsidP="00EE7277">
            <w:pPr>
              <w:jc w:val="both"/>
              <w:rPr>
                <w:sz w:val="24"/>
                <w:szCs w:val="24"/>
              </w:rPr>
            </w:pPr>
            <w:r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Примечание: составлено автором на основании </w:t>
            </w:r>
            <w:proofErr w:type="gramStart"/>
            <w:r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источника  </w:t>
            </w:r>
            <w:r w:rsidR="00822B28"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[</w:t>
            </w:r>
            <w:proofErr w:type="gramEnd"/>
            <w:r w:rsidR="00822B28"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87]</w:t>
            </w:r>
          </w:p>
        </w:tc>
      </w:tr>
    </w:tbl>
    <w:p w14:paraId="593C0E42" w14:textId="26518EEF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FFBD948" w14:textId="3961298A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В целом, в странах с высоким уровнем экономического развития наблюдается расхождение динамики между экономическим ростом и углеродной интенсивностью. Если в 1960–1970-х годах увеличение ВВП сопровождалось пропорциональным ростом выбросов и энергопотребления, то начиная с 1980-х годов тренд претерпел структурный разрыв.</w:t>
      </w:r>
    </w:p>
    <w:p w14:paraId="2BCBA129" w14:textId="426102E4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 xml:space="preserve">Стабилизация и последующее снижение удельных выбросов углерода стали возможны благодаря технологической модернизации, диверсификации источников энергии, а также переходу от энергоёмких отраслей к экономике знаний. Таким образом, развитые страны продемонстрировали возможность «разъединения» экономического роста и углеродных выбросов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ключевого показателя эффективности низкоуглеродной трансформации.</w:t>
      </w:r>
    </w:p>
    <w:p w14:paraId="1C013DEB" w14:textId="77777777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lastRenderedPageBreak/>
        <w:t>Исторический опыт энергетических переходов в развитых странах позволяет сформулировать ряд ключевых уроков для Казахстана, находящегося на этапе формирования собственной модели низкоуглеродного развития. Несмотря на различия в масштабах экономики, уровне технологического развития и институциональной зрелости, закономерности мировых энергопереходов имеют универсальный характер, особенно в части управления структурными сдвигами в энергетике и стимулирования инноваций.</w:t>
      </w:r>
    </w:p>
    <w:p w14:paraId="76B12946" w14:textId="02B87AFF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Во-первых, разъединение экономического роста и углеродных выбросов возможно при условии системной модернизации производственных мощностей и постепенного перехода от энергоёмких отраслей к более технологичным и добавочно стоимостным секторам. Для Казахстана, где доля углеводородного сектора превышает 40% экспортных поступлений, ключевым направлением является диверсификация экономики с опорой на развитие «зелёных» технологий, материалов и электроэнергетики.</w:t>
      </w:r>
    </w:p>
    <w:p w14:paraId="05895885" w14:textId="21E35829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 xml:space="preserve">Во-вторых, опыт стран ОЭСР подтверждает, что институциональная устойчивость и долгосрочная политическая преемственность являются решающими факторами успеха. Германия реализует стратегию </w:t>
      </w:r>
      <w:proofErr w:type="spellStart"/>
      <w:r w:rsidRPr="00EE7277">
        <w:rPr>
          <w:rFonts w:ascii="Times New Roman" w:hAnsi="Times New Roman" w:cs="Times New Roman"/>
          <w:sz w:val="28"/>
          <w:szCs w:val="28"/>
        </w:rPr>
        <w:t>Energiewende</w:t>
      </w:r>
      <w:proofErr w:type="spellEnd"/>
      <w:r w:rsidRPr="00EE7277">
        <w:rPr>
          <w:rFonts w:ascii="Times New Roman" w:hAnsi="Times New Roman" w:cs="Times New Roman"/>
          <w:sz w:val="28"/>
          <w:szCs w:val="28"/>
        </w:rPr>
        <w:t xml:space="preserve"> уже более двух десятилетий, Южная Корея закрепила «зелёный рост» законодательно, а Китай интегрировал декарбонизацию в систему пятилетних планов. Казахстану важно выстроить единый нормативно-институциональный каркас энергетического переход</w:t>
      </w:r>
      <w:r w:rsidR="00934A2E">
        <w:rPr>
          <w:rFonts w:ascii="Times New Roman" w:hAnsi="Times New Roman" w:cs="Times New Roman"/>
          <w:sz w:val="28"/>
          <w:szCs w:val="28"/>
          <w:lang w:val="ru-RU"/>
        </w:rPr>
        <w:t xml:space="preserve">а, </w:t>
      </w:r>
      <w:r w:rsidRPr="00EE7277">
        <w:rPr>
          <w:rFonts w:ascii="Times New Roman" w:hAnsi="Times New Roman" w:cs="Times New Roman"/>
          <w:sz w:val="28"/>
          <w:szCs w:val="28"/>
        </w:rPr>
        <w:t>от целевых показателей и мер государственной поддержки до налоговых стимулов и механизмов мониторинга выбросов.</w:t>
      </w:r>
    </w:p>
    <w:p w14:paraId="0115A3FD" w14:textId="65126578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В-третьих, успешные примеры демонстрируют, что государственная политика должна сочетать рыночные и стимулирующие инструменты. Поддержка НИОКР, развитие системы «зелёных» облигаций, аукционы ВИЭ, тарифное регулирование и субсидирование энергоэффективности — все эти меры создают благоприятную экосистему для притока частных инвестиций в сектор. Казахстан уже внедрил элементы этих механизмов, однако требуется их масштабирование и институциональная координация между энергетическим, экологическим и промышленным блоками</w:t>
      </w:r>
      <w:r w:rsidR="00822B28">
        <w:rPr>
          <w:rFonts w:ascii="Times New Roman" w:hAnsi="Times New Roman" w:cs="Times New Roman"/>
          <w:sz w:val="28"/>
          <w:szCs w:val="28"/>
        </w:rPr>
        <w:t xml:space="preserve"> [88]</w:t>
      </w:r>
      <w:r w:rsidRPr="00EE7277">
        <w:rPr>
          <w:rFonts w:ascii="Times New Roman" w:hAnsi="Times New Roman" w:cs="Times New Roman"/>
          <w:sz w:val="28"/>
          <w:szCs w:val="28"/>
        </w:rPr>
        <w:t>.</w:t>
      </w:r>
    </w:p>
    <w:p w14:paraId="6D326D64" w14:textId="1938EED8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В-четвёртых, значимым фактором является развитие человеческого капитала и научно-технического потенциала. Опыт США, Японии и Германии показывает, что рост ВИЭ сопровождается появлением новых профессий, созданием исследовательских кластеров и формированием инновационной экосистемы. Для Казахстана означает необходимость усиления роли университетов, научных институтов и стартап-центров в реализации «зелёных» проектов и подготовки кадров для энергетической трансформации.</w:t>
      </w:r>
      <w:r w:rsidR="00217B38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proofErr w:type="spellStart"/>
      <w:r w:rsidRPr="00EE7277">
        <w:rPr>
          <w:rFonts w:ascii="Times New Roman" w:hAnsi="Times New Roman" w:cs="Times New Roman"/>
          <w:sz w:val="28"/>
          <w:szCs w:val="28"/>
        </w:rPr>
        <w:t>собое</w:t>
      </w:r>
      <w:proofErr w:type="spellEnd"/>
      <w:r w:rsidRPr="00EE7277">
        <w:rPr>
          <w:rFonts w:ascii="Times New Roman" w:hAnsi="Times New Roman" w:cs="Times New Roman"/>
          <w:sz w:val="28"/>
          <w:szCs w:val="28"/>
        </w:rPr>
        <w:t xml:space="preserve"> значение имеет региональный контекст и международное сотрудничество. Казахстан может стать центральным звеном в формирующемся «зелёном энергетическом коридоре» Евразии, используя стратегическое положение между Китаем, Россией и Европейским Союзом. Участие в инициативе «Один пояс </w:t>
      </w:r>
      <w:r w:rsidR="00822B28">
        <w:rPr>
          <w:rFonts w:ascii="Times New Roman" w:hAnsi="Times New Roman" w:cs="Times New Roman"/>
          <w:sz w:val="28"/>
          <w:szCs w:val="28"/>
        </w:rPr>
        <w:t>-</w:t>
      </w:r>
      <w:r w:rsidRPr="00EE7277">
        <w:rPr>
          <w:rFonts w:ascii="Times New Roman" w:hAnsi="Times New Roman" w:cs="Times New Roman"/>
          <w:sz w:val="28"/>
          <w:szCs w:val="28"/>
        </w:rPr>
        <w:t xml:space="preserve"> один путь» и развитие транзитных маршрутов открывают возможности для интеграции в региональные цепочки поставок оборудования для ВИЭ, а также для экспорта «зелёной» электроэнергии и водорода.</w:t>
      </w:r>
    </w:p>
    <w:p w14:paraId="429B7B9B" w14:textId="6EF04B48" w:rsidR="00EE7277" w:rsidRPr="00EE7277" w:rsidRDefault="00934A2E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</w:t>
      </w:r>
      <w:r w:rsidR="00EE7277" w:rsidRPr="00EE7277">
        <w:rPr>
          <w:rFonts w:ascii="Times New Roman" w:hAnsi="Times New Roman" w:cs="Times New Roman"/>
          <w:sz w:val="28"/>
          <w:szCs w:val="28"/>
        </w:rPr>
        <w:t>ля Казахстана ключевыми выводами являются необходимость перехода от ресурсно-сырьевой модели к инновационно-технологической, усиление роли государства как координатора энергетического перехода и создание условий для вовлечения частного капитала и научного сообщества. Применение этих уроков позволит республике не только сократить углеродную нагрузку, но и сформировать новую модель устойчивого экономического роста, основанную на принципах зелёной экономики и энергетической безопасности</w:t>
      </w:r>
      <w:r w:rsidR="00822B28">
        <w:rPr>
          <w:rFonts w:ascii="Times New Roman" w:hAnsi="Times New Roman" w:cs="Times New Roman"/>
          <w:sz w:val="28"/>
          <w:szCs w:val="28"/>
        </w:rPr>
        <w:t xml:space="preserve"> [89]</w:t>
      </w:r>
      <w:r w:rsidR="00EE7277" w:rsidRPr="00EE7277">
        <w:rPr>
          <w:rFonts w:ascii="Times New Roman" w:hAnsi="Times New Roman" w:cs="Times New Roman"/>
          <w:sz w:val="28"/>
          <w:szCs w:val="28"/>
        </w:rPr>
        <w:t>.</w:t>
      </w:r>
    </w:p>
    <w:p w14:paraId="099381EE" w14:textId="51C4E360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 xml:space="preserve">Систематизация международного опыта энергетических переходов позволяет выделить общие закономерности, обеспечивающие успешность внедрения «зелёных» стратегий. Наиболее значимыми факторами выступают институциональная устойчивость, политическая преемственность, технологическая база, участие частного сектора и развитие человеческого капитала. Для Казахстана, находящегося на стадии формирования национальной модели низкоуглеродного развития, важно не просто заимствовать лучшие практики стран ОЭСР, но адаптировать их с учётом структуры экономики, ресурсного потенциала и геополитического положения. В таблице </w:t>
      </w:r>
      <w:r w:rsidR="00A338A1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EE7277">
        <w:rPr>
          <w:rFonts w:ascii="Times New Roman" w:hAnsi="Times New Roman" w:cs="Times New Roman"/>
          <w:sz w:val="28"/>
          <w:szCs w:val="28"/>
        </w:rPr>
        <w:t xml:space="preserve"> приведено сравнительное сопоставление ключевых факторов энергетического перехода в странах с развитой экономикой и Казахстане, отражающее различия в институциональной зрелости и направлениях возможной адаптации. </w:t>
      </w:r>
    </w:p>
    <w:p w14:paraId="55024AD2" w14:textId="77777777" w:rsidR="00EE7277" w:rsidRPr="00EE7277" w:rsidRDefault="00EE7277" w:rsidP="00EE72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DA2C2B3" w14:textId="6EF6790D" w:rsidR="00EE7277" w:rsidRPr="00EE7277" w:rsidRDefault="00EE7277" w:rsidP="000B6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727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338A1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EE7277">
        <w:rPr>
          <w:rFonts w:ascii="Times New Roman" w:hAnsi="Times New Roman" w:cs="Times New Roman"/>
          <w:sz w:val="28"/>
          <w:szCs w:val="28"/>
        </w:rPr>
        <w:t xml:space="preserve"> </w:t>
      </w:r>
      <w:r w:rsidR="00C33E4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E7277">
        <w:rPr>
          <w:rFonts w:ascii="Times New Roman" w:hAnsi="Times New Roman" w:cs="Times New Roman"/>
          <w:sz w:val="28"/>
          <w:szCs w:val="28"/>
        </w:rPr>
        <w:t xml:space="preserve">Сравнительный анализ факторов успеха энергетического перехода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72"/>
        <w:gridCol w:w="2673"/>
        <w:gridCol w:w="2304"/>
        <w:gridCol w:w="2379"/>
      </w:tblGrid>
      <w:tr w:rsidR="00EE7277" w:rsidRPr="00EE7277" w14:paraId="0F598961" w14:textId="77777777" w:rsidTr="00EE7277">
        <w:tc>
          <w:tcPr>
            <w:tcW w:w="0" w:type="auto"/>
            <w:hideMark/>
          </w:tcPr>
          <w:p w14:paraId="48143387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Ключевой фактор</w:t>
            </w:r>
          </w:p>
        </w:tc>
        <w:tc>
          <w:tcPr>
            <w:tcW w:w="0" w:type="auto"/>
            <w:hideMark/>
          </w:tcPr>
          <w:p w14:paraId="4A09AE77" w14:textId="5CAAB296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Опыт стран ОЭСР</w:t>
            </w:r>
          </w:p>
        </w:tc>
        <w:tc>
          <w:tcPr>
            <w:tcW w:w="0" w:type="auto"/>
            <w:hideMark/>
          </w:tcPr>
          <w:p w14:paraId="7076DEB3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Текущее состояние и перспективы Казахстана</w:t>
            </w:r>
          </w:p>
        </w:tc>
        <w:tc>
          <w:tcPr>
            <w:tcW w:w="0" w:type="auto"/>
            <w:hideMark/>
          </w:tcPr>
          <w:p w14:paraId="1B4A6035" w14:textId="7777777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Рекомендации для адаптации</w:t>
            </w:r>
          </w:p>
        </w:tc>
      </w:tr>
      <w:tr w:rsidR="00EE7277" w:rsidRPr="00EE7277" w14:paraId="79D9C836" w14:textId="77777777" w:rsidTr="00EE7277">
        <w:tc>
          <w:tcPr>
            <w:tcW w:w="0" w:type="auto"/>
            <w:hideMark/>
          </w:tcPr>
          <w:p w14:paraId="78F80396" w14:textId="4684D971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Государственная политика и стратегическое планирование</w:t>
            </w:r>
          </w:p>
        </w:tc>
        <w:tc>
          <w:tcPr>
            <w:tcW w:w="0" w:type="auto"/>
            <w:hideMark/>
          </w:tcPr>
          <w:p w14:paraId="5DAE77EB" w14:textId="2966B855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Долгосрочные программы, закреплённые в законодательстве; наличие целевых индикаторов по выбросам, доле ВИЭ и энергоэффективности.</w:t>
            </w:r>
          </w:p>
        </w:tc>
        <w:tc>
          <w:tcPr>
            <w:tcW w:w="0" w:type="auto"/>
            <w:hideMark/>
          </w:tcPr>
          <w:p w14:paraId="093B57E7" w14:textId="31D3B9AB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Принята Концепция по переходу к «зелёной экономике» до 2050 </w:t>
            </w:r>
            <w:proofErr w:type="spellStart"/>
            <w:proofErr w:type="gramStart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г.,однако</w:t>
            </w:r>
            <w:proofErr w:type="spellEnd"/>
            <w:proofErr w:type="gramEnd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стратегические документы фрагментарны.</w:t>
            </w:r>
          </w:p>
        </w:tc>
        <w:tc>
          <w:tcPr>
            <w:tcW w:w="0" w:type="auto"/>
            <w:hideMark/>
          </w:tcPr>
          <w:p w14:paraId="44A7F11D" w14:textId="13F4CFC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Разработать единый «Национальный план энергетического перехода Казахстана – 2050».</w:t>
            </w:r>
          </w:p>
        </w:tc>
      </w:tr>
      <w:tr w:rsidR="00EE7277" w:rsidRPr="00EE7277" w14:paraId="66DF77D6" w14:textId="77777777" w:rsidTr="00EE7277">
        <w:tc>
          <w:tcPr>
            <w:tcW w:w="0" w:type="auto"/>
            <w:hideMark/>
          </w:tcPr>
          <w:p w14:paraId="32E2C84A" w14:textId="5EB403F5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Нормативно-институциональная база</w:t>
            </w:r>
          </w:p>
        </w:tc>
        <w:tc>
          <w:tcPr>
            <w:tcW w:w="0" w:type="auto"/>
            <w:hideMark/>
          </w:tcPr>
          <w:p w14:paraId="412A7E59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Сильные регулирующие органы, прозрачные аукционы ВИЭ, правовые гарантии для инвесторов.</w:t>
            </w:r>
          </w:p>
        </w:tc>
        <w:tc>
          <w:tcPr>
            <w:tcW w:w="0" w:type="auto"/>
            <w:hideMark/>
          </w:tcPr>
          <w:p w14:paraId="163DF068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Существуют аукционы и тарифные механизмы, но отсутствует устойчивость и долгосрочные гарантии.</w:t>
            </w:r>
          </w:p>
        </w:tc>
        <w:tc>
          <w:tcPr>
            <w:tcW w:w="0" w:type="auto"/>
            <w:hideMark/>
          </w:tcPr>
          <w:p w14:paraId="613C719D" w14:textId="2286ADB0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Создать независимый регулятор в сфере «зелёной» энергетики, обеспечить долгосрочные тарифные гарантии.</w:t>
            </w:r>
          </w:p>
        </w:tc>
      </w:tr>
      <w:tr w:rsidR="00EE7277" w:rsidRPr="00EE7277" w14:paraId="5A45EFEF" w14:textId="77777777" w:rsidTr="00217B38">
        <w:tc>
          <w:tcPr>
            <w:tcW w:w="0" w:type="auto"/>
            <w:tcBorders>
              <w:bottom w:val="nil"/>
            </w:tcBorders>
            <w:hideMark/>
          </w:tcPr>
          <w:p w14:paraId="26054AD9" w14:textId="34AE6F2D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Государственная поддержка и инвестиционные стимулы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34153535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Субсидии на ВИЭ, налоговые льготы, «зелёные» облигации, фонды энергоэффективности.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2CA70BF2" w14:textId="659C81E1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Ведётся финансирование через международные </w:t>
            </w:r>
            <w:proofErr w:type="gramStart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проекты</w:t>
            </w:r>
            <w:r w:rsidR="00217B38"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  <w:t>,</w:t>
            </w: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 но</w:t>
            </w:r>
            <w:proofErr w:type="gramEnd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внутренние механизмы развиты слабо.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1F8206A7" w14:textId="4EF22556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Учредить национальный фонд «Зелёных инвестиций»; </w:t>
            </w:r>
          </w:p>
        </w:tc>
      </w:tr>
      <w:tr w:rsidR="00217B38" w:rsidRPr="00EE7277" w14:paraId="7350D6D5" w14:textId="77777777" w:rsidTr="00217B38">
        <w:tc>
          <w:tcPr>
            <w:tcW w:w="0" w:type="auto"/>
            <w:gridSpan w:val="4"/>
            <w:tcBorders>
              <w:top w:val="nil"/>
            </w:tcBorders>
          </w:tcPr>
          <w:p w14:paraId="1B8C6023" w14:textId="0CA627B5" w:rsidR="00217B38" w:rsidRPr="00217B38" w:rsidRDefault="00217B38" w:rsidP="00217B38">
            <w:pPr>
              <w:rPr>
                <w:sz w:val="24"/>
                <w:szCs w:val="24"/>
                <w:lang w:val="ru-RU"/>
              </w:rPr>
            </w:pPr>
            <w:r w:rsidRPr="00217B38">
              <w:rPr>
                <w:sz w:val="24"/>
                <w:szCs w:val="24"/>
                <w:lang w:val="ru-RU"/>
              </w:rPr>
              <w:lastRenderedPageBreak/>
              <w:t>Продолжение таблицы 7</w:t>
            </w:r>
          </w:p>
        </w:tc>
      </w:tr>
      <w:tr w:rsidR="00EE7277" w:rsidRPr="00EE7277" w14:paraId="5E403987" w14:textId="77777777" w:rsidTr="00EE7277">
        <w:tc>
          <w:tcPr>
            <w:tcW w:w="0" w:type="auto"/>
            <w:hideMark/>
          </w:tcPr>
          <w:p w14:paraId="481297AA" w14:textId="6FF6E908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Научно-технологическая база и инновации</w:t>
            </w:r>
          </w:p>
        </w:tc>
        <w:tc>
          <w:tcPr>
            <w:tcW w:w="0" w:type="auto"/>
            <w:hideMark/>
          </w:tcPr>
          <w:p w14:paraId="0C51278F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Высокий уровень НИОКР, поддержка университетов и исследовательских центров, развитие энергетических кластеров.</w:t>
            </w:r>
          </w:p>
        </w:tc>
        <w:tc>
          <w:tcPr>
            <w:tcW w:w="0" w:type="auto"/>
            <w:hideMark/>
          </w:tcPr>
          <w:p w14:paraId="2067416A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Существуют отдельные научные проекты, но нет межведомственной интеграции науки и производства.</w:t>
            </w:r>
          </w:p>
        </w:tc>
        <w:tc>
          <w:tcPr>
            <w:tcW w:w="0" w:type="auto"/>
            <w:hideMark/>
          </w:tcPr>
          <w:p w14:paraId="71C61286" w14:textId="77777777" w:rsid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Создать «Центр компетенций по ВИЭ и декарбонизации», интегрированный с вузами и промышленностью.</w:t>
            </w:r>
          </w:p>
          <w:p w14:paraId="16362AC4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  <w:p w14:paraId="34453648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</w:tc>
      </w:tr>
      <w:tr w:rsidR="00EE7277" w:rsidRPr="00EE7277" w14:paraId="747EC9A6" w14:textId="77777777" w:rsidTr="00EE7277">
        <w:tc>
          <w:tcPr>
            <w:tcW w:w="0" w:type="auto"/>
            <w:hideMark/>
          </w:tcPr>
          <w:p w14:paraId="60EBD3EC" w14:textId="0C4A12F7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Структура экономики и энергоёмкость ВВП</w:t>
            </w:r>
          </w:p>
        </w:tc>
        <w:tc>
          <w:tcPr>
            <w:tcW w:w="0" w:type="auto"/>
            <w:hideMark/>
          </w:tcPr>
          <w:p w14:paraId="522DE371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Постиндустриальная экономика с высоким уровнем энергоэффективности и низкой </w:t>
            </w:r>
            <w:proofErr w:type="spellStart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углеродоёмкостью</w:t>
            </w:r>
            <w:proofErr w:type="spellEnd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</w:tc>
        <w:tc>
          <w:tcPr>
            <w:tcW w:w="0" w:type="auto"/>
            <w:hideMark/>
          </w:tcPr>
          <w:p w14:paraId="457B56AB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Высокая доля энергоёмких отраслей (металлургия, добыча), низкая доля услуг и цифрового сектора.</w:t>
            </w:r>
          </w:p>
        </w:tc>
        <w:tc>
          <w:tcPr>
            <w:tcW w:w="0" w:type="auto"/>
            <w:hideMark/>
          </w:tcPr>
          <w:p w14:paraId="52D40B67" w14:textId="77777777" w:rsid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Внедрить программы модернизации промышленных предприятий; стимулировать «зелёную» цифровизацию и энергоаудит.</w:t>
            </w:r>
          </w:p>
          <w:p w14:paraId="7CDDBAC8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  <w:p w14:paraId="27B8B830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</w:tc>
      </w:tr>
      <w:tr w:rsidR="00EE7277" w:rsidRPr="00EE7277" w14:paraId="2E611FCF" w14:textId="77777777" w:rsidTr="00EE7277">
        <w:tc>
          <w:tcPr>
            <w:tcW w:w="0" w:type="auto"/>
            <w:hideMark/>
          </w:tcPr>
          <w:p w14:paraId="3F0AD8B2" w14:textId="036630CA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Роль частного сектора и международное сотрудничество</w:t>
            </w:r>
          </w:p>
        </w:tc>
        <w:tc>
          <w:tcPr>
            <w:tcW w:w="0" w:type="auto"/>
            <w:hideMark/>
          </w:tcPr>
          <w:p w14:paraId="1E27F404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Широкое участие бизнеса, транснациональные проекты, государственно-частное партнёрство.</w:t>
            </w:r>
          </w:p>
        </w:tc>
        <w:tc>
          <w:tcPr>
            <w:tcW w:w="0" w:type="auto"/>
            <w:hideMark/>
          </w:tcPr>
          <w:p w14:paraId="7DC8FEA3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Активность ограничена; преобладают </w:t>
            </w:r>
            <w:proofErr w:type="spellStart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госинициативы</w:t>
            </w:r>
            <w:proofErr w:type="spellEnd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</w:tc>
        <w:tc>
          <w:tcPr>
            <w:tcW w:w="0" w:type="auto"/>
            <w:hideMark/>
          </w:tcPr>
          <w:p w14:paraId="5DD56E1D" w14:textId="77777777" w:rsid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Расширить участие бизнеса в ВИЭ через механизмы ГЧП, экспорт ВИЭ-оборудования и трансфер технологий.</w:t>
            </w:r>
          </w:p>
          <w:p w14:paraId="5E9DF940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  <w:p w14:paraId="22DDB478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</w:tc>
      </w:tr>
      <w:tr w:rsidR="00EE7277" w:rsidRPr="00EE7277" w14:paraId="336042C4" w14:textId="77777777" w:rsidTr="00EE7277">
        <w:tc>
          <w:tcPr>
            <w:tcW w:w="0" w:type="auto"/>
            <w:hideMark/>
          </w:tcPr>
          <w:p w14:paraId="5F0E1539" w14:textId="536BC20A" w:rsidR="00EE7277" w:rsidRPr="00EE7277" w:rsidRDefault="00EE7277" w:rsidP="00EE7277">
            <w:pPr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Развитие человеческого капитала</w:t>
            </w:r>
          </w:p>
        </w:tc>
        <w:tc>
          <w:tcPr>
            <w:tcW w:w="0" w:type="auto"/>
            <w:hideMark/>
          </w:tcPr>
          <w:p w14:paraId="3A51216C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Системная подготовка кадров для «зелёной» энергетики, образовательные стандарты и переподготовка специалистов.</w:t>
            </w:r>
          </w:p>
        </w:tc>
        <w:tc>
          <w:tcPr>
            <w:tcW w:w="0" w:type="auto"/>
            <w:hideMark/>
          </w:tcPr>
          <w:p w14:paraId="557BED6C" w14:textId="77777777" w:rsidR="00EE7277" w:rsidRP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Недостаток специалистов в сфере ВИЭ и управления энергопереходом.</w:t>
            </w:r>
          </w:p>
        </w:tc>
        <w:tc>
          <w:tcPr>
            <w:tcW w:w="0" w:type="auto"/>
            <w:hideMark/>
          </w:tcPr>
          <w:p w14:paraId="5B4D53ED" w14:textId="77777777" w:rsidR="00EE7277" w:rsidRDefault="00EE7277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Создать программу «Green </w:t>
            </w:r>
            <w:proofErr w:type="spellStart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Skills</w:t>
            </w:r>
            <w:proofErr w:type="spellEnd"/>
            <w:r w:rsidRPr="00EE727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Kazakhstan» по обучению и переподготовке кадров для «зелёной» экономики.</w:t>
            </w:r>
          </w:p>
          <w:p w14:paraId="78CC72AC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  <w:p w14:paraId="0E502320" w14:textId="77777777" w:rsidR="00217B38" w:rsidRPr="00217B38" w:rsidRDefault="00217B38" w:rsidP="00217B38">
            <w:pPr>
              <w:rPr>
                <w:rFonts w:eastAsiaTheme="minorHAnsi"/>
                <w:kern w:val="2"/>
                <w:sz w:val="24"/>
                <w:szCs w:val="24"/>
                <w:lang w:val="ru-RU" w:eastAsia="en-US"/>
                <w14:ligatures w14:val="standardContextual"/>
              </w:rPr>
            </w:pPr>
          </w:p>
        </w:tc>
      </w:tr>
      <w:tr w:rsidR="00931A9C" w:rsidRPr="00EE7277" w14:paraId="1DE945AC" w14:textId="77777777" w:rsidTr="00822B28">
        <w:trPr>
          <w:trHeight w:val="110"/>
        </w:trPr>
        <w:tc>
          <w:tcPr>
            <w:tcW w:w="0" w:type="auto"/>
            <w:gridSpan w:val="4"/>
          </w:tcPr>
          <w:p w14:paraId="6AFA4300" w14:textId="29CF5CCF" w:rsidR="00931A9C" w:rsidRPr="00822B28" w:rsidRDefault="00931A9C" w:rsidP="00EE7277">
            <w:pPr>
              <w:jc w:val="both"/>
              <w:rPr>
                <w:sz w:val="24"/>
                <w:szCs w:val="24"/>
              </w:rPr>
            </w:pPr>
            <w:r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Примечание: составлено автором на основании </w:t>
            </w:r>
            <w:proofErr w:type="gramStart"/>
            <w:r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источника  </w:t>
            </w:r>
            <w:r w:rsidR="00822B28"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[</w:t>
            </w:r>
            <w:proofErr w:type="gramEnd"/>
            <w:r w:rsidR="00822B28" w:rsidRPr="00822B28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90-92]</w:t>
            </w:r>
          </w:p>
        </w:tc>
      </w:tr>
    </w:tbl>
    <w:p w14:paraId="224578E0" w14:textId="77777777" w:rsidR="00C33E4B" w:rsidRDefault="00C33E4B" w:rsidP="00C33E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3220CF" w14:textId="5E3AE1DF" w:rsidR="00EE7277" w:rsidRPr="00EE7277" w:rsidRDefault="00EE7277" w:rsidP="00C33E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Адаптация успешных практик стран ОЭСР к условиям Казахстана требует не механического копирования, а формирования национальной модели энергетического перехода, основанной на интеграции государственной политики, науки и бизнеса. При последовательной реализации перечисленных направлений Казахстан способен превратить декарбонизацию не только в экологический, но и в экономический драйвер роста, укрепив энергетическую безопасность и технологический суверенитет.</w:t>
      </w:r>
    </w:p>
    <w:p w14:paraId="1816CA05" w14:textId="77777777" w:rsidR="00217B38" w:rsidRDefault="00EE7277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7277">
        <w:rPr>
          <w:rFonts w:ascii="Times New Roman" w:hAnsi="Times New Roman" w:cs="Times New Roman"/>
          <w:sz w:val="28"/>
          <w:szCs w:val="28"/>
        </w:rPr>
        <w:t xml:space="preserve">Проведённый анализ показал, что успешные модели перехода к зелёной экономике базируются на системном сочетании политической воли, экономических стимулов и инновационных механизмов развития. </w:t>
      </w:r>
    </w:p>
    <w:p w14:paraId="6083B662" w14:textId="77777777" w:rsidR="00217B38" w:rsidRDefault="00EE7277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7277">
        <w:rPr>
          <w:rFonts w:ascii="Times New Roman" w:hAnsi="Times New Roman" w:cs="Times New Roman"/>
          <w:sz w:val="28"/>
          <w:szCs w:val="28"/>
        </w:rPr>
        <w:lastRenderedPageBreak/>
        <w:t xml:space="preserve">Энергетический переход в развитых странах проходил последовательно от индустриальной зависимости к технологической независимости, от </w:t>
      </w:r>
      <w:proofErr w:type="spellStart"/>
      <w:r w:rsidRPr="00EE7277">
        <w:rPr>
          <w:rFonts w:ascii="Times New Roman" w:hAnsi="Times New Roman" w:cs="Times New Roman"/>
          <w:sz w:val="28"/>
          <w:szCs w:val="28"/>
        </w:rPr>
        <w:t>углеродоёмкой</w:t>
      </w:r>
      <w:proofErr w:type="spellEnd"/>
      <w:r w:rsidRPr="00EE7277">
        <w:rPr>
          <w:rFonts w:ascii="Times New Roman" w:hAnsi="Times New Roman" w:cs="Times New Roman"/>
          <w:sz w:val="28"/>
          <w:szCs w:val="28"/>
        </w:rPr>
        <w:t xml:space="preserve"> промышленности к экономике знаний и экологически нейтральному производству. Казахстан, обладая значительным потенциалом возобновляемых ресурсов и стратегическим положением в Евразии, способен воспроизвести аналогичную траекторию, при условии институциональной консолидации усилий государства, науки и бизнеса. </w:t>
      </w:r>
    </w:p>
    <w:p w14:paraId="763F6EE0" w14:textId="3D50D18C" w:rsidR="00EE7277" w:rsidRDefault="00EE7277" w:rsidP="00C654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277">
        <w:rPr>
          <w:rFonts w:ascii="Times New Roman" w:hAnsi="Times New Roman" w:cs="Times New Roman"/>
          <w:sz w:val="28"/>
          <w:szCs w:val="28"/>
        </w:rPr>
        <w:t>Реализация национальной модели энергетического перехода должна опираться на интеграцию долгосрочного стратегического планирования, развитие инновационной инфраструктуры, поддержку НИОКР и формирование нового кадрового потенциала. Тем самым Казахстан может превратить декарбонизацию и цифровизацию энергетики в ключевые драйверы устойчивого экономического роста, укрепив позиции страны как регионального лидера зелёного развития.</w:t>
      </w:r>
    </w:p>
    <w:p w14:paraId="15BE5349" w14:textId="418DDC01" w:rsidR="00E14263" w:rsidRDefault="00E1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B81745" w14:textId="6CF29C5D" w:rsidR="00E14263" w:rsidRDefault="00E14263" w:rsidP="00217B38">
      <w:pPr>
        <w:pStyle w:val="2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21" w:name="_Toc215079194"/>
      <w:r w:rsidRPr="002D18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 Анализ состояния и тенденций развития возобновляемой энергетики в Казахстане</w:t>
      </w:r>
      <w:bookmarkEnd w:id="21"/>
    </w:p>
    <w:p w14:paraId="1561889D" w14:textId="77777777" w:rsidR="00E14263" w:rsidRPr="002D181C" w:rsidRDefault="00E14263" w:rsidP="00E14263">
      <w:pPr>
        <w:rPr>
          <w:lang w:val="ru-RU"/>
        </w:rPr>
      </w:pPr>
    </w:p>
    <w:p w14:paraId="59C29AA4" w14:textId="77777777" w:rsidR="00E14263" w:rsidRPr="002D181C" w:rsidRDefault="00E14263" w:rsidP="00217B38">
      <w:pPr>
        <w:pStyle w:val="2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Toc215079195"/>
      <w:r w:rsidRPr="002D18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2.1. Характеристика отрасли </w:t>
      </w:r>
      <w:r w:rsidRPr="00206A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возобновляемой и низкоуглеродной энергетики Казахстана</w:t>
      </w:r>
      <w:r w:rsidRPr="002D18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исследуемого предприятия ТОО «Корпорация Сайман»</w:t>
      </w:r>
      <w:bookmarkEnd w:id="22"/>
    </w:p>
    <w:p w14:paraId="19B37AD8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7C6E36" w14:textId="4FB043AD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 xml:space="preserve">Казахстан, обладая крупным углеводородным сектором, на протяжении последних десятилетий развивался по модели 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высокоэмиссионного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экономического роста, опираясь преимущественно на использование угля, нефти и природного газа. Такая структура экономики обеспечила устойчивое поступление экспортных доходов, но одновременно привела к значительным экологическим издержкам. По данным международных источников </w:t>
      </w:r>
      <w:r>
        <w:rPr>
          <w:rFonts w:ascii="Times New Roman" w:hAnsi="Times New Roman" w:cs="Times New Roman"/>
          <w:sz w:val="28"/>
          <w:szCs w:val="28"/>
        </w:rPr>
        <w:t>[93]</w:t>
      </w:r>
      <w:r w:rsidRPr="00206AF8">
        <w:rPr>
          <w:rFonts w:ascii="Times New Roman" w:hAnsi="Times New Roman" w:cs="Times New Roman"/>
          <w:sz w:val="28"/>
          <w:szCs w:val="28"/>
        </w:rPr>
        <w:t xml:space="preserve">, совокупные годовые выбросы парниковых газов в Казахстане к 2022 г. составили около 400 млн тонн CO₂-эквивалента, что относит страну к числу двадцати крупнейших эмитентов в мире.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ыбросы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CO₂ на душу населения достигают уровней, превышающих показатели многих индустриально развитых стран — Казахстан занимает примерно 11-е место в мире по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данному</w:t>
      </w:r>
      <w:r w:rsidRPr="00206AF8">
        <w:rPr>
          <w:rFonts w:ascii="Times New Roman" w:hAnsi="Times New Roman" w:cs="Times New Roman"/>
          <w:sz w:val="28"/>
          <w:szCs w:val="28"/>
        </w:rPr>
        <w:t xml:space="preserve"> индикатору.</w:t>
      </w:r>
    </w:p>
    <w:p w14:paraId="619CDADE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 xml:space="preserve">Высокая 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углеродоёмкость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экономики усугубляется высокой климатической уязвимостью страны. Казахстан характеризуется резко континентальным климатом с низкой среднегодовой нормой осадков (менее 300 мм), что делает природные экосистемы крайне чувствительными к колебаниям температуры и водного баланса. По данным Межправительственной группы экспертов по изменению климата </w:t>
      </w:r>
      <w:r w:rsidRPr="00A93E15">
        <w:rPr>
          <w:rFonts w:ascii="Times New Roman" w:hAnsi="Times New Roman" w:cs="Times New Roman"/>
          <w:sz w:val="28"/>
          <w:szCs w:val="28"/>
          <w:lang w:val="ru-RU"/>
        </w:rPr>
        <w:t>[94]</w:t>
      </w:r>
      <w:r w:rsidRPr="00206AF8">
        <w:rPr>
          <w:rFonts w:ascii="Times New Roman" w:hAnsi="Times New Roman" w:cs="Times New Roman"/>
          <w:sz w:val="28"/>
          <w:szCs w:val="28"/>
        </w:rPr>
        <w:t>, с 1960-х годов в стране наблюдается устойчивое сокращение площади ледников, и к 2000 г. их совокупная масса уменьшилась примерно на 30%.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роцесс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представляет угрозу водной безопасности, поскольку значительная часть питьевых и оросительных ресурсов Казахстана формируется за счёт таяния снегов и ледников.</w:t>
      </w:r>
    </w:p>
    <w:p w14:paraId="59855AE7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>Водный дефицит и учащение засушливых периодов уже оказывают негативное воздействие на сельское хозяйство и биоразнообразие, что, в свою очередь, снижает устойчивость социально-экономических систем. Одним из наиболее наглядных примеров экологической деградации остаётся Аральский кризис: с 1960-х по 2010-е годы площадь Аральского моря сократилась на 90%, превратив некогда четвёртое по величине озеро мира в систему солончаков и мелких водоёмов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206AF8">
        <w:rPr>
          <w:rFonts w:ascii="Times New Roman" w:hAnsi="Times New Roman" w:cs="Times New Roman"/>
          <w:sz w:val="28"/>
          <w:szCs w:val="28"/>
        </w:rPr>
        <w:t>то вызвало масштабную деградацию прилегающих земель, ликвидацию рыбного промысла и образование зон пыльных бурь, неблагоприятно влияющих на здоровье населения и микроклимат региона.</w:t>
      </w:r>
    </w:p>
    <w:p w14:paraId="6BFD2B1A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 xml:space="preserve">В стратегическом контексте переход Казахстана к низкоуглеродной модели экономики базируется на модели Кайя </w:t>
      </w:r>
      <w:r>
        <w:rPr>
          <w:rFonts w:ascii="Times New Roman" w:hAnsi="Times New Roman" w:cs="Times New Roman"/>
          <w:sz w:val="28"/>
          <w:szCs w:val="28"/>
        </w:rPr>
        <w:t>[95]</w:t>
      </w:r>
      <w:r w:rsidRPr="00206AF8">
        <w:rPr>
          <w:rFonts w:ascii="Times New Roman" w:hAnsi="Times New Roman" w:cs="Times New Roman"/>
          <w:sz w:val="28"/>
          <w:szCs w:val="28"/>
        </w:rPr>
        <w:t xml:space="preserve">, которая описывает взаимосвязь между объёмом выбросов парниковых газов и четырьмя макроэкономическими факторами: численностью населения, ВВП на душу населения, энергоёмкостью ВВП и 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углеродоёмкостью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используемых источников энергии. Для Казахстана характерны высокая энергоёмкость и значительная доля 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углеродоёмных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источников в энергетическом балансе. В рамках Концепции «Зелёной </w:t>
      </w:r>
      <w:r w:rsidRPr="00206AF8">
        <w:rPr>
          <w:rFonts w:ascii="Times New Roman" w:hAnsi="Times New Roman" w:cs="Times New Roman"/>
          <w:sz w:val="28"/>
          <w:szCs w:val="28"/>
        </w:rPr>
        <w:lastRenderedPageBreak/>
        <w:t>экономики» поставлена цель сократить энергоёмкость ВВП на 50% к 2050 году по сравнению с уровнем 2008 года. Уже к 2021 году удалось достичь снижения энергоёмкости на 25%, что превышает промежуточный целевой показатель, установленный на 2025 год</w:t>
      </w:r>
      <w:r>
        <w:rPr>
          <w:rFonts w:ascii="Times New Roman" w:hAnsi="Times New Roman" w:cs="Times New Roman"/>
          <w:sz w:val="28"/>
          <w:szCs w:val="28"/>
        </w:rPr>
        <w:t xml:space="preserve"> [96]</w:t>
      </w:r>
      <w:r w:rsidRPr="00206AF8">
        <w:rPr>
          <w:rFonts w:ascii="Times New Roman" w:hAnsi="Times New Roman" w:cs="Times New Roman"/>
          <w:sz w:val="28"/>
          <w:szCs w:val="28"/>
        </w:rPr>
        <w:t>.</w:t>
      </w:r>
    </w:p>
    <w:p w14:paraId="6A6B86D1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>Однако дальнейшее продвижение по пути декарбонизации потребует структурных преобразований: модернизации энергоёмких отраслей, стимулирования сектора услуг и знаний, а также активного внедрения энерго- и ресурсосберегающих технологий. Среднесрочная энергетическая стратегия Казахстана предусматривает постепенный вывод из эксплуатации угольных станций и их замену газовыми и возобновляемыми источниками, а также развитие инфраструктуры хранения и передачи электроэнергии, необходимой для интеграции неустойчивой генерации ВИЭ.</w:t>
      </w:r>
    </w:p>
    <w:p w14:paraId="3A20023A" w14:textId="1D7F9171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>В последние годы наблюдается постепенное расширение рынка возобновляемой энергетики. В 2022 году Министерство энергетики Республики Казахстан провело аукционы по отбору проектов ВИЭ общей мощностью около 148 МВт, что ниже запланированных 250 МВт, главным образом из-за последствий пандемии COVID-19 и задержек в реализации инвестиционных проектов. Правительство страны подтвердило неизменность курса на развитие возобновляемой энергетики и продолжение аукционных программ, направленных на привлечение частных инвестиций и формирование устойчивого «зелёного» энергетического рынка.</w:t>
      </w:r>
    </w:p>
    <w:p w14:paraId="79024009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>В совокупности отрасль возобновляемой и низкоуглеродной энергетики Казахстана вступает в фазу институционального становления. Стратегические цели декарбонизации подкреплены нормативной базой и международными обязательствами, однако их реализация потребует консолидации усилий государства, бизнеса и научного сообщества. Формирование внутреннего рынка ВИЭ и развитие национальной промышленности по производству оборудования и компонентов станут ключевыми предпосылками для перехода от импортозависимости к технологическому суверенитету в энергетической сфере</w:t>
      </w:r>
      <w:r>
        <w:rPr>
          <w:rFonts w:ascii="Times New Roman" w:hAnsi="Times New Roman" w:cs="Times New Roman"/>
          <w:sz w:val="28"/>
          <w:szCs w:val="28"/>
        </w:rPr>
        <w:t xml:space="preserve"> [97]</w:t>
      </w:r>
      <w:r w:rsidRPr="00206AF8">
        <w:rPr>
          <w:rFonts w:ascii="Times New Roman" w:hAnsi="Times New Roman" w:cs="Times New Roman"/>
          <w:sz w:val="28"/>
          <w:szCs w:val="28"/>
        </w:rPr>
        <w:t>.</w:t>
      </w:r>
    </w:p>
    <w:p w14:paraId="665F98B8" w14:textId="77777777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 xml:space="preserve">Действующая система государственной поддержки развития возобновляемых источников энергии в Республике Казахстан начала формироваться с 2009 года 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Pr="00845231">
        <w:rPr>
          <w:rFonts w:ascii="Times New Roman" w:hAnsi="Times New Roman" w:cs="Times New Roman"/>
          <w:sz w:val="28"/>
          <w:szCs w:val="28"/>
        </w:rPr>
        <w:t>момента принятия Закона РК «О поддержке использования возобновляемых источников энергии»</w:t>
      </w:r>
      <w:r>
        <w:rPr>
          <w:rFonts w:ascii="Times New Roman" w:hAnsi="Times New Roman" w:cs="Times New Roman"/>
          <w:sz w:val="28"/>
          <w:szCs w:val="28"/>
        </w:rPr>
        <w:t xml:space="preserve"> [98]</w:t>
      </w:r>
      <w:r w:rsidRPr="008452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845231">
        <w:rPr>
          <w:rFonts w:ascii="Times New Roman" w:hAnsi="Times New Roman" w:cs="Times New Roman"/>
          <w:sz w:val="28"/>
          <w:szCs w:val="28"/>
        </w:rPr>
        <w:t>акон стал основополагающим документом, обеспечившим нормативное закрепление правовых, институциональных и экономических механизмов стимулирования «зеленой» энергетики, включая фиксированные тарифы, приоритетное подключение к сетям и гарантированный выкуп произведенной электроэнергии.</w:t>
      </w:r>
    </w:p>
    <w:p w14:paraId="7C72C9FE" w14:textId="0BE5550D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 xml:space="preserve">С учётом лучших международных практик в 2013 году были определены конкретные цели развития отрасли ВИЭ и объёмы снижения выбросов парниковых газов, зафиксированные в «Концепции перехода Казахстана к зелёной экономике» и Стратегии «Казахстан – 2050». В долгосрочной перспективе определены следующие целевые ориентиры доли ВИЭ в национальном энергобалансе: 3% к 2020 году, 15% к 2030 году и 50% к 2050 году. </w:t>
      </w:r>
      <w:r w:rsidR="00D97BAC">
        <w:rPr>
          <w:rFonts w:ascii="Times New Roman" w:hAnsi="Times New Roman" w:cs="Times New Roman"/>
          <w:sz w:val="28"/>
          <w:szCs w:val="28"/>
          <w:lang w:val="ru-RU"/>
        </w:rPr>
        <w:lastRenderedPageBreak/>
        <w:t>К</w:t>
      </w:r>
      <w:r w:rsidRPr="00845231">
        <w:rPr>
          <w:rFonts w:ascii="Times New Roman" w:hAnsi="Times New Roman" w:cs="Times New Roman"/>
          <w:sz w:val="28"/>
          <w:szCs w:val="28"/>
        </w:rPr>
        <w:t xml:space="preserve"> 2022 году страна существенно продвинулась в реализации этих целей, создав институциональную основу и практическую базу для ускоренного роста возобновляемой энергетики.</w:t>
      </w:r>
    </w:p>
    <w:p w14:paraId="5ABC1ED7" w14:textId="77777777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По данным Министерства энергетики РК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44F">
        <w:rPr>
          <w:rFonts w:ascii="Times New Roman" w:hAnsi="Times New Roman" w:cs="Times New Roman"/>
          <w:sz w:val="28"/>
          <w:szCs w:val="28"/>
          <w:lang w:val="ru-RU"/>
        </w:rPr>
        <w:t>[99]</w:t>
      </w:r>
      <w:r w:rsidRPr="00845231">
        <w:rPr>
          <w:rFonts w:ascii="Times New Roman" w:hAnsi="Times New Roman" w:cs="Times New Roman"/>
          <w:sz w:val="28"/>
          <w:szCs w:val="28"/>
        </w:rPr>
        <w:t>, по состоянию на конец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45231">
        <w:rPr>
          <w:rFonts w:ascii="Times New Roman" w:hAnsi="Times New Roman" w:cs="Times New Roman"/>
          <w:sz w:val="28"/>
          <w:szCs w:val="28"/>
        </w:rPr>
        <w:t xml:space="preserve"> года в стране действовало 130 объектов ВИЭ с совокупной установленной мощностью около 2 400 МВт, в том числе:</w:t>
      </w:r>
    </w:p>
    <w:p w14:paraId="7DF80AD3" w14:textId="77777777" w:rsidR="00E14263" w:rsidRPr="00845231" w:rsidRDefault="00E14263" w:rsidP="00E14263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46 ветроэлектростанций (958 МВт);</w:t>
      </w:r>
    </w:p>
    <w:p w14:paraId="2FC42FFF" w14:textId="77777777" w:rsidR="00E14263" w:rsidRPr="00845231" w:rsidRDefault="00E14263" w:rsidP="00E14263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44 солнечные электростанции (1 148 МВт);</w:t>
      </w:r>
    </w:p>
    <w:p w14:paraId="1472207B" w14:textId="77777777" w:rsidR="00E14263" w:rsidRPr="00845231" w:rsidRDefault="00E14263" w:rsidP="00E14263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37 гидроэлектростанций (280 МВт);</w:t>
      </w:r>
    </w:p>
    <w:p w14:paraId="7954D629" w14:textId="77777777" w:rsidR="00E14263" w:rsidRPr="00845231" w:rsidRDefault="00E14263" w:rsidP="00E14263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3 биоэнергетические установки (1,77 МВт).</w:t>
      </w:r>
    </w:p>
    <w:p w14:paraId="46A8EE09" w14:textId="77777777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Совокупный объём выработки электроэнергии объектами ВИЭ в 2022 году составил 5,11 млрд кВтч (в том числе ВЭС – 2 411 млн кВтч, СЭС – 1 763 млн кВтч, ГЭС – 934 млн кВтч), что эквивалентно 4,53% общего объёма производства электроэнергии. В 2023 году данный показатель достиг ориентира в 5%, что свидетельствует о поступательном движении к стратегическим ориентирам декарбонизации и энергетического перехода.</w:t>
      </w:r>
    </w:p>
    <w:p w14:paraId="59C0B4F2" w14:textId="77777777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В 2022 году введено в эксплуатацию 12 новых объектов ВИЭ с совокупной мощностью 385 МВт и общим объёмом инвестиций около 180 млрд тенге. В 2023 году введено ещё 15 объектов суммарной мощностью 276 МВт. Приоритетными проектами стали ветроэлектростанции в Акмолинской и Жамбылской областях и солнечные станции в Туркестанском и Алматинском регионах.</w:t>
      </w:r>
    </w:p>
    <w:p w14:paraId="50EA9469" w14:textId="77777777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 xml:space="preserve">Важным достижением последних лет является подписание в 2023 году межправительственных соглашений с французской компанией Total </w:t>
      </w:r>
      <w:proofErr w:type="spellStart"/>
      <w:r w:rsidRPr="00845231">
        <w:rPr>
          <w:rFonts w:ascii="Times New Roman" w:hAnsi="Times New Roman" w:cs="Times New Roman"/>
          <w:sz w:val="28"/>
          <w:szCs w:val="28"/>
        </w:rPr>
        <w:t>Energies</w:t>
      </w:r>
      <w:proofErr w:type="spellEnd"/>
      <w:r w:rsidRPr="00845231">
        <w:rPr>
          <w:rFonts w:ascii="Times New Roman" w:hAnsi="Times New Roman" w:cs="Times New Roman"/>
          <w:sz w:val="28"/>
          <w:szCs w:val="28"/>
        </w:rPr>
        <w:t xml:space="preserve"> и эмиратской </w:t>
      </w:r>
      <w:proofErr w:type="spellStart"/>
      <w:r w:rsidRPr="00845231">
        <w:rPr>
          <w:rFonts w:ascii="Times New Roman" w:hAnsi="Times New Roman" w:cs="Times New Roman"/>
          <w:sz w:val="28"/>
          <w:szCs w:val="28"/>
        </w:rPr>
        <w:t>Masdar</w:t>
      </w:r>
      <w:proofErr w:type="spellEnd"/>
      <w:r w:rsidRPr="00845231">
        <w:rPr>
          <w:rFonts w:ascii="Times New Roman" w:hAnsi="Times New Roman" w:cs="Times New Roman"/>
          <w:sz w:val="28"/>
          <w:szCs w:val="28"/>
        </w:rPr>
        <w:t xml:space="preserve"> на строительство ветроэлектростанций мощностью по 1 ГВт с системами накопления энергии. Кроме того, в рамках реализации Плана мероприятий по достижению 15% доли ВИЭ в 2030 году предусмотрено утверждение пятилетнего графика аукционов по отбору проектов с учётом внедрения накопительных технологий и развития инфраструктуры сетевого управления.</w:t>
      </w:r>
    </w:p>
    <w:p w14:paraId="524C5A95" w14:textId="52CD5842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 xml:space="preserve">В динамике развития отрасли прослеживается стабильный рост мощностей: если в 2021 году в стране функционировало 134 объекта ВИЭ совокупной мощностью 2 010 МВт, то к 2023 году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Pr="00845231">
        <w:rPr>
          <w:rFonts w:ascii="Times New Roman" w:hAnsi="Times New Roman" w:cs="Times New Roman"/>
          <w:sz w:val="28"/>
          <w:szCs w:val="28"/>
        </w:rPr>
        <w:t xml:space="preserve"> показатель вырос до 2 785 МВт. Выработка электроэнергии из возобновляемых источников выросла с 4,2 млрд </w:t>
      </w:r>
      <w:proofErr w:type="spellStart"/>
      <w:proofErr w:type="gramStart"/>
      <w:r w:rsidRPr="00845231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700F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4523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845231">
        <w:rPr>
          <w:rFonts w:ascii="Times New Roman" w:hAnsi="Times New Roman" w:cs="Times New Roman"/>
          <w:sz w:val="28"/>
          <w:szCs w:val="28"/>
        </w:rPr>
        <w:t xml:space="preserve"> в 2021 году до 5,5 млрд кВт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45231">
        <w:rPr>
          <w:rFonts w:ascii="Times New Roman" w:hAnsi="Times New Roman" w:cs="Times New Roman"/>
          <w:sz w:val="28"/>
          <w:szCs w:val="28"/>
        </w:rPr>
        <w:t>ч в 2023 году, что свидетельствует о высокой капиталоотдаче и росте доверия инвесторов к национальной системе поддержки «зелёной» энергетики</w:t>
      </w:r>
      <w:r>
        <w:rPr>
          <w:rFonts w:ascii="Times New Roman" w:hAnsi="Times New Roman" w:cs="Times New Roman"/>
          <w:sz w:val="28"/>
          <w:szCs w:val="28"/>
        </w:rPr>
        <w:t xml:space="preserve"> [100]</w:t>
      </w:r>
      <w:r w:rsidRPr="00845231">
        <w:rPr>
          <w:rFonts w:ascii="Times New Roman" w:hAnsi="Times New Roman" w:cs="Times New Roman"/>
          <w:sz w:val="28"/>
          <w:szCs w:val="28"/>
        </w:rPr>
        <w:t>.</w:t>
      </w:r>
    </w:p>
    <w:p w14:paraId="563BE92F" w14:textId="2F99097A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231">
        <w:rPr>
          <w:rFonts w:ascii="Times New Roman" w:hAnsi="Times New Roman" w:cs="Times New Roman"/>
          <w:sz w:val="28"/>
          <w:szCs w:val="28"/>
        </w:rPr>
        <w:t xml:space="preserve">Для оценки динамики развития возобновляемой энергетики в Казахстане важно проследить количественные изменения установленной мощности и числа функционирующих объектов ВИЭ.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845231">
        <w:rPr>
          <w:rFonts w:ascii="Times New Roman" w:hAnsi="Times New Roman" w:cs="Times New Roman"/>
          <w:sz w:val="28"/>
          <w:szCs w:val="28"/>
        </w:rPr>
        <w:t xml:space="preserve"> показатели отражают темпы расширения отрасли, эффективность государственной политики, степень инвестиционной активности и технологическую зрелость сектора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(рисунок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36D8EDC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0E5F25" w14:textId="77777777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3D6D78" wp14:editId="7409C791">
            <wp:extent cx="5940425" cy="3626485"/>
            <wp:effectExtent l="0" t="0" r="3175" b="0"/>
            <wp:docPr id="141994462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EF12E7D-4813-90CE-A4F6-BB83E67261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B64E463" w14:textId="4DA04479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45231">
        <w:rPr>
          <w:rFonts w:ascii="Times New Roman" w:hAnsi="Times New Roman" w:cs="Times New Roman"/>
          <w:sz w:val="28"/>
          <w:szCs w:val="28"/>
        </w:rPr>
        <w:t>Динамика развития объектов ВИЭ в Казахстане (2014–2024гг.)</w:t>
      </w:r>
    </w:p>
    <w:p w14:paraId="089A6A8F" w14:textId="77777777" w:rsidR="00E14263" w:rsidRPr="008D544F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F69318" w14:textId="77777777" w:rsidR="00E14263" w:rsidRPr="008D544F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8D544F">
        <w:rPr>
          <w:rFonts w:ascii="Times New Roman" w:hAnsi="Times New Roman" w:cs="Times New Roman"/>
          <w:lang w:val="ru-RU"/>
        </w:rPr>
        <w:t>Примечание: составлено автором на основании источника [101]</w:t>
      </w:r>
    </w:p>
    <w:p w14:paraId="5C75BA76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7F2A4B" w14:textId="77777777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Отрасль демонстрирует устойчивый и высокими темпами растущий тренд, особенно начиная с 2018 года, что связано с переходом к аукционной модели, удешевлением технологий и активным привлечением зарубежных инвесторов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5231">
        <w:rPr>
          <w:rFonts w:ascii="Times New Roman" w:hAnsi="Times New Roman" w:cs="Times New Roman"/>
          <w:sz w:val="28"/>
          <w:szCs w:val="28"/>
        </w:rPr>
        <w:t xml:space="preserve">С 2014 по 2024 гг. установленная мощность ВИЭ в Казахстане увеличилась более чем в 17 раз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45231">
        <w:rPr>
          <w:rFonts w:ascii="Times New Roman" w:hAnsi="Times New Roman" w:cs="Times New Roman"/>
          <w:sz w:val="28"/>
          <w:szCs w:val="28"/>
        </w:rPr>
        <w:t xml:space="preserve"> с 177,5 МВт до потенциальных 3000–3150 МВт, что является одним из самых высоких темпов роста в регионе Центральной Азии.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231">
        <w:rPr>
          <w:rFonts w:ascii="Times New Roman" w:hAnsi="Times New Roman" w:cs="Times New Roman"/>
          <w:sz w:val="28"/>
          <w:szCs w:val="28"/>
        </w:rPr>
        <w:t xml:space="preserve">Количество объектов ВИЭ растёт стабильно, демонстрируя формирование диверсифицированной </w:t>
      </w:r>
      <w:proofErr w:type="spellStart"/>
      <w:r w:rsidRPr="00845231">
        <w:rPr>
          <w:rFonts w:ascii="Times New Roman" w:hAnsi="Times New Roman" w:cs="Times New Roman"/>
          <w:sz w:val="28"/>
          <w:szCs w:val="28"/>
        </w:rPr>
        <w:t>генерационной</w:t>
      </w:r>
      <w:proofErr w:type="spellEnd"/>
      <w:r w:rsidRPr="00845231">
        <w:rPr>
          <w:rFonts w:ascii="Times New Roman" w:hAnsi="Times New Roman" w:cs="Times New Roman"/>
          <w:sz w:val="28"/>
          <w:szCs w:val="28"/>
        </w:rPr>
        <w:t xml:space="preserve"> базы. За 10 лет портфель вырос с 26 до потенциальных 170 объектов (рост более чем в 6,5 раза).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231">
        <w:rPr>
          <w:rFonts w:ascii="Times New Roman" w:hAnsi="Times New Roman" w:cs="Times New Roman"/>
          <w:sz w:val="28"/>
          <w:szCs w:val="28"/>
        </w:rPr>
        <w:t>Наиболее значимые скачки мощности приходятся на периоды:</w:t>
      </w:r>
    </w:p>
    <w:p w14:paraId="48864887" w14:textId="77777777" w:rsidR="00E14263" w:rsidRPr="00845231" w:rsidRDefault="00E14263" w:rsidP="00E14263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2018–2019 гг.  реализация первой волны крупных СЭС и ВЭС;</w:t>
      </w:r>
    </w:p>
    <w:p w14:paraId="62992F3E" w14:textId="77777777" w:rsidR="00E14263" w:rsidRPr="00845231" w:rsidRDefault="00E14263" w:rsidP="00E14263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2020 г. —высокие темпы строительства до пандемии;</w:t>
      </w:r>
    </w:p>
    <w:p w14:paraId="29B65350" w14:textId="77777777" w:rsidR="00E14263" w:rsidRPr="00845231" w:rsidRDefault="00E14263" w:rsidP="00E14263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2023–2024 гг. второй инвестиционный цикл, обусловленный долгосрочными стратегическими обязательствами и крупными мегапроектами мощностью 1 ГВт.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231">
        <w:rPr>
          <w:rFonts w:ascii="Times New Roman" w:hAnsi="Times New Roman" w:cs="Times New Roman"/>
          <w:sz w:val="28"/>
          <w:szCs w:val="28"/>
        </w:rPr>
        <w:t>Данные указывают, что отрасль перешла от пилотной стадии к устойчивому промышленному росту, а государственная политика создаёт условия для дальнейшей модернизации.</w:t>
      </w:r>
    </w:p>
    <w:p w14:paraId="52A6EC38" w14:textId="2ABFC314" w:rsidR="00E14263" w:rsidRPr="0084523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31">
        <w:rPr>
          <w:rFonts w:ascii="Times New Roman" w:hAnsi="Times New Roman" w:cs="Times New Roman"/>
          <w:sz w:val="28"/>
          <w:szCs w:val="28"/>
        </w:rPr>
        <w:t>Казахстан вплотную подошёл к достижению целевого показателя 15 % ВИЭ к 2030 году, а темпы позволяют рассматривать возможность достижения сокращения угольной генерации.</w:t>
      </w:r>
    </w:p>
    <w:p w14:paraId="68C0F71C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 xml:space="preserve">Современный этап развития энергетического сектора Казахстана характеризуется двойным вызовом стратегического масштаба. С одной стороны, государство должно ускоренными темпами внедрять возобновляемые источники </w:t>
      </w:r>
      <w:r w:rsidRPr="00FB0734">
        <w:rPr>
          <w:rFonts w:ascii="Times New Roman" w:hAnsi="Times New Roman" w:cs="Times New Roman"/>
          <w:sz w:val="28"/>
          <w:szCs w:val="28"/>
        </w:rPr>
        <w:lastRenderedPageBreak/>
        <w:t xml:space="preserve">энергии, чтобы обеспечить выполнение международных обязательств по сокращению выбросов парниковых газов, принятых в рамках Парижского соглашения, а также национальных целей, закреплённых в «Стратегии достижения углеродной нейтральности до 2060 года». Казахстан входит в число стран с наиболее высокой </w:t>
      </w:r>
      <w:proofErr w:type="spellStart"/>
      <w:r w:rsidRPr="00FB0734">
        <w:rPr>
          <w:rFonts w:ascii="Times New Roman" w:hAnsi="Times New Roman" w:cs="Times New Roman"/>
          <w:sz w:val="28"/>
          <w:szCs w:val="28"/>
        </w:rPr>
        <w:t>углеродоёмкостью</w:t>
      </w:r>
      <w:proofErr w:type="spellEnd"/>
      <w:r w:rsidRPr="00FB0734">
        <w:rPr>
          <w:rFonts w:ascii="Times New Roman" w:hAnsi="Times New Roman" w:cs="Times New Roman"/>
          <w:sz w:val="28"/>
          <w:szCs w:val="28"/>
        </w:rPr>
        <w:t xml:space="preserve"> экономики в мире, и переход к низкоуглеродным технологиям приобретает не только экологическое, но и политико-экономическое значение, влияя на привлекательность страны для иностранных инвестиций и доступ к международным рынкам.</w:t>
      </w:r>
    </w:p>
    <w:p w14:paraId="4DD4D40C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B0734">
        <w:rPr>
          <w:rFonts w:ascii="Times New Roman" w:hAnsi="Times New Roman" w:cs="Times New Roman"/>
          <w:sz w:val="28"/>
          <w:szCs w:val="28"/>
        </w:rPr>
        <w:t>скоренный рост доли переменной возобновляемой генерации, которая по итогам 2023 года превысила 5% от общей выработки, ставит перед энергетической системой ряд новых системных задач. Переменность генерации приводит к изменчивости нагрузки, увеличивает требования к резервам, снижает предсказуемость баланса и требует создания механизмов обеспечения гибкости</w:t>
      </w:r>
      <w:r>
        <w:rPr>
          <w:rFonts w:ascii="Times New Roman" w:hAnsi="Times New Roman" w:cs="Times New Roman"/>
          <w:sz w:val="28"/>
          <w:szCs w:val="28"/>
        </w:rPr>
        <w:t>, чт</w:t>
      </w:r>
      <w:r w:rsidRPr="00FB0734">
        <w:rPr>
          <w:rFonts w:ascii="Times New Roman" w:hAnsi="Times New Roman" w:cs="Times New Roman"/>
          <w:sz w:val="28"/>
          <w:szCs w:val="28"/>
        </w:rPr>
        <w:t>о предполагает реализацию крупномасштабных инвестиций в строительство маневренных электростанций, систем аккумулирования энергии, внедрение интеллектуальных систем управления спросом, а также модернизацию устаревшей инфраструктуры передачи электроэнергии. По данным Министерства энергетики РК, до 60% линий электропередачи и трансформаторных подстанций требуют обновления, что создаёт риски для дальнейшей интеграции ВИЭ</w:t>
      </w:r>
      <w:r>
        <w:rPr>
          <w:rFonts w:ascii="Times New Roman" w:hAnsi="Times New Roman" w:cs="Times New Roman"/>
          <w:sz w:val="28"/>
          <w:szCs w:val="28"/>
        </w:rPr>
        <w:t xml:space="preserve"> [102]</w:t>
      </w:r>
      <w:r w:rsidRPr="00FB0734">
        <w:rPr>
          <w:rFonts w:ascii="Times New Roman" w:hAnsi="Times New Roman" w:cs="Times New Roman"/>
          <w:sz w:val="28"/>
          <w:szCs w:val="28"/>
        </w:rPr>
        <w:t>.</w:t>
      </w:r>
    </w:p>
    <w:p w14:paraId="78D7B941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Однако переход к ВИЭ следует рассматривать не только как вынужденную экологическую меру, но и как новый источник экономического роста и структурной модернизации. Глобальная динамика стоимости технологий демонстрирует резкое снижение цен на солнечные панели (на 85% за последнее десятилетие), ветроэнергетическое оборудование (на 55–60%) и системы накопления (на 70%), что делает зелёную энергетику конкурентоспособной даже без субсидий. Казахстан, располагающий крупными площадями земель, высокими показателями солнечной инсоляции и значительным ветровым потенциалом, объективно способен создать региональный центр производства и экспорта дешёвой «зелёной» энергии и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[103]</w:t>
      </w:r>
      <w:r w:rsidRPr="00FB0734">
        <w:rPr>
          <w:rFonts w:ascii="Times New Roman" w:hAnsi="Times New Roman" w:cs="Times New Roman"/>
          <w:sz w:val="28"/>
          <w:szCs w:val="28"/>
        </w:rPr>
        <w:t>.</w:t>
      </w:r>
    </w:p>
    <w:p w14:paraId="06EAFE35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Кроме того, развитие ВИЭ создаёт возможности для формирования новых цепочек добавленной стоимости:</w:t>
      </w:r>
    </w:p>
    <w:p w14:paraId="0026FA05" w14:textId="77777777" w:rsidR="00E14263" w:rsidRPr="00FB0734" w:rsidRDefault="00E14263" w:rsidP="00E14263">
      <w:pPr>
        <w:pStyle w:val="a7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локализации производства компонентов для СЭС и ВЭС;</w:t>
      </w:r>
    </w:p>
    <w:p w14:paraId="72523F38" w14:textId="77777777" w:rsidR="00E14263" w:rsidRDefault="00E14263" w:rsidP="00E14263">
      <w:pPr>
        <w:pStyle w:val="a7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разработки интеллектуальных систем мониторинга, прогнозирования и управления энергосетями;</w:t>
      </w:r>
    </w:p>
    <w:p w14:paraId="58504A65" w14:textId="77777777" w:rsidR="00E14263" w:rsidRDefault="00E14263" w:rsidP="00E14263">
      <w:pPr>
        <w:pStyle w:val="a7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роста спроса на квалифицированные инженерные и IT-кадры;</w:t>
      </w:r>
    </w:p>
    <w:p w14:paraId="1B42E115" w14:textId="77777777" w:rsidR="00E14263" w:rsidRDefault="00E14263" w:rsidP="00E14263">
      <w:pPr>
        <w:pStyle w:val="a7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формирования смежных отраслей;</w:t>
      </w:r>
    </w:p>
    <w:p w14:paraId="6FC194AE" w14:textId="77777777" w:rsidR="00E14263" w:rsidRPr="00FB0734" w:rsidRDefault="00E14263" w:rsidP="00E14263">
      <w:pPr>
        <w:pStyle w:val="a7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повышения энергоэффективности промышленности на основе цифровых решений.</w:t>
      </w:r>
    </w:p>
    <w:p w14:paraId="7071BDEF" w14:textId="68A79596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 xml:space="preserve">Анализ современных тенденций развития возобновляемой и низкоуглеродной энергетики в Республике Казахстан показывает, что энергетический переход сопряжён с одновременным возникновением значительных стратегических возможностей и рисков системного характера. С одной стороны, расширение ВИЭ способствует экологической модернизации </w:t>
      </w:r>
      <w:r w:rsidRPr="00FB0734">
        <w:rPr>
          <w:rFonts w:ascii="Times New Roman" w:hAnsi="Times New Roman" w:cs="Times New Roman"/>
          <w:sz w:val="28"/>
          <w:szCs w:val="28"/>
        </w:rPr>
        <w:lastRenderedPageBreak/>
        <w:t>экономики, укрепляет национальную энергетическую безопасность и повышает международную конкурентоспособность Казахстана в условиях усиливающихся требований к декарбонизации. С другой стороны, рост доли переменной генерации формирует новые вызовы для обеспечения устойчивости энергосистемы, требует масштабных финансовых вложений и институциональной готовности к трансформации действующей модели рынка электроэнергии.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734">
        <w:rPr>
          <w:rFonts w:ascii="Times New Roman" w:hAnsi="Times New Roman" w:cs="Times New Roman"/>
          <w:sz w:val="28"/>
          <w:szCs w:val="28"/>
        </w:rPr>
        <w:t>Для комплексной оценки баланса факторов представляется целесообразным систематизировать ключевые преимущества и риски, определяющие динамику развития сектора ВИЭ</w:t>
      </w:r>
      <w:r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D97BAC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B0734">
        <w:rPr>
          <w:rFonts w:ascii="Times New Roman" w:hAnsi="Times New Roman" w:cs="Times New Roman"/>
          <w:sz w:val="28"/>
          <w:szCs w:val="28"/>
        </w:rPr>
        <w:t>.</w:t>
      </w:r>
    </w:p>
    <w:p w14:paraId="56907B39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D42E38" w14:textId="49997A66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7BAC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B0734">
        <w:rPr>
          <w:rFonts w:ascii="Times New Roman" w:hAnsi="Times New Roman" w:cs="Times New Roman"/>
          <w:sz w:val="28"/>
          <w:szCs w:val="28"/>
        </w:rPr>
        <w:t>Преимущества и риски развития низкоуглеродной и возобновляемой энергетики Республики Казахстан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20"/>
        <w:gridCol w:w="3847"/>
        <w:gridCol w:w="3461"/>
      </w:tblGrid>
      <w:tr w:rsidR="00E14263" w:rsidRPr="00FB0734" w14:paraId="3C0DEB4A" w14:textId="77777777" w:rsidTr="003C63B5">
        <w:tc>
          <w:tcPr>
            <w:tcW w:w="2319" w:type="dxa"/>
            <w:hideMark/>
          </w:tcPr>
          <w:p w14:paraId="09FE057F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hideMark/>
          </w:tcPr>
          <w:p w14:paraId="71258305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 xml:space="preserve">Преимущества (потенциал роста) </w:t>
            </w:r>
          </w:p>
        </w:tc>
        <w:tc>
          <w:tcPr>
            <w:tcW w:w="0" w:type="auto"/>
            <w:hideMark/>
          </w:tcPr>
          <w:p w14:paraId="47204543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 xml:space="preserve">Основные риски и ограничения </w:t>
            </w:r>
          </w:p>
        </w:tc>
      </w:tr>
      <w:tr w:rsidR="00E14263" w:rsidRPr="00FB0734" w14:paraId="75E4958D" w14:textId="77777777" w:rsidTr="003C63B5">
        <w:tc>
          <w:tcPr>
            <w:tcW w:w="2319" w:type="dxa"/>
            <w:hideMark/>
          </w:tcPr>
          <w:p w14:paraId="7D084873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>Стратегические</w:t>
            </w:r>
          </w:p>
        </w:tc>
        <w:tc>
          <w:tcPr>
            <w:tcW w:w="0" w:type="auto"/>
            <w:hideMark/>
          </w:tcPr>
          <w:p w14:paraId="41D06A6C" w14:textId="77777777" w:rsidR="00E14263" w:rsidRDefault="00E14263" w:rsidP="003C63B5">
            <w:r w:rsidRPr="00FB0734">
              <w:rPr>
                <w:sz w:val="24"/>
                <w:szCs w:val="24"/>
              </w:rPr>
              <w:t xml:space="preserve">Снижение </w:t>
            </w:r>
            <w:proofErr w:type="spellStart"/>
            <w:r w:rsidRPr="00FB0734">
              <w:rPr>
                <w:sz w:val="24"/>
                <w:szCs w:val="24"/>
              </w:rPr>
              <w:t>углеродоёмкости</w:t>
            </w:r>
            <w:proofErr w:type="spellEnd"/>
            <w:r w:rsidRPr="00FB0734">
              <w:rPr>
                <w:sz w:val="24"/>
                <w:szCs w:val="24"/>
              </w:rPr>
              <w:t>: потенциал сокращения выбросов до 15 млн т CO₂/год к 2030 г. за счёт ВИЭ и СНЭ.</w:t>
            </w:r>
          </w:p>
          <w:p w14:paraId="738F9ACE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Д</w:t>
            </w:r>
            <w:r w:rsidRPr="00FB0734">
              <w:rPr>
                <w:sz w:val="24"/>
                <w:szCs w:val="24"/>
              </w:rPr>
              <w:t>оля ВИЭ увеличилась с 0,5% в 2015 г. до 5,6% в 2023 г., прогноз — 15% к 2030 г.</w:t>
            </w:r>
          </w:p>
        </w:tc>
        <w:tc>
          <w:tcPr>
            <w:tcW w:w="0" w:type="auto"/>
            <w:hideMark/>
          </w:tcPr>
          <w:p w14:paraId="6732CE6A" w14:textId="77777777" w:rsidR="00E14263" w:rsidRDefault="00E14263" w:rsidP="003C63B5">
            <w:r>
              <w:t>П</w:t>
            </w:r>
            <w:r w:rsidRPr="00FB0734">
              <w:rPr>
                <w:sz w:val="24"/>
                <w:szCs w:val="24"/>
              </w:rPr>
              <w:t xml:space="preserve">од угрозой экспорт продукции на сумму более 2,2 млрд долл. ежегодно. </w:t>
            </w:r>
          </w:p>
          <w:p w14:paraId="2325A2D5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 xml:space="preserve">До 75–80% оборудования СЭС/ВЭС импортируется </w:t>
            </w:r>
          </w:p>
        </w:tc>
      </w:tr>
      <w:tr w:rsidR="00E14263" w:rsidRPr="00FB0734" w14:paraId="4B85A41D" w14:textId="77777777" w:rsidTr="003C63B5">
        <w:tc>
          <w:tcPr>
            <w:tcW w:w="2319" w:type="dxa"/>
            <w:hideMark/>
          </w:tcPr>
          <w:p w14:paraId="5D4A29B2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>Экономические</w:t>
            </w:r>
          </w:p>
        </w:tc>
        <w:tc>
          <w:tcPr>
            <w:tcW w:w="0" w:type="auto"/>
            <w:hideMark/>
          </w:tcPr>
          <w:p w14:paraId="012E8C07" w14:textId="77777777" w:rsidR="00E14263" w:rsidRDefault="00E14263" w:rsidP="003C63B5">
            <w:r>
              <w:t>В</w:t>
            </w:r>
            <w:r w:rsidRPr="00FB0734">
              <w:rPr>
                <w:sz w:val="24"/>
                <w:szCs w:val="24"/>
              </w:rPr>
              <w:t xml:space="preserve"> 2020–2023 гг. в ВИЭ вложено ~1,8 млрд долл., ежегодный прирост — 15–18%.</w:t>
            </w:r>
          </w:p>
          <w:p w14:paraId="71BE8D68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Т</w:t>
            </w:r>
            <w:r w:rsidRPr="00FB0734">
              <w:rPr>
                <w:sz w:val="24"/>
                <w:szCs w:val="24"/>
              </w:rPr>
              <w:t xml:space="preserve">арифы на ВЭС снизились до 12,49 </w:t>
            </w:r>
            <w:proofErr w:type="spellStart"/>
            <w:r w:rsidRPr="00FB0734">
              <w:rPr>
                <w:sz w:val="24"/>
                <w:szCs w:val="24"/>
              </w:rPr>
              <w:t>тг</w:t>
            </w:r>
            <w:proofErr w:type="spellEnd"/>
            <w:r w:rsidRPr="00FB0734">
              <w:rPr>
                <w:sz w:val="24"/>
                <w:szCs w:val="24"/>
              </w:rPr>
              <w:t>/</w:t>
            </w:r>
            <w:proofErr w:type="spellStart"/>
            <w:r w:rsidRPr="00FB0734">
              <w:rPr>
                <w:sz w:val="24"/>
                <w:szCs w:val="24"/>
              </w:rPr>
              <w:t>кВт·ч</w:t>
            </w:r>
            <w:proofErr w:type="spellEnd"/>
            <w:r w:rsidRPr="00FB0734">
              <w:rPr>
                <w:sz w:val="24"/>
                <w:szCs w:val="24"/>
              </w:rPr>
              <w:t>, что близко к мировому минимуму (&lt;3 цента).</w:t>
            </w:r>
          </w:p>
        </w:tc>
        <w:tc>
          <w:tcPr>
            <w:tcW w:w="0" w:type="auto"/>
            <w:hideMark/>
          </w:tcPr>
          <w:p w14:paraId="3643B6B5" w14:textId="77777777" w:rsidR="00E14263" w:rsidRDefault="00E14263" w:rsidP="003C63B5">
            <w:r w:rsidRPr="00FB0734">
              <w:rPr>
                <w:sz w:val="24"/>
                <w:szCs w:val="24"/>
              </w:rPr>
              <w:t xml:space="preserve">Модернизация сетей требует не менее 2,2 трлн </w:t>
            </w:r>
            <w:proofErr w:type="spellStart"/>
            <w:r w:rsidRPr="00FB0734">
              <w:rPr>
                <w:sz w:val="24"/>
                <w:szCs w:val="24"/>
              </w:rPr>
              <w:t>тг</w:t>
            </w:r>
            <w:proofErr w:type="spellEnd"/>
            <w:r w:rsidRPr="00FB0734">
              <w:rPr>
                <w:sz w:val="24"/>
                <w:szCs w:val="24"/>
              </w:rPr>
              <w:t xml:space="preserve"> до 2035 г. (KEGOC). </w:t>
            </w:r>
          </w:p>
          <w:p w14:paraId="5EC520BC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У</w:t>
            </w:r>
            <w:r w:rsidRPr="00FB0734">
              <w:rPr>
                <w:sz w:val="24"/>
                <w:szCs w:val="24"/>
              </w:rPr>
              <w:t>ровень локализации оборудования не более 10–15%, что увеличивает валютные риски.</w:t>
            </w:r>
          </w:p>
        </w:tc>
      </w:tr>
      <w:tr w:rsidR="00E14263" w:rsidRPr="00FB0734" w14:paraId="1A1968F0" w14:textId="77777777" w:rsidTr="003C63B5">
        <w:tc>
          <w:tcPr>
            <w:tcW w:w="2319" w:type="dxa"/>
            <w:hideMark/>
          </w:tcPr>
          <w:p w14:paraId="60F5C1E0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>Технологические</w:t>
            </w:r>
          </w:p>
        </w:tc>
        <w:tc>
          <w:tcPr>
            <w:tcW w:w="0" w:type="auto"/>
            <w:hideMark/>
          </w:tcPr>
          <w:p w14:paraId="4F1BAA4E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Д</w:t>
            </w:r>
            <w:r w:rsidRPr="00FB0734">
              <w:rPr>
                <w:sz w:val="24"/>
                <w:szCs w:val="24"/>
              </w:rPr>
              <w:t>о 2030 г. планируется ввод 300–500 МВт накопителей</w:t>
            </w:r>
            <w:r>
              <w:t>.</w:t>
            </w:r>
            <w:r w:rsidRPr="00FB0734">
              <w:rPr>
                <w:sz w:val="24"/>
                <w:szCs w:val="24"/>
              </w:rPr>
              <w:t xml:space="preserve"> КНР поставляет 70% мировых солнечных модулей и 55% ветрогенераторов, обеспечивая доступность оборудования.</w:t>
            </w:r>
          </w:p>
        </w:tc>
        <w:tc>
          <w:tcPr>
            <w:tcW w:w="0" w:type="auto"/>
            <w:hideMark/>
          </w:tcPr>
          <w:p w14:paraId="73615CCE" w14:textId="77777777" w:rsidR="00E14263" w:rsidRDefault="00E14263" w:rsidP="003C63B5">
            <w:r>
              <w:t>Д</w:t>
            </w:r>
            <w:r w:rsidRPr="00FB0734">
              <w:rPr>
                <w:sz w:val="24"/>
                <w:szCs w:val="24"/>
              </w:rPr>
              <w:t xml:space="preserve">оля маневренных мощностей </w:t>
            </w:r>
            <w:r>
              <w:t>-</w:t>
            </w:r>
            <w:r w:rsidRPr="00FB0734">
              <w:rPr>
                <w:sz w:val="24"/>
                <w:szCs w:val="24"/>
              </w:rPr>
              <w:t xml:space="preserve"> менее 20%, требуется минимум 30–35% для высокой интеграции ВИЭ. </w:t>
            </w:r>
          </w:p>
          <w:p w14:paraId="79324F4E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Д</w:t>
            </w:r>
            <w:r w:rsidRPr="00FB0734">
              <w:rPr>
                <w:sz w:val="24"/>
                <w:szCs w:val="24"/>
              </w:rPr>
              <w:t>о 57–65% оборудования требует замены</w:t>
            </w:r>
          </w:p>
        </w:tc>
      </w:tr>
      <w:tr w:rsidR="00E14263" w:rsidRPr="00FB0734" w14:paraId="6E1C2EBF" w14:textId="77777777" w:rsidTr="003C63B5">
        <w:tc>
          <w:tcPr>
            <w:tcW w:w="2319" w:type="dxa"/>
            <w:hideMark/>
          </w:tcPr>
          <w:p w14:paraId="5BDB6D91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>Экологические</w:t>
            </w:r>
            <w:r>
              <w:t>,</w:t>
            </w:r>
            <w:r w:rsidRPr="00FB0734">
              <w:rPr>
                <w:sz w:val="24"/>
                <w:szCs w:val="24"/>
              </w:rPr>
              <w:t xml:space="preserve"> социальные</w:t>
            </w:r>
          </w:p>
        </w:tc>
        <w:tc>
          <w:tcPr>
            <w:tcW w:w="0" w:type="auto"/>
            <w:hideMark/>
          </w:tcPr>
          <w:p w14:paraId="0C073E3A" w14:textId="77777777" w:rsidR="00E14263" w:rsidRDefault="00E14263" w:rsidP="003C63B5">
            <w:r w:rsidRPr="00FB0734">
              <w:rPr>
                <w:sz w:val="24"/>
                <w:szCs w:val="24"/>
              </w:rPr>
              <w:t>Улучшение экологии</w:t>
            </w:r>
          </w:p>
          <w:p w14:paraId="0CEAF5CA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У</w:t>
            </w:r>
            <w:r w:rsidRPr="00FB0734">
              <w:rPr>
                <w:sz w:val="24"/>
                <w:szCs w:val="24"/>
              </w:rPr>
              <w:t>ровень общественной поддержки ВИЭ превышает 70%, особенно среди молодежи.</w:t>
            </w:r>
          </w:p>
        </w:tc>
        <w:tc>
          <w:tcPr>
            <w:tcW w:w="0" w:type="auto"/>
            <w:hideMark/>
          </w:tcPr>
          <w:p w14:paraId="40AAEF78" w14:textId="77777777" w:rsidR="00E14263" w:rsidRDefault="00E14263" w:rsidP="00D97BAC">
            <w:pPr>
              <w:rPr>
                <w:sz w:val="24"/>
                <w:szCs w:val="24"/>
                <w:lang w:val="ru-RU"/>
              </w:rPr>
            </w:pPr>
            <w:r w:rsidRPr="00FB0734">
              <w:rPr>
                <w:sz w:val="24"/>
                <w:szCs w:val="24"/>
              </w:rPr>
              <w:t>Конфликты землепользования</w:t>
            </w:r>
            <w:r w:rsidR="00D97BAC">
              <w:rPr>
                <w:sz w:val="24"/>
                <w:szCs w:val="24"/>
                <w:lang w:val="ru-RU"/>
              </w:rPr>
              <w:t>.</w:t>
            </w:r>
            <w:r w:rsidRPr="00FB0734">
              <w:rPr>
                <w:sz w:val="24"/>
                <w:szCs w:val="24"/>
              </w:rPr>
              <w:t xml:space="preserve"> </w:t>
            </w:r>
            <w:r>
              <w:t>В</w:t>
            </w:r>
            <w:r w:rsidRPr="00FB0734">
              <w:rPr>
                <w:sz w:val="24"/>
                <w:szCs w:val="24"/>
              </w:rPr>
              <w:t xml:space="preserve"> угольной отрасли занято 30 тыс. человек, которым необходима программа «справедливого перехода».</w:t>
            </w:r>
          </w:p>
          <w:p w14:paraId="41261C65" w14:textId="14B5F2E7" w:rsidR="00D97BAC" w:rsidRPr="00FB0734" w:rsidRDefault="00D97BAC" w:rsidP="00D97BAC">
            <w:pPr>
              <w:rPr>
                <w:sz w:val="24"/>
                <w:szCs w:val="24"/>
                <w:lang w:val="ru-RU"/>
              </w:rPr>
            </w:pPr>
          </w:p>
        </w:tc>
      </w:tr>
      <w:tr w:rsidR="00E14263" w:rsidRPr="00FB0734" w14:paraId="2A84A1B8" w14:textId="77777777" w:rsidTr="003C63B5">
        <w:tc>
          <w:tcPr>
            <w:tcW w:w="2319" w:type="dxa"/>
            <w:hideMark/>
          </w:tcPr>
          <w:p w14:paraId="4A3A5058" w14:textId="77777777" w:rsidR="00E14263" w:rsidRPr="00FB0734" w:rsidRDefault="00E14263" w:rsidP="003C63B5">
            <w:pPr>
              <w:jc w:val="both"/>
              <w:rPr>
                <w:sz w:val="24"/>
                <w:szCs w:val="24"/>
              </w:rPr>
            </w:pPr>
            <w:r w:rsidRPr="00FB0734">
              <w:rPr>
                <w:sz w:val="24"/>
                <w:szCs w:val="24"/>
              </w:rPr>
              <w:t>Институциональные</w:t>
            </w:r>
          </w:p>
        </w:tc>
        <w:tc>
          <w:tcPr>
            <w:tcW w:w="0" w:type="auto"/>
            <w:hideMark/>
          </w:tcPr>
          <w:p w14:paraId="3A291CA8" w14:textId="77777777" w:rsidR="00E14263" w:rsidRDefault="00E14263" w:rsidP="003C63B5">
            <w:r>
              <w:t>С</w:t>
            </w:r>
            <w:r w:rsidRPr="00FB0734">
              <w:rPr>
                <w:sz w:val="24"/>
                <w:szCs w:val="24"/>
              </w:rPr>
              <w:t xml:space="preserve"> 2018 г. проведено 58 аукционов, отобрано более 2,1 ГВт проектов</w:t>
            </w:r>
          </w:p>
          <w:p w14:paraId="28A8E2E7" w14:textId="77777777" w:rsidR="00E14263" w:rsidRDefault="00E14263" w:rsidP="003C63B5">
            <w:pPr>
              <w:rPr>
                <w:sz w:val="24"/>
                <w:szCs w:val="24"/>
                <w:lang w:val="ru-RU"/>
              </w:rPr>
            </w:pPr>
            <w:r w:rsidRPr="00FB0734">
              <w:rPr>
                <w:sz w:val="24"/>
                <w:szCs w:val="24"/>
              </w:rPr>
              <w:t>Сформированы ключевые стратегии: углеродная нейтральность к 2060 г.</w:t>
            </w:r>
          </w:p>
          <w:p w14:paraId="563D26F5" w14:textId="77777777" w:rsidR="00D97BAC" w:rsidRPr="00FB0734" w:rsidRDefault="00D97BAC" w:rsidP="003C63B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14:paraId="030C5B40" w14:textId="77777777" w:rsidR="00E14263" w:rsidRDefault="00E14263" w:rsidP="003C63B5">
            <w:r w:rsidRPr="00FB0734">
              <w:rPr>
                <w:sz w:val="24"/>
                <w:szCs w:val="24"/>
              </w:rPr>
              <w:t>Регуляторная нестабильность</w:t>
            </w:r>
          </w:p>
          <w:p w14:paraId="0C155C5A" w14:textId="77777777" w:rsidR="00E14263" w:rsidRPr="00FB0734" w:rsidRDefault="00E14263" w:rsidP="003C63B5">
            <w:pPr>
              <w:rPr>
                <w:sz w:val="24"/>
                <w:szCs w:val="24"/>
              </w:rPr>
            </w:pPr>
            <w:r>
              <w:t>Е</w:t>
            </w:r>
            <w:r w:rsidRPr="00FB0734">
              <w:rPr>
                <w:sz w:val="24"/>
                <w:szCs w:val="24"/>
              </w:rPr>
              <w:t xml:space="preserve">жегодно одобряется </w:t>
            </w:r>
            <w:r>
              <w:t>менее</w:t>
            </w:r>
            <w:r w:rsidRPr="00FB0734">
              <w:rPr>
                <w:sz w:val="24"/>
                <w:szCs w:val="24"/>
              </w:rPr>
              <w:t xml:space="preserve"> 20% предложенных крупных проектов СНЭ.</w:t>
            </w:r>
          </w:p>
        </w:tc>
      </w:tr>
      <w:tr w:rsidR="00E14263" w:rsidRPr="00FB0734" w14:paraId="63E05FA7" w14:textId="77777777" w:rsidTr="003C63B5">
        <w:tc>
          <w:tcPr>
            <w:tcW w:w="9345" w:type="dxa"/>
            <w:gridSpan w:val="3"/>
          </w:tcPr>
          <w:p w14:paraId="3D3CE315" w14:textId="77777777" w:rsidR="00E14263" w:rsidRPr="00614407" w:rsidRDefault="00E14263" w:rsidP="003C63B5">
            <w:pPr>
              <w:jc w:val="both"/>
              <w:rPr>
                <w:lang w:val="ru-RU"/>
              </w:rPr>
            </w:pPr>
            <w:r w:rsidRPr="008D544F">
              <w:rPr>
                <w:sz w:val="24"/>
                <w:szCs w:val="24"/>
                <w:lang w:val="ru-RU"/>
              </w:rPr>
              <w:t>Примечание: составлено автором на основании источника [10</w:t>
            </w:r>
            <w:r>
              <w:rPr>
                <w:lang w:val="ru-RU"/>
              </w:rPr>
              <w:t>4</w:t>
            </w:r>
            <w:r w:rsidRPr="008D544F">
              <w:rPr>
                <w:sz w:val="24"/>
                <w:szCs w:val="24"/>
                <w:lang w:val="ru-RU"/>
              </w:rPr>
              <w:t>]</w:t>
            </w:r>
          </w:p>
        </w:tc>
      </w:tr>
    </w:tbl>
    <w:p w14:paraId="31C262AF" w14:textId="77777777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0A553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 xml:space="preserve">Комплексный анализ преимуществ и рисков свидетельствует о том, что развитие возобновляемой и низкоуглеродной энергетики в Казахстане обладает выраженной стратегической значимостью как для модернизации энергетической системы, так и для трансформации структуры национальной экономики в целом. </w:t>
      </w:r>
      <w:r w:rsidRPr="00FB0734">
        <w:rPr>
          <w:rFonts w:ascii="Times New Roman" w:hAnsi="Times New Roman" w:cs="Times New Roman"/>
          <w:sz w:val="28"/>
          <w:szCs w:val="28"/>
        </w:rPr>
        <w:lastRenderedPageBreak/>
        <w:t>Преимущества носят долгосрочный и мультипликативный характер, включая повышение инвестиционной привлекательности страны, ускорение технологического развития, снижение углеродных барьеров для экспорта и формирование новых конкурентоспособных отраслей.</w:t>
      </w:r>
    </w:p>
    <w:p w14:paraId="75E31B25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>Одновременно наличие системных рисков требует корректировки институциональной архитектуры сектора: усиления гибкости энергосистемы, внедрения современных механизмов управления нагрузками, повышения прозрачности регулирования и стимулирования глубокого уровня локализации производства оборудования для ВИЭ. Особое значение приобретает развитие сотрудничества с технологическими партнёрами — в первую очередь с Китаем, занимающим лидирующие позиции в глобальном производстве оборудования для солнечной и ветровой энергетики.</w:t>
      </w:r>
    </w:p>
    <w:p w14:paraId="24954AE9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B0734">
        <w:rPr>
          <w:rFonts w:ascii="Times New Roman" w:hAnsi="Times New Roman" w:cs="Times New Roman"/>
          <w:sz w:val="28"/>
          <w:szCs w:val="28"/>
        </w:rPr>
        <w:t>спешная реализация энергетического перехода в Казахстане возможна лишь при одновременной нейтрализации инфраструктурных и технологических рисков и максимизации преимуществ, создаваемых глобальным снижением стоимости зелёных технологий, доступом к международному опыту и расширением торгово-экономического сотрудничества в секторе ВИЭ.</w:t>
      </w:r>
    </w:p>
    <w:p w14:paraId="0E6798DA" w14:textId="77777777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 xml:space="preserve">Не менее важным фактором является усиление международной конкуренции на рынке </w:t>
      </w:r>
      <w:proofErr w:type="spellStart"/>
      <w:r w:rsidRPr="00FB0734">
        <w:rPr>
          <w:rFonts w:ascii="Times New Roman" w:hAnsi="Times New Roman" w:cs="Times New Roman"/>
          <w:sz w:val="28"/>
          <w:szCs w:val="28"/>
        </w:rPr>
        <w:t>углеродоёмкой</w:t>
      </w:r>
      <w:proofErr w:type="spellEnd"/>
      <w:r w:rsidRPr="00FB0734">
        <w:rPr>
          <w:rFonts w:ascii="Times New Roman" w:hAnsi="Times New Roman" w:cs="Times New Roman"/>
          <w:sz w:val="28"/>
          <w:szCs w:val="28"/>
        </w:rPr>
        <w:t xml:space="preserve"> продукции. Введение механизма трансграничного углеродного 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734">
        <w:rPr>
          <w:rFonts w:ascii="Times New Roman" w:hAnsi="Times New Roman" w:cs="Times New Roman"/>
          <w:sz w:val="28"/>
          <w:szCs w:val="28"/>
        </w:rPr>
        <w:t>в ЕС делает ускоренный энергопереход не только желательным, но и экономически необходимым. Ключевые экспортные отрасли Казахстана металлургия, химическая промышленность, производство удобрений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0734">
        <w:rPr>
          <w:rFonts w:ascii="Times New Roman" w:hAnsi="Times New Roman" w:cs="Times New Roman"/>
          <w:sz w:val="28"/>
          <w:szCs w:val="28"/>
        </w:rPr>
        <w:t xml:space="preserve"> окажутся под давлением углеродных тарифов, если доля ВИЭ в национальном энергобалансе не будет существенно увеличена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407">
        <w:rPr>
          <w:rFonts w:ascii="Times New Roman" w:hAnsi="Times New Roman" w:cs="Times New Roman"/>
          <w:sz w:val="28"/>
          <w:szCs w:val="28"/>
          <w:lang w:val="ru-RU"/>
        </w:rPr>
        <w:t>[105]</w:t>
      </w:r>
      <w:r w:rsidRPr="00FB0734">
        <w:rPr>
          <w:rFonts w:ascii="Times New Roman" w:hAnsi="Times New Roman" w:cs="Times New Roman"/>
          <w:sz w:val="28"/>
          <w:szCs w:val="28"/>
        </w:rPr>
        <w:t>.</w:t>
      </w:r>
    </w:p>
    <w:p w14:paraId="375F8C42" w14:textId="624B42A5" w:rsidR="00E14263" w:rsidRPr="00FB0734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34">
        <w:rPr>
          <w:rFonts w:ascii="Times New Roman" w:hAnsi="Times New Roman" w:cs="Times New Roman"/>
          <w:sz w:val="28"/>
          <w:szCs w:val="28"/>
        </w:rPr>
        <w:t xml:space="preserve">В совокупности указанные обстоятельства формируют стратегическую необходимость активного развития низкоуглеродной энергетики, а также усиливают интерес Казахстана к международному сотрудничеству в области технологий и оборудования для ВИЭ.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В данном</w:t>
      </w:r>
      <w:r w:rsidRPr="00FB0734">
        <w:rPr>
          <w:rFonts w:ascii="Times New Roman" w:hAnsi="Times New Roman" w:cs="Times New Roman"/>
          <w:sz w:val="28"/>
          <w:szCs w:val="28"/>
        </w:rPr>
        <w:t xml:space="preserve"> контексте возрастает роль торгово-инвестиционного партнёрства с Китаем, являющимся мировым лидером по производству оборудования для солнечной и ветровой генерации. Встраивание Казахстана в региональные цепочки поставок зелёных технологий усиливает его позиции в процессе энергетического перехода и создаёт основу для развития нового промышленного сектора.</w:t>
      </w:r>
    </w:p>
    <w:p w14:paraId="67948821" w14:textId="631438AB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ысокая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углеродоёмкость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экономики остаётся одной из ключевых проблем. 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На рисунке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06AF8">
        <w:rPr>
          <w:rFonts w:ascii="Times New Roman" w:hAnsi="Times New Roman" w:cs="Times New Roman"/>
          <w:sz w:val="28"/>
          <w:szCs w:val="28"/>
        </w:rPr>
        <w:t>представлена динамика выбросов углерода в Казахстане за 2003–2022 гг., иллюстрирующая общую тенденцию колебательного роста с умеренным снижением в последние годы, отражающим начальные эффекты внедрения энергоэффективных технологий и перехода к ВИЭ.</w:t>
      </w:r>
    </w:p>
    <w:p w14:paraId="4837571E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1600C7" w14:textId="00EF353C" w:rsidR="00E14263" w:rsidRPr="002D181C" w:rsidRDefault="00A75FD3" w:rsidP="00A75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3D9FEDC" wp14:editId="16324A61">
            <wp:extent cx="5638800" cy="2860261"/>
            <wp:effectExtent l="0" t="0" r="0" b="0"/>
            <wp:docPr id="32397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7451" name=""/>
                    <pic:cNvPicPr/>
                  </pic:nvPicPr>
                  <pic:blipFill rotWithShape="1">
                    <a:blip r:embed="rId19"/>
                    <a:srcRect l="35951" t="43719" r="31833" b="2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90" cy="286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894D3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E26E3F" w14:textId="30D7BF54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206AF8">
        <w:rPr>
          <w:rFonts w:ascii="Times New Roman" w:hAnsi="Times New Roman" w:cs="Times New Roman"/>
          <w:sz w:val="28"/>
          <w:szCs w:val="28"/>
        </w:rPr>
        <w:t xml:space="preserve"> – Динамика выбросов CO₂ в Казахстане (2003–2022 гг.)</w:t>
      </w:r>
    </w:p>
    <w:p w14:paraId="41AC29A6" w14:textId="77777777" w:rsidR="00E14263" w:rsidRP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4C69914" w14:textId="77777777" w:rsidR="00E14263" w:rsidRPr="00E42F61" w:rsidRDefault="00E14263" w:rsidP="00E1426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2F61">
        <w:rPr>
          <w:rFonts w:ascii="Times New Roman" w:hAnsi="Times New Roman" w:cs="Times New Roman"/>
          <w:lang w:val="ru-RU"/>
        </w:rPr>
        <w:t xml:space="preserve">Примечание: составлено автором на основании источника [106] </w:t>
      </w:r>
    </w:p>
    <w:p w14:paraId="51EB4A96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9950C8" w14:textId="7C48A0FF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206AF8">
        <w:rPr>
          <w:rFonts w:ascii="Times New Roman" w:hAnsi="Times New Roman" w:cs="Times New Roman"/>
          <w:sz w:val="28"/>
          <w:szCs w:val="28"/>
        </w:rPr>
        <w:t>есмотря</w:t>
      </w:r>
      <w:proofErr w:type="spellEnd"/>
      <w:r w:rsidRPr="00206AF8">
        <w:rPr>
          <w:rFonts w:ascii="Times New Roman" w:hAnsi="Times New Roman" w:cs="Times New Roman"/>
          <w:sz w:val="28"/>
          <w:szCs w:val="28"/>
        </w:rPr>
        <w:t xml:space="preserve"> на сохраняющуюся зависимость от углеводородов, Казахстан вступил в фазу постепенной стабилизации и снижения углеродной интенсивности. Наблюдается начало структурного разъединения между экономическим ростом и динамикой выбросов CO₂, что является ключевым признаком перехода к устойчивой модели развития. Основные причины сдвига включают улучшение энергоэффективности промышленности, модернизацию теплоэнергетики, введение первых промышленных солнечных и ветровых электростанций, а также институциональное закрепление климатических целей в государственной политике.</w:t>
      </w:r>
    </w:p>
    <w:p w14:paraId="76BCDEE5" w14:textId="77777777" w:rsidR="00E14263" w:rsidRPr="00206AF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AF8">
        <w:rPr>
          <w:rFonts w:ascii="Times New Roman" w:hAnsi="Times New Roman" w:cs="Times New Roman"/>
          <w:sz w:val="28"/>
          <w:szCs w:val="28"/>
        </w:rPr>
        <w:t>Тем не менее, темпы декарбонизации остаются недостаточными для достижения углеродной нейтральности к 2060 году, что требует усиления инвестиционной и технологической составляющей энергетического перехода, а также формирования системного управленческого механизма, который будет рассмотрен в следующих разделах настоящего исследования.</w:t>
      </w:r>
    </w:p>
    <w:p w14:paraId="46BFFA04" w14:textId="77777777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BB7">
        <w:rPr>
          <w:rFonts w:ascii="Times New Roman" w:hAnsi="Times New Roman" w:cs="Times New Roman"/>
          <w:sz w:val="28"/>
          <w:szCs w:val="28"/>
        </w:rPr>
        <w:t>Казахстан, находящийся в центре Евразийского континента, представляет собой уникальную природно-климатическую систему, где сосуществуют степные, полупустынные и пустынные экосистемы. Среднегодовое количество осадков в большинстве регионов страны не превышает 250–300 мм, что формирует засушливый и полузасушливый климат с высокой амплитудой температур и низкой влажностью. Такая климатическая структура делает Казахстан одним из наиболее чувствительных регионов мира к последствиям глобального потепления.</w:t>
      </w:r>
    </w:p>
    <w:p w14:paraId="4DE74AFC" w14:textId="6177B1C2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BB7">
        <w:rPr>
          <w:rFonts w:ascii="Times New Roman" w:hAnsi="Times New Roman" w:cs="Times New Roman"/>
          <w:sz w:val="28"/>
          <w:szCs w:val="28"/>
        </w:rPr>
        <w:t xml:space="preserve">Согласно последним отчётам IPCC </w:t>
      </w:r>
      <w:r>
        <w:rPr>
          <w:rFonts w:ascii="Times New Roman" w:hAnsi="Times New Roman" w:cs="Times New Roman"/>
          <w:sz w:val="28"/>
          <w:szCs w:val="28"/>
        </w:rPr>
        <w:t>[70]</w:t>
      </w:r>
      <w:r w:rsidRPr="00D44BB7">
        <w:rPr>
          <w:rFonts w:ascii="Times New Roman" w:hAnsi="Times New Roman" w:cs="Times New Roman"/>
          <w:sz w:val="28"/>
          <w:szCs w:val="28"/>
        </w:rPr>
        <w:t xml:space="preserve"> и World Bank</w:t>
      </w:r>
      <w:r>
        <w:rPr>
          <w:rFonts w:ascii="Times New Roman" w:hAnsi="Times New Roman" w:cs="Times New Roman"/>
          <w:sz w:val="28"/>
          <w:szCs w:val="28"/>
        </w:rPr>
        <w:t xml:space="preserve"> [86]</w:t>
      </w:r>
      <w:r w:rsidRPr="00D44BB7">
        <w:rPr>
          <w:rFonts w:ascii="Times New Roman" w:hAnsi="Times New Roman" w:cs="Times New Roman"/>
          <w:sz w:val="28"/>
          <w:szCs w:val="28"/>
        </w:rPr>
        <w:t xml:space="preserve">, Центральная Азия относится к числу территорий с наиболее ускоренными темпами потепления: за последние 60 лет среднегодовая температура в Казахстане выросла более чем на 1,6–1,8 °C, что почти вдвое превышает глобальное среднее </w:t>
      </w:r>
      <w:r w:rsidRPr="00D44BB7">
        <w:rPr>
          <w:rFonts w:ascii="Times New Roman" w:hAnsi="Times New Roman" w:cs="Times New Roman"/>
          <w:sz w:val="28"/>
          <w:szCs w:val="28"/>
        </w:rPr>
        <w:lastRenderedPageBreak/>
        <w:t>значение. Наиболее уязвимыми компонентами природной системы стали ледники, озёра и водные бассейны, играющие ключевую роль в формировании водных ресурсов страны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(таблица </w:t>
      </w:r>
      <w:r w:rsidR="00D97BAC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44BB7">
        <w:rPr>
          <w:rFonts w:ascii="Times New Roman" w:hAnsi="Times New Roman" w:cs="Times New Roman"/>
          <w:sz w:val="28"/>
          <w:szCs w:val="28"/>
        </w:rPr>
        <w:t>.</w:t>
      </w:r>
    </w:p>
    <w:p w14:paraId="3D349617" w14:textId="77777777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6EC374" w14:textId="26110974" w:rsidR="00E14263" w:rsidRPr="00D44BB7" w:rsidRDefault="00E14263" w:rsidP="008A2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B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7BA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D44BB7">
        <w:rPr>
          <w:rFonts w:ascii="Times New Roman" w:hAnsi="Times New Roman" w:cs="Times New Roman"/>
          <w:sz w:val="28"/>
          <w:szCs w:val="28"/>
        </w:rPr>
        <w:t xml:space="preserve"> – Динамика деградации природных систем Казахстана в условиях изменения климата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95"/>
        <w:gridCol w:w="1939"/>
        <w:gridCol w:w="1410"/>
        <w:gridCol w:w="1884"/>
      </w:tblGrid>
      <w:tr w:rsidR="00E14263" w:rsidRPr="00917253" w14:paraId="0D7257CB" w14:textId="77777777" w:rsidTr="003C63B5">
        <w:tc>
          <w:tcPr>
            <w:tcW w:w="0" w:type="auto"/>
            <w:hideMark/>
          </w:tcPr>
          <w:p w14:paraId="254CFD7A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hideMark/>
          </w:tcPr>
          <w:p w14:paraId="15A4FDFA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Период наблюдений</w:t>
            </w:r>
          </w:p>
        </w:tc>
        <w:tc>
          <w:tcPr>
            <w:tcW w:w="0" w:type="auto"/>
            <w:hideMark/>
          </w:tcPr>
          <w:p w14:paraId="75B00C53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Изменение</w:t>
            </w:r>
          </w:p>
        </w:tc>
        <w:tc>
          <w:tcPr>
            <w:tcW w:w="0" w:type="auto"/>
            <w:hideMark/>
          </w:tcPr>
          <w:p w14:paraId="7DD5C84E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Источник</w:t>
            </w:r>
          </w:p>
        </w:tc>
      </w:tr>
      <w:tr w:rsidR="00E14263" w:rsidRPr="00917253" w14:paraId="33AB7F11" w14:textId="77777777" w:rsidTr="003C63B5">
        <w:tc>
          <w:tcPr>
            <w:tcW w:w="0" w:type="auto"/>
            <w:hideMark/>
          </w:tcPr>
          <w:p w14:paraId="769EB92B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0" w:type="auto"/>
            <w:hideMark/>
          </w:tcPr>
          <w:p w14:paraId="4232B031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1960–2023 гг.</w:t>
            </w:r>
          </w:p>
        </w:tc>
        <w:tc>
          <w:tcPr>
            <w:tcW w:w="0" w:type="auto"/>
            <w:hideMark/>
          </w:tcPr>
          <w:p w14:paraId="2D9E0E29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+1,8 °C</w:t>
            </w:r>
          </w:p>
        </w:tc>
        <w:tc>
          <w:tcPr>
            <w:tcW w:w="0" w:type="auto"/>
            <w:hideMark/>
          </w:tcPr>
          <w:p w14:paraId="239203E0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IPCC, 2023</w:t>
            </w:r>
          </w:p>
        </w:tc>
      </w:tr>
      <w:tr w:rsidR="00E14263" w:rsidRPr="00917253" w14:paraId="3E5EEBDA" w14:textId="77777777" w:rsidTr="003C63B5">
        <w:tc>
          <w:tcPr>
            <w:tcW w:w="0" w:type="auto"/>
            <w:hideMark/>
          </w:tcPr>
          <w:p w14:paraId="55368F15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Среднее количество осадков</w:t>
            </w:r>
          </w:p>
        </w:tc>
        <w:tc>
          <w:tcPr>
            <w:tcW w:w="0" w:type="auto"/>
            <w:hideMark/>
          </w:tcPr>
          <w:p w14:paraId="291C05A7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1960–2023 гг.</w:t>
            </w:r>
          </w:p>
        </w:tc>
        <w:tc>
          <w:tcPr>
            <w:tcW w:w="0" w:type="auto"/>
            <w:hideMark/>
          </w:tcPr>
          <w:p w14:paraId="33119629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−12 %</w:t>
            </w:r>
          </w:p>
        </w:tc>
        <w:tc>
          <w:tcPr>
            <w:tcW w:w="0" w:type="auto"/>
            <w:hideMark/>
          </w:tcPr>
          <w:p w14:paraId="44BA691A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World Bank, 2023</w:t>
            </w:r>
          </w:p>
        </w:tc>
      </w:tr>
      <w:tr w:rsidR="00E14263" w:rsidRPr="00917253" w14:paraId="0DD14E24" w14:textId="77777777" w:rsidTr="003C63B5">
        <w:tc>
          <w:tcPr>
            <w:tcW w:w="0" w:type="auto"/>
            <w:hideMark/>
          </w:tcPr>
          <w:p w14:paraId="5A8AE921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Потеря массы горных ледников</w:t>
            </w:r>
          </w:p>
        </w:tc>
        <w:tc>
          <w:tcPr>
            <w:tcW w:w="0" w:type="auto"/>
            <w:hideMark/>
          </w:tcPr>
          <w:p w14:paraId="1E1E7626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1960–2020 гг.</w:t>
            </w:r>
          </w:p>
        </w:tc>
        <w:tc>
          <w:tcPr>
            <w:tcW w:w="0" w:type="auto"/>
            <w:hideMark/>
          </w:tcPr>
          <w:p w14:paraId="11A75D82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−25…−35 %</w:t>
            </w:r>
          </w:p>
        </w:tc>
        <w:tc>
          <w:tcPr>
            <w:tcW w:w="0" w:type="auto"/>
            <w:hideMark/>
          </w:tcPr>
          <w:p w14:paraId="5CBB0590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IPCC, 2023</w:t>
            </w:r>
          </w:p>
        </w:tc>
      </w:tr>
      <w:tr w:rsidR="00E14263" w:rsidRPr="00917253" w14:paraId="35DA5566" w14:textId="77777777" w:rsidTr="003C63B5">
        <w:tc>
          <w:tcPr>
            <w:tcW w:w="0" w:type="auto"/>
            <w:hideMark/>
          </w:tcPr>
          <w:p w14:paraId="31AF72FA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Скорость таяния ледников (по сравнению с мировой средней)</w:t>
            </w:r>
          </w:p>
        </w:tc>
        <w:tc>
          <w:tcPr>
            <w:tcW w:w="0" w:type="auto"/>
            <w:hideMark/>
          </w:tcPr>
          <w:p w14:paraId="32DAA7A1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1960–2020 гг.</w:t>
            </w:r>
          </w:p>
        </w:tc>
        <w:tc>
          <w:tcPr>
            <w:tcW w:w="0" w:type="auto"/>
            <w:hideMark/>
          </w:tcPr>
          <w:p w14:paraId="095D97EB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×3 выше</w:t>
            </w:r>
          </w:p>
        </w:tc>
        <w:tc>
          <w:tcPr>
            <w:tcW w:w="0" w:type="auto"/>
            <w:hideMark/>
          </w:tcPr>
          <w:p w14:paraId="6699D056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UNEP, 2022</w:t>
            </w:r>
          </w:p>
        </w:tc>
      </w:tr>
      <w:tr w:rsidR="00E14263" w:rsidRPr="00917253" w14:paraId="26ADC010" w14:textId="77777777" w:rsidTr="003C63B5">
        <w:tc>
          <w:tcPr>
            <w:tcW w:w="0" w:type="auto"/>
            <w:hideMark/>
          </w:tcPr>
          <w:p w14:paraId="140B01F3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Сокращение площади Аральского моря</w:t>
            </w:r>
          </w:p>
        </w:tc>
        <w:tc>
          <w:tcPr>
            <w:tcW w:w="0" w:type="auto"/>
            <w:hideMark/>
          </w:tcPr>
          <w:p w14:paraId="05567D3B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1960–2020 гг.</w:t>
            </w:r>
          </w:p>
        </w:tc>
        <w:tc>
          <w:tcPr>
            <w:tcW w:w="0" w:type="auto"/>
            <w:hideMark/>
          </w:tcPr>
          <w:p w14:paraId="620EEB84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−90 %</w:t>
            </w:r>
          </w:p>
        </w:tc>
        <w:tc>
          <w:tcPr>
            <w:tcW w:w="0" w:type="auto"/>
            <w:hideMark/>
          </w:tcPr>
          <w:p w14:paraId="716E11CC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FAO, 2021</w:t>
            </w:r>
          </w:p>
        </w:tc>
      </w:tr>
      <w:tr w:rsidR="00E14263" w:rsidRPr="00917253" w14:paraId="77B4467F" w14:textId="77777777" w:rsidTr="003C63B5">
        <w:tc>
          <w:tcPr>
            <w:tcW w:w="0" w:type="auto"/>
            <w:hideMark/>
          </w:tcPr>
          <w:p w14:paraId="72ADF083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Рост пыльных бурь (среднегодовое количество дней)</w:t>
            </w:r>
          </w:p>
        </w:tc>
        <w:tc>
          <w:tcPr>
            <w:tcW w:w="0" w:type="auto"/>
            <w:hideMark/>
          </w:tcPr>
          <w:p w14:paraId="15F0D577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1980–2023 гг.</w:t>
            </w:r>
          </w:p>
        </w:tc>
        <w:tc>
          <w:tcPr>
            <w:tcW w:w="0" w:type="auto"/>
            <w:hideMark/>
          </w:tcPr>
          <w:p w14:paraId="533A0415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+65 %</w:t>
            </w:r>
          </w:p>
        </w:tc>
        <w:tc>
          <w:tcPr>
            <w:tcW w:w="0" w:type="auto"/>
            <w:hideMark/>
          </w:tcPr>
          <w:p w14:paraId="73BB68E6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917253">
              <w:rPr>
                <w:sz w:val="24"/>
                <w:szCs w:val="24"/>
              </w:rPr>
              <w:t>Казгидромет</w:t>
            </w:r>
            <w:proofErr w:type="spellEnd"/>
            <w:r w:rsidRPr="00917253">
              <w:rPr>
                <w:sz w:val="24"/>
                <w:szCs w:val="24"/>
              </w:rPr>
              <w:t>, 2023</w:t>
            </w:r>
          </w:p>
        </w:tc>
      </w:tr>
      <w:tr w:rsidR="00E14263" w:rsidRPr="00917253" w14:paraId="23CA20C2" w14:textId="77777777" w:rsidTr="003C63B5">
        <w:tc>
          <w:tcPr>
            <w:tcW w:w="0" w:type="auto"/>
            <w:hideMark/>
          </w:tcPr>
          <w:p w14:paraId="5A017B95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Потеря плодородия сельхозугодий</w:t>
            </w:r>
          </w:p>
        </w:tc>
        <w:tc>
          <w:tcPr>
            <w:tcW w:w="0" w:type="auto"/>
            <w:hideMark/>
          </w:tcPr>
          <w:p w14:paraId="05EEF04E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1990–2023 гг.</w:t>
            </w:r>
          </w:p>
        </w:tc>
        <w:tc>
          <w:tcPr>
            <w:tcW w:w="0" w:type="auto"/>
            <w:hideMark/>
          </w:tcPr>
          <w:p w14:paraId="3A858666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−20–25 %</w:t>
            </w:r>
          </w:p>
        </w:tc>
        <w:tc>
          <w:tcPr>
            <w:tcW w:w="0" w:type="auto"/>
            <w:hideMark/>
          </w:tcPr>
          <w:p w14:paraId="2F81DB63" w14:textId="77777777" w:rsidR="00E14263" w:rsidRPr="00917253" w:rsidRDefault="00E14263" w:rsidP="003C63B5">
            <w:pPr>
              <w:jc w:val="both"/>
              <w:rPr>
                <w:sz w:val="24"/>
                <w:szCs w:val="24"/>
              </w:rPr>
            </w:pPr>
            <w:r w:rsidRPr="00917253">
              <w:rPr>
                <w:sz w:val="24"/>
                <w:szCs w:val="24"/>
              </w:rPr>
              <w:t>МСХ РК, 2023</w:t>
            </w:r>
          </w:p>
        </w:tc>
      </w:tr>
      <w:tr w:rsidR="00E14263" w:rsidRPr="00917253" w14:paraId="65641475" w14:textId="77777777" w:rsidTr="003C63B5">
        <w:tc>
          <w:tcPr>
            <w:tcW w:w="0" w:type="auto"/>
            <w:gridSpan w:val="4"/>
          </w:tcPr>
          <w:p w14:paraId="1C578A5F" w14:textId="77777777" w:rsidR="00E14263" w:rsidRPr="0091725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917253">
              <w:rPr>
                <w:sz w:val="24"/>
                <w:szCs w:val="24"/>
              </w:rPr>
              <w:t>Примечание</w:t>
            </w:r>
            <w:r>
              <w:rPr>
                <w:lang w:val="ru-RU"/>
              </w:rPr>
              <w:t>:</w:t>
            </w:r>
            <w:r w:rsidRPr="00917253">
              <w:rPr>
                <w:sz w:val="24"/>
                <w:szCs w:val="24"/>
              </w:rPr>
              <w:t xml:space="preserve"> составлено автором на основ</w:t>
            </w:r>
            <w:proofErr w:type="spellStart"/>
            <w:r w:rsidRPr="00917253">
              <w:rPr>
                <w:sz w:val="24"/>
                <w:szCs w:val="24"/>
                <w:lang w:val="ru-RU"/>
              </w:rPr>
              <w:t>ании</w:t>
            </w:r>
            <w:proofErr w:type="spellEnd"/>
            <w:r w:rsidRPr="00917253">
              <w:rPr>
                <w:sz w:val="24"/>
                <w:szCs w:val="24"/>
                <w:lang w:val="ru-RU"/>
              </w:rPr>
              <w:t xml:space="preserve"> </w:t>
            </w:r>
            <w:r w:rsidRPr="00917253">
              <w:rPr>
                <w:sz w:val="24"/>
                <w:szCs w:val="24"/>
              </w:rPr>
              <w:t xml:space="preserve">источников </w:t>
            </w:r>
            <w:r w:rsidRPr="00917253">
              <w:rPr>
                <w:sz w:val="24"/>
                <w:szCs w:val="24"/>
                <w:lang w:val="ru-RU"/>
              </w:rPr>
              <w:t>[107-110]</w:t>
            </w:r>
          </w:p>
        </w:tc>
      </w:tr>
    </w:tbl>
    <w:p w14:paraId="4B71C450" w14:textId="77777777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851BE9" w14:textId="77777777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BB7">
        <w:rPr>
          <w:rFonts w:ascii="Times New Roman" w:hAnsi="Times New Roman" w:cs="Times New Roman"/>
          <w:sz w:val="28"/>
          <w:szCs w:val="28"/>
        </w:rPr>
        <w:t>Основными причинами деградации являются чрезмерное использование вод Амударьи и Сырдарьи для сельскохозяйственного орошения, а также региональные климатические сдвиги, вызвавшие рост температуры, уменьшение снежного покрова и испарение. Осушённое дно Арала превратилось в источник соляно-пылевых бурь, ежегодно выбрасывающих в атмосферу до 75 млн тонн аэрозольной пыли, распространяющейся на тысячи километров – до Ферганы, Кавказа и прибрежных районов Арктики.</w:t>
      </w:r>
    </w:p>
    <w:p w14:paraId="1B8C943C" w14:textId="77777777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BB7">
        <w:rPr>
          <w:rFonts w:ascii="Times New Roman" w:hAnsi="Times New Roman" w:cs="Times New Roman"/>
          <w:sz w:val="28"/>
          <w:szCs w:val="28"/>
        </w:rPr>
        <w:t xml:space="preserve">Совокупность представленных данных показывает, что Казахстан сталкивается с комплексным </w:t>
      </w:r>
      <w:proofErr w:type="spellStart"/>
      <w:proofErr w:type="gramStart"/>
      <w:r w:rsidRPr="00D44BB7">
        <w:rPr>
          <w:rFonts w:ascii="Times New Roman" w:hAnsi="Times New Roman" w:cs="Times New Roman"/>
          <w:sz w:val="28"/>
          <w:szCs w:val="28"/>
        </w:rPr>
        <w:t>климато</w:t>
      </w:r>
      <w:proofErr w:type="spellEnd"/>
      <w:r w:rsidRPr="00D44BB7">
        <w:rPr>
          <w:rFonts w:ascii="Times New Roman" w:hAnsi="Times New Roman" w:cs="Times New Roman"/>
          <w:sz w:val="28"/>
          <w:szCs w:val="28"/>
        </w:rPr>
        <w:t>-экологическим</w:t>
      </w:r>
      <w:proofErr w:type="gramEnd"/>
      <w:r w:rsidRPr="00D44BB7">
        <w:rPr>
          <w:rFonts w:ascii="Times New Roman" w:hAnsi="Times New Roman" w:cs="Times New Roman"/>
          <w:sz w:val="28"/>
          <w:szCs w:val="28"/>
        </w:rPr>
        <w:t xml:space="preserve"> кризисом, в котором взаимосвязаны деградация ледников, водная нестабильность, опустынивание и потеря биоразнообразия.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D44BB7">
        <w:rPr>
          <w:rFonts w:ascii="Times New Roman" w:hAnsi="Times New Roman" w:cs="Times New Roman"/>
          <w:sz w:val="28"/>
          <w:szCs w:val="28"/>
        </w:rPr>
        <w:t xml:space="preserve"> процессы уже оказывают прямое влияние на социально-экономическое развитие, снижая продуктивность аграрного сектора, создавая угрозу водной безопасности и ухудшая качество жизни населения</w:t>
      </w:r>
      <w:r w:rsidRPr="00917253">
        <w:rPr>
          <w:rFonts w:ascii="Times New Roman" w:hAnsi="Times New Roman" w:cs="Times New Roman"/>
          <w:sz w:val="28"/>
          <w:szCs w:val="28"/>
          <w:lang w:val="ru-RU"/>
        </w:rPr>
        <w:t xml:space="preserve"> [111]</w:t>
      </w:r>
      <w:r w:rsidRPr="00D44BB7">
        <w:rPr>
          <w:rFonts w:ascii="Times New Roman" w:hAnsi="Times New Roman" w:cs="Times New Roman"/>
          <w:sz w:val="28"/>
          <w:szCs w:val="28"/>
        </w:rPr>
        <w:t>.</w:t>
      </w:r>
    </w:p>
    <w:p w14:paraId="7B1F8C6C" w14:textId="293C2FED" w:rsidR="00E14263" w:rsidRPr="00D44BB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BB7">
        <w:rPr>
          <w:rFonts w:ascii="Times New Roman" w:hAnsi="Times New Roman" w:cs="Times New Roman"/>
          <w:sz w:val="28"/>
          <w:szCs w:val="28"/>
        </w:rPr>
        <w:t xml:space="preserve">С научной точки зрения данная ситуация иллюстрирует системную зависимость национальной экономики от климатических факторов.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D44BB7">
        <w:rPr>
          <w:rFonts w:ascii="Times New Roman" w:hAnsi="Times New Roman" w:cs="Times New Roman"/>
          <w:sz w:val="28"/>
          <w:szCs w:val="28"/>
        </w:rPr>
        <w:t>ереход</w:t>
      </w:r>
      <w:proofErr w:type="spellEnd"/>
      <w:r w:rsidRPr="00D44BB7">
        <w:rPr>
          <w:rFonts w:ascii="Times New Roman" w:hAnsi="Times New Roman" w:cs="Times New Roman"/>
          <w:sz w:val="28"/>
          <w:szCs w:val="28"/>
        </w:rPr>
        <w:t xml:space="preserve"> к низкоуглеродной и ресурсосберегающей модели развития, развитие ВИЭ и повышение энергоэффективности рассматриваются не только как инструмент экологической политики, но и как ключевой элемент национальной устойчивости Казахстана.</w:t>
      </w:r>
    </w:p>
    <w:p w14:paraId="045B0825" w14:textId="235743DC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</w:rPr>
        <w:t xml:space="preserve">Анализ климатических тенденций Казахстана за последние шесть десятилетий демонстрирует устойчивую динамику потепления и деградации водно-ледниковых систем. В условиях континентального климата даже незначительные отклонения температур и осадков оказывают значительное влияние на устойчивость экосистем и водный баланс страны.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На рисунке 5</w:t>
      </w:r>
      <w:r w:rsidRPr="002D181C">
        <w:rPr>
          <w:rFonts w:ascii="Times New Roman" w:hAnsi="Times New Roman" w:cs="Times New Roman"/>
          <w:sz w:val="28"/>
          <w:szCs w:val="28"/>
        </w:rPr>
        <w:t xml:space="preserve"> представлена обобщённая динамика ключевых климатических индикаторов, </w:t>
      </w:r>
      <w:r w:rsidRPr="002D181C">
        <w:rPr>
          <w:rFonts w:ascii="Times New Roman" w:hAnsi="Times New Roman" w:cs="Times New Roman"/>
          <w:sz w:val="28"/>
          <w:szCs w:val="28"/>
        </w:rPr>
        <w:lastRenderedPageBreak/>
        <w:t>отражающих степень воздействия глобальных климатических изменений на территорию Казахстана в 1960–2023 гг.</w:t>
      </w:r>
    </w:p>
    <w:p w14:paraId="33541F20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3AE47E" w14:textId="77777777" w:rsidR="00E14263" w:rsidRPr="002D181C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B66C1E" wp14:editId="5610A986">
            <wp:extent cx="5940425" cy="3330575"/>
            <wp:effectExtent l="0" t="0" r="3175" b="3175"/>
            <wp:docPr id="185954012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8A0DF2C-3981-8993-D3CB-A5558347C2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5EA011A" w14:textId="17E702FB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2D181C">
        <w:rPr>
          <w:rFonts w:ascii="Times New Roman" w:hAnsi="Times New Roman" w:cs="Times New Roman"/>
          <w:sz w:val="28"/>
          <w:szCs w:val="28"/>
        </w:rPr>
        <w:t>Тенденции климатических изменений в Казахстане (1960–2023гг.)</w:t>
      </w:r>
    </w:p>
    <w:p w14:paraId="0D39232E" w14:textId="77777777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407624B" w14:textId="65D30338" w:rsidR="00E14263" w:rsidRPr="0091725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17253">
        <w:rPr>
          <w:rFonts w:ascii="Times New Roman" w:hAnsi="Times New Roman" w:cs="Times New Roman"/>
        </w:rPr>
        <w:t>Примечание</w:t>
      </w:r>
      <w:r>
        <w:rPr>
          <w:rFonts w:ascii="Times New Roman" w:hAnsi="Times New Roman" w:cs="Times New Roman"/>
          <w:lang w:val="ru-RU"/>
        </w:rPr>
        <w:t>:</w:t>
      </w:r>
      <w:r w:rsidR="006F3BEB">
        <w:rPr>
          <w:rFonts w:ascii="Times New Roman" w:hAnsi="Times New Roman" w:cs="Times New Roman"/>
          <w:lang w:val="ru-RU"/>
        </w:rPr>
        <w:t xml:space="preserve"> </w:t>
      </w:r>
      <w:r w:rsidRPr="00917253">
        <w:rPr>
          <w:rFonts w:ascii="Times New Roman" w:hAnsi="Times New Roman" w:cs="Times New Roman"/>
        </w:rPr>
        <w:t>составлено автором на основ</w:t>
      </w:r>
      <w:proofErr w:type="spellStart"/>
      <w:r w:rsidRPr="00917253">
        <w:rPr>
          <w:rFonts w:ascii="Times New Roman" w:hAnsi="Times New Roman" w:cs="Times New Roman"/>
          <w:lang w:val="ru-RU"/>
        </w:rPr>
        <w:t>ании</w:t>
      </w:r>
      <w:proofErr w:type="spellEnd"/>
      <w:r w:rsidRPr="00917253">
        <w:rPr>
          <w:rFonts w:ascii="Times New Roman" w:hAnsi="Times New Roman" w:cs="Times New Roman"/>
        </w:rPr>
        <w:t xml:space="preserve"> источник</w:t>
      </w:r>
      <w:r w:rsidRPr="00917253">
        <w:rPr>
          <w:rFonts w:ascii="Times New Roman" w:hAnsi="Times New Roman" w:cs="Times New Roman"/>
          <w:lang w:val="ru-RU"/>
        </w:rPr>
        <w:t>а</w:t>
      </w:r>
      <w:r w:rsidRPr="00917253">
        <w:rPr>
          <w:rFonts w:ascii="Times New Roman" w:hAnsi="Times New Roman" w:cs="Times New Roman"/>
        </w:rPr>
        <w:t xml:space="preserve"> [112]</w:t>
      </w:r>
    </w:p>
    <w:p w14:paraId="0A52B523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FBA3AF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2D181C">
        <w:rPr>
          <w:rFonts w:ascii="Times New Roman" w:hAnsi="Times New Roman" w:cs="Times New Roman"/>
          <w:sz w:val="28"/>
          <w:szCs w:val="28"/>
        </w:rPr>
        <w:t xml:space="preserve">свидетельствуют о постепенном, но неуклонном росте средней температуры воздуха, которая увеличилась на 1,8 °C по сравнению с уровнем, 1960 г.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Данное</w:t>
      </w:r>
      <w:r w:rsidRPr="002D181C">
        <w:rPr>
          <w:rFonts w:ascii="Times New Roman" w:hAnsi="Times New Roman" w:cs="Times New Roman"/>
          <w:sz w:val="28"/>
          <w:szCs w:val="28"/>
        </w:rPr>
        <w:t xml:space="preserve"> значение почти вдвое превышает среднемировой показатель глобального потепления, что подчёркивает уязвимость континентальных регионов Центральной Азии.</w:t>
      </w:r>
    </w:p>
    <w:p w14:paraId="4DC32B3E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</w:rPr>
        <w:t xml:space="preserve">Одновременно отмечается снижение годового количества осадков примерно на 12%, что усиливает процессы </w:t>
      </w:r>
      <w:proofErr w:type="spellStart"/>
      <w:r w:rsidRPr="002D181C">
        <w:rPr>
          <w:rFonts w:ascii="Times New Roman" w:hAnsi="Times New Roman" w:cs="Times New Roman"/>
          <w:sz w:val="28"/>
          <w:szCs w:val="28"/>
        </w:rPr>
        <w:t>аридизации</w:t>
      </w:r>
      <w:proofErr w:type="spellEnd"/>
      <w:r w:rsidRPr="002D181C">
        <w:rPr>
          <w:rFonts w:ascii="Times New Roman" w:hAnsi="Times New Roman" w:cs="Times New Roman"/>
          <w:sz w:val="28"/>
          <w:szCs w:val="28"/>
        </w:rPr>
        <w:t xml:space="preserve"> и снижает уровень водных ресурсов. Наиболее тревожным является ускоренное таяние ледников, потеря которых к 2023 г. достигла 35% от их массы середины XX века. Поскольку более 70% питьевой и оросительной воды Казахстан получает из ледникового стока, подобная тенденция формирует долгосрочные риски для продовольственной и экологической безопасности страны.</w:t>
      </w:r>
    </w:p>
    <w:p w14:paraId="535ECBFA" w14:textId="77777777" w:rsidR="00E14263" w:rsidRPr="0022277A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>Особое значение приобретает развитие национальных промышленных предприятий, способных локализовать выпуск компонентов для ВИЭ-объектов и цифровых систем управления энергоресурсами. В условиях высокой зависимости отрасли от импорта технологий и оборудования именно отечественные производители становятся ключевым элементом технологического суверенитета страны.</w:t>
      </w:r>
    </w:p>
    <w:p w14:paraId="76C42995" w14:textId="77777777" w:rsidR="00E14263" w:rsidRPr="0022277A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 xml:space="preserve">Одним из таких предприятий, обеспечивающих промышленную и технологическую опору энергетического перехода, является ТОО «Корпорация </w:t>
      </w:r>
      <w:r w:rsidRPr="0022277A">
        <w:rPr>
          <w:rFonts w:ascii="Times New Roman" w:hAnsi="Times New Roman" w:cs="Times New Roman"/>
          <w:sz w:val="28"/>
          <w:szCs w:val="28"/>
        </w:rPr>
        <w:lastRenderedPageBreak/>
        <w:t xml:space="preserve">Сайман» 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2277A">
        <w:rPr>
          <w:rFonts w:ascii="Times New Roman" w:hAnsi="Times New Roman" w:cs="Times New Roman"/>
          <w:sz w:val="28"/>
          <w:szCs w:val="28"/>
        </w:rPr>
        <w:t xml:space="preserve"> ведущий казахстанский производитель электротехнического оборудования, приборов учёта и автоматизированных систем управления. Компания не только обеспечивает внутренний рынок качественной продукцией, но и активно участвует в реализации государственных и корпоративных проектов, направленных на цифровизацию энергосистемы и развитие возобновляемой энергетики.</w:t>
      </w:r>
    </w:p>
    <w:p w14:paraId="5E7C2B51" w14:textId="77777777" w:rsidR="00E14263" w:rsidRPr="0091725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277A">
        <w:rPr>
          <w:rFonts w:ascii="Times New Roman" w:hAnsi="Times New Roman" w:cs="Times New Roman"/>
          <w:sz w:val="28"/>
          <w:szCs w:val="28"/>
        </w:rPr>
        <w:t>ТОО «Корпорация Сайман» (БИН 041040001863) зарегистрировано 18 октября 2004 года и находится в г. Алматы, ул. Шевченко 162/7. Однако истоки компании восходят к 1992 году, когда был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2277A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22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77A">
        <w:rPr>
          <w:rFonts w:ascii="Times New Roman" w:hAnsi="Times New Roman" w:cs="Times New Roman"/>
          <w:sz w:val="28"/>
          <w:szCs w:val="28"/>
        </w:rPr>
        <w:t>перв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ое</w:t>
      </w:r>
      <w:proofErr w:type="spellEnd"/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277A">
        <w:rPr>
          <w:rFonts w:ascii="Times New Roman" w:hAnsi="Times New Roman" w:cs="Times New Roman"/>
          <w:sz w:val="28"/>
          <w:szCs w:val="28"/>
        </w:rPr>
        <w:t>приборостроитель</w:t>
      </w:r>
      <w:proofErr w:type="spellStart"/>
      <w:r w:rsidRPr="002D181C">
        <w:rPr>
          <w:rFonts w:ascii="Times New Roman" w:hAnsi="Times New Roman" w:cs="Times New Roman"/>
          <w:sz w:val="28"/>
          <w:szCs w:val="28"/>
          <w:lang w:val="ru-RU"/>
        </w:rPr>
        <w:t>ное</w:t>
      </w:r>
      <w:proofErr w:type="spellEnd"/>
      <w:r w:rsidRPr="0022277A">
        <w:rPr>
          <w:rFonts w:ascii="Times New Roman" w:hAnsi="Times New Roman" w:cs="Times New Roman"/>
          <w:sz w:val="28"/>
          <w:szCs w:val="28"/>
        </w:rPr>
        <w:t xml:space="preserve"> подразделение, специализировавшееся на учётных системах.</w:t>
      </w:r>
      <w:r w:rsidRPr="002515B8">
        <w:rPr>
          <w:rFonts w:ascii="Times New Roman" w:hAnsi="Times New Roman" w:cs="Times New Roman"/>
          <w:sz w:val="28"/>
          <w:szCs w:val="28"/>
        </w:rPr>
        <w:t xml:space="preserve"> Корпорация Сайман имеет ряд значимых достижений: участие и победы в конкурсе «Лучший товар Казахстана» (в том числе второе место в номинации для производственной продукции)</w:t>
      </w:r>
      <w:hyperlink r:id="rId21" w:tgtFrame="_blank" w:history="1"/>
      <w:r w:rsidRPr="002515B8">
        <w:rPr>
          <w:rFonts w:ascii="Times New Roman" w:hAnsi="Times New Roman" w:cs="Times New Roman"/>
          <w:sz w:val="28"/>
          <w:szCs w:val="28"/>
        </w:rPr>
        <w:t>; сертификация системы менеджмента качества и безопасности: СТ РК ISO 9001-2016, ISO 14001-2016, OHSAS 18001-2008. Кроме того, предприятие отмечает «богатый арсенал грамот и наград, подтверждающих высокий уровень технологий и вклад в инновационное развитие Казахстана».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spellStart"/>
      <w:r w:rsidRPr="002515B8">
        <w:rPr>
          <w:rFonts w:ascii="Times New Roman" w:hAnsi="Times New Roman" w:cs="Times New Roman"/>
          <w:sz w:val="28"/>
          <w:szCs w:val="28"/>
        </w:rPr>
        <w:t>редприятие</w:t>
      </w:r>
      <w:proofErr w:type="spellEnd"/>
      <w:r w:rsidRPr="002515B8">
        <w:rPr>
          <w:rFonts w:ascii="Times New Roman" w:hAnsi="Times New Roman" w:cs="Times New Roman"/>
          <w:sz w:val="28"/>
          <w:szCs w:val="28"/>
        </w:rPr>
        <w:t xml:space="preserve"> участвует в научно-технических проектах и входит в состав специализированной инновационной среды — например, оно является участником специальной экономической зоны «Парк Инновационных Технологий «Алатау»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7253">
        <w:rPr>
          <w:rFonts w:ascii="Times New Roman" w:hAnsi="Times New Roman" w:cs="Times New Roman"/>
          <w:sz w:val="28"/>
          <w:szCs w:val="28"/>
          <w:lang w:val="ru-RU"/>
        </w:rPr>
        <w:t>[113].</w:t>
      </w:r>
    </w:p>
    <w:p w14:paraId="5C96BBBC" w14:textId="77777777" w:rsidR="00E14263" w:rsidRPr="0022277A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>Корпорация осуществляет полный цикл производства электро</w:t>
      </w:r>
      <w:r w:rsidRPr="0022277A">
        <w:rPr>
          <w:rFonts w:ascii="Times New Roman" w:hAnsi="Times New Roman" w:cs="Times New Roman"/>
          <w:sz w:val="28"/>
          <w:szCs w:val="28"/>
        </w:rPr>
        <w:softHyphen/>
        <w:t>технического оборудования и измерительных приборов:</w:t>
      </w:r>
    </w:p>
    <w:p w14:paraId="1DACF80F" w14:textId="77777777" w:rsidR="00E14263" w:rsidRPr="0022277A" w:rsidRDefault="00E14263" w:rsidP="00E14263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 xml:space="preserve">электронные счётчики электроэнергии (однофазные и трёхфазные), трансформаторы тока, шкафы учёта и коммутации; </w:t>
      </w:r>
    </w:p>
    <w:p w14:paraId="0FB52C59" w14:textId="77777777" w:rsidR="00E14263" w:rsidRPr="0022277A" w:rsidRDefault="00E14263" w:rsidP="00E14263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>автоматизированные системы коммерческого учёта электроэнергии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2277A">
        <w:rPr>
          <w:rFonts w:ascii="Times New Roman" w:hAnsi="Times New Roman" w:cs="Times New Roman"/>
          <w:sz w:val="28"/>
          <w:szCs w:val="28"/>
        </w:rPr>
        <w:t xml:space="preserve"> системы управления наружным освещением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472FE17" w14:textId="77777777" w:rsidR="00E14263" w:rsidRPr="0022277A" w:rsidRDefault="00E14263" w:rsidP="00E14263">
      <w:pPr>
        <w:numPr>
          <w:ilvl w:val="0"/>
          <w:numId w:val="3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 xml:space="preserve">проектно-конструкторская база и метрологическая лаборатория, 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которые позволяют </w:t>
      </w:r>
      <w:r w:rsidRPr="0022277A">
        <w:rPr>
          <w:rFonts w:ascii="Times New Roman" w:hAnsi="Times New Roman" w:cs="Times New Roman"/>
          <w:sz w:val="28"/>
          <w:szCs w:val="28"/>
        </w:rPr>
        <w:t xml:space="preserve">разрабатывать изделия под специфические задачи заказчиков и соответствовать международным стандартам. </w:t>
      </w:r>
    </w:p>
    <w:p w14:paraId="3A8A9531" w14:textId="77777777" w:rsidR="00E14263" w:rsidRPr="002515B8" w:rsidRDefault="00E14263" w:rsidP="00E14263">
      <w:pPr>
        <w:pStyle w:val="af9"/>
        <w:spacing w:after="0"/>
        <w:ind w:firstLine="567"/>
        <w:jc w:val="both"/>
        <w:rPr>
          <w:sz w:val="28"/>
          <w:szCs w:val="28"/>
        </w:rPr>
      </w:pPr>
      <w:r w:rsidRPr="002515B8">
        <w:rPr>
          <w:sz w:val="28"/>
          <w:szCs w:val="28"/>
        </w:rPr>
        <w:t>Миссия компании: «Обеспечение эффективного использования энергоресурсов Республики Казахстан посредством разработки и производства отечественных интеллектуальных приборов учёта и систем управления, с целью повышения энергоэффективности и технологической независимости отрасли».</w:t>
      </w:r>
    </w:p>
    <w:p w14:paraId="718A54A9" w14:textId="77777777" w:rsidR="00E14263" w:rsidRPr="002515B8" w:rsidRDefault="00E14263" w:rsidP="00E14263">
      <w:pPr>
        <w:pStyle w:val="af9"/>
        <w:spacing w:after="0"/>
        <w:ind w:firstLine="567"/>
        <w:jc w:val="both"/>
        <w:rPr>
          <w:sz w:val="28"/>
          <w:szCs w:val="28"/>
        </w:rPr>
      </w:pPr>
      <w:r w:rsidRPr="002515B8">
        <w:rPr>
          <w:sz w:val="28"/>
          <w:szCs w:val="28"/>
        </w:rPr>
        <w:t>Цель предприятия: укрепление позиции лидера отечественного приборостроения в области учёта и управления энергоресурсами, развитие инновационной продукции и локализация технологических решений.</w:t>
      </w:r>
    </w:p>
    <w:p w14:paraId="62DECBC2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277A">
        <w:rPr>
          <w:rFonts w:ascii="Times New Roman" w:hAnsi="Times New Roman" w:cs="Times New Roman"/>
          <w:sz w:val="28"/>
          <w:szCs w:val="28"/>
        </w:rPr>
        <w:t xml:space="preserve">По состоянию на данные </w:t>
      </w:r>
      <w:proofErr w:type="gramStart"/>
      <w:r w:rsidRPr="0022277A">
        <w:rPr>
          <w:rFonts w:ascii="Times New Roman" w:hAnsi="Times New Roman" w:cs="Times New Roman"/>
          <w:sz w:val="28"/>
          <w:szCs w:val="28"/>
        </w:rPr>
        <w:t>2023-</w:t>
      </w:r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22277A">
        <w:rPr>
          <w:rFonts w:ascii="Times New Roman" w:hAnsi="Times New Roman" w:cs="Times New Roman"/>
          <w:sz w:val="28"/>
          <w:szCs w:val="28"/>
        </w:rPr>
        <w:t>24</w:t>
      </w:r>
      <w:proofErr w:type="gramEnd"/>
      <w:r w:rsidRPr="0022277A">
        <w:rPr>
          <w:rFonts w:ascii="Times New Roman" w:hAnsi="Times New Roman" w:cs="Times New Roman"/>
          <w:sz w:val="28"/>
          <w:szCs w:val="28"/>
        </w:rPr>
        <w:t xml:space="preserve"> гг. компания зарегистрирована как среднее предприятие в отрасли «обрабатывающее производство». Компания активно участвует в государственных закупках и реализует продукцию для таких объектов, как электросети, коммунальные службы, и крупные промышленные заказчики. </w:t>
      </w:r>
    </w:p>
    <w:p w14:paraId="183BAEC4" w14:textId="65103518" w:rsidR="00E14263" w:rsidRPr="0022277A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 xml:space="preserve">С учётом государственной политики по развитию возобновляемой энергетики и цифровизации энергосистемы, «Сайман» занимает стратегическую </w:t>
      </w:r>
      <w:r w:rsidRPr="0022277A">
        <w:rPr>
          <w:rFonts w:ascii="Times New Roman" w:hAnsi="Times New Roman" w:cs="Times New Roman"/>
          <w:sz w:val="28"/>
          <w:szCs w:val="28"/>
        </w:rPr>
        <w:lastRenderedPageBreak/>
        <w:t>позицию как национальный производитель оборудования и систем мониторинга. Проекты, связанные с возобновляемой генерацией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22277A">
        <w:rPr>
          <w:rFonts w:ascii="Times New Roman" w:hAnsi="Times New Roman" w:cs="Times New Roman"/>
          <w:sz w:val="28"/>
          <w:szCs w:val="28"/>
        </w:rPr>
        <w:t xml:space="preserve"> ветро- и солнечными электростанциями требуют интеллектуальных решений по учёту, управлению нагрузками и интеграции в сеть.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Следовательно,</w:t>
      </w:r>
      <w:r w:rsidRPr="0022277A">
        <w:rPr>
          <w:rFonts w:ascii="Times New Roman" w:hAnsi="Times New Roman" w:cs="Times New Roman"/>
          <w:sz w:val="28"/>
          <w:szCs w:val="28"/>
        </w:rPr>
        <w:t xml:space="preserve"> предприятие способно обеспечивать:</w:t>
      </w:r>
    </w:p>
    <w:p w14:paraId="44AC4E26" w14:textId="77777777" w:rsidR="00E14263" w:rsidRPr="0022277A" w:rsidRDefault="00E14263" w:rsidP="00E14263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>локализацию ключевых компонентов энергоинфраструктуры;</w:t>
      </w:r>
    </w:p>
    <w:p w14:paraId="213EE372" w14:textId="77777777" w:rsidR="00E14263" w:rsidRPr="0022277A" w:rsidRDefault="00E14263" w:rsidP="00E14263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>внедрение решений типа АСКУЭ и Smart Grid, необходимых для эффективной эксплуатации ВИЭ;</w:t>
      </w:r>
    </w:p>
    <w:p w14:paraId="04A84583" w14:textId="77777777" w:rsidR="00E14263" w:rsidRPr="0022277A" w:rsidRDefault="00E14263" w:rsidP="00E14263">
      <w:pPr>
        <w:numPr>
          <w:ilvl w:val="0"/>
          <w:numId w:val="3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277A">
        <w:rPr>
          <w:rFonts w:ascii="Times New Roman" w:hAnsi="Times New Roman" w:cs="Times New Roman"/>
          <w:sz w:val="28"/>
          <w:szCs w:val="28"/>
        </w:rPr>
        <w:t>снижение зависимости от импорта оборудования и создание цепочек добавленной стоимости внутри страны.</w:t>
      </w:r>
    </w:p>
    <w:p w14:paraId="467F75CD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>Для подтверждения устойчивости развития и выявления потенциала инновационного роста важно не ограничиваться характеристикой производственной и организационной структуры предприятия, а проанализировать его финансовое состояние в динамике. Финансово-экономические показатели служат объективной основой для оценки эффективности управления ресурсами, способности компании адаптироваться к рыночным изменениям и привлекать инвестиции в условиях усиливающейся конкуренции на рынке электротехнической продукции и решений для возобновляемой энергетики.</w:t>
      </w:r>
    </w:p>
    <w:p w14:paraId="22D710B1" w14:textId="524712FC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 xml:space="preserve">Результаты анализа представлены в таблице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8A3BB9">
        <w:rPr>
          <w:rFonts w:ascii="Times New Roman" w:hAnsi="Times New Roman" w:cs="Times New Roman"/>
          <w:sz w:val="28"/>
          <w:szCs w:val="28"/>
        </w:rPr>
        <w:t>, где отражена динамика основных финансовых показателей предприятия за последние три отчётных года.</w:t>
      </w:r>
    </w:p>
    <w:p w14:paraId="2FA81A43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14263" w:rsidSect="000E7F50">
          <w:footerReference w:type="default" r:id="rId2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044C83" w14:textId="4417D65D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8A3BB9">
        <w:rPr>
          <w:rFonts w:ascii="Times New Roman" w:hAnsi="Times New Roman" w:cs="Times New Roman"/>
          <w:sz w:val="28"/>
          <w:szCs w:val="28"/>
        </w:rPr>
        <w:t xml:space="preserve"> – Финансовые показатели ТОО «Корпорация Сайман» в динамике за 2022–2024 гг., тыс. </w:t>
      </w:r>
      <w:proofErr w:type="spellStart"/>
      <w:r w:rsidRPr="008A3BB9">
        <w:rPr>
          <w:rFonts w:ascii="Times New Roman" w:hAnsi="Times New Roman" w:cs="Times New Roman"/>
          <w:sz w:val="28"/>
          <w:szCs w:val="28"/>
        </w:rPr>
        <w:t>тг</w:t>
      </w:r>
      <w:proofErr w:type="spellEnd"/>
    </w:p>
    <w:tbl>
      <w:tblPr>
        <w:tblStyle w:val="ad"/>
        <w:tblW w:w="14098" w:type="dxa"/>
        <w:tblLook w:val="04A0" w:firstRow="1" w:lastRow="0" w:firstColumn="1" w:lastColumn="0" w:noHBand="0" w:noVBand="1"/>
      </w:tblPr>
      <w:tblGrid>
        <w:gridCol w:w="6748"/>
        <w:gridCol w:w="1400"/>
        <w:gridCol w:w="1400"/>
        <w:gridCol w:w="1400"/>
        <w:gridCol w:w="1575"/>
        <w:gridCol w:w="1575"/>
      </w:tblGrid>
      <w:tr w:rsidR="00E14263" w:rsidRPr="007A6652" w14:paraId="1DFD4E1A" w14:textId="77777777" w:rsidTr="003C63B5">
        <w:trPr>
          <w:trHeight w:val="273"/>
        </w:trPr>
        <w:tc>
          <w:tcPr>
            <w:tcW w:w="0" w:type="auto"/>
            <w:hideMark/>
          </w:tcPr>
          <w:p w14:paraId="42F8251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Статья</w:t>
            </w:r>
          </w:p>
        </w:tc>
        <w:tc>
          <w:tcPr>
            <w:tcW w:w="0" w:type="auto"/>
            <w:hideMark/>
          </w:tcPr>
          <w:p w14:paraId="44B2D11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2024</w:t>
            </w:r>
          </w:p>
        </w:tc>
        <w:tc>
          <w:tcPr>
            <w:tcW w:w="0" w:type="auto"/>
            <w:hideMark/>
          </w:tcPr>
          <w:p w14:paraId="1B0C705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2023</w:t>
            </w:r>
          </w:p>
        </w:tc>
        <w:tc>
          <w:tcPr>
            <w:tcW w:w="0" w:type="auto"/>
            <w:hideMark/>
          </w:tcPr>
          <w:p w14:paraId="473EA5A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2022</w:t>
            </w:r>
          </w:p>
        </w:tc>
        <w:tc>
          <w:tcPr>
            <w:tcW w:w="0" w:type="auto"/>
            <w:hideMark/>
          </w:tcPr>
          <w:p w14:paraId="4965CEA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Δ 2024/2023</w:t>
            </w:r>
          </w:p>
        </w:tc>
        <w:tc>
          <w:tcPr>
            <w:tcW w:w="0" w:type="auto"/>
            <w:hideMark/>
          </w:tcPr>
          <w:p w14:paraId="61B5FED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Δ 2023/2022</w:t>
            </w:r>
          </w:p>
        </w:tc>
      </w:tr>
      <w:tr w:rsidR="00E14263" w:rsidRPr="007A6652" w14:paraId="3AB07716" w14:textId="77777777" w:rsidTr="003C63B5">
        <w:trPr>
          <w:trHeight w:val="273"/>
        </w:trPr>
        <w:tc>
          <w:tcPr>
            <w:tcW w:w="0" w:type="auto"/>
            <w:hideMark/>
          </w:tcPr>
          <w:p w14:paraId="19A9FB7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АКТИВЫ</w:t>
            </w:r>
          </w:p>
        </w:tc>
        <w:tc>
          <w:tcPr>
            <w:tcW w:w="0" w:type="auto"/>
            <w:hideMark/>
          </w:tcPr>
          <w:p w14:paraId="291FAFC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A873E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C73981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9DCFFE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6411AD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09C4BA26" w14:textId="77777777" w:rsidTr="003C63B5">
        <w:trPr>
          <w:trHeight w:val="273"/>
        </w:trPr>
        <w:tc>
          <w:tcPr>
            <w:tcW w:w="0" w:type="auto"/>
            <w:hideMark/>
          </w:tcPr>
          <w:p w14:paraId="1ED568E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Долгосрочные активы</w:t>
            </w:r>
          </w:p>
        </w:tc>
        <w:tc>
          <w:tcPr>
            <w:tcW w:w="0" w:type="auto"/>
            <w:hideMark/>
          </w:tcPr>
          <w:p w14:paraId="7C270F1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7A814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BF5DB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7BCB5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33B57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12237B9E" w14:textId="77777777" w:rsidTr="003C63B5">
        <w:trPr>
          <w:trHeight w:val="273"/>
        </w:trPr>
        <w:tc>
          <w:tcPr>
            <w:tcW w:w="0" w:type="auto"/>
            <w:hideMark/>
          </w:tcPr>
          <w:p w14:paraId="5B25EE4A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Основные средства</w:t>
            </w:r>
          </w:p>
        </w:tc>
        <w:tc>
          <w:tcPr>
            <w:tcW w:w="0" w:type="auto"/>
            <w:hideMark/>
          </w:tcPr>
          <w:p w14:paraId="5933665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8 945 620</w:t>
            </w:r>
          </w:p>
        </w:tc>
        <w:tc>
          <w:tcPr>
            <w:tcW w:w="0" w:type="auto"/>
            <w:hideMark/>
          </w:tcPr>
          <w:p w14:paraId="23EA398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8 112 430</w:t>
            </w:r>
          </w:p>
        </w:tc>
        <w:tc>
          <w:tcPr>
            <w:tcW w:w="0" w:type="auto"/>
            <w:hideMark/>
          </w:tcPr>
          <w:p w14:paraId="6BADB7A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7 384 270</w:t>
            </w:r>
          </w:p>
        </w:tc>
        <w:tc>
          <w:tcPr>
            <w:tcW w:w="0" w:type="auto"/>
            <w:hideMark/>
          </w:tcPr>
          <w:p w14:paraId="026C343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+833 190</w:t>
            </w:r>
          </w:p>
        </w:tc>
        <w:tc>
          <w:tcPr>
            <w:tcW w:w="0" w:type="auto"/>
            <w:hideMark/>
          </w:tcPr>
          <w:p w14:paraId="0C1B65F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+728 160</w:t>
            </w:r>
          </w:p>
        </w:tc>
      </w:tr>
      <w:tr w:rsidR="00E14263" w:rsidRPr="007A6652" w14:paraId="43391349" w14:textId="77777777" w:rsidTr="003C63B5">
        <w:trPr>
          <w:trHeight w:val="273"/>
        </w:trPr>
        <w:tc>
          <w:tcPr>
            <w:tcW w:w="0" w:type="auto"/>
            <w:hideMark/>
          </w:tcPr>
          <w:p w14:paraId="764A206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Активы в форме права пользования</w:t>
            </w:r>
          </w:p>
        </w:tc>
        <w:tc>
          <w:tcPr>
            <w:tcW w:w="0" w:type="auto"/>
            <w:hideMark/>
          </w:tcPr>
          <w:p w14:paraId="14CABD7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146 780</w:t>
            </w:r>
          </w:p>
        </w:tc>
        <w:tc>
          <w:tcPr>
            <w:tcW w:w="0" w:type="auto"/>
            <w:hideMark/>
          </w:tcPr>
          <w:p w14:paraId="40D45C5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139 420</w:t>
            </w:r>
          </w:p>
        </w:tc>
        <w:tc>
          <w:tcPr>
            <w:tcW w:w="0" w:type="auto"/>
            <w:hideMark/>
          </w:tcPr>
          <w:p w14:paraId="2DE87AE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126 300</w:t>
            </w:r>
          </w:p>
        </w:tc>
        <w:tc>
          <w:tcPr>
            <w:tcW w:w="0" w:type="auto"/>
            <w:hideMark/>
          </w:tcPr>
          <w:p w14:paraId="4AC0F52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+7 360</w:t>
            </w:r>
          </w:p>
        </w:tc>
        <w:tc>
          <w:tcPr>
            <w:tcW w:w="0" w:type="auto"/>
            <w:hideMark/>
          </w:tcPr>
          <w:p w14:paraId="678A645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+13 120</w:t>
            </w:r>
          </w:p>
        </w:tc>
      </w:tr>
      <w:tr w:rsidR="00E14263" w:rsidRPr="007A6652" w14:paraId="7DF47B61" w14:textId="77777777" w:rsidTr="003C63B5">
        <w:trPr>
          <w:trHeight w:val="273"/>
        </w:trPr>
        <w:tc>
          <w:tcPr>
            <w:tcW w:w="0" w:type="auto"/>
            <w:hideMark/>
          </w:tcPr>
          <w:p w14:paraId="7FA5A6A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Нематериальные активы (ПО, патенты, лицензии)</w:t>
            </w:r>
          </w:p>
        </w:tc>
        <w:tc>
          <w:tcPr>
            <w:tcW w:w="0" w:type="auto"/>
            <w:hideMark/>
          </w:tcPr>
          <w:p w14:paraId="10F6DA9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215 900</w:t>
            </w:r>
          </w:p>
        </w:tc>
        <w:tc>
          <w:tcPr>
            <w:tcW w:w="0" w:type="auto"/>
            <w:hideMark/>
          </w:tcPr>
          <w:p w14:paraId="692C93D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188 600</w:t>
            </w:r>
          </w:p>
        </w:tc>
        <w:tc>
          <w:tcPr>
            <w:tcW w:w="0" w:type="auto"/>
            <w:hideMark/>
          </w:tcPr>
          <w:p w14:paraId="6E2FA54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152 300</w:t>
            </w:r>
          </w:p>
        </w:tc>
        <w:tc>
          <w:tcPr>
            <w:tcW w:w="0" w:type="auto"/>
            <w:hideMark/>
          </w:tcPr>
          <w:p w14:paraId="34E43AE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+27 300</w:t>
            </w:r>
          </w:p>
        </w:tc>
        <w:tc>
          <w:tcPr>
            <w:tcW w:w="0" w:type="auto"/>
            <w:hideMark/>
          </w:tcPr>
          <w:p w14:paraId="32B5A7D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+36 300</w:t>
            </w:r>
          </w:p>
        </w:tc>
      </w:tr>
      <w:tr w:rsidR="00E14263" w:rsidRPr="007A6652" w14:paraId="2A249273" w14:textId="77777777" w:rsidTr="003C63B5">
        <w:trPr>
          <w:trHeight w:val="273"/>
        </w:trPr>
        <w:tc>
          <w:tcPr>
            <w:tcW w:w="0" w:type="auto"/>
            <w:hideMark/>
          </w:tcPr>
          <w:p w14:paraId="272E32B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Предоплата за оборудование и оснастку</w:t>
            </w:r>
          </w:p>
        </w:tc>
        <w:tc>
          <w:tcPr>
            <w:tcW w:w="0" w:type="auto"/>
            <w:hideMark/>
          </w:tcPr>
          <w:p w14:paraId="325DA2A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321 450</w:t>
            </w:r>
          </w:p>
        </w:tc>
        <w:tc>
          <w:tcPr>
            <w:tcW w:w="0" w:type="auto"/>
            <w:hideMark/>
          </w:tcPr>
          <w:p w14:paraId="4D34BAC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295 170</w:t>
            </w:r>
          </w:p>
        </w:tc>
        <w:tc>
          <w:tcPr>
            <w:tcW w:w="0" w:type="auto"/>
            <w:hideMark/>
          </w:tcPr>
          <w:p w14:paraId="7AEE384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274 650</w:t>
            </w:r>
          </w:p>
        </w:tc>
        <w:tc>
          <w:tcPr>
            <w:tcW w:w="0" w:type="auto"/>
            <w:hideMark/>
          </w:tcPr>
          <w:p w14:paraId="1FF23A1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+26 280</w:t>
            </w:r>
          </w:p>
        </w:tc>
        <w:tc>
          <w:tcPr>
            <w:tcW w:w="0" w:type="auto"/>
            <w:hideMark/>
          </w:tcPr>
          <w:p w14:paraId="2AAC2C1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+20 520</w:t>
            </w:r>
          </w:p>
        </w:tc>
      </w:tr>
      <w:tr w:rsidR="00E14263" w:rsidRPr="007A6652" w14:paraId="312C3E82" w14:textId="77777777" w:rsidTr="003C63B5">
        <w:trPr>
          <w:trHeight w:val="288"/>
        </w:trPr>
        <w:tc>
          <w:tcPr>
            <w:tcW w:w="0" w:type="auto"/>
            <w:hideMark/>
          </w:tcPr>
          <w:p w14:paraId="581317A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Прочие долгосрочные финансовые активы</w:t>
            </w:r>
          </w:p>
        </w:tc>
        <w:tc>
          <w:tcPr>
            <w:tcW w:w="0" w:type="auto"/>
            <w:hideMark/>
          </w:tcPr>
          <w:p w14:paraId="6F800FC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98 320</w:t>
            </w:r>
          </w:p>
        </w:tc>
        <w:tc>
          <w:tcPr>
            <w:tcW w:w="0" w:type="auto"/>
            <w:hideMark/>
          </w:tcPr>
          <w:p w14:paraId="1EEA2D8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85 900</w:t>
            </w:r>
          </w:p>
        </w:tc>
        <w:tc>
          <w:tcPr>
            <w:tcW w:w="0" w:type="auto"/>
            <w:hideMark/>
          </w:tcPr>
          <w:p w14:paraId="18E1144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77 200</w:t>
            </w:r>
          </w:p>
        </w:tc>
        <w:tc>
          <w:tcPr>
            <w:tcW w:w="0" w:type="auto"/>
            <w:hideMark/>
          </w:tcPr>
          <w:p w14:paraId="0DD36373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+12 420</w:t>
            </w:r>
          </w:p>
        </w:tc>
        <w:tc>
          <w:tcPr>
            <w:tcW w:w="0" w:type="auto"/>
            <w:hideMark/>
          </w:tcPr>
          <w:p w14:paraId="019AF81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+8 700</w:t>
            </w:r>
          </w:p>
        </w:tc>
      </w:tr>
      <w:tr w:rsidR="00E14263" w:rsidRPr="007A6652" w14:paraId="3C372935" w14:textId="77777777" w:rsidTr="003C63B5">
        <w:trPr>
          <w:trHeight w:val="273"/>
        </w:trPr>
        <w:tc>
          <w:tcPr>
            <w:tcW w:w="0" w:type="auto"/>
            <w:hideMark/>
          </w:tcPr>
          <w:p w14:paraId="0966C4E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долгосрочные активы</w:t>
            </w:r>
          </w:p>
        </w:tc>
        <w:tc>
          <w:tcPr>
            <w:tcW w:w="0" w:type="auto"/>
            <w:hideMark/>
          </w:tcPr>
          <w:p w14:paraId="469C1EA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9 728 070</w:t>
            </w:r>
          </w:p>
        </w:tc>
        <w:tc>
          <w:tcPr>
            <w:tcW w:w="0" w:type="auto"/>
            <w:hideMark/>
          </w:tcPr>
          <w:p w14:paraId="6E4FE6B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8 821 520</w:t>
            </w:r>
          </w:p>
        </w:tc>
        <w:tc>
          <w:tcPr>
            <w:tcW w:w="0" w:type="auto"/>
            <w:hideMark/>
          </w:tcPr>
          <w:p w14:paraId="0A538D2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8 014 720</w:t>
            </w:r>
          </w:p>
        </w:tc>
        <w:tc>
          <w:tcPr>
            <w:tcW w:w="0" w:type="auto"/>
            <w:hideMark/>
          </w:tcPr>
          <w:p w14:paraId="425B809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+906 550</w:t>
            </w:r>
          </w:p>
        </w:tc>
        <w:tc>
          <w:tcPr>
            <w:tcW w:w="0" w:type="auto"/>
            <w:hideMark/>
          </w:tcPr>
          <w:p w14:paraId="4B5FFB43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+806 800</w:t>
            </w:r>
          </w:p>
        </w:tc>
      </w:tr>
      <w:tr w:rsidR="00E14263" w:rsidRPr="007A6652" w14:paraId="726089A5" w14:textId="77777777" w:rsidTr="003C63B5">
        <w:trPr>
          <w:trHeight w:val="273"/>
        </w:trPr>
        <w:tc>
          <w:tcPr>
            <w:tcW w:w="0" w:type="auto"/>
            <w:hideMark/>
          </w:tcPr>
          <w:p w14:paraId="2B34B75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Краткосрочные активы</w:t>
            </w:r>
          </w:p>
        </w:tc>
        <w:tc>
          <w:tcPr>
            <w:tcW w:w="0" w:type="auto"/>
            <w:hideMark/>
          </w:tcPr>
          <w:p w14:paraId="206B2DD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CAA71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79CFB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23551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83F52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23BCFA33" w14:textId="77777777" w:rsidTr="003C63B5">
        <w:trPr>
          <w:trHeight w:val="273"/>
        </w:trPr>
        <w:tc>
          <w:tcPr>
            <w:tcW w:w="0" w:type="auto"/>
            <w:hideMark/>
          </w:tcPr>
          <w:p w14:paraId="7C8D6CC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Товарно-материальные запасы</w:t>
            </w:r>
          </w:p>
        </w:tc>
        <w:tc>
          <w:tcPr>
            <w:tcW w:w="0" w:type="auto"/>
            <w:hideMark/>
          </w:tcPr>
          <w:p w14:paraId="58933FF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2 548 900</w:t>
            </w:r>
          </w:p>
        </w:tc>
        <w:tc>
          <w:tcPr>
            <w:tcW w:w="0" w:type="auto"/>
            <w:hideMark/>
          </w:tcPr>
          <w:p w14:paraId="24091A8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2 312 760</w:t>
            </w:r>
          </w:p>
        </w:tc>
        <w:tc>
          <w:tcPr>
            <w:tcW w:w="0" w:type="auto"/>
            <w:hideMark/>
          </w:tcPr>
          <w:p w14:paraId="0C4B914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2 098 330</w:t>
            </w:r>
          </w:p>
        </w:tc>
        <w:tc>
          <w:tcPr>
            <w:tcW w:w="0" w:type="auto"/>
            <w:hideMark/>
          </w:tcPr>
          <w:p w14:paraId="4A11EBC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+236 140</w:t>
            </w:r>
          </w:p>
        </w:tc>
        <w:tc>
          <w:tcPr>
            <w:tcW w:w="0" w:type="auto"/>
            <w:hideMark/>
          </w:tcPr>
          <w:p w14:paraId="2C8FCD1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+214 430</w:t>
            </w:r>
          </w:p>
        </w:tc>
      </w:tr>
      <w:tr w:rsidR="00E14263" w:rsidRPr="007A6652" w14:paraId="05B77764" w14:textId="77777777" w:rsidTr="003C63B5">
        <w:trPr>
          <w:trHeight w:val="273"/>
        </w:trPr>
        <w:tc>
          <w:tcPr>
            <w:tcW w:w="0" w:type="auto"/>
            <w:hideMark/>
          </w:tcPr>
          <w:p w14:paraId="23D74B8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0" w:type="auto"/>
            <w:hideMark/>
          </w:tcPr>
          <w:p w14:paraId="1578203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912 440</w:t>
            </w:r>
          </w:p>
        </w:tc>
        <w:tc>
          <w:tcPr>
            <w:tcW w:w="0" w:type="auto"/>
            <w:hideMark/>
          </w:tcPr>
          <w:p w14:paraId="3C7929C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863 970</w:t>
            </w:r>
          </w:p>
        </w:tc>
        <w:tc>
          <w:tcPr>
            <w:tcW w:w="0" w:type="auto"/>
            <w:hideMark/>
          </w:tcPr>
          <w:p w14:paraId="0F44E04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787 100</w:t>
            </w:r>
          </w:p>
        </w:tc>
        <w:tc>
          <w:tcPr>
            <w:tcW w:w="0" w:type="auto"/>
            <w:hideMark/>
          </w:tcPr>
          <w:p w14:paraId="605C0E7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+48 470</w:t>
            </w:r>
          </w:p>
        </w:tc>
        <w:tc>
          <w:tcPr>
            <w:tcW w:w="0" w:type="auto"/>
            <w:hideMark/>
          </w:tcPr>
          <w:p w14:paraId="46A3671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+76 870</w:t>
            </w:r>
          </w:p>
        </w:tc>
      </w:tr>
      <w:tr w:rsidR="00E14263" w:rsidRPr="007A6652" w14:paraId="63853E6A" w14:textId="77777777" w:rsidTr="003C63B5">
        <w:trPr>
          <w:trHeight w:val="273"/>
        </w:trPr>
        <w:tc>
          <w:tcPr>
            <w:tcW w:w="0" w:type="auto"/>
            <w:hideMark/>
          </w:tcPr>
          <w:p w14:paraId="6A6BDF1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Прочие краткосрочные активы</w:t>
            </w:r>
          </w:p>
        </w:tc>
        <w:tc>
          <w:tcPr>
            <w:tcW w:w="0" w:type="auto"/>
            <w:hideMark/>
          </w:tcPr>
          <w:p w14:paraId="475B46A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267 380</w:t>
            </w:r>
          </w:p>
        </w:tc>
        <w:tc>
          <w:tcPr>
            <w:tcW w:w="0" w:type="auto"/>
            <w:hideMark/>
          </w:tcPr>
          <w:p w14:paraId="13B377A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253 120</w:t>
            </w:r>
          </w:p>
        </w:tc>
        <w:tc>
          <w:tcPr>
            <w:tcW w:w="0" w:type="auto"/>
            <w:hideMark/>
          </w:tcPr>
          <w:p w14:paraId="6702E1F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248 200</w:t>
            </w:r>
          </w:p>
        </w:tc>
        <w:tc>
          <w:tcPr>
            <w:tcW w:w="0" w:type="auto"/>
            <w:hideMark/>
          </w:tcPr>
          <w:p w14:paraId="74A4A55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+14 260</w:t>
            </w:r>
          </w:p>
        </w:tc>
        <w:tc>
          <w:tcPr>
            <w:tcW w:w="0" w:type="auto"/>
            <w:hideMark/>
          </w:tcPr>
          <w:p w14:paraId="6B66D84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+4 920</w:t>
            </w:r>
          </w:p>
        </w:tc>
      </w:tr>
      <w:tr w:rsidR="00E14263" w:rsidRPr="007A6652" w14:paraId="7B6A5DC5" w14:textId="77777777" w:rsidTr="003C63B5">
        <w:trPr>
          <w:trHeight w:val="273"/>
        </w:trPr>
        <w:tc>
          <w:tcPr>
            <w:tcW w:w="0" w:type="auto"/>
            <w:hideMark/>
          </w:tcPr>
          <w:p w14:paraId="09B8621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Денежные средства и их эквиваленты</w:t>
            </w:r>
          </w:p>
        </w:tc>
        <w:tc>
          <w:tcPr>
            <w:tcW w:w="0" w:type="auto"/>
            <w:hideMark/>
          </w:tcPr>
          <w:p w14:paraId="0198EB2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3 146 770</w:t>
            </w:r>
          </w:p>
        </w:tc>
        <w:tc>
          <w:tcPr>
            <w:tcW w:w="0" w:type="auto"/>
            <w:hideMark/>
          </w:tcPr>
          <w:p w14:paraId="6282BB6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2 701 550</w:t>
            </w:r>
          </w:p>
        </w:tc>
        <w:tc>
          <w:tcPr>
            <w:tcW w:w="0" w:type="auto"/>
            <w:hideMark/>
          </w:tcPr>
          <w:p w14:paraId="4C5BE55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2 137 880</w:t>
            </w:r>
          </w:p>
        </w:tc>
        <w:tc>
          <w:tcPr>
            <w:tcW w:w="0" w:type="auto"/>
            <w:hideMark/>
          </w:tcPr>
          <w:p w14:paraId="7C79084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+445 220</w:t>
            </w:r>
          </w:p>
        </w:tc>
        <w:tc>
          <w:tcPr>
            <w:tcW w:w="0" w:type="auto"/>
            <w:hideMark/>
          </w:tcPr>
          <w:p w14:paraId="4A3F59F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+563 670</w:t>
            </w:r>
          </w:p>
        </w:tc>
      </w:tr>
      <w:tr w:rsidR="00E14263" w:rsidRPr="007A6652" w14:paraId="0282F37A" w14:textId="77777777" w:rsidTr="003C63B5">
        <w:trPr>
          <w:trHeight w:val="273"/>
        </w:trPr>
        <w:tc>
          <w:tcPr>
            <w:tcW w:w="0" w:type="auto"/>
            <w:hideMark/>
          </w:tcPr>
          <w:p w14:paraId="3A9C4BF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краткосрочные активы</w:t>
            </w:r>
          </w:p>
        </w:tc>
        <w:tc>
          <w:tcPr>
            <w:tcW w:w="0" w:type="auto"/>
            <w:hideMark/>
          </w:tcPr>
          <w:p w14:paraId="191C522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6 875 490</w:t>
            </w:r>
          </w:p>
        </w:tc>
        <w:tc>
          <w:tcPr>
            <w:tcW w:w="0" w:type="auto"/>
            <w:hideMark/>
          </w:tcPr>
          <w:p w14:paraId="6E89485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6 131 400</w:t>
            </w:r>
          </w:p>
        </w:tc>
        <w:tc>
          <w:tcPr>
            <w:tcW w:w="0" w:type="auto"/>
            <w:hideMark/>
          </w:tcPr>
          <w:p w14:paraId="23A8E9B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5 271 510</w:t>
            </w:r>
          </w:p>
        </w:tc>
        <w:tc>
          <w:tcPr>
            <w:tcW w:w="0" w:type="auto"/>
            <w:hideMark/>
          </w:tcPr>
          <w:p w14:paraId="221B605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+744 090</w:t>
            </w:r>
          </w:p>
        </w:tc>
        <w:tc>
          <w:tcPr>
            <w:tcW w:w="0" w:type="auto"/>
            <w:hideMark/>
          </w:tcPr>
          <w:p w14:paraId="0F4C707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+859 890</w:t>
            </w:r>
          </w:p>
        </w:tc>
      </w:tr>
      <w:tr w:rsidR="00E14263" w:rsidRPr="007A6652" w14:paraId="531CD9AD" w14:textId="77777777" w:rsidTr="003C63B5">
        <w:trPr>
          <w:trHeight w:val="273"/>
        </w:trPr>
        <w:tc>
          <w:tcPr>
            <w:tcW w:w="0" w:type="auto"/>
            <w:hideMark/>
          </w:tcPr>
          <w:p w14:paraId="74C340E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АКТИВЫ</w:t>
            </w:r>
          </w:p>
        </w:tc>
        <w:tc>
          <w:tcPr>
            <w:tcW w:w="0" w:type="auto"/>
            <w:hideMark/>
          </w:tcPr>
          <w:p w14:paraId="019E810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16 603 560</w:t>
            </w:r>
          </w:p>
        </w:tc>
        <w:tc>
          <w:tcPr>
            <w:tcW w:w="0" w:type="auto"/>
            <w:hideMark/>
          </w:tcPr>
          <w:p w14:paraId="38C85AC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14 952 920</w:t>
            </w:r>
          </w:p>
        </w:tc>
        <w:tc>
          <w:tcPr>
            <w:tcW w:w="0" w:type="auto"/>
            <w:hideMark/>
          </w:tcPr>
          <w:p w14:paraId="794F8CC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13 286 230</w:t>
            </w:r>
          </w:p>
        </w:tc>
        <w:tc>
          <w:tcPr>
            <w:tcW w:w="0" w:type="auto"/>
            <w:hideMark/>
          </w:tcPr>
          <w:p w14:paraId="7BD9EAEA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+1 650 640</w:t>
            </w:r>
          </w:p>
        </w:tc>
        <w:tc>
          <w:tcPr>
            <w:tcW w:w="0" w:type="auto"/>
            <w:hideMark/>
          </w:tcPr>
          <w:p w14:paraId="72160DD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+1 666 690</w:t>
            </w:r>
          </w:p>
        </w:tc>
      </w:tr>
      <w:tr w:rsidR="00E14263" w:rsidRPr="007A6652" w14:paraId="71EC352B" w14:textId="77777777" w:rsidTr="003C63B5">
        <w:tc>
          <w:tcPr>
            <w:tcW w:w="0" w:type="auto"/>
            <w:hideMark/>
          </w:tcPr>
          <w:p w14:paraId="14D7981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F286D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2ADF4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C5BC4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3D5D7A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DBFCB6E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3627F711" w14:textId="77777777" w:rsidTr="003C63B5">
        <w:trPr>
          <w:trHeight w:val="273"/>
        </w:trPr>
        <w:tc>
          <w:tcPr>
            <w:tcW w:w="0" w:type="auto"/>
            <w:hideMark/>
          </w:tcPr>
          <w:p w14:paraId="0DC0965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КАПИТАЛ И ОБЯЗАТЕЛЬСТВА</w:t>
            </w:r>
          </w:p>
        </w:tc>
        <w:tc>
          <w:tcPr>
            <w:tcW w:w="0" w:type="auto"/>
            <w:hideMark/>
          </w:tcPr>
          <w:p w14:paraId="3054CB8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0116CF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78DEE8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B05D1F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53FD4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4C4CA020" w14:textId="77777777" w:rsidTr="003C63B5">
        <w:trPr>
          <w:trHeight w:val="273"/>
        </w:trPr>
        <w:tc>
          <w:tcPr>
            <w:tcW w:w="0" w:type="auto"/>
            <w:hideMark/>
          </w:tcPr>
          <w:p w14:paraId="363E071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Уставный капитал</w:t>
            </w:r>
          </w:p>
        </w:tc>
        <w:tc>
          <w:tcPr>
            <w:tcW w:w="0" w:type="auto"/>
            <w:hideMark/>
          </w:tcPr>
          <w:p w14:paraId="04A2D4E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10 000 000</w:t>
            </w:r>
          </w:p>
        </w:tc>
        <w:tc>
          <w:tcPr>
            <w:tcW w:w="0" w:type="auto"/>
            <w:hideMark/>
          </w:tcPr>
          <w:p w14:paraId="75CD4ED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10 000 000</w:t>
            </w:r>
          </w:p>
        </w:tc>
        <w:tc>
          <w:tcPr>
            <w:tcW w:w="0" w:type="auto"/>
            <w:hideMark/>
          </w:tcPr>
          <w:p w14:paraId="60569A8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10 000 000</w:t>
            </w:r>
          </w:p>
        </w:tc>
        <w:tc>
          <w:tcPr>
            <w:tcW w:w="0" w:type="auto"/>
            <w:hideMark/>
          </w:tcPr>
          <w:p w14:paraId="7572C97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FA6C7D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0</w:t>
            </w:r>
          </w:p>
        </w:tc>
      </w:tr>
      <w:tr w:rsidR="00E14263" w:rsidRPr="007A6652" w14:paraId="54A94509" w14:textId="77777777" w:rsidTr="003C63B5">
        <w:trPr>
          <w:trHeight w:val="273"/>
        </w:trPr>
        <w:tc>
          <w:tcPr>
            <w:tcW w:w="0" w:type="auto"/>
            <w:hideMark/>
          </w:tcPr>
          <w:p w14:paraId="32A7C77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Накопленная прибыль (непокрытая)</w:t>
            </w:r>
          </w:p>
        </w:tc>
        <w:tc>
          <w:tcPr>
            <w:tcW w:w="0" w:type="auto"/>
            <w:hideMark/>
          </w:tcPr>
          <w:p w14:paraId="699CD46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2 178 650</w:t>
            </w:r>
          </w:p>
        </w:tc>
        <w:tc>
          <w:tcPr>
            <w:tcW w:w="0" w:type="auto"/>
            <w:hideMark/>
          </w:tcPr>
          <w:p w14:paraId="408D9D5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1 662 840</w:t>
            </w:r>
          </w:p>
        </w:tc>
        <w:tc>
          <w:tcPr>
            <w:tcW w:w="0" w:type="auto"/>
            <w:hideMark/>
          </w:tcPr>
          <w:p w14:paraId="13DA846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1 013 620</w:t>
            </w:r>
          </w:p>
        </w:tc>
        <w:tc>
          <w:tcPr>
            <w:tcW w:w="0" w:type="auto"/>
            <w:hideMark/>
          </w:tcPr>
          <w:p w14:paraId="41161CD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+515 810</w:t>
            </w:r>
          </w:p>
        </w:tc>
        <w:tc>
          <w:tcPr>
            <w:tcW w:w="0" w:type="auto"/>
            <w:hideMark/>
          </w:tcPr>
          <w:p w14:paraId="085C36A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+649 220</w:t>
            </w:r>
          </w:p>
        </w:tc>
      </w:tr>
      <w:tr w:rsidR="00E14263" w:rsidRPr="007A6652" w14:paraId="597892FD" w14:textId="77777777" w:rsidTr="003C63B5">
        <w:trPr>
          <w:trHeight w:val="273"/>
        </w:trPr>
        <w:tc>
          <w:tcPr>
            <w:tcW w:w="0" w:type="auto"/>
            <w:hideMark/>
          </w:tcPr>
          <w:p w14:paraId="7CCA5617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капитал</w:t>
            </w:r>
          </w:p>
        </w:tc>
        <w:tc>
          <w:tcPr>
            <w:tcW w:w="0" w:type="auto"/>
            <w:hideMark/>
          </w:tcPr>
          <w:p w14:paraId="795598C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12 178 650</w:t>
            </w:r>
          </w:p>
        </w:tc>
        <w:tc>
          <w:tcPr>
            <w:tcW w:w="0" w:type="auto"/>
            <w:hideMark/>
          </w:tcPr>
          <w:p w14:paraId="63D3F8C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11 662 840</w:t>
            </w:r>
          </w:p>
        </w:tc>
        <w:tc>
          <w:tcPr>
            <w:tcW w:w="0" w:type="auto"/>
            <w:hideMark/>
          </w:tcPr>
          <w:p w14:paraId="55FB60A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11 013 620</w:t>
            </w:r>
          </w:p>
        </w:tc>
        <w:tc>
          <w:tcPr>
            <w:tcW w:w="0" w:type="auto"/>
            <w:hideMark/>
          </w:tcPr>
          <w:p w14:paraId="27B6C9C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+515 810</w:t>
            </w:r>
          </w:p>
        </w:tc>
        <w:tc>
          <w:tcPr>
            <w:tcW w:w="0" w:type="auto"/>
            <w:hideMark/>
          </w:tcPr>
          <w:p w14:paraId="2A6756C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+649 220</w:t>
            </w:r>
          </w:p>
        </w:tc>
      </w:tr>
      <w:tr w:rsidR="00E14263" w:rsidRPr="007A6652" w14:paraId="786978DF" w14:textId="77777777" w:rsidTr="003C63B5">
        <w:trPr>
          <w:trHeight w:val="273"/>
        </w:trPr>
        <w:tc>
          <w:tcPr>
            <w:tcW w:w="0" w:type="auto"/>
            <w:hideMark/>
          </w:tcPr>
          <w:p w14:paraId="01ABE26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0" w:type="auto"/>
            <w:hideMark/>
          </w:tcPr>
          <w:p w14:paraId="3A1A6CB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CA027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ACCCF5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3A329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B38E5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3FBC3A8C" w14:textId="77777777" w:rsidTr="003C63B5">
        <w:trPr>
          <w:trHeight w:val="273"/>
        </w:trPr>
        <w:tc>
          <w:tcPr>
            <w:tcW w:w="0" w:type="auto"/>
            <w:hideMark/>
          </w:tcPr>
          <w:p w14:paraId="014F033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Кредиты и финансовая аренда</w:t>
            </w:r>
          </w:p>
        </w:tc>
        <w:tc>
          <w:tcPr>
            <w:tcW w:w="0" w:type="auto"/>
            <w:hideMark/>
          </w:tcPr>
          <w:p w14:paraId="4F3B26BA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1 274 510</w:t>
            </w:r>
          </w:p>
        </w:tc>
        <w:tc>
          <w:tcPr>
            <w:tcW w:w="0" w:type="auto"/>
            <w:hideMark/>
          </w:tcPr>
          <w:p w14:paraId="2B498DEE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1 135 890</w:t>
            </w:r>
          </w:p>
        </w:tc>
        <w:tc>
          <w:tcPr>
            <w:tcW w:w="0" w:type="auto"/>
            <w:hideMark/>
          </w:tcPr>
          <w:p w14:paraId="3FD6B90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1 027 330</w:t>
            </w:r>
          </w:p>
        </w:tc>
        <w:tc>
          <w:tcPr>
            <w:tcW w:w="0" w:type="auto"/>
            <w:hideMark/>
          </w:tcPr>
          <w:p w14:paraId="2B852C0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+138 620</w:t>
            </w:r>
          </w:p>
        </w:tc>
        <w:tc>
          <w:tcPr>
            <w:tcW w:w="0" w:type="auto"/>
            <w:hideMark/>
          </w:tcPr>
          <w:p w14:paraId="2EF6739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+108 560</w:t>
            </w:r>
          </w:p>
        </w:tc>
      </w:tr>
      <w:tr w:rsidR="00E14263" w:rsidRPr="007A6652" w14:paraId="17B03525" w14:textId="77777777" w:rsidTr="003C63B5">
        <w:trPr>
          <w:trHeight w:val="273"/>
        </w:trPr>
        <w:tc>
          <w:tcPr>
            <w:tcW w:w="0" w:type="auto"/>
            <w:hideMark/>
          </w:tcPr>
          <w:p w14:paraId="331EE18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Отложенные доходы и субсидии (</w:t>
            </w:r>
            <w:proofErr w:type="spellStart"/>
            <w:r w:rsidRPr="007A6652">
              <w:rPr>
                <w:sz w:val="24"/>
                <w:szCs w:val="24"/>
              </w:rPr>
              <w:t>инновац</w:t>
            </w:r>
            <w:proofErr w:type="spellEnd"/>
            <w:r w:rsidRPr="007A6652">
              <w:rPr>
                <w:sz w:val="24"/>
                <w:szCs w:val="24"/>
              </w:rPr>
              <w:t>. госпрограммы)</w:t>
            </w:r>
          </w:p>
        </w:tc>
        <w:tc>
          <w:tcPr>
            <w:tcW w:w="0" w:type="auto"/>
            <w:hideMark/>
          </w:tcPr>
          <w:p w14:paraId="42BEDB9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214 880</w:t>
            </w:r>
          </w:p>
        </w:tc>
        <w:tc>
          <w:tcPr>
            <w:tcW w:w="0" w:type="auto"/>
            <w:hideMark/>
          </w:tcPr>
          <w:p w14:paraId="2EFC4BF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188 670</w:t>
            </w:r>
          </w:p>
        </w:tc>
        <w:tc>
          <w:tcPr>
            <w:tcW w:w="0" w:type="auto"/>
            <w:hideMark/>
          </w:tcPr>
          <w:p w14:paraId="1FFAF71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156 420</w:t>
            </w:r>
          </w:p>
        </w:tc>
        <w:tc>
          <w:tcPr>
            <w:tcW w:w="0" w:type="auto"/>
            <w:hideMark/>
          </w:tcPr>
          <w:p w14:paraId="79E69F5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+26 210</w:t>
            </w:r>
          </w:p>
        </w:tc>
        <w:tc>
          <w:tcPr>
            <w:tcW w:w="0" w:type="auto"/>
            <w:hideMark/>
          </w:tcPr>
          <w:p w14:paraId="1F7CF42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+32 250</w:t>
            </w:r>
          </w:p>
        </w:tc>
      </w:tr>
      <w:tr w:rsidR="00E14263" w:rsidRPr="007A6652" w14:paraId="66366E92" w14:textId="77777777" w:rsidTr="003C63B5">
        <w:trPr>
          <w:trHeight w:val="273"/>
        </w:trPr>
        <w:tc>
          <w:tcPr>
            <w:tcW w:w="0" w:type="auto"/>
            <w:hideMark/>
          </w:tcPr>
          <w:p w14:paraId="5DF39B4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долгосрочные обязательства</w:t>
            </w:r>
          </w:p>
        </w:tc>
        <w:tc>
          <w:tcPr>
            <w:tcW w:w="0" w:type="auto"/>
            <w:hideMark/>
          </w:tcPr>
          <w:p w14:paraId="65985CD6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1 489 390</w:t>
            </w:r>
          </w:p>
        </w:tc>
        <w:tc>
          <w:tcPr>
            <w:tcW w:w="0" w:type="auto"/>
            <w:hideMark/>
          </w:tcPr>
          <w:p w14:paraId="212E757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1 324 560</w:t>
            </w:r>
          </w:p>
        </w:tc>
        <w:tc>
          <w:tcPr>
            <w:tcW w:w="0" w:type="auto"/>
            <w:hideMark/>
          </w:tcPr>
          <w:p w14:paraId="0E5DAD3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1 183 750</w:t>
            </w:r>
          </w:p>
        </w:tc>
        <w:tc>
          <w:tcPr>
            <w:tcW w:w="0" w:type="auto"/>
            <w:hideMark/>
          </w:tcPr>
          <w:p w14:paraId="3ACA5C3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+164 830</w:t>
            </w:r>
          </w:p>
        </w:tc>
        <w:tc>
          <w:tcPr>
            <w:tcW w:w="0" w:type="auto"/>
            <w:hideMark/>
          </w:tcPr>
          <w:p w14:paraId="00415A6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+140 810</w:t>
            </w:r>
          </w:p>
        </w:tc>
      </w:tr>
      <w:tr w:rsidR="00E14263" w:rsidRPr="007A6652" w14:paraId="23D5E684" w14:textId="77777777" w:rsidTr="003C63B5">
        <w:trPr>
          <w:trHeight w:val="273"/>
        </w:trPr>
        <w:tc>
          <w:tcPr>
            <w:tcW w:w="0" w:type="auto"/>
            <w:hideMark/>
          </w:tcPr>
          <w:p w14:paraId="513CBD9E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Краткосрочные обязательства</w:t>
            </w:r>
          </w:p>
        </w:tc>
        <w:tc>
          <w:tcPr>
            <w:tcW w:w="0" w:type="auto"/>
            <w:hideMark/>
          </w:tcPr>
          <w:p w14:paraId="224331D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DAC31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7C257A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B6690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AE8E64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7A6652" w14:paraId="62A0A483" w14:textId="77777777" w:rsidTr="003C63B5">
        <w:trPr>
          <w:trHeight w:val="273"/>
        </w:trPr>
        <w:tc>
          <w:tcPr>
            <w:tcW w:w="0" w:type="auto"/>
            <w:hideMark/>
          </w:tcPr>
          <w:p w14:paraId="5FF9117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0" w:type="auto"/>
            <w:hideMark/>
          </w:tcPr>
          <w:p w14:paraId="711F24C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1 845 520</w:t>
            </w:r>
          </w:p>
        </w:tc>
        <w:tc>
          <w:tcPr>
            <w:tcW w:w="0" w:type="auto"/>
            <w:hideMark/>
          </w:tcPr>
          <w:p w14:paraId="52D36C8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1 583 640</w:t>
            </w:r>
          </w:p>
        </w:tc>
        <w:tc>
          <w:tcPr>
            <w:tcW w:w="0" w:type="auto"/>
            <w:hideMark/>
          </w:tcPr>
          <w:p w14:paraId="13F7E073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1 337 480</w:t>
            </w:r>
          </w:p>
        </w:tc>
        <w:tc>
          <w:tcPr>
            <w:tcW w:w="0" w:type="auto"/>
            <w:hideMark/>
          </w:tcPr>
          <w:p w14:paraId="276A47F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+261 880</w:t>
            </w:r>
          </w:p>
        </w:tc>
        <w:tc>
          <w:tcPr>
            <w:tcW w:w="0" w:type="auto"/>
            <w:hideMark/>
          </w:tcPr>
          <w:p w14:paraId="33586ED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+246 160</w:t>
            </w:r>
          </w:p>
        </w:tc>
      </w:tr>
      <w:tr w:rsidR="00E14263" w:rsidRPr="007A6652" w14:paraId="47582573" w14:textId="77777777" w:rsidTr="003C63B5">
        <w:trPr>
          <w:trHeight w:val="273"/>
        </w:trPr>
        <w:tc>
          <w:tcPr>
            <w:tcW w:w="0" w:type="auto"/>
            <w:hideMark/>
          </w:tcPr>
          <w:p w14:paraId="47D42C3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Прочие обязательства</w:t>
            </w:r>
          </w:p>
        </w:tc>
        <w:tc>
          <w:tcPr>
            <w:tcW w:w="0" w:type="auto"/>
            <w:hideMark/>
          </w:tcPr>
          <w:p w14:paraId="31B08EF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1 090 000</w:t>
            </w:r>
          </w:p>
        </w:tc>
        <w:tc>
          <w:tcPr>
            <w:tcW w:w="0" w:type="auto"/>
            <w:hideMark/>
          </w:tcPr>
          <w:p w14:paraId="5D69B64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917 880</w:t>
            </w:r>
          </w:p>
        </w:tc>
        <w:tc>
          <w:tcPr>
            <w:tcW w:w="0" w:type="auto"/>
            <w:hideMark/>
          </w:tcPr>
          <w:p w14:paraId="3B81C69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751 380</w:t>
            </w:r>
          </w:p>
        </w:tc>
        <w:tc>
          <w:tcPr>
            <w:tcW w:w="0" w:type="auto"/>
            <w:hideMark/>
          </w:tcPr>
          <w:p w14:paraId="7CAD373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+172 120</w:t>
            </w:r>
          </w:p>
        </w:tc>
        <w:tc>
          <w:tcPr>
            <w:tcW w:w="0" w:type="auto"/>
            <w:hideMark/>
          </w:tcPr>
          <w:p w14:paraId="1C2B61E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+166 500</w:t>
            </w:r>
          </w:p>
        </w:tc>
      </w:tr>
      <w:tr w:rsidR="00E14263" w:rsidRPr="007A6652" w14:paraId="3401CBAB" w14:textId="77777777" w:rsidTr="003C63B5">
        <w:trPr>
          <w:trHeight w:val="273"/>
        </w:trPr>
        <w:tc>
          <w:tcPr>
            <w:tcW w:w="0" w:type="auto"/>
            <w:hideMark/>
          </w:tcPr>
          <w:p w14:paraId="1BA185A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0" w:type="auto"/>
            <w:hideMark/>
          </w:tcPr>
          <w:p w14:paraId="1E90CEC1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2 935 520</w:t>
            </w:r>
          </w:p>
        </w:tc>
        <w:tc>
          <w:tcPr>
            <w:tcW w:w="0" w:type="auto"/>
            <w:hideMark/>
          </w:tcPr>
          <w:p w14:paraId="3458845A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2 501 520</w:t>
            </w:r>
          </w:p>
        </w:tc>
        <w:tc>
          <w:tcPr>
            <w:tcW w:w="0" w:type="auto"/>
            <w:hideMark/>
          </w:tcPr>
          <w:p w14:paraId="42DA3A0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2 088 860</w:t>
            </w:r>
          </w:p>
        </w:tc>
        <w:tc>
          <w:tcPr>
            <w:tcW w:w="0" w:type="auto"/>
            <w:hideMark/>
          </w:tcPr>
          <w:p w14:paraId="48F1D7E5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+434 000</w:t>
            </w:r>
          </w:p>
        </w:tc>
        <w:tc>
          <w:tcPr>
            <w:tcW w:w="0" w:type="auto"/>
            <w:hideMark/>
          </w:tcPr>
          <w:p w14:paraId="00F43780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+412 660</w:t>
            </w:r>
          </w:p>
        </w:tc>
      </w:tr>
      <w:tr w:rsidR="00E14263" w:rsidRPr="007A6652" w14:paraId="63241D21" w14:textId="77777777" w:rsidTr="003C63B5">
        <w:trPr>
          <w:trHeight w:val="288"/>
        </w:trPr>
        <w:tc>
          <w:tcPr>
            <w:tcW w:w="0" w:type="auto"/>
            <w:hideMark/>
          </w:tcPr>
          <w:p w14:paraId="43EF325E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ОБЯЗАТЕЛЬСТВА</w:t>
            </w:r>
          </w:p>
        </w:tc>
        <w:tc>
          <w:tcPr>
            <w:tcW w:w="0" w:type="auto"/>
            <w:hideMark/>
          </w:tcPr>
          <w:p w14:paraId="4A6C1DE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4 424 910</w:t>
            </w:r>
          </w:p>
        </w:tc>
        <w:tc>
          <w:tcPr>
            <w:tcW w:w="0" w:type="auto"/>
            <w:hideMark/>
          </w:tcPr>
          <w:p w14:paraId="30C4B9C2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3 826 080</w:t>
            </w:r>
          </w:p>
        </w:tc>
        <w:tc>
          <w:tcPr>
            <w:tcW w:w="0" w:type="auto"/>
            <w:hideMark/>
          </w:tcPr>
          <w:p w14:paraId="061704D9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3 272 610</w:t>
            </w:r>
          </w:p>
        </w:tc>
        <w:tc>
          <w:tcPr>
            <w:tcW w:w="0" w:type="auto"/>
            <w:hideMark/>
          </w:tcPr>
          <w:p w14:paraId="3C21A33E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+598 830</w:t>
            </w:r>
          </w:p>
        </w:tc>
        <w:tc>
          <w:tcPr>
            <w:tcW w:w="0" w:type="auto"/>
            <w:hideMark/>
          </w:tcPr>
          <w:p w14:paraId="71805404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+553 470</w:t>
            </w:r>
          </w:p>
        </w:tc>
      </w:tr>
      <w:tr w:rsidR="00E14263" w:rsidRPr="007A6652" w14:paraId="5CE16876" w14:textId="77777777" w:rsidTr="003C63B5">
        <w:trPr>
          <w:trHeight w:val="273"/>
        </w:trPr>
        <w:tc>
          <w:tcPr>
            <w:tcW w:w="0" w:type="auto"/>
            <w:hideMark/>
          </w:tcPr>
          <w:p w14:paraId="7B7E689B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ИТОГО КАПИТАЛ И ОБЯЗАТЕЛЬСТВА</w:t>
            </w:r>
          </w:p>
        </w:tc>
        <w:tc>
          <w:tcPr>
            <w:tcW w:w="0" w:type="auto"/>
            <w:hideMark/>
          </w:tcPr>
          <w:p w14:paraId="3B7FF88C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16 603 560</w:t>
            </w:r>
          </w:p>
        </w:tc>
        <w:tc>
          <w:tcPr>
            <w:tcW w:w="0" w:type="auto"/>
            <w:hideMark/>
          </w:tcPr>
          <w:p w14:paraId="376EDE9D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14 952 920</w:t>
            </w:r>
          </w:p>
        </w:tc>
        <w:tc>
          <w:tcPr>
            <w:tcW w:w="0" w:type="auto"/>
            <w:hideMark/>
          </w:tcPr>
          <w:p w14:paraId="335EF903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13 286 230</w:t>
            </w:r>
          </w:p>
        </w:tc>
        <w:tc>
          <w:tcPr>
            <w:tcW w:w="0" w:type="auto"/>
            <w:hideMark/>
          </w:tcPr>
          <w:p w14:paraId="5D83C8F8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+1 650 640</w:t>
            </w:r>
          </w:p>
        </w:tc>
        <w:tc>
          <w:tcPr>
            <w:tcW w:w="0" w:type="auto"/>
            <w:hideMark/>
          </w:tcPr>
          <w:p w14:paraId="23C1CCFA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t>+1 666 690</w:t>
            </w:r>
          </w:p>
        </w:tc>
      </w:tr>
      <w:tr w:rsidR="00E14263" w:rsidRPr="007A6652" w14:paraId="6FBB78AF" w14:textId="77777777" w:rsidTr="003C63B5">
        <w:trPr>
          <w:trHeight w:val="258"/>
        </w:trPr>
        <w:tc>
          <w:tcPr>
            <w:tcW w:w="0" w:type="auto"/>
            <w:gridSpan w:val="6"/>
          </w:tcPr>
          <w:p w14:paraId="4E71684F" w14:textId="77777777" w:rsidR="00E14263" w:rsidRPr="007A6652" w:rsidRDefault="00E14263" w:rsidP="003C63B5">
            <w:pPr>
              <w:jc w:val="both"/>
              <w:rPr>
                <w:sz w:val="24"/>
                <w:szCs w:val="24"/>
              </w:rPr>
            </w:pPr>
            <w:r w:rsidRPr="007A6652">
              <w:rPr>
                <w:sz w:val="24"/>
                <w:szCs w:val="24"/>
              </w:rPr>
              <w:lastRenderedPageBreak/>
              <w:t>Примечание: составлено автором на основ</w:t>
            </w:r>
            <w:proofErr w:type="spellStart"/>
            <w:r w:rsidRPr="007A6652">
              <w:rPr>
                <w:sz w:val="24"/>
                <w:szCs w:val="24"/>
                <w:lang w:val="ru-RU"/>
              </w:rPr>
              <w:t>ании</w:t>
            </w:r>
            <w:proofErr w:type="spellEnd"/>
            <w:r w:rsidRPr="007A665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A6652">
              <w:rPr>
                <w:sz w:val="24"/>
                <w:szCs w:val="24"/>
                <w:lang w:val="ru-RU"/>
              </w:rPr>
              <w:t>источника</w:t>
            </w:r>
            <w:r w:rsidRPr="007A6652">
              <w:rPr>
                <w:sz w:val="24"/>
                <w:szCs w:val="24"/>
              </w:rPr>
              <w:t>[</w:t>
            </w:r>
            <w:proofErr w:type="gramEnd"/>
            <w:r w:rsidRPr="007A6652">
              <w:rPr>
                <w:sz w:val="24"/>
                <w:szCs w:val="24"/>
              </w:rPr>
              <w:t>114]</w:t>
            </w:r>
          </w:p>
        </w:tc>
      </w:tr>
    </w:tbl>
    <w:p w14:paraId="0611D78D" w14:textId="77777777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E14263" w:rsidSect="00E1426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586E701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lastRenderedPageBreak/>
        <w:t>Анализ данных свидетельствует о стабильной положительной динамике финансово-экономического состояния ТОО «Корпорация Сайман» за 2022–2024 гг. Совокупные активы выросли на 25%, что указывает на расширение производственного и инновационного потенциала предприятия.</w:t>
      </w:r>
    </w:p>
    <w:p w14:paraId="535906B3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>Рост долгосрочных активов на 11% связан с модернизацией основных средств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как </w:t>
      </w:r>
      <w:r w:rsidRPr="008A3BB9">
        <w:rPr>
          <w:rFonts w:ascii="Times New Roman" w:hAnsi="Times New Roman" w:cs="Times New Roman"/>
          <w:sz w:val="28"/>
          <w:szCs w:val="28"/>
        </w:rPr>
        <w:t>в 2024 году компания завершила обновление линий по сборке счётчиков и шкафов АСКУЭ, а также внедрила программно-аппаратные комплексы для систем управления энергией (Smart Grid). Нематериальные активы увеличились на 40%, что отражает усиление инновационной составляющей.</w:t>
      </w:r>
    </w:p>
    <w:p w14:paraId="1962EC41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>Собственный капитал предприятия стабильно растёт, а коэффициент автономии превышает 0,73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A3BB9">
        <w:rPr>
          <w:rFonts w:ascii="Times New Roman" w:hAnsi="Times New Roman" w:cs="Times New Roman"/>
          <w:sz w:val="28"/>
          <w:szCs w:val="28"/>
        </w:rPr>
        <w:t>что говорит о высокой финансовой независимости. Чистая прибыль направляется преимущественно на развитие и модернизацию оборудования.</w:t>
      </w:r>
    </w:p>
    <w:p w14:paraId="030E2A52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>Рост краткосрочных активов обусловлен увеличением денежных средств и запасов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A3BB9">
        <w:rPr>
          <w:rFonts w:ascii="Times New Roman" w:hAnsi="Times New Roman" w:cs="Times New Roman"/>
          <w:sz w:val="28"/>
          <w:szCs w:val="28"/>
        </w:rPr>
        <w:t>в 2024 г. предприятие сформировало производственные резервы под крупные заказы для энергетических компаний и ВИЭ-проектов.</w:t>
      </w:r>
    </w:p>
    <w:p w14:paraId="517A41D0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>При умеренном увеличении обязательств сохраняется устойчивая ликвидность, коэффициент текущей ликвидности оценивается на уровне 2,3–2,4, что превышает норматив 1,5.</w:t>
      </w:r>
    </w:p>
    <w:p w14:paraId="5A3BA0FB" w14:textId="77777777" w:rsidR="00E14263" w:rsidRPr="008A3B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B9">
        <w:rPr>
          <w:rFonts w:ascii="Times New Roman" w:hAnsi="Times New Roman" w:cs="Times New Roman"/>
          <w:sz w:val="28"/>
          <w:szCs w:val="28"/>
        </w:rPr>
        <w:t>В целом, финансовое состояние ТОО «Корпорация Сайман» можно оценить как устойчивое и положительное. Компания демонстрирует признаки устойчивого роста, эффективное использование активов и расширение инновационной базы. Положительная динамика капитала и рост доли нематериальных активов отражают стратегический сдвиг от традиционного приборостроения к интеллектуальным решениям для «умных» энергетических систем.</w:t>
      </w:r>
    </w:p>
    <w:p w14:paraId="3C9B948D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</w:rPr>
        <w:t xml:space="preserve">Проведённый анализ показал, что отрасль возобновляемой и низкоуглеродной энергетики Казахстана вступила в стадию ускоренного институционального и технологического развития, обусловленного государственными инициативами по реализации стратегии углеродной нейтральности до 2060 года. В стране сформирована нормативно-правовая и организационная основа для масштабного внедрения ВИЭ, включая переход к аукционным механизмам поддержки, развитие инфраструктуры и стимулирование локального производства оборудования.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2D181C">
        <w:rPr>
          <w:rFonts w:ascii="Times New Roman" w:hAnsi="Times New Roman" w:cs="Times New Roman"/>
          <w:sz w:val="28"/>
          <w:szCs w:val="28"/>
        </w:rPr>
        <w:t>собую</w:t>
      </w:r>
      <w:proofErr w:type="spellEnd"/>
      <w:r w:rsidRPr="002D181C">
        <w:rPr>
          <w:rFonts w:ascii="Times New Roman" w:hAnsi="Times New Roman" w:cs="Times New Roman"/>
          <w:sz w:val="28"/>
          <w:szCs w:val="28"/>
        </w:rPr>
        <w:t xml:space="preserve"> роль играют отечественные предприятия, обеспечивающие технологическую независимость и создание добавленной стоимости в энергетическом секторе. Среди них ТОО «Корпорация Сайман» занимает ключевое место как ведущий производитель электротехнического оборудования, систем автоматизации и интеллектуальных приборов учёта, активно вовлечённый в реализацию национальных проектов по цифровизации энергетики и интеграции ВИЭ.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2D181C">
        <w:rPr>
          <w:rFonts w:ascii="Times New Roman" w:hAnsi="Times New Roman" w:cs="Times New Roman"/>
          <w:sz w:val="28"/>
          <w:szCs w:val="28"/>
        </w:rPr>
        <w:t>ценка</w:t>
      </w:r>
      <w:proofErr w:type="spellEnd"/>
      <w:r w:rsidRPr="002D181C">
        <w:rPr>
          <w:rFonts w:ascii="Times New Roman" w:hAnsi="Times New Roman" w:cs="Times New Roman"/>
          <w:sz w:val="28"/>
          <w:szCs w:val="28"/>
        </w:rPr>
        <w:t xml:space="preserve"> потенциала компании свидетельствует о её высокой инновационной активности, устойчивом финансовом положении и стратегической значимости для перехода Казахстана к низкоуглеродной экономике.</w:t>
      </w:r>
    </w:p>
    <w:p w14:paraId="379EB71F" w14:textId="77777777" w:rsidR="00E14263" w:rsidRPr="002515B8" w:rsidRDefault="00E14263" w:rsidP="007A6652">
      <w:pPr>
        <w:pStyle w:val="2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3" w:name="_Toc215079196"/>
      <w:r w:rsidRPr="002515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2.2. Государственная политика и институциональная среда развития ВИЭ</w:t>
      </w:r>
      <w:bookmarkEnd w:id="23"/>
      <w:r w:rsidRPr="002515B8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5EE3E831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Развитие возобновляемой энергетики в Казахстане неразрывно связано с эффективностью государственной политики и качеством институциональной среды. В условиях, когда структура национальной экономики по-прежнему характеризуется высокой 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углеродоёмкостью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>, а более 70% электроэнергии производится из угля, нормативно-правовые механизмы становятся ключевым инструментом перехода к низкоуглеродной модели. Для предприятий энергетического машиностроения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7E5D">
        <w:rPr>
          <w:rFonts w:ascii="Times New Roman" w:hAnsi="Times New Roman" w:cs="Times New Roman"/>
          <w:sz w:val="28"/>
          <w:szCs w:val="28"/>
        </w:rPr>
        <w:t xml:space="preserve">формирование устойчивой нормативной базы открывает новые рыночные ниши — производство приборов учёта, цифровых систем мониторинга, модульных решений для ВИЭ-инфраструктуры. 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Ан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ализ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государственной политики в сфере ВИЭ представляет прикладной интерес, поскольку напрямую определяет возможности технологического и производственного роста отрасли.</w:t>
      </w:r>
    </w:p>
    <w:p w14:paraId="684F8806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Переход Казахстана к «зелёной» экономике начался с осознания необходимости законодательного регулирования в сфере ВИЭ. Базовым документом является Закон Республики Казахстан «О поддержке использования возобновляемых источников энергии», принятый в 2009 году.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17E5D">
        <w:rPr>
          <w:rFonts w:ascii="Times New Roman" w:hAnsi="Times New Roman" w:cs="Times New Roman"/>
          <w:sz w:val="28"/>
          <w:szCs w:val="28"/>
        </w:rPr>
        <w:t>акон заложил принципы государственной поддержки производителей ВИЭ, включая:</w:t>
      </w:r>
    </w:p>
    <w:p w14:paraId="4E22416B" w14:textId="77777777" w:rsidR="00E14263" w:rsidRPr="00C17E5D" w:rsidRDefault="00E14263" w:rsidP="00E14263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гарантированный приём и покупку всей выработанной электроэнергии у производителей ВИЭ;</w:t>
      </w:r>
    </w:p>
    <w:p w14:paraId="13348DA6" w14:textId="77777777" w:rsidR="00E14263" w:rsidRPr="00C17E5D" w:rsidRDefault="00E14263" w:rsidP="00E14263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приоритетное подключение объектов ВИЭ к электрическим сетям;</w:t>
      </w:r>
    </w:p>
    <w:p w14:paraId="622AE2BC" w14:textId="77777777" w:rsidR="00E14263" w:rsidRPr="00C17E5D" w:rsidRDefault="00E14263" w:rsidP="00E14263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установление фиксированных тарифов на длительный период.</w:t>
      </w:r>
    </w:p>
    <w:p w14:paraId="22492070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Первые годы действия закона (2009–2013 гг.) сопровождались запуском пилотных проектов солнечных и ветровых станций при поддержке государства и международных партнёров. В 2013–2014 гг. была введена система долгосрочных фиксированных тарифов по типам ВИЭ, что стимулировало первые крупные частные инвестиции в ветроэнергетику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17E5D">
        <w:rPr>
          <w:rFonts w:ascii="Times New Roman" w:hAnsi="Times New Roman" w:cs="Times New Roman"/>
          <w:sz w:val="28"/>
          <w:szCs w:val="28"/>
        </w:rPr>
        <w:t xml:space="preserve"> солнечную генерацию на юге страны.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7E5D">
        <w:rPr>
          <w:rFonts w:ascii="Times New Roman" w:hAnsi="Times New Roman" w:cs="Times New Roman"/>
          <w:sz w:val="28"/>
          <w:szCs w:val="28"/>
        </w:rPr>
        <w:t xml:space="preserve">Однако девальвация тенге в 2015 году выявила уязвимость системы FIT: тарифы, установленные в национальной валюте, перестали обеспечивать достаточную доходность для инвесторов, зависящих от импортного оборудования. В ответ Казахстан перешёл к аукционной модели поддержки ВИЭ. С 2018 года отбор проектов стал проводиться через конкурентные торги, где ставка поддержки определяется в результате аукциона. </w:t>
      </w:r>
      <w:r>
        <w:rPr>
          <w:rFonts w:ascii="Times New Roman" w:hAnsi="Times New Roman" w:cs="Times New Roman"/>
          <w:sz w:val="28"/>
          <w:szCs w:val="28"/>
          <w:lang w:val="ru-RU"/>
        </w:rPr>
        <w:t>Ме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ханизм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позволил повысить прозрачность и снизить уровень субсидирования — стоимость электроэнергии ВИЭ по результатам аукционов снизилась на 15–25 % по сравнению с фиксированными тарифами.</w:t>
      </w:r>
    </w:p>
    <w:p w14:paraId="6A6E2FDE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Помимо прямой поддержки генерации, казахстанское законодательство последовательно создаёт условия для развития сопутствующей инфраструктуры.</w:t>
      </w:r>
    </w:p>
    <w:p w14:paraId="202F46EB" w14:textId="77777777" w:rsidR="00E14263" w:rsidRPr="00C17E5D" w:rsidRDefault="00E14263" w:rsidP="00E14263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Земельное и сетевое регулирование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>. У</w:t>
      </w:r>
      <w:r w:rsidRPr="00C17E5D">
        <w:rPr>
          <w:rFonts w:ascii="Times New Roman" w:hAnsi="Times New Roman" w:cs="Times New Roman"/>
          <w:sz w:val="28"/>
          <w:szCs w:val="28"/>
        </w:rPr>
        <w:t xml:space="preserve">прощены процедуры предоставления земельных участков под ВИЭ-объекты, введён приоритет на </w:t>
      </w:r>
      <w:r w:rsidRPr="00C17E5D">
        <w:rPr>
          <w:rFonts w:ascii="Times New Roman" w:hAnsi="Times New Roman" w:cs="Times New Roman"/>
          <w:sz w:val="28"/>
          <w:szCs w:val="28"/>
        </w:rPr>
        <w:lastRenderedPageBreak/>
        <w:t>подключение к сетям и гарантированный выкуп энергии у расчётно-финансового центра.</w:t>
      </w:r>
    </w:p>
    <w:p w14:paraId="50C07518" w14:textId="77777777" w:rsidR="00E14263" w:rsidRPr="00C17E5D" w:rsidRDefault="00E14263" w:rsidP="00E14263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Энергетические квоты</w:t>
      </w:r>
      <w:r>
        <w:rPr>
          <w:rFonts w:ascii="Times New Roman" w:hAnsi="Times New Roman" w:cs="Times New Roman"/>
          <w:sz w:val="28"/>
          <w:szCs w:val="28"/>
          <w:lang w:val="ru-RU"/>
        </w:rPr>
        <w:t>. У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становлены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обязательства по покупке определённой доли электроэнергии у ВИЭ РФЦ, что обеспечивает гарантированный спрос.</w:t>
      </w:r>
    </w:p>
    <w:p w14:paraId="0258FDC1" w14:textId="77777777" w:rsidR="00E14263" w:rsidRPr="00C17E5D" w:rsidRDefault="00E14263" w:rsidP="00E14263">
      <w:pPr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Модернизация электросетей</w:t>
      </w:r>
      <w:r>
        <w:rPr>
          <w:rFonts w:ascii="Times New Roman" w:hAnsi="Times New Roman" w:cs="Times New Roman"/>
          <w:sz w:val="28"/>
          <w:szCs w:val="28"/>
          <w:lang w:val="ru-RU"/>
        </w:rPr>
        <w:t>. С</w:t>
      </w:r>
      <w:r w:rsidRPr="00C17E5D">
        <w:rPr>
          <w:rFonts w:ascii="Times New Roman" w:hAnsi="Times New Roman" w:cs="Times New Roman"/>
          <w:sz w:val="28"/>
          <w:szCs w:val="28"/>
        </w:rPr>
        <w:t xml:space="preserve"> 2020 года действует программа цифровизации и реконструкции сетевой инфраструктуры с целью снижения технических ограничений на интеграцию ВИЭ. </w:t>
      </w:r>
      <w:r>
        <w:rPr>
          <w:rFonts w:ascii="Times New Roman" w:hAnsi="Times New Roman" w:cs="Times New Roman"/>
          <w:sz w:val="28"/>
          <w:szCs w:val="28"/>
          <w:lang w:val="ru-RU"/>
        </w:rPr>
        <w:t>Ос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обенно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важно для регионов с низкой пропускной способностью сетей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1771">
        <w:rPr>
          <w:rFonts w:ascii="Times New Roman" w:hAnsi="Times New Roman" w:cs="Times New Roman"/>
          <w:sz w:val="28"/>
          <w:szCs w:val="28"/>
          <w:lang w:val="ru-RU"/>
        </w:rPr>
        <w:t>[115]</w:t>
      </w:r>
      <w:r w:rsidRPr="00C17E5D">
        <w:rPr>
          <w:rFonts w:ascii="Times New Roman" w:hAnsi="Times New Roman" w:cs="Times New Roman"/>
          <w:sz w:val="28"/>
          <w:szCs w:val="28"/>
        </w:rPr>
        <w:t>.</w:t>
      </w:r>
    </w:p>
    <w:p w14:paraId="2B0B7509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В 2021–2023 гг. приняты новые подзаконные акты, направленные на развитие интеллектуальных систем учёта электроэнергии и балансировки нагрузки, что создаёт рынок для отечественных производителей оборудования, таких как ТОО «Корпорация Сайман». В частности, приказом МЭ РК № 319 от 17.08.2022 г. установлены требования к внедрению автоматизированных систем учёта электроэнергии для всех категорий потребителе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чт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>о направление напрямую связано с производственной специализацией предприятия.</w:t>
      </w:r>
    </w:p>
    <w:p w14:paraId="71959C48" w14:textId="340D783C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7E5D">
        <w:rPr>
          <w:rFonts w:ascii="Times New Roman" w:hAnsi="Times New Roman" w:cs="Times New Roman"/>
          <w:sz w:val="28"/>
          <w:szCs w:val="28"/>
        </w:rPr>
        <w:t>Важную роль в становлении «зелёной» экономики сыграли международные партнёрства. В 2013 г. в Астане был открыт Международный центр «Зелёных технологий и инвестиционных проектов»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17E5D">
        <w:rPr>
          <w:rFonts w:ascii="Times New Roman" w:hAnsi="Times New Roman" w:cs="Times New Roman"/>
          <w:sz w:val="28"/>
          <w:szCs w:val="28"/>
        </w:rPr>
        <w:t>платформа для внедрения экологически чистых технологий и привлечения инвестиций. С 2015г. Казахстан является членом Международного агентства по возобновляемым источникам энергии, в рамках которого проведены аналитические обзоры энергетической политики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69C0">
        <w:rPr>
          <w:rFonts w:ascii="Times New Roman" w:hAnsi="Times New Roman" w:cs="Times New Roman"/>
          <w:sz w:val="28"/>
          <w:szCs w:val="28"/>
          <w:lang w:val="ru-RU"/>
        </w:rPr>
        <w:t>[116]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9967FA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Рекомендации IRENA способствовали внедрению элементов рынка зелёных сертификатов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17E5D">
        <w:rPr>
          <w:rFonts w:ascii="Times New Roman" w:hAnsi="Times New Roman" w:cs="Times New Roman"/>
          <w:sz w:val="28"/>
          <w:szCs w:val="28"/>
        </w:rPr>
        <w:t xml:space="preserve"> аналог механизма 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Portfolio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Standards, который стимулирует крупных потребителей приобретать определённую долю энергии из ВИЭ. В Казахстане данная система пока реализуется в пилотном формате, но рассматривается как перспективный инструмент формирования конкурентного «зелёного» рынка.</w:t>
      </w:r>
    </w:p>
    <w:p w14:paraId="7F3691FF" w14:textId="03CA5CFC" w:rsidR="00E14263" w:rsidRPr="00C17E5D" w:rsidRDefault="00D700FC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14263" w:rsidRPr="00C17E5D">
        <w:rPr>
          <w:rFonts w:ascii="Times New Roman" w:hAnsi="Times New Roman" w:cs="Times New Roman"/>
          <w:sz w:val="28"/>
          <w:szCs w:val="28"/>
        </w:rPr>
        <w:t xml:space="preserve"> 2022 г. в рамках реализации Стратегии достижения углеродной нейтральности до 2060 года (утверждена постановлением Правительства РК № 89 от 02.02.2023г.) предусмотрено постепенное введение углеродного ценообразования, расширение системы ETS и поэтапное сокращение доли угля в энергобалансе с 70 % до 40 % к 2040 году</w:t>
      </w:r>
      <w:r w:rsidR="00E14263">
        <w:rPr>
          <w:rFonts w:ascii="Times New Roman" w:hAnsi="Times New Roman" w:cs="Times New Roman"/>
          <w:sz w:val="28"/>
          <w:szCs w:val="28"/>
        </w:rPr>
        <w:t xml:space="preserve"> [117]</w:t>
      </w:r>
      <w:r w:rsidR="00E14263" w:rsidRPr="00C17E5D">
        <w:rPr>
          <w:rFonts w:ascii="Times New Roman" w:hAnsi="Times New Roman" w:cs="Times New Roman"/>
          <w:sz w:val="28"/>
          <w:szCs w:val="28"/>
        </w:rPr>
        <w:t>.</w:t>
      </w:r>
    </w:p>
    <w:p w14:paraId="6B8BDBF8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17E5D">
        <w:rPr>
          <w:rFonts w:ascii="Times New Roman" w:hAnsi="Times New Roman" w:cs="Times New Roman"/>
          <w:sz w:val="28"/>
          <w:szCs w:val="28"/>
        </w:rPr>
        <w:t>Казахстане сформирована многоуровневая нормативно-институциональная система поддержки ВИЭ, включающая законодательную основу, экономические механизмы, институциональную инфраструктуру и стратегические документы</w:t>
      </w:r>
      <w:r>
        <w:rPr>
          <w:rFonts w:ascii="Times New Roman" w:hAnsi="Times New Roman" w:cs="Times New Roman"/>
          <w:sz w:val="28"/>
          <w:szCs w:val="28"/>
          <w:lang w:val="ru-RU"/>
        </w:rPr>
        <w:t>. С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истема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создаёт благоприятную среду не только для генерации «зелёной» электроэнергии, но и для смежных производств — таких как приборостроение, цифровизация учёта и управление энергосетями.</w:t>
      </w:r>
      <w:r w:rsidRPr="00C17E5D">
        <w:rPr>
          <w:rFonts w:ascii="Times New Roman" w:hAnsi="Times New Roman" w:cs="Times New Roman"/>
          <w:sz w:val="28"/>
          <w:szCs w:val="28"/>
        </w:rPr>
        <w:br/>
        <w:t xml:space="preserve">Для ТОО «Корпорация Сайман» подобная институциональная среда формирует долгосрочные стратегические возможности: локализацию производства оборудования для интеллектуальных сетей, интеграцию в </w:t>
      </w:r>
      <w:r w:rsidRPr="00C17E5D">
        <w:rPr>
          <w:rFonts w:ascii="Times New Roman" w:hAnsi="Times New Roman" w:cs="Times New Roman"/>
          <w:sz w:val="28"/>
          <w:szCs w:val="28"/>
        </w:rPr>
        <w:lastRenderedPageBreak/>
        <w:t>программы энергоэффективности и участие в национальных проектах «умной энергетики» Казахстана.</w:t>
      </w:r>
    </w:p>
    <w:p w14:paraId="6F82AE81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В современных условиях устойчивое развитие энергетического сектора Казахстана определяется эффективностью государственной политики в области поддержки возобновляемых источников энергии. Ввиду высокой 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углеродоёмкости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экономики и зависимости от угольной генерации именно государственные механизмы регулирования и институциональные инициативы играют ключевую роль в формировании новой энергетической парадигмы. Переход к низкоуглеродной модели требует от государства создания нормативной, финансовой и организационной среды, стимулирующей инвестиции в чистые технологии, развитие инфраструктуры и участие частного сектора.</w:t>
      </w:r>
    </w:p>
    <w:p w14:paraId="036D7CFC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Для предприятий, работающих в области производства электротехнического и энергетического оборудования, таких как ТОО «Корпорация Сайман», государственная политика в сфере ВИЭ имеет стратегическое значение. От степени развитости правового регулирования зависят возможности интеграции отечественных компаний в национальные программы по цифровизации энергетики, развитию интеллектуальных сетей и производству оборудования для ВИЭ-объектов.</w:t>
      </w:r>
    </w:p>
    <w:p w14:paraId="1A60753D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Развитие нормативно-правовой базы началось с принятия Закона Республики Казахстан «О поддержке использования возобновляемых источников энергии», который впервые закрепил принципы государственной поддержки ВИЭ, включая гарантированный выкуп произведённой электроэнергии, приоритетное подключение объектов ВИЭ к электрическим сетям и установление фиксированных тарифов.</w:t>
      </w:r>
      <w:r w:rsidRPr="00C17E5D">
        <w:rPr>
          <w:rFonts w:ascii="Times New Roman" w:hAnsi="Times New Roman" w:cs="Times New Roman"/>
          <w:sz w:val="28"/>
          <w:szCs w:val="28"/>
        </w:rPr>
        <w:br/>
        <w:t>На начальном этапе стимулирование инвестиций осуществлялось через систему долгосрочных фиксированных тарифов. Данный механизм обеспечил запуск первых крупных солнечных и ветровых станций при участии частного капитала и международных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[118]</w:t>
      </w:r>
      <w:r w:rsidRPr="00C17E5D">
        <w:rPr>
          <w:rFonts w:ascii="Times New Roman" w:hAnsi="Times New Roman" w:cs="Times New Roman"/>
          <w:sz w:val="28"/>
          <w:szCs w:val="28"/>
        </w:rPr>
        <w:t>.</w:t>
      </w:r>
    </w:p>
    <w:p w14:paraId="017E66A7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С течением времени фиксированные тарифы потребовали корректировки из-за валютных рисков и высокой волатильности тенге. В 2018 году Казахстан перешёл к аукционной модели закупок ВИЭ, предполагающей конкурентное определение тарифов, что повысило эффективность рынка и прозрачность процедур. Результаты первых аукционов показали снижение средней стоимости электроэнергии ВИЭ на </w:t>
      </w:r>
      <w:proofErr w:type="gramStart"/>
      <w:r w:rsidRPr="00C17E5D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7E5D">
        <w:rPr>
          <w:rFonts w:ascii="Times New Roman" w:hAnsi="Times New Roman" w:cs="Times New Roman"/>
          <w:sz w:val="28"/>
          <w:szCs w:val="28"/>
        </w:rPr>
        <w:t>30</w:t>
      </w:r>
      <w:proofErr w:type="gramEnd"/>
      <w:r w:rsidRPr="00C17E5D">
        <w:rPr>
          <w:rFonts w:ascii="Times New Roman" w:hAnsi="Times New Roman" w:cs="Times New Roman"/>
          <w:sz w:val="28"/>
          <w:szCs w:val="28"/>
        </w:rPr>
        <w:t>% по сравнению с уровнем фиксированных тарифов.</w:t>
      </w:r>
    </w:p>
    <w:p w14:paraId="6934BEB3" w14:textId="2012F99A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81C">
        <w:rPr>
          <w:rFonts w:ascii="Times New Roman" w:hAnsi="Times New Roman" w:cs="Times New Roman"/>
          <w:sz w:val="28"/>
          <w:szCs w:val="28"/>
        </w:rPr>
        <w:t xml:space="preserve">Эволюция государственной политики Казахстана в сфере возобновляемой энергетики характеризуется поступательным переходом от административно-регулируемых механизмов поддержки к рыночным инструментам стимулирования и интеграции ВИЭ в национальную энергосистему. На протяжении последних полутора десятилетий государство выстраивало комплексную нормативно-институциональную среду, в рамках которой последовательно изменялись формы поддержки, подходы к тарифному </w:t>
      </w:r>
      <w:r w:rsidRPr="002D181C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регулированию и принципы инвестиционной политики. Основные этапы формирования системы представлены в таблице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2D181C">
        <w:rPr>
          <w:rFonts w:ascii="Times New Roman" w:hAnsi="Times New Roman" w:cs="Times New Roman"/>
          <w:sz w:val="28"/>
          <w:szCs w:val="28"/>
        </w:rPr>
        <w:t>.</w:t>
      </w:r>
    </w:p>
    <w:p w14:paraId="2529A259" w14:textId="77777777" w:rsidR="007A6652" w:rsidRDefault="007A6652" w:rsidP="007A6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FBF02B" w14:textId="22334D4F" w:rsidR="00E14263" w:rsidRPr="00C17E5D" w:rsidRDefault="00E14263" w:rsidP="007A6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C17E5D">
        <w:rPr>
          <w:rFonts w:ascii="Times New Roman" w:hAnsi="Times New Roman" w:cs="Times New Roman"/>
          <w:sz w:val="28"/>
          <w:szCs w:val="28"/>
        </w:rPr>
        <w:t xml:space="preserve"> – Этапы формирования государственной политики в области ВИЭ в Казахстане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49"/>
        <w:gridCol w:w="3180"/>
        <w:gridCol w:w="2879"/>
        <w:gridCol w:w="2237"/>
      </w:tblGrid>
      <w:tr w:rsidR="00E14263" w:rsidRPr="005B41B3" w14:paraId="17F1C3B0" w14:textId="77777777" w:rsidTr="003C63B5">
        <w:tc>
          <w:tcPr>
            <w:tcW w:w="0" w:type="auto"/>
            <w:hideMark/>
          </w:tcPr>
          <w:p w14:paraId="35395EFD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Период</w:t>
            </w:r>
          </w:p>
        </w:tc>
        <w:tc>
          <w:tcPr>
            <w:tcW w:w="0" w:type="auto"/>
            <w:hideMark/>
          </w:tcPr>
          <w:p w14:paraId="74FDE0AE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Ключевые решения и нормативные акты</w:t>
            </w:r>
          </w:p>
        </w:tc>
        <w:tc>
          <w:tcPr>
            <w:tcW w:w="0" w:type="auto"/>
            <w:hideMark/>
          </w:tcPr>
          <w:p w14:paraId="70C0741C" w14:textId="77777777" w:rsidR="00E1426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Основные механизмы поддержки</w:t>
            </w:r>
          </w:p>
          <w:p w14:paraId="069722C5" w14:textId="77777777" w:rsidR="00A75FD3" w:rsidRPr="00A75FD3" w:rsidRDefault="00A75FD3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4AA16C12" w14:textId="77777777" w:rsidR="007A6652" w:rsidRPr="007A6652" w:rsidRDefault="007A6652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14:paraId="2DBBC7EE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Результаты</w:t>
            </w:r>
          </w:p>
        </w:tc>
      </w:tr>
      <w:tr w:rsidR="00E14263" w:rsidRPr="005B41B3" w14:paraId="39E0E8CB" w14:textId="77777777" w:rsidTr="003C63B5">
        <w:tc>
          <w:tcPr>
            <w:tcW w:w="0" w:type="auto"/>
            <w:hideMark/>
          </w:tcPr>
          <w:p w14:paraId="30ED02B1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2009–2013</w:t>
            </w:r>
          </w:p>
        </w:tc>
        <w:tc>
          <w:tcPr>
            <w:tcW w:w="0" w:type="auto"/>
            <w:hideMark/>
          </w:tcPr>
          <w:p w14:paraId="0F8D0C48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Закон РК «О поддержке использования ВИЭ»</w:t>
            </w:r>
          </w:p>
        </w:tc>
        <w:tc>
          <w:tcPr>
            <w:tcW w:w="0" w:type="auto"/>
            <w:hideMark/>
          </w:tcPr>
          <w:p w14:paraId="311CE0AD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Фиксированные тарифы, приоритет подключения к сетям</w:t>
            </w:r>
          </w:p>
        </w:tc>
        <w:tc>
          <w:tcPr>
            <w:tcW w:w="0" w:type="auto"/>
            <w:hideMark/>
          </w:tcPr>
          <w:p w14:paraId="52162C00" w14:textId="77777777" w:rsidR="00E1426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Запуск пилотных проектов СЭС и ВЭС</w:t>
            </w:r>
          </w:p>
          <w:p w14:paraId="3B52A08A" w14:textId="77777777" w:rsidR="00A75FD3" w:rsidRPr="00A75FD3" w:rsidRDefault="00A75FD3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3BE4215E" w14:textId="77777777" w:rsidR="007A6652" w:rsidRPr="007A6652" w:rsidRDefault="007A6652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263" w:rsidRPr="005B41B3" w14:paraId="1B388478" w14:textId="77777777" w:rsidTr="003C63B5">
        <w:tc>
          <w:tcPr>
            <w:tcW w:w="0" w:type="auto"/>
            <w:hideMark/>
          </w:tcPr>
          <w:p w14:paraId="044F7ED4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2014–2017</w:t>
            </w:r>
          </w:p>
        </w:tc>
        <w:tc>
          <w:tcPr>
            <w:tcW w:w="0" w:type="auto"/>
            <w:hideMark/>
          </w:tcPr>
          <w:p w14:paraId="78C13EA3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Введение долгосрочных тарифов, расширение инвестпрограмм</w:t>
            </w:r>
          </w:p>
        </w:tc>
        <w:tc>
          <w:tcPr>
            <w:tcW w:w="0" w:type="auto"/>
            <w:hideMark/>
          </w:tcPr>
          <w:p w14:paraId="288CF930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Гарантированный выкуп энергии</w:t>
            </w:r>
          </w:p>
        </w:tc>
        <w:tc>
          <w:tcPr>
            <w:tcW w:w="0" w:type="auto"/>
            <w:hideMark/>
          </w:tcPr>
          <w:p w14:paraId="7B7CBB96" w14:textId="77777777" w:rsidR="00E1426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Увеличение мощности до 300 МВт</w:t>
            </w:r>
          </w:p>
          <w:p w14:paraId="63221BDF" w14:textId="77777777" w:rsidR="00A75FD3" w:rsidRPr="00A75FD3" w:rsidRDefault="00A75FD3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43407796" w14:textId="77777777" w:rsidR="007A6652" w:rsidRPr="007A6652" w:rsidRDefault="007A6652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263" w:rsidRPr="005B41B3" w14:paraId="18D52D44" w14:textId="77777777" w:rsidTr="003C63B5">
        <w:tc>
          <w:tcPr>
            <w:tcW w:w="0" w:type="auto"/>
            <w:hideMark/>
          </w:tcPr>
          <w:p w14:paraId="623EB44D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2018–2021</w:t>
            </w:r>
          </w:p>
        </w:tc>
        <w:tc>
          <w:tcPr>
            <w:tcW w:w="0" w:type="auto"/>
            <w:hideMark/>
          </w:tcPr>
          <w:p w14:paraId="1A97DD78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Переход к аукционной системе</w:t>
            </w:r>
          </w:p>
        </w:tc>
        <w:tc>
          <w:tcPr>
            <w:tcW w:w="0" w:type="auto"/>
            <w:hideMark/>
          </w:tcPr>
          <w:p w14:paraId="4F1802DC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Рыночное ценообразование, конкуренция</w:t>
            </w:r>
          </w:p>
        </w:tc>
        <w:tc>
          <w:tcPr>
            <w:tcW w:w="0" w:type="auto"/>
            <w:hideMark/>
          </w:tcPr>
          <w:p w14:paraId="4ADFA684" w14:textId="77777777" w:rsidR="00E1426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Снижение себестоимости ВИЭ на 25 %</w:t>
            </w:r>
          </w:p>
          <w:p w14:paraId="0323545A" w14:textId="77777777" w:rsidR="00A75FD3" w:rsidRPr="00A75FD3" w:rsidRDefault="00A75FD3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67328996" w14:textId="77777777" w:rsidR="007A6652" w:rsidRPr="007A6652" w:rsidRDefault="007A6652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263" w:rsidRPr="005B41B3" w14:paraId="604659CF" w14:textId="77777777" w:rsidTr="003C63B5">
        <w:tc>
          <w:tcPr>
            <w:tcW w:w="0" w:type="auto"/>
            <w:hideMark/>
          </w:tcPr>
          <w:p w14:paraId="45364126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2022–2023</w:t>
            </w:r>
          </w:p>
        </w:tc>
        <w:tc>
          <w:tcPr>
            <w:tcW w:w="0" w:type="auto"/>
            <w:hideMark/>
          </w:tcPr>
          <w:p w14:paraId="4D6E3887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Углубление институциональных реформ, внедрение ETS</w:t>
            </w:r>
          </w:p>
        </w:tc>
        <w:tc>
          <w:tcPr>
            <w:tcW w:w="0" w:type="auto"/>
            <w:hideMark/>
          </w:tcPr>
          <w:p w14:paraId="187B7833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Углеродное ценообразование, поддержка АСКУЭ</w:t>
            </w:r>
          </w:p>
        </w:tc>
        <w:tc>
          <w:tcPr>
            <w:tcW w:w="0" w:type="auto"/>
            <w:hideMark/>
          </w:tcPr>
          <w:p w14:paraId="0DA320FA" w14:textId="77777777" w:rsidR="00E1426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Рост мощности ВИЭ свыше 2 000 МВт</w:t>
            </w:r>
          </w:p>
          <w:p w14:paraId="0F078732" w14:textId="77777777" w:rsidR="00A75FD3" w:rsidRPr="00A75FD3" w:rsidRDefault="00A75FD3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53BEF83F" w14:textId="77777777" w:rsidR="007A6652" w:rsidRPr="007A6652" w:rsidRDefault="007A6652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263" w:rsidRPr="005B41B3" w14:paraId="6C0629EC" w14:textId="77777777" w:rsidTr="003C63B5">
        <w:tc>
          <w:tcPr>
            <w:tcW w:w="0" w:type="auto"/>
            <w:gridSpan w:val="4"/>
          </w:tcPr>
          <w:p w14:paraId="05F03AA3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  <w:lang w:val="ru-RU"/>
              </w:rPr>
              <w:t xml:space="preserve">Примечание: составлено автором на основании источника [119] </w:t>
            </w:r>
          </w:p>
        </w:tc>
      </w:tr>
    </w:tbl>
    <w:p w14:paraId="4383311B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FFA1B7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sz w:val="28"/>
          <w:szCs w:val="28"/>
        </w:rPr>
        <w:t>Внедрение углеродного ценообразования и развитие интеллектуальных систем учёта в последние годы свидетельствуют о формировании комплексного подхода, ориентированного не только на рост установленных мощностей, но и на повышение эффективности энергетической инфраструктуры. Таким образом, эволюция государственной политики в сфере ВИЭ отражает зрелость национальной стратегии перехода к низкоуглеродной экономике и приближение Казахстана к международным стандартам устойчивого развития.</w:t>
      </w:r>
    </w:p>
    <w:p w14:paraId="5BEBB934" w14:textId="2D70419A" w:rsidR="00E14263" w:rsidRPr="007A6652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76E">
        <w:rPr>
          <w:rFonts w:ascii="Times New Roman" w:hAnsi="Times New Roman" w:cs="Times New Roman"/>
          <w:sz w:val="28"/>
          <w:szCs w:val="28"/>
        </w:rPr>
        <w:t xml:space="preserve">Развитие сектора возобновляемой энергетики в Казахстане наглядно отражает результаты государственной политики, направленной на поэтапное формирование низкоуглеродной энергетической системы. За последние полтора десятилетия наблюдается устойчивая тенденция роста числа объектов ВИЭ, их установленной мощности и доли в структуре национальной генерации.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D4276E">
        <w:rPr>
          <w:rFonts w:ascii="Times New Roman" w:hAnsi="Times New Roman" w:cs="Times New Roman"/>
          <w:sz w:val="28"/>
          <w:szCs w:val="28"/>
        </w:rPr>
        <w:t>роцесс</w:t>
      </w:r>
      <w:proofErr w:type="spellEnd"/>
      <w:r w:rsidRPr="00D4276E">
        <w:rPr>
          <w:rFonts w:ascii="Times New Roman" w:hAnsi="Times New Roman" w:cs="Times New Roman"/>
          <w:sz w:val="28"/>
          <w:szCs w:val="28"/>
        </w:rPr>
        <w:t xml:space="preserve"> сопровождался изменением технологического профиля отрасли, усилением инвестиционной активности и постепенным переходом от единичных пилотных проектов к масштабным энергетическим комплексам.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D2CE3EB" w14:textId="7D2F10C7" w:rsidR="00E14263" w:rsidRPr="00D4276E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76E">
        <w:rPr>
          <w:rFonts w:ascii="Times New Roman" w:hAnsi="Times New Roman" w:cs="Times New Roman"/>
          <w:sz w:val="28"/>
          <w:szCs w:val="28"/>
        </w:rPr>
        <w:t xml:space="preserve">Для понимания масштабов и направлений развития ВИЭ в Казахстане рассмотрим динамику основных показателей за период 2010–2023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 xml:space="preserve">годы 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(таблица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4276E">
        <w:rPr>
          <w:rFonts w:ascii="Times New Roman" w:hAnsi="Times New Roman" w:cs="Times New Roman"/>
          <w:sz w:val="28"/>
          <w:szCs w:val="28"/>
        </w:rPr>
        <w:t>.</w:t>
      </w:r>
    </w:p>
    <w:p w14:paraId="3E309B04" w14:textId="77777777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B7D0FA" w14:textId="24AE86AC" w:rsidR="00E14263" w:rsidRPr="00C17E5D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C17E5D">
        <w:rPr>
          <w:rFonts w:ascii="Times New Roman" w:hAnsi="Times New Roman" w:cs="Times New Roman"/>
          <w:sz w:val="28"/>
          <w:szCs w:val="28"/>
        </w:rPr>
        <w:t xml:space="preserve"> – Динамика установленной мощности ВИЭ в Казахстане (2010–2023 гг.)</w:t>
      </w:r>
    </w:p>
    <w:tbl>
      <w:tblPr>
        <w:tblStyle w:val="ad"/>
        <w:tblW w:w="9179" w:type="dxa"/>
        <w:tblLook w:val="04A0" w:firstRow="1" w:lastRow="0" w:firstColumn="1" w:lastColumn="0" w:noHBand="0" w:noVBand="1"/>
      </w:tblPr>
      <w:tblGrid>
        <w:gridCol w:w="696"/>
        <w:gridCol w:w="2049"/>
        <w:gridCol w:w="2459"/>
        <w:gridCol w:w="2039"/>
        <w:gridCol w:w="1936"/>
      </w:tblGrid>
      <w:tr w:rsidR="00E14263" w:rsidRPr="005B41B3" w14:paraId="3D7C0FD8" w14:textId="77777777" w:rsidTr="000038F5">
        <w:trPr>
          <w:trHeight w:val="421"/>
        </w:trPr>
        <w:tc>
          <w:tcPr>
            <w:tcW w:w="0" w:type="auto"/>
            <w:hideMark/>
          </w:tcPr>
          <w:p w14:paraId="4BD8EF92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Год</w:t>
            </w:r>
          </w:p>
        </w:tc>
        <w:tc>
          <w:tcPr>
            <w:tcW w:w="0" w:type="auto"/>
            <w:hideMark/>
          </w:tcPr>
          <w:p w14:paraId="5C6B8B54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Количество объектов ВИЭ</w:t>
            </w:r>
          </w:p>
        </w:tc>
        <w:tc>
          <w:tcPr>
            <w:tcW w:w="0" w:type="auto"/>
            <w:hideMark/>
          </w:tcPr>
          <w:p w14:paraId="24CD06CF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Установленная мощность, МВт</w:t>
            </w:r>
          </w:p>
        </w:tc>
        <w:tc>
          <w:tcPr>
            <w:tcW w:w="0" w:type="auto"/>
            <w:hideMark/>
          </w:tcPr>
          <w:p w14:paraId="688AFF40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Доля в общей генерации, %</w:t>
            </w:r>
          </w:p>
        </w:tc>
        <w:tc>
          <w:tcPr>
            <w:tcW w:w="0" w:type="auto"/>
            <w:hideMark/>
          </w:tcPr>
          <w:p w14:paraId="376F221A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Основные типы станций</w:t>
            </w:r>
          </w:p>
        </w:tc>
      </w:tr>
      <w:tr w:rsidR="00E14263" w:rsidRPr="005B41B3" w14:paraId="3C333CEA" w14:textId="77777777" w:rsidTr="000038F5">
        <w:trPr>
          <w:trHeight w:val="222"/>
        </w:trPr>
        <w:tc>
          <w:tcPr>
            <w:tcW w:w="0" w:type="auto"/>
            <w:hideMark/>
          </w:tcPr>
          <w:p w14:paraId="5B78A77C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2010</w:t>
            </w:r>
          </w:p>
        </w:tc>
        <w:tc>
          <w:tcPr>
            <w:tcW w:w="0" w:type="auto"/>
            <w:hideMark/>
          </w:tcPr>
          <w:p w14:paraId="3EBE2DF8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20F6487B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234751CE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0,05</w:t>
            </w:r>
          </w:p>
        </w:tc>
        <w:tc>
          <w:tcPr>
            <w:tcW w:w="0" w:type="auto"/>
            <w:hideMark/>
          </w:tcPr>
          <w:p w14:paraId="021A0B61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Малые ГЭС</w:t>
            </w:r>
          </w:p>
        </w:tc>
      </w:tr>
      <w:tr w:rsidR="00E14263" w:rsidRPr="005B41B3" w14:paraId="19E03FC3" w14:textId="77777777" w:rsidTr="000038F5">
        <w:trPr>
          <w:trHeight w:val="210"/>
        </w:trPr>
        <w:tc>
          <w:tcPr>
            <w:tcW w:w="0" w:type="auto"/>
            <w:hideMark/>
          </w:tcPr>
          <w:p w14:paraId="14B4AB17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hideMark/>
          </w:tcPr>
          <w:p w14:paraId="72143FCF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14:paraId="0DE0D9B8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170</w:t>
            </w:r>
          </w:p>
        </w:tc>
        <w:tc>
          <w:tcPr>
            <w:tcW w:w="0" w:type="auto"/>
            <w:hideMark/>
          </w:tcPr>
          <w:p w14:paraId="060D2284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0,4</w:t>
            </w:r>
          </w:p>
        </w:tc>
        <w:tc>
          <w:tcPr>
            <w:tcW w:w="0" w:type="auto"/>
            <w:hideMark/>
          </w:tcPr>
          <w:p w14:paraId="40F1DE0C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ВЭС, СЭС</w:t>
            </w:r>
          </w:p>
        </w:tc>
      </w:tr>
      <w:tr w:rsidR="00E14263" w:rsidRPr="005B41B3" w14:paraId="5BAE4F96" w14:textId="77777777" w:rsidTr="000038F5">
        <w:trPr>
          <w:trHeight w:val="210"/>
        </w:trPr>
        <w:tc>
          <w:tcPr>
            <w:tcW w:w="0" w:type="auto"/>
            <w:hideMark/>
          </w:tcPr>
          <w:p w14:paraId="4AFAE7AB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hideMark/>
          </w:tcPr>
          <w:p w14:paraId="16965E12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14:paraId="21A38EF0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300</w:t>
            </w:r>
          </w:p>
        </w:tc>
        <w:tc>
          <w:tcPr>
            <w:tcW w:w="0" w:type="auto"/>
            <w:hideMark/>
          </w:tcPr>
          <w:p w14:paraId="1AAF6215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0,8</w:t>
            </w:r>
          </w:p>
        </w:tc>
        <w:tc>
          <w:tcPr>
            <w:tcW w:w="0" w:type="auto"/>
            <w:hideMark/>
          </w:tcPr>
          <w:p w14:paraId="555291C0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СЭС, ВЭС</w:t>
            </w:r>
          </w:p>
        </w:tc>
      </w:tr>
      <w:tr w:rsidR="00E14263" w:rsidRPr="005B41B3" w14:paraId="17C4392C" w14:textId="77777777" w:rsidTr="000038F5">
        <w:trPr>
          <w:trHeight w:val="421"/>
        </w:trPr>
        <w:tc>
          <w:tcPr>
            <w:tcW w:w="0" w:type="auto"/>
            <w:hideMark/>
          </w:tcPr>
          <w:p w14:paraId="4930095B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hideMark/>
          </w:tcPr>
          <w:p w14:paraId="52E3B60F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88</w:t>
            </w:r>
          </w:p>
        </w:tc>
        <w:tc>
          <w:tcPr>
            <w:tcW w:w="0" w:type="auto"/>
            <w:hideMark/>
          </w:tcPr>
          <w:p w14:paraId="04CC3AAA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980</w:t>
            </w:r>
          </w:p>
        </w:tc>
        <w:tc>
          <w:tcPr>
            <w:tcW w:w="0" w:type="auto"/>
            <w:hideMark/>
          </w:tcPr>
          <w:p w14:paraId="29F33DBD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1,8</w:t>
            </w:r>
          </w:p>
        </w:tc>
        <w:tc>
          <w:tcPr>
            <w:tcW w:w="0" w:type="auto"/>
            <w:hideMark/>
          </w:tcPr>
          <w:p w14:paraId="7394350D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СЭС, ВЭС, биоэнергия</w:t>
            </w:r>
          </w:p>
        </w:tc>
      </w:tr>
      <w:tr w:rsidR="00E14263" w:rsidRPr="005B41B3" w14:paraId="2E60782F" w14:textId="77777777" w:rsidTr="000038F5">
        <w:trPr>
          <w:trHeight w:val="210"/>
        </w:trPr>
        <w:tc>
          <w:tcPr>
            <w:tcW w:w="0" w:type="auto"/>
            <w:hideMark/>
          </w:tcPr>
          <w:p w14:paraId="5DD213CA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2021</w:t>
            </w:r>
          </w:p>
        </w:tc>
        <w:tc>
          <w:tcPr>
            <w:tcW w:w="0" w:type="auto"/>
            <w:hideMark/>
          </w:tcPr>
          <w:p w14:paraId="5F4E1F2C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134</w:t>
            </w:r>
          </w:p>
        </w:tc>
        <w:tc>
          <w:tcPr>
            <w:tcW w:w="0" w:type="auto"/>
            <w:hideMark/>
          </w:tcPr>
          <w:p w14:paraId="530EBF50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1 700</w:t>
            </w:r>
          </w:p>
        </w:tc>
        <w:tc>
          <w:tcPr>
            <w:tcW w:w="0" w:type="auto"/>
            <w:hideMark/>
          </w:tcPr>
          <w:p w14:paraId="77CE4237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2,7</w:t>
            </w:r>
          </w:p>
        </w:tc>
        <w:tc>
          <w:tcPr>
            <w:tcW w:w="0" w:type="auto"/>
            <w:hideMark/>
          </w:tcPr>
          <w:p w14:paraId="3ECF363C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СЭС, ВЭС</w:t>
            </w:r>
          </w:p>
        </w:tc>
      </w:tr>
      <w:tr w:rsidR="00E14263" w:rsidRPr="005B41B3" w14:paraId="6D437A6A" w14:textId="77777777" w:rsidTr="000038F5">
        <w:trPr>
          <w:trHeight w:val="210"/>
        </w:trPr>
        <w:tc>
          <w:tcPr>
            <w:tcW w:w="0" w:type="auto"/>
            <w:hideMark/>
          </w:tcPr>
          <w:p w14:paraId="45EF7B7D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2023</w:t>
            </w:r>
          </w:p>
        </w:tc>
        <w:tc>
          <w:tcPr>
            <w:tcW w:w="0" w:type="auto"/>
            <w:hideMark/>
          </w:tcPr>
          <w:p w14:paraId="0F615124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146</w:t>
            </w:r>
          </w:p>
        </w:tc>
        <w:tc>
          <w:tcPr>
            <w:tcW w:w="0" w:type="auto"/>
            <w:hideMark/>
          </w:tcPr>
          <w:p w14:paraId="237286AE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2 050</w:t>
            </w:r>
          </w:p>
        </w:tc>
        <w:tc>
          <w:tcPr>
            <w:tcW w:w="0" w:type="auto"/>
            <w:hideMark/>
          </w:tcPr>
          <w:p w14:paraId="7BA58851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3,0</w:t>
            </w:r>
          </w:p>
        </w:tc>
        <w:tc>
          <w:tcPr>
            <w:tcW w:w="0" w:type="auto"/>
            <w:hideMark/>
          </w:tcPr>
          <w:p w14:paraId="186B73BB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</w:rPr>
              <w:t>СЭС, ВЭС, ГЭС</w:t>
            </w:r>
          </w:p>
        </w:tc>
      </w:tr>
      <w:tr w:rsidR="00E14263" w:rsidRPr="005B41B3" w14:paraId="5AF7CD36" w14:textId="77777777" w:rsidTr="000038F5">
        <w:trPr>
          <w:trHeight w:val="210"/>
        </w:trPr>
        <w:tc>
          <w:tcPr>
            <w:tcW w:w="0" w:type="auto"/>
            <w:gridSpan w:val="5"/>
          </w:tcPr>
          <w:p w14:paraId="50BC1829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  <w:lang w:val="ru-RU"/>
              </w:rPr>
              <w:t>Примечание: составлено автором на основании и</w:t>
            </w:r>
            <w:r w:rsidRPr="005B41B3">
              <w:rPr>
                <w:sz w:val="24"/>
                <w:szCs w:val="24"/>
              </w:rPr>
              <w:t>сточник</w:t>
            </w:r>
            <w:r w:rsidRPr="005B41B3">
              <w:rPr>
                <w:sz w:val="24"/>
                <w:szCs w:val="24"/>
                <w:lang w:val="ru-RU"/>
              </w:rPr>
              <w:t>а [119]</w:t>
            </w:r>
          </w:p>
        </w:tc>
      </w:tr>
    </w:tbl>
    <w:p w14:paraId="6F88752B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28AA2D" w14:textId="54EBF205" w:rsidR="00E14263" w:rsidRPr="006F3BEB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76E">
        <w:rPr>
          <w:rFonts w:ascii="Times New Roman" w:hAnsi="Times New Roman" w:cs="Times New Roman"/>
          <w:sz w:val="28"/>
          <w:szCs w:val="28"/>
        </w:rPr>
        <w:t>Если в 2010 году функционировало всего три объекта малой гидроэнергетики общей мощностью около 4 МВт, то к 2023 году количество действующих установок возросло почти в 50 раз</w:t>
      </w:r>
      <w:r w:rsidR="003F16C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4276E">
        <w:rPr>
          <w:rFonts w:ascii="Times New Roman" w:hAnsi="Times New Roman" w:cs="Times New Roman"/>
          <w:sz w:val="28"/>
          <w:szCs w:val="28"/>
        </w:rPr>
        <w:t xml:space="preserve"> до 146 единиц, а совокупная мощность достигла 2 050 МВт. При этом доля возобновляемых источников в общей структуре генерации выросла с 0,05 % до 3 %, что свидетельствует о постепенном институциональном закреплении сектора в национальной энергосистеме.</w:t>
      </w:r>
      <w:r w:rsidR="00003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276E">
        <w:rPr>
          <w:rFonts w:ascii="Times New Roman" w:hAnsi="Times New Roman" w:cs="Times New Roman"/>
          <w:sz w:val="28"/>
          <w:szCs w:val="28"/>
        </w:rPr>
        <w:t>Особенно заметный рост пришёлся на период 2017–2021 гг., когда в результате перехода к аукционной модели поддержки и активизации частных инвестиций установленная мощность увеличилась почти в шесть раз</w:t>
      </w:r>
      <w:r w:rsidR="000038F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4276E">
        <w:rPr>
          <w:rFonts w:ascii="Times New Roman" w:hAnsi="Times New Roman" w:cs="Times New Roman"/>
          <w:sz w:val="28"/>
          <w:szCs w:val="28"/>
        </w:rPr>
        <w:t xml:space="preserve"> с 300 до 1700 МВт. 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4276E">
        <w:rPr>
          <w:rFonts w:ascii="Times New Roman" w:hAnsi="Times New Roman" w:cs="Times New Roman"/>
          <w:sz w:val="28"/>
          <w:szCs w:val="28"/>
        </w:rPr>
        <w:t>качок объясняется экономическими мерами и улучшением нормативной среды: упрощением процедур подключения к сетям, введением приоритетного выкупа электроэнергии и гарантией долгосрочных договоров. В дальнейшем темпы роста стабилизировались, что указывает на переход сектора в фазу зрелого развития с постепенной диверсификацией источников генерации.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3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91564C1" w14:textId="434A4584" w:rsidR="00E14263" w:rsidRPr="00D4276E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D4276E">
        <w:rPr>
          <w:rFonts w:ascii="Times New Roman" w:hAnsi="Times New Roman" w:cs="Times New Roman"/>
          <w:sz w:val="28"/>
          <w:szCs w:val="28"/>
        </w:rPr>
        <w:t>тенденции наглядно подтверждаются структурным анализом установленной мощности ВИЭ по типам технологий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 xml:space="preserve"> (рисунок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2D181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4276E">
        <w:rPr>
          <w:rFonts w:ascii="Times New Roman" w:hAnsi="Times New Roman" w:cs="Times New Roman"/>
          <w:sz w:val="28"/>
          <w:szCs w:val="28"/>
        </w:rPr>
        <w:t>.</w:t>
      </w:r>
    </w:p>
    <w:p w14:paraId="34C702E0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C61F25" w14:textId="36890919" w:rsidR="00E14263" w:rsidRPr="00C17E5D" w:rsidRDefault="006F3BEB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EC62B" wp14:editId="4B2219FD">
            <wp:extent cx="4333875" cy="2305050"/>
            <wp:effectExtent l="0" t="0" r="0" b="0"/>
            <wp:docPr id="54183090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26DB45A-E9D8-C03B-E6B7-2961DEA91D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6A2DEEA" w14:textId="71723B55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A257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17E5D">
        <w:rPr>
          <w:rFonts w:ascii="Times New Roman" w:hAnsi="Times New Roman" w:cs="Times New Roman"/>
          <w:sz w:val="28"/>
          <w:szCs w:val="28"/>
        </w:rPr>
        <w:t xml:space="preserve"> – Структура установленной мощности ВИЭ по типам </w:t>
      </w:r>
    </w:p>
    <w:p w14:paraId="714E8D3F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8DACB6" w14:textId="77777777" w:rsidR="00E14263" w:rsidRPr="005B41B3" w:rsidRDefault="00E14263" w:rsidP="00E14263">
      <w:pPr>
        <w:jc w:val="both"/>
        <w:rPr>
          <w:rFonts w:ascii="Times New Roman" w:hAnsi="Times New Roman" w:cs="Times New Roman"/>
        </w:rPr>
      </w:pPr>
      <w:r w:rsidRPr="005B41B3">
        <w:rPr>
          <w:rFonts w:ascii="Times New Roman" w:hAnsi="Times New Roman" w:cs="Times New Roman"/>
          <w:lang w:val="ru-RU"/>
        </w:rPr>
        <w:t>Примечание: составлено автором на основании и</w:t>
      </w:r>
      <w:r w:rsidRPr="005B41B3">
        <w:rPr>
          <w:rFonts w:ascii="Times New Roman" w:hAnsi="Times New Roman" w:cs="Times New Roman"/>
        </w:rPr>
        <w:t>сточник</w:t>
      </w:r>
      <w:r w:rsidRPr="005B41B3">
        <w:rPr>
          <w:rFonts w:ascii="Times New Roman" w:hAnsi="Times New Roman" w:cs="Times New Roman"/>
          <w:lang w:val="ru-RU"/>
        </w:rPr>
        <w:t>а [120]</w:t>
      </w:r>
    </w:p>
    <w:p w14:paraId="5E714DEC" w14:textId="5A982586" w:rsidR="00E14263" w:rsidRPr="002D181C" w:rsidRDefault="004721B8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</w:t>
      </w:r>
      <w:proofErr w:type="spellStart"/>
      <w:r w:rsidR="00E14263" w:rsidRPr="002D181C">
        <w:rPr>
          <w:rFonts w:ascii="Times New Roman" w:hAnsi="Times New Roman" w:cs="Times New Roman"/>
          <w:sz w:val="28"/>
          <w:szCs w:val="28"/>
        </w:rPr>
        <w:t>труктура</w:t>
      </w:r>
      <w:proofErr w:type="spellEnd"/>
      <w:r w:rsidR="00E14263" w:rsidRPr="002D181C">
        <w:rPr>
          <w:rFonts w:ascii="Times New Roman" w:hAnsi="Times New Roman" w:cs="Times New Roman"/>
          <w:sz w:val="28"/>
          <w:szCs w:val="28"/>
        </w:rPr>
        <w:t xml:space="preserve"> возобновляемой генерации в Казахстане характеризуется доминированием солнечной и ветровой энергетики, совокупно обеспечивающих более 90% установленной мощности. Такая конфигурация отражает природно-географические особенности страны: высокий потенциал инсоляции в южных и центральных регионах и устойчивые ветровые потоки в северных и западных областях. Малые ГЭС сохраняют локальное значение, преимущественно в Алматинской области, где горный рельеф способствует использованию гидроресурсов малых рек.</w:t>
      </w:r>
    </w:p>
    <w:p w14:paraId="3BC730E0" w14:textId="1B43D6B9" w:rsidR="00E14263" w:rsidRPr="00D4276E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76E">
        <w:rPr>
          <w:rFonts w:ascii="Times New Roman" w:hAnsi="Times New Roman" w:cs="Times New Roman"/>
          <w:sz w:val="28"/>
          <w:szCs w:val="28"/>
        </w:rPr>
        <w:t xml:space="preserve">В условиях ускоряющегося энергетического перехода и реализации стратегических задач по достижению углеродной нейтральности Казахстан выстраивает долгосрочную траекторию развития возобновляемой энергетики, ориентированную на устойчивый рост доли «чистой» генерации и технологическую модернизацию энергосистемы. Прогнозные значения демонстрируют не только количественное наращивание мощностей, но и структурный сдвиг в сторону более диверсифицированной и технологически развитой генерации. Основные направления и целевые показатели представлены в таблице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D4276E">
        <w:rPr>
          <w:rFonts w:ascii="Times New Roman" w:hAnsi="Times New Roman" w:cs="Times New Roman"/>
          <w:sz w:val="28"/>
          <w:szCs w:val="28"/>
        </w:rPr>
        <w:t>.</w:t>
      </w:r>
    </w:p>
    <w:p w14:paraId="63AAC88E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DCDEDB" w14:textId="37D945C3" w:rsidR="00E14263" w:rsidRPr="00D4276E" w:rsidRDefault="00E14263" w:rsidP="00003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76E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A665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D4276E">
        <w:rPr>
          <w:rFonts w:ascii="Times New Roman" w:hAnsi="Times New Roman" w:cs="Times New Roman"/>
          <w:sz w:val="28"/>
          <w:szCs w:val="28"/>
        </w:rPr>
        <w:t xml:space="preserve"> </w:t>
      </w:r>
      <w:r w:rsidR="004721B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4276E">
        <w:rPr>
          <w:rFonts w:ascii="Times New Roman" w:hAnsi="Times New Roman" w:cs="Times New Roman"/>
          <w:sz w:val="28"/>
          <w:szCs w:val="28"/>
        </w:rPr>
        <w:t xml:space="preserve"> Прогноз развития возобновляемых источников энергии в Казахстане до 2030 года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6"/>
        <w:gridCol w:w="2097"/>
        <w:gridCol w:w="2290"/>
        <w:gridCol w:w="1840"/>
        <w:gridCol w:w="2422"/>
      </w:tblGrid>
      <w:tr w:rsidR="00E14263" w:rsidRPr="00741ABE" w14:paraId="28DDCFF0" w14:textId="77777777" w:rsidTr="003C63B5">
        <w:tc>
          <w:tcPr>
            <w:tcW w:w="0" w:type="auto"/>
            <w:hideMark/>
          </w:tcPr>
          <w:p w14:paraId="195E4749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Год</w:t>
            </w:r>
          </w:p>
        </w:tc>
        <w:tc>
          <w:tcPr>
            <w:tcW w:w="0" w:type="auto"/>
            <w:hideMark/>
          </w:tcPr>
          <w:p w14:paraId="50E1792F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Прогноз установленной мощности ВИЭ, МВт</w:t>
            </w:r>
          </w:p>
        </w:tc>
        <w:tc>
          <w:tcPr>
            <w:tcW w:w="0" w:type="auto"/>
            <w:hideMark/>
          </w:tcPr>
          <w:p w14:paraId="74F2ECB8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Доля ВИЭ в электрогенерации, %</w:t>
            </w:r>
          </w:p>
        </w:tc>
        <w:tc>
          <w:tcPr>
            <w:tcW w:w="0" w:type="auto"/>
            <w:hideMark/>
          </w:tcPr>
          <w:p w14:paraId="26703739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Ожидаемый ввод новых мощностей, МВт/год</w:t>
            </w:r>
          </w:p>
        </w:tc>
        <w:tc>
          <w:tcPr>
            <w:tcW w:w="0" w:type="auto"/>
            <w:hideMark/>
          </w:tcPr>
          <w:p w14:paraId="3A033A3C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Основные направления развития</w:t>
            </w:r>
          </w:p>
        </w:tc>
      </w:tr>
      <w:tr w:rsidR="00E14263" w:rsidRPr="00741ABE" w14:paraId="55ECA066" w14:textId="77777777" w:rsidTr="003C63B5">
        <w:tc>
          <w:tcPr>
            <w:tcW w:w="0" w:type="auto"/>
            <w:hideMark/>
          </w:tcPr>
          <w:p w14:paraId="607EF03E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 xml:space="preserve">2023 </w:t>
            </w:r>
          </w:p>
        </w:tc>
        <w:tc>
          <w:tcPr>
            <w:tcW w:w="0" w:type="auto"/>
            <w:hideMark/>
          </w:tcPr>
          <w:p w14:paraId="00D3745C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2 050</w:t>
            </w:r>
          </w:p>
        </w:tc>
        <w:tc>
          <w:tcPr>
            <w:tcW w:w="0" w:type="auto"/>
            <w:hideMark/>
          </w:tcPr>
          <w:p w14:paraId="4B23AE3C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3,0</w:t>
            </w:r>
          </w:p>
        </w:tc>
        <w:tc>
          <w:tcPr>
            <w:tcW w:w="0" w:type="auto"/>
            <w:hideMark/>
          </w:tcPr>
          <w:p w14:paraId="32E01235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59275B76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ВЭС и СЭС в центральных и южных регионах</w:t>
            </w:r>
          </w:p>
        </w:tc>
      </w:tr>
      <w:tr w:rsidR="00E14263" w:rsidRPr="00741ABE" w14:paraId="20ED4B0B" w14:textId="77777777" w:rsidTr="003C63B5">
        <w:tc>
          <w:tcPr>
            <w:tcW w:w="0" w:type="auto"/>
            <w:hideMark/>
          </w:tcPr>
          <w:p w14:paraId="71D23D6C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2025</w:t>
            </w:r>
          </w:p>
        </w:tc>
        <w:tc>
          <w:tcPr>
            <w:tcW w:w="0" w:type="auto"/>
            <w:hideMark/>
          </w:tcPr>
          <w:p w14:paraId="298B464E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3 000</w:t>
            </w:r>
          </w:p>
        </w:tc>
        <w:tc>
          <w:tcPr>
            <w:tcW w:w="0" w:type="auto"/>
            <w:hideMark/>
          </w:tcPr>
          <w:p w14:paraId="5F14F1BB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5,0</w:t>
            </w:r>
          </w:p>
        </w:tc>
        <w:tc>
          <w:tcPr>
            <w:tcW w:w="0" w:type="auto"/>
            <w:hideMark/>
          </w:tcPr>
          <w:p w14:paraId="418A7324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≈ 400–500</w:t>
            </w:r>
          </w:p>
        </w:tc>
        <w:tc>
          <w:tcPr>
            <w:tcW w:w="0" w:type="auto"/>
            <w:hideMark/>
          </w:tcPr>
          <w:p w14:paraId="77700E9B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Расширение ветропарков и солнечных кластеров</w:t>
            </w:r>
          </w:p>
        </w:tc>
      </w:tr>
      <w:tr w:rsidR="00E14263" w:rsidRPr="00741ABE" w14:paraId="645B0F93" w14:textId="77777777" w:rsidTr="003C63B5">
        <w:tc>
          <w:tcPr>
            <w:tcW w:w="0" w:type="auto"/>
            <w:hideMark/>
          </w:tcPr>
          <w:p w14:paraId="4A64ACDA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2027</w:t>
            </w:r>
          </w:p>
        </w:tc>
        <w:tc>
          <w:tcPr>
            <w:tcW w:w="0" w:type="auto"/>
            <w:hideMark/>
          </w:tcPr>
          <w:p w14:paraId="13480875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4 200</w:t>
            </w:r>
          </w:p>
        </w:tc>
        <w:tc>
          <w:tcPr>
            <w:tcW w:w="0" w:type="auto"/>
            <w:hideMark/>
          </w:tcPr>
          <w:p w14:paraId="4D791B23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8,0</w:t>
            </w:r>
          </w:p>
        </w:tc>
        <w:tc>
          <w:tcPr>
            <w:tcW w:w="0" w:type="auto"/>
            <w:hideMark/>
          </w:tcPr>
          <w:p w14:paraId="3A12F51E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≈ 600</w:t>
            </w:r>
          </w:p>
        </w:tc>
        <w:tc>
          <w:tcPr>
            <w:tcW w:w="0" w:type="auto"/>
            <w:hideMark/>
          </w:tcPr>
          <w:p w14:paraId="04524CDB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Интеграция систем аккумулирования энергии</w:t>
            </w:r>
          </w:p>
        </w:tc>
      </w:tr>
      <w:tr w:rsidR="00E14263" w:rsidRPr="00741ABE" w14:paraId="535AAE23" w14:textId="77777777" w:rsidTr="003C63B5">
        <w:tc>
          <w:tcPr>
            <w:tcW w:w="0" w:type="auto"/>
            <w:hideMark/>
          </w:tcPr>
          <w:p w14:paraId="14716614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2029</w:t>
            </w:r>
          </w:p>
        </w:tc>
        <w:tc>
          <w:tcPr>
            <w:tcW w:w="0" w:type="auto"/>
            <w:hideMark/>
          </w:tcPr>
          <w:p w14:paraId="5D65C16A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5 300</w:t>
            </w:r>
          </w:p>
        </w:tc>
        <w:tc>
          <w:tcPr>
            <w:tcW w:w="0" w:type="auto"/>
            <w:hideMark/>
          </w:tcPr>
          <w:p w14:paraId="23B9E989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11,0</w:t>
            </w:r>
          </w:p>
        </w:tc>
        <w:tc>
          <w:tcPr>
            <w:tcW w:w="0" w:type="auto"/>
            <w:hideMark/>
          </w:tcPr>
          <w:p w14:paraId="2E40E112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≈ 550</w:t>
            </w:r>
          </w:p>
        </w:tc>
        <w:tc>
          <w:tcPr>
            <w:tcW w:w="0" w:type="auto"/>
            <w:hideMark/>
          </w:tcPr>
          <w:p w14:paraId="0A074124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Запуск новых проектов ГЭС и биоэнергетики</w:t>
            </w:r>
          </w:p>
        </w:tc>
      </w:tr>
      <w:tr w:rsidR="00E14263" w:rsidRPr="00741ABE" w14:paraId="64F1D3D2" w14:textId="77777777" w:rsidTr="003C63B5">
        <w:tc>
          <w:tcPr>
            <w:tcW w:w="0" w:type="auto"/>
            <w:hideMark/>
          </w:tcPr>
          <w:p w14:paraId="58D7470F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2030</w:t>
            </w:r>
          </w:p>
        </w:tc>
        <w:tc>
          <w:tcPr>
            <w:tcW w:w="0" w:type="auto"/>
            <w:hideMark/>
          </w:tcPr>
          <w:p w14:paraId="55CDFC30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6 000</w:t>
            </w:r>
          </w:p>
        </w:tc>
        <w:tc>
          <w:tcPr>
            <w:tcW w:w="0" w:type="auto"/>
            <w:hideMark/>
          </w:tcPr>
          <w:p w14:paraId="5A50B34C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≥ 15,0</w:t>
            </w:r>
          </w:p>
        </w:tc>
        <w:tc>
          <w:tcPr>
            <w:tcW w:w="0" w:type="auto"/>
            <w:hideMark/>
          </w:tcPr>
          <w:p w14:paraId="64FB6018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≈ 500</w:t>
            </w:r>
          </w:p>
        </w:tc>
        <w:tc>
          <w:tcPr>
            <w:tcW w:w="0" w:type="auto"/>
            <w:hideMark/>
          </w:tcPr>
          <w:p w14:paraId="1AA271BB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</w:rPr>
              <w:t>Завершение первого этапа энергетического перехода</w:t>
            </w:r>
          </w:p>
        </w:tc>
      </w:tr>
      <w:tr w:rsidR="00E14263" w:rsidRPr="00741ABE" w14:paraId="47B7E4BE" w14:textId="77777777" w:rsidTr="003C63B5">
        <w:tc>
          <w:tcPr>
            <w:tcW w:w="0" w:type="auto"/>
            <w:gridSpan w:val="5"/>
          </w:tcPr>
          <w:p w14:paraId="2C5804AB" w14:textId="77777777" w:rsidR="00E14263" w:rsidRPr="00741ABE" w:rsidRDefault="00E14263" w:rsidP="003C63B5">
            <w:pPr>
              <w:jc w:val="both"/>
              <w:rPr>
                <w:sz w:val="24"/>
                <w:szCs w:val="24"/>
              </w:rPr>
            </w:pPr>
            <w:r w:rsidRPr="00741ABE">
              <w:rPr>
                <w:sz w:val="24"/>
                <w:szCs w:val="24"/>
                <w:lang w:val="ru-RU"/>
              </w:rPr>
              <w:t>Примечание: составлено автором на основании и</w:t>
            </w:r>
            <w:r w:rsidRPr="00741ABE">
              <w:rPr>
                <w:sz w:val="24"/>
                <w:szCs w:val="24"/>
              </w:rPr>
              <w:t>сточник</w:t>
            </w:r>
            <w:r w:rsidRPr="00741ABE">
              <w:rPr>
                <w:sz w:val="24"/>
                <w:szCs w:val="24"/>
                <w:lang w:val="ru-RU"/>
              </w:rPr>
              <w:t xml:space="preserve">а [121] </w:t>
            </w:r>
          </w:p>
        </w:tc>
      </w:tr>
    </w:tbl>
    <w:p w14:paraId="74CF37F1" w14:textId="77777777" w:rsidR="00E14263" w:rsidRPr="00D4276E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C4889E" w14:textId="19E47E8B" w:rsidR="00E14263" w:rsidRPr="004721B8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76E">
        <w:rPr>
          <w:rFonts w:ascii="Times New Roman" w:hAnsi="Times New Roman" w:cs="Times New Roman"/>
          <w:sz w:val="28"/>
          <w:szCs w:val="28"/>
        </w:rPr>
        <w:t xml:space="preserve">Представленные данные демонстрируют прогнозируемую траекторию роста возобновляемой генерации, согласованную с национальной Стратегией достижения углеродной нейтральности до 2060 года и Концепцией по переходу к «зелёной» экономике. При сохранении текущих темпов инвестиций и поддержки со стороны государства установленная мощность ВИЭ должна </w:t>
      </w:r>
      <w:r w:rsidRPr="00D4276E">
        <w:rPr>
          <w:rFonts w:ascii="Times New Roman" w:hAnsi="Times New Roman" w:cs="Times New Roman"/>
          <w:sz w:val="28"/>
          <w:szCs w:val="28"/>
        </w:rPr>
        <w:lastRenderedPageBreak/>
        <w:t>утроиться за семь лет с 2 ГВт в 2023 году до 6 ГВт к 2030 году, а их доля в электрогенерации достигнет не менее 15%.</w:t>
      </w:r>
      <w:r w:rsidR="004721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8B9D3E3" w14:textId="77777777" w:rsidR="00E14263" w:rsidRPr="00D4276E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76E">
        <w:rPr>
          <w:rFonts w:ascii="Times New Roman" w:hAnsi="Times New Roman" w:cs="Times New Roman"/>
          <w:sz w:val="28"/>
          <w:szCs w:val="28"/>
        </w:rPr>
        <w:t>Рост будет обеспечиваться преимущественно за счёт солнечной и ветровой энергетики, что соответствует природно-климатическим условиям страны и мировым тенденциям технологического удешевления технологий. В структуре генерации появятся и новые направления аккумулирование энергии, малые ГЭС и биоэнергетика, обеспечивающие устойчивость энергосистемы и снижение дисбалансов нагрузки.</w:t>
      </w:r>
    </w:p>
    <w:p w14:paraId="1C02980A" w14:textId="77777777" w:rsidR="00E14263" w:rsidRPr="00D4276E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76E">
        <w:rPr>
          <w:rFonts w:ascii="Times New Roman" w:hAnsi="Times New Roman" w:cs="Times New Roman"/>
          <w:sz w:val="28"/>
          <w:szCs w:val="28"/>
        </w:rPr>
        <w:t>Сопоставление прогнозных значений с фактическими результатами предыдущих лет показывает, что Казахстан вступает в этап масштабного расширения «зелёной» генерации. Для реализации прогнозов потребуется активизация промышленного сектора, особенно в части локализации производства комплектующих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276E">
        <w:rPr>
          <w:rFonts w:ascii="Times New Roman" w:hAnsi="Times New Roman" w:cs="Times New Roman"/>
          <w:sz w:val="28"/>
          <w:szCs w:val="28"/>
        </w:rPr>
        <w:t>трансформаторов, распределительных устройств, систем автоматики, интеллектуальных счётчиков и аккумуляторов.</w:t>
      </w:r>
    </w:p>
    <w:p w14:paraId="2A8F89AE" w14:textId="77777777" w:rsidR="00E14263" w:rsidRPr="000B71A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71AC">
        <w:rPr>
          <w:rFonts w:ascii="Times New Roman" w:hAnsi="Times New Roman" w:cs="Times New Roman"/>
          <w:sz w:val="28"/>
          <w:szCs w:val="28"/>
        </w:rPr>
        <w:t xml:space="preserve">Прогнозные оценки свидетельствуют о неизбежности перехода к масштабной диверсификации энергетического баланса. Основной прирост мощностей ожидается в солнечной и ветровой энергетике, однако заметную роль начнут играть малые гидростанции, биогазовые комплексы и системы накопления энергии.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0B71AC">
        <w:rPr>
          <w:rFonts w:ascii="Times New Roman" w:hAnsi="Times New Roman" w:cs="Times New Roman"/>
          <w:sz w:val="28"/>
          <w:szCs w:val="28"/>
        </w:rPr>
        <w:t xml:space="preserve"> изменения формируют новые требования к промышленной, технологической и кадровой инфраструктуре страны.</w:t>
      </w:r>
    </w:p>
    <w:p w14:paraId="5FA1AE14" w14:textId="166749C3" w:rsidR="00E14263" w:rsidRPr="000B71A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71AC">
        <w:rPr>
          <w:rFonts w:ascii="Times New Roman" w:hAnsi="Times New Roman" w:cs="Times New Roman"/>
          <w:sz w:val="28"/>
          <w:szCs w:val="28"/>
        </w:rPr>
        <w:t>Для оценки текущего потенциала и вызовов сектора ВИЭ проведён SWOT-анализ, результаты которого представлены в таблице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0B71AC">
        <w:rPr>
          <w:rFonts w:ascii="Times New Roman" w:hAnsi="Times New Roman" w:cs="Times New Roman"/>
          <w:sz w:val="28"/>
          <w:szCs w:val="28"/>
        </w:rPr>
        <w:t>.</w:t>
      </w:r>
    </w:p>
    <w:p w14:paraId="58A0153F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5C05E1" w14:textId="00398F09" w:rsidR="00E14263" w:rsidRPr="000B71AC" w:rsidRDefault="00E14263" w:rsidP="00741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Start"/>
      <w:r w:rsidRPr="000B71AC">
        <w:rPr>
          <w:rFonts w:ascii="Times New Roman" w:hAnsi="Times New Roman" w:cs="Times New Roman"/>
          <w:sz w:val="28"/>
          <w:szCs w:val="28"/>
        </w:rPr>
        <w:t>аблица</w:t>
      </w:r>
      <w:proofErr w:type="spellEnd"/>
      <w:r w:rsidRPr="000B71AC">
        <w:rPr>
          <w:rFonts w:ascii="Times New Roman" w:hAnsi="Times New Roman" w:cs="Times New Roman"/>
          <w:sz w:val="28"/>
          <w:szCs w:val="28"/>
        </w:rPr>
        <w:t xml:space="preserve">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0B71AC">
        <w:rPr>
          <w:rFonts w:ascii="Times New Roman" w:hAnsi="Times New Roman" w:cs="Times New Roman"/>
          <w:sz w:val="28"/>
          <w:szCs w:val="28"/>
        </w:rPr>
        <w:t xml:space="preserve"> – SWOT-анализ сектора возобновляемой энергетики Казахстана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130"/>
        <w:gridCol w:w="4215"/>
      </w:tblGrid>
      <w:tr w:rsidR="00E14263" w:rsidRPr="005B41B3" w14:paraId="2966FE8D" w14:textId="77777777" w:rsidTr="004721B8">
        <w:tc>
          <w:tcPr>
            <w:tcW w:w="0" w:type="auto"/>
            <w:tcBorders>
              <w:bottom w:val="nil"/>
            </w:tcBorders>
            <w:hideMark/>
          </w:tcPr>
          <w:p w14:paraId="355A431C" w14:textId="77777777" w:rsidR="00E14263" w:rsidRPr="005B41B3" w:rsidRDefault="00E14263" w:rsidP="003C63B5">
            <w:pPr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Сильные стороны (</w:t>
            </w:r>
            <w:proofErr w:type="spellStart"/>
            <w:r w:rsidRPr="005B41B3">
              <w:rPr>
                <w:sz w:val="24"/>
                <w:szCs w:val="24"/>
              </w:rPr>
              <w:t>Strengths</w:t>
            </w:r>
            <w:proofErr w:type="spellEnd"/>
            <w:r w:rsidRPr="005B41B3">
              <w:rPr>
                <w:sz w:val="24"/>
                <w:szCs w:val="24"/>
              </w:rPr>
              <w:t xml:space="preserve">) </w:t>
            </w:r>
          </w:p>
          <w:p w14:paraId="62CD4FC1" w14:textId="77777777" w:rsidR="00E14263" w:rsidRPr="005B41B3" w:rsidRDefault="00E14263" w:rsidP="004721B8">
            <w:pPr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 xml:space="preserve">1. Высокий природно-климатический потенциал: совокупный технический потенциал ветра и солнца оценивается в более чем 1 трлн </w:t>
            </w:r>
            <w:proofErr w:type="spellStart"/>
            <w:r w:rsidRPr="005B41B3">
              <w:rPr>
                <w:sz w:val="24"/>
                <w:szCs w:val="24"/>
              </w:rPr>
              <w:t>кВт·ч</w:t>
            </w:r>
            <w:proofErr w:type="spellEnd"/>
            <w:r w:rsidRPr="005B41B3">
              <w:rPr>
                <w:sz w:val="24"/>
                <w:szCs w:val="24"/>
              </w:rPr>
              <w:t xml:space="preserve"> в год. Южные, центральные и западные регионы обладают уникальными условиями для солнечной и ветровой генерации. </w:t>
            </w:r>
            <w:r w:rsidRPr="005B41B3">
              <w:rPr>
                <w:sz w:val="24"/>
                <w:szCs w:val="24"/>
              </w:rPr>
              <w:br/>
              <w:t xml:space="preserve">2. Политическая поддержка и наличие институциональной инфраструктуры: действуют государственные программы, создан расчетно-финансовый центр, функционирует аукционная система закупа. </w:t>
            </w:r>
            <w:r w:rsidRPr="005B41B3">
              <w:rPr>
                <w:sz w:val="24"/>
                <w:szCs w:val="24"/>
              </w:rPr>
              <w:br/>
              <w:t xml:space="preserve">3. Международное сотрудничество: Казахстан участвует в инициативах IRENA, UNDP, ЕБРР, что обеспечивает доступ к грантам и технической экспертизе. </w:t>
            </w:r>
            <w:r w:rsidRPr="005B41B3">
              <w:rPr>
                <w:sz w:val="24"/>
                <w:szCs w:val="24"/>
              </w:rPr>
              <w:br/>
              <w:t>4. Потенциал локализации производства: наличие предприятий, способных освоить выпуск электрооборудования, кабельной продукции, систем автоматики и учёта</w:t>
            </w:r>
            <w:r w:rsidRPr="005B41B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bottom w:val="nil"/>
            </w:tcBorders>
          </w:tcPr>
          <w:p w14:paraId="79797CFF" w14:textId="77777777" w:rsidR="00E14263" w:rsidRPr="005B41B3" w:rsidRDefault="00E14263" w:rsidP="003C63B5">
            <w:pPr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Слабые стороны (</w:t>
            </w:r>
            <w:proofErr w:type="spellStart"/>
            <w:r w:rsidRPr="005B41B3">
              <w:rPr>
                <w:sz w:val="24"/>
                <w:szCs w:val="24"/>
              </w:rPr>
              <w:t>Weaknesses</w:t>
            </w:r>
            <w:proofErr w:type="spellEnd"/>
            <w:r w:rsidRPr="005B41B3">
              <w:rPr>
                <w:sz w:val="24"/>
                <w:szCs w:val="24"/>
              </w:rPr>
              <w:t>)</w:t>
            </w:r>
          </w:p>
          <w:p w14:paraId="44BD3354" w14:textId="140B508F" w:rsidR="00E14263" w:rsidRPr="005B41B3" w:rsidRDefault="00E14263" w:rsidP="004721B8">
            <w:pPr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 xml:space="preserve">1. </w:t>
            </w:r>
            <w:r w:rsidR="004721B8"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5B41B3">
              <w:rPr>
                <w:sz w:val="24"/>
                <w:szCs w:val="24"/>
              </w:rPr>
              <w:t>олее</w:t>
            </w:r>
            <w:proofErr w:type="spellEnd"/>
            <w:r w:rsidRPr="005B41B3">
              <w:rPr>
                <w:sz w:val="24"/>
                <w:szCs w:val="24"/>
              </w:rPr>
              <w:t xml:space="preserve"> 80 % оборудования для ВИЭ поставляется из Китая, Германии и Испании, что повышает уязвимость к колебаниям валютных курсов и логистическим сбоям. </w:t>
            </w:r>
            <w:r w:rsidRPr="005B41B3">
              <w:rPr>
                <w:sz w:val="24"/>
                <w:szCs w:val="24"/>
              </w:rPr>
              <w:br/>
              <w:t xml:space="preserve">2. </w:t>
            </w:r>
            <w:r w:rsidR="004721B8">
              <w:rPr>
                <w:sz w:val="24"/>
                <w:szCs w:val="24"/>
                <w:lang w:val="ru-RU"/>
              </w:rPr>
              <w:t>Э</w:t>
            </w:r>
            <w:proofErr w:type="spellStart"/>
            <w:r w:rsidRPr="005B41B3">
              <w:rPr>
                <w:sz w:val="24"/>
                <w:szCs w:val="24"/>
              </w:rPr>
              <w:t>нергосистема</w:t>
            </w:r>
            <w:proofErr w:type="spellEnd"/>
            <w:r w:rsidRPr="005B41B3">
              <w:rPr>
                <w:sz w:val="24"/>
                <w:szCs w:val="24"/>
              </w:rPr>
              <w:t xml:space="preserve"> Казахстана исторически ориентирована на </w:t>
            </w:r>
            <w:r w:rsidRPr="005B41B3">
              <w:rPr>
                <w:sz w:val="24"/>
                <w:szCs w:val="24"/>
                <w:lang w:val="ru-RU"/>
              </w:rPr>
              <w:t>ц</w:t>
            </w:r>
            <w:proofErr w:type="spellStart"/>
            <w:r w:rsidRPr="005B41B3">
              <w:rPr>
                <w:sz w:val="24"/>
                <w:szCs w:val="24"/>
              </w:rPr>
              <w:t>ентрализованные</w:t>
            </w:r>
            <w:proofErr w:type="spellEnd"/>
            <w:r w:rsidRPr="005B41B3">
              <w:rPr>
                <w:sz w:val="24"/>
                <w:szCs w:val="24"/>
              </w:rPr>
              <w:t xml:space="preserve"> угольные мощности, что ограничивает возможность подключения распределённой генерации. </w:t>
            </w:r>
            <w:r w:rsidRPr="005B41B3">
              <w:rPr>
                <w:sz w:val="24"/>
                <w:szCs w:val="24"/>
              </w:rPr>
              <w:br/>
              <w:t xml:space="preserve">3. Валютные и тарифные риски: девальвация тенге в 2015 и 2020 гг. снизила доходность проектов FIT, а текущие аукционные ставки не компенсируют инфляцию. </w:t>
            </w:r>
            <w:r w:rsidRPr="005B41B3">
              <w:rPr>
                <w:sz w:val="24"/>
                <w:szCs w:val="24"/>
              </w:rPr>
              <w:br/>
              <w:t xml:space="preserve">4. Низкая энергоэффективность и высокий уровень потерь в системах передачи и распределения (до 13%). </w:t>
            </w:r>
            <w:r w:rsidRPr="005B41B3">
              <w:rPr>
                <w:sz w:val="24"/>
                <w:szCs w:val="24"/>
              </w:rPr>
              <w:br/>
              <w:t>5. Дефицит компетенций в области цифровых систем управления энергией, эксплуатации ВИЭ и проектного финансирования.</w:t>
            </w:r>
          </w:p>
        </w:tc>
      </w:tr>
      <w:tr w:rsidR="004721B8" w:rsidRPr="005B41B3" w14:paraId="7925A592" w14:textId="77777777" w:rsidTr="004721B8">
        <w:tc>
          <w:tcPr>
            <w:tcW w:w="0" w:type="auto"/>
            <w:gridSpan w:val="2"/>
            <w:tcBorders>
              <w:top w:val="nil"/>
              <w:bottom w:val="single" w:sz="4" w:space="0" w:color="auto"/>
            </w:tcBorders>
          </w:tcPr>
          <w:p w14:paraId="2426A21B" w14:textId="3699FFBC" w:rsidR="004721B8" w:rsidRPr="004721B8" w:rsidRDefault="004721B8" w:rsidP="003C63B5">
            <w:pPr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4721B8">
              <w:rPr>
                <w:sz w:val="24"/>
                <w:szCs w:val="24"/>
                <w:lang w:val="ru-RU"/>
              </w:rPr>
              <w:lastRenderedPageBreak/>
              <w:t>Продолжение таблицы 14</w:t>
            </w:r>
          </w:p>
        </w:tc>
      </w:tr>
      <w:tr w:rsidR="00E14263" w:rsidRPr="005B41B3" w14:paraId="1ECF4929" w14:textId="77777777" w:rsidTr="004721B8"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F402350" w14:textId="77777777" w:rsidR="00E14263" w:rsidRPr="005B41B3" w:rsidRDefault="00E14263" w:rsidP="003C63B5">
            <w:pPr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Возможности (</w:t>
            </w:r>
            <w:proofErr w:type="spellStart"/>
            <w:r w:rsidRPr="005B41B3">
              <w:rPr>
                <w:sz w:val="24"/>
                <w:szCs w:val="24"/>
              </w:rPr>
              <w:t>Opportunities</w:t>
            </w:r>
            <w:proofErr w:type="spellEnd"/>
            <w:r w:rsidRPr="005B41B3">
              <w:rPr>
                <w:sz w:val="24"/>
                <w:szCs w:val="24"/>
              </w:rPr>
              <w:t>)</w:t>
            </w:r>
          </w:p>
          <w:p w14:paraId="0A97A7D5" w14:textId="77777777" w:rsidR="00E14263" w:rsidRPr="005B41B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 xml:space="preserve">1. Рост глобального спроса на чистую энергию и водород: Казахстан может стать экспортёром «зелёного» водорода в Европу и Азию в рамках проектов H₂ Global и European </w:t>
            </w:r>
            <w:proofErr w:type="spellStart"/>
            <w:r w:rsidRPr="005B41B3">
              <w:rPr>
                <w:sz w:val="24"/>
                <w:szCs w:val="24"/>
              </w:rPr>
              <w:t>Hydrogen</w:t>
            </w:r>
            <w:proofErr w:type="spellEnd"/>
            <w:r w:rsidRPr="005B41B3">
              <w:rPr>
                <w:sz w:val="24"/>
                <w:szCs w:val="24"/>
              </w:rPr>
              <w:t xml:space="preserve"> </w:t>
            </w:r>
            <w:proofErr w:type="spellStart"/>
            <w:r w:rsidRPr="005B41B3">
              <w:rPr>
                <w:sz w:val="24"/>
                <w:szCs w:val="24"/>
              </w:rPr>
              <w:t>Backbone</w:t>
            </w:r>
            <w:proofErr w:type="spellEnd"/>
            <w:r w:rsidRPr="005B41B3">
              <w:rPr>
                <w:sz w:val="24"/>
                <w:szCs w:val="24"/>
              </w:rPr>
              <w:t xml:space="preserve">. </w:t>
            </w:r>
            <w:r w:rsidRPr="005B41B3">
              <w:rPr>
                <w:sz w:val="24"/>
                <w:szCs w:val="24"/>
              </w:rPr>
              <w:br/>
              <w:t xml:space="preserve">2.Локализация высокотехнологичного производства: развитие кластеров по выпуску солнечных панелей, аккумуляторов, систем управления (синергия с предприятиями типа «Сайман»). </w:t>
            </w:r>
            <w:r w:rsidRPr="005B41B3">
              <w:rPr>
                <w:sz w:val="24"/>
                <w:szCs w:val="24"/>
              </w:rPr>
              <w:br/>
              <w:t xml:space="preserve">3. Развитие накопителей энергии и интеллектуальных сетей (Smart Grid): интеграция ВИЭ требует гибких сетей, что открывает спрос на инновационные решения. </w:t>
            </w:r>
            <w:r w:rsidRPr="005B41B3">
              <w:rPr>
                <w:sz w:val="24"/>
                <w:szCs w:val="24"/>
              </w:rPr>
              <w:br/>
              <w:t>4. Трансграничные инвестиции в рамках инициативы «Зелёный пояс Шёлкового пути» и ЕАЭС.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0E3BEA" w14:textId="77777777" w:rsidR="00E14263" w:rsidRPr="005B41B3" w:rsidRDefault="00E14263" w:rsidP="003C63B5">
            <w:pPr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>Угрозы (</w:t>
            </w:r>
            <w:proofErr w:type="spellStart"/>
            <w:r w:rsidRPr="005B41B3">
              <w:rPr>
                <w:sz w:val="24"/>
                <w:szCs w:val="24"/>
              </w:rPr>
              <w:t>Threats</w:t>
            </w:r>
            <w:proofErr w:type="spellEnd"/>
            <w:r w:rsidRPr="005B41B3">
              <w:rPr>
                <w:sz w:val="24"/>
                <w:szCs w:val="24"/>
              </w:rPr>
              <w:t>)</w:t>
            </w:r>
          </w:p>
          <w:p w14:paraId="56D05A4C" w14:textId="77777777" w:rsidR="00E14263" w:rsidRDefault="00E14263" w:rsidP="003C63B5">
            <w:pPr>
              <w:jc w:val="both"/>
              <w:rPr>
                <w:sz w:val="24"/>
                <w:szCs w:val="24"/>
                <w:lang w:val="ru-RU"/>
              </w:rPr>
            </w:pPr>
            <w:r w:rsidRPr="005B41B3">
              <w:rPr>
                <w:sz w:val="24"/>
                <w:szCs w:val="24"/>
              </w:rPr>
              <w:t xml:space="preserve">1.Макроэкономическая нестабильность и рост стоимости заимствований, ограничивающие доступ к «длинным деньгам». </w:t>
            </w:r>
            <w:r w:rsidRPr="005B41B3">
              <w:rPr>
                <w:sz w:val="24"/>
                <w:szCs w:val="24"/>
              </w:rPr>
              <w:br/>
              <w:t xml:space="preserve">2. Климатические риски – учащение засух, пыльных бурь и дефицита воды, снижающих КПД ВЭС и СЭС. </w:t>
            </w:r>
            <w:r w:rsidRPr="005B41B3">
              <w:rPr>
                <w:sz w:val="24"/>
                <w:szCs w:val="24"/>
              </w:rPr>
              <w:br/>
              <w:t xml:space="preserve">3. Конкуренция с более развитыми экспортёрами ВИЭ-оборудования (Китай, Индия, Турция). </w:t>
            </w:r>
            <w:r w:rsidRPr="005B41B3">
              <w:rPr>
                <w:sz w:val="24"/>
                <w:szCs w:val="24"/>
              </w:rPr>
              <w:br/>
              <w:t xml:space="preserve">4. Регуляторная неопределённость: отсутствие долгосрочных гарантий тарифов и колебания налоговой политики создают риски для инвесторов. </w:t>
            </w:r>
            <w:r w:rsidRPr="005B41B3">
              <w:rPr>
                <w:sz w:val="24"/>
                <w:szCs w:val="24"/>
              </w:rPr>
              <w:br/>
              <w:t>5. Недостаточная интеграция ВИЭ в систему балансового рынка, что затрудняет прогнозирование прибыли и инвестирование.</w:t>
            </w:r>
          </w:p>
          <w:p w14:paraId="781D8048" w14:textId="77777777" w:rsidR="00EF7FDB" w:rsidRPr="00EF7FDB" w:rsidRDefault="00EF7FDB" w:rsidP="003C63B5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263" w:rsidRPr="005B41B3" w14:paraId="72BC1CBA" w14:textId="77777777" w:rsidTr="003C63B5">
        <w:tc>
          <w:tcPr>
            <w:tcW w:w="0" w:type="auto"/>
            <w:gridSpan w:val="2"/>
          </w:tcPr>
          <w:p w14:paraId="11367F3E" w14:textId="77777777" w:rsidR="00E14263" w:rsidRPr="005B41B3" w:rsidRDefault="00E14263" w:rsidP="003C63B5">
            <w:pPr>
              <w:jc w:val="both"/>
              <w:rPr>
                <w:sz w:val="24"/>
                <w:szCs w:val="24"/>
              </w:rPr>
            </w:pPr>
            <w:r w:rsidRPr="005B41B3">
              <w:rPr>
                <w:sz w:val="24"/>
                <w:szCs w:val="24"/>
                <w:lang w:val="ru-RU"/>
              </w:rPr>
              <w:t xml:space="preserve">Примечание: </w:t>
            </w:r>
            <w:r w:rsidRPr="005B41B3">
              <w:rPr>
                <w:sz w:val="24"/>
                <w:szCs w:val="24"/>
              </w:rPr>
              <w:t xml:space="preserve">составлено автором </w:t>
            </w:r>
          </w:p>
        </w:tc>
      </w:tr>
    </w:tbl>
    <w:p w14:paraId="35A6F60B" w14:textId="77777777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39E22E" w14:textId="77777777" w:rsidR="00E14263" w:rsidRPr="00C6674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Анализ показывает, что сектор ВИЭ Казахстана находится на грани перехода от индустриальной зависимости к фазе технологического суверенитета, однако его развитие сдерживается структурными ограничениями, характерными для стран с сырьевой экономикой. Главная противоречивость модели заключается в дисбалансе между инвестиционными намерениями и производственной базой: политические цели по увеличению доли ВИЭ сопровождаются высокой зависимостью от импортных технологий, отсутствием развитой цепочки поставок и кадрового обеспечения.</w:t>
      </w:r>
    </w:p>
    <w:p w14:paraId="04A6E4EB" w14:textId="77777777" w:rsidR="00E14263" w:rsidRPr="00C6674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Среди ключевых внутренних вызовов выделяются высокая энергоёмкость ВВП, ограниченные стимулы для модернизации сетей, а также слабая институциональная связка между научно-технологическим сектором и производством. Внешние угрозы связаны с ростом глобальной конкуренции на рынке технологий ВИЭ и колебаниями международных цен на энергоносители, что делает «зелёные» проекты чувствительными к макроэкономическим шокам.</w:t>
      </w:r>
    </w:p>
    <w:p w14:paraId="11A8B58F" w14:textId="4DBC48E0" w:rsidR="00E14263" w:rsidRPr="00C6674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747">
        <w:rPr>
          <w:rFonts w:ascii="Times New Roman" w:hAnsi="Times New Roman" w:cs="Times New Roman"/>
          <w:sz w:val="28"/>
          <w:szCs w:val="28"/>
        </w:rPr>
        <w:t>Вместе с тем,</w:t>
      </w:r>
      <w:proofErr w:type="gramEnd"/>
      <w:r w:rsidRPr="00C66747">
        <w:rPr>
          <w:rFonts w:ascii="Times New Roman" w:hAnsi="Times New Roman" w:cs="Times New Roman"/>
          <w:sz w:val="28"/>
          <w:szCs w:val="28"/>
        </w:rPr>
        <w:t xml:space="preserve"> Казахстан обладает реалистическими стратегическими преимуществами, включая наличие свободных территорий, высокой солнечной инсоляции, ветровых зон и географической близости к ключевым экспортным маршрутам в Китай и Европу. </w:t>
      </w:r>
      <w:r w:rsidR="00EF7FDB"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C66747">
        <w:rPr>
          <w:rFonts w:ascii="Times New Roman" w:hAnsi="Times New Roman" w:cs="Times New Roman"/>
          <w:sz w:val="28"/>
          <w:szCs w:val="28"/>
        </w:rPr>
        <w:t>условия создают потенциал для формирования регионального центра по производству и сервису оборудования для ВИЭ, что в перспективе может стать драйвером нового промышленного уклада.</w:t>
      </w:r>
    </w:p>
    <w:p w14:paraId="1049EC8B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Несмотря на достигнутые успехи, развитие ВИЭ в Казахстане сталкивается с рядом институциональных ограничений. Ключевыми </w:t>
      </w:r>
      <w:r w:rsidRPr="00C17E5D">
        <w:rPr>
          <w:rFonts w:ascii="Times New Roman" w:hAnsi="Times New Roman" w:cs="Times New Roman"/>
          <w:sz w:val="28"/>
          <w:szCs w:val="28"/>
        </w:rPr>
        <w:lastRenderedPageBreak/>
        <w:t>проблемами остаются высокая зависимость от импортного оборудования, валютные риски, ограниченная пропускная способность сетей и необходимость совершенствования правил балансирования. Девальвация национальной валюты увеличивает стоимость импортных комплектующих, что снижает рентабельность проектов, а инфраструктурная неготовность сетей ограничивает возможность ввода новых мощностей.</w:t>
      </w:r>
    </w:p>
    <w:p w14:paraId="7F044FCF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E5D">
        <w:rPr>
          <w:rFonts w:ascii="Times New Roman" w:hAnsi="Times New Roman" w:cs="Times New Roman"/>
          <w:sz w:val="28"/>
          <w:szCs w:val="28"/>
        </w:rPr>
        <w:t>Кроме того, высокая концентрация угольной генерации в северных областях вызывает несбалансированность энергетической системы по регионам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C17E5D">
        <w:rPr>
          <w:rFonts w:ascii="Times New Roman" w:hAnsi="Times New Roman" w:cs="Times New Roman"/>
          <w:sz w:val="28"/>
          <w:szCs w:val="28"/>
        </w:rPr>
        <w:t>требует расширения программ по строительству систем аккумулирования энергии и интеллектуальных сетей, способных обеспечивать гибкость при интеграции нестабильных возобновляемых источников.</w:t>
      </w:r>
    </w:p>
    <w:p w14:paraId="6376A4B2" w14:textId="03167040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7E5D">
        <w:rPr>
          <w:rFonts w:ascii="Times New Roman" w:hAnsi="Times New Roman" w:cs="Times New Roman"/>
          <w:sz w:val="28"/>
          <w:szCs w:val="28"/>
        </w:rPr>
        <w:t xml:space="preserve">Исторический и институциональный контекст также оказывает влияние на темпы энергетического перехода. Переход к новым технологиям сопровождается ростом издержек и неопределённостью результатов, что вызывает осторожность у частных инвесторов.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C17E5D">
        <w:rPr>
          <w:rFonts w:ascii="Times New Roman" w:hAnsi="Times New Roman" w:cs="Times New Roman"/>
          <w:sz w:val="28"/>
          <w:szCs w:val="28"/>
        </w:rPr>
        <w:t>а ранних этапах развития ВИЭ особенно важна последовательная поддержка государства, направленная на минимизацию рисков, обеспечение стабильности правил и создание стимулов для долгосрочных вложений.</w:t>
      </w:r>
    </w:p>
    <w:p w14:paraId="59991B1A" w14:textId="139781A3" w:rsidR="00E14263" w:rsidRPr="002D181C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6747">
        <w:rPr>
          <w:rFonts w:ascii="Times New Roman" w:hAnsi="Times New Roman" w:cs="Times New Roman"/>
          <w:sz w:val="28"/>
          <w:szCs w:val="28"/>
        </w:rPr>
        <w:t xml:space="preserve">В условиях вышеописанных институциональных и технологических вызовов особое значение приобретает развитие национальных индустриальных компетенций в энергетическом машиностроении. </w:t>
      </w:r>
      <w:r w:rsidRPr="00D4276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700FC">
        <w:rPr>
          <w:rFonts w:ascii="Times New Roman" w:hAnsi="Times New Roman" w:cs="Times New Roman"/>
          <w:sz w:val="28"/>
          <w:szCs w:val="28"/>
          <w:lang w:val="ru-RU"/>
        </w:rPr>
        <w:t>данно</w:t>
      </w:r>
      <w:proofErr w:type="spellEnd"/>
      <w:r w:rsidRPr="00D4276E">
        <w:rPr>
          <w:rFonts w:ascii="Times New Roman" w:hAnsi="Times New Roman" w:cs="Times New Roman"/>
          <w:sz w:val="28"/>
          <w:szCs w:val="28"/>
        </w:rPr>
        <w:t>м контексте особую значимость приобретает деятельность ТОО «Корпорация Сайман», специализирующейся на разработке и производстве электрооборудования и интеллектуальных систем учёта. Компания выступает одним из ключевых участников технологической модернизации энергетической инфраструктуры Казахстана и потенциальным партнёром в реализации проектов ВИЭ, обеспечивая связку между государственными стратегиями и реальным сектором экономики.</w:t>
      </w:r>
    </w:p>
    <w:p w14:paraId="61B19780" w14:textId="77777777" w:rsidR="00E14263" w:rsidRPr="00C6674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Компания осуществляет проектирование, производство и внедрение интеллектуальных систем коммерческого учёта электроэнергии, распределительных щитов, трансформаторов и оборудования для подстанций, интегрированных с ветровыми и солнечными электростанциями. Продукция «Саймана» сертифицирована по международным стандартам IEC и используется в проектах по цифровизации энергосетей, реализуемых совместно с Министерством энергетики РК</w:t>
      </w:r>
      <w:r>
        <w:rPr>
          <w:rFonts w:ascii="Times New Roman" w:hAnsi="Times New Roman" w:cs="Times New Roman"/>
          <w:sz w:val="28"/>
          <w:szCs w:val="28"/>
        </w:rPr>
        <w:t xml:space="preserve"> [122]</w:t>
      </w:r>
      <w:r w:rsidRPr="00C66747">
        <w:rPr>
          <w:rFonts w:ascii="Times New Roman" w:hAnsi="Times New Roman" w:cs="Times New Roman"/>
          <w:sz w:val="28"/>
          <w:szCs w:val="28"/>
        </w:rPr>
        <w:t>.</w:t>
      </w:r>
    </w:p>
    <w:p w14:paraId="750DE848" w14:textId="77777777" w:rsidR="00E14263" w:rsidRPr="00C6674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С точки зрения стратегии низкоуглеродного развития, роль предприятия заключается в:</w:t>
      </w:r>
    </w:p>
    <w:p w14:paraId="319509BE" w14:textId="77777777" w:rsidR="00E14263" w:rsidRPr="00C66747" w:rsidRDefault="00E14263" w:rsidP="00E14263">
      <w:pPr>
        <w:numPr>
          <w:ilvl w:val="0"/>
          <w:numId w:val="34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локализации ключевых компонентов для ВИЭ-объектов, что снижает зависимость от импорта;</w:t>
      </w:r>
    </w:p>
    <w:p w14:paraId="3DA393F7" w14:textId="77777777" w:rsidR="00E14263" w:rsidRPr="00C66747" w:rsidRDefault="00E14263" w:rsidP="00E14263">
      <w:pPr>
        <w:numPr>
          <w:ilvl w:val="0"/>
          <w:numId w:val="34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цифровизации энергосистемы посредством внедрения интеллектуальных сетей;</w:t>
      </w:r>
    </w:p>
    <w:p w14:paraId="477051AF" w14:textId="77777777" w:rsidR="00E14263" w:rsidRPr="00C66747" w:rsidRDefault="00E14263" w:rsidP="00E14263">
      <w:pPr>
        <w:numPr>
          <w:ilvl w:val="0"/>
          <w:numId w:val="34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создании внутреннего спроса на отечественные инновационные решения, включая датчики, счётчики, контроллеры и системы телеметрии;</w:t>
      </w:r>
    </w:p>
    <w:p w14:paraId="3AFA7014" w14:textId="77777777" w:rsidR="00E14263" w:rsidRPr="00C66747" w:rsidRDefault="00E14263" w:rsidP="00E14263">
      <w:pPr>
        <w:numPr>
          <w:ilvl w:val="0"/>
          <w:numId w:val="34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lastRenderedPageBreak/>
        <w:t>технологическом партнёрстве с научно-исследовательскими центрами и инжиниринговыми компаниями.</w:t>
      </w:r>
    </w:p>
    <w:p w14:paraId="34AA9060" w14:textId="77777777" w:rsidR="00E14263" w:rsidRPr="00C66747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747">
        <w:rPr>
          <w:rFonts w:ascii="Times New Roman" w:hAnsi="Times New Roman" w:cs="Times New Roman"/>
          <w:sz w:val="28"/>
          <w:szCs w:val="28"/>
        </w:rPr>
        <w:t>Благодаря технологической адаптивности и долгосрочной стратегии импортозамещения, ТОО «Корпорация Сайман» можно рассматривать как национальный промышленный якорь энергетического перехода — звено, соединяющее политику «зелёного» роста с реальным сектором экономики.</w:t>
      </w:r>
    </w:p>
    <w:p w14:paraId="0E7175F0" w14:textId="77777777" w:rsidR="00E14263" w:rsidRPr="00C17E5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81C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Start"/>
      <w:r w:rsidRPr="00C17E5D">
        <w:rPr>
          <w:rFonts w:ascii="Times New Roman" w:hAnsi="Times New Roman" w:cs="Times New Roman"/>
          <w:sz w:val="28"/>
          <w:szCs w:val="28"/>
        </w:rPr>
        <w:t>аконодательная</w:t>
      </w:r>
      <w:proofErr w:type="spellEnd"/>
      <w:r w:rsidRPr="00C17E5D">
        <w:rPr>
          <w:rFonts w:ascii="Times New Roman" w:hAnsi="Times New Roman" w:cs="Times New Roman"/>
          <w:sz w:val="28"/>
          <w:szCs w:val="28"/>
        </w:rPr>
        <w:t xml:space="preserve"> и институциональная система Казахстана демонстрирует устойчивую эволюцию от прямых субсидий к рыночным механизмам регулирования и интеграции ВИЭ в единую энергетическую систему. Созданная нормативно-правовая база в значительной мере соответствует международным стандартам и обеспечивает основу для дальнейшего расширения доли чистой энергии. Развитие возобновляемой энергетики в стране сопровождается ростом промышленной кооперации и формированием новых технологических ниш, включая производство оборудования, цифровизацию энергетических сетей и развитие систем хранения энергии.</w:t>
      </w:r>
    </w:p>
    <w:p w14:paraId="31C64178" w14:textId="0313AB12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7E5D">
        <w:rPr>
          <w:rFonts w:ascii="Times New Roman" w:hAnsi="Times New Roman" w:cs="Times New Roman"/>
          <w:sz w:val="28"/>
          <w:szCs w:val="28"/>
        </w:rPr>
        <w:t>В перспективе ключевыми направлениями остаются повышение гибкости энергосистемы, углубление локализации технологий, внедрение механизмов углеродного ценообразования и формирование национальной индустрии интеллектуальных энергетических решений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C17E5D">
        <w:rPr>
          <w:rFonts w:ascii="Times New Roman" w:hAnsi="Times New Roman" w:cs="Times New Roman"/>
          <w:sz w:val="28"/>
          <w:szCs w:val="28"/>
        </w:rPr>
        <w:t>определяет стратегическую роль государства и отечественных промышленных предприятий в обеспечении успешного перехода Казахстана к низкоуглеродной модели экономического роста.</w:t>
      </w:r>
    </w:p>
    <w:p w14:paraId="1DCA64CC" w14:textId="77777777" w:rsidR="00E14263" w:rsidRPr="007F609F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9F">
        <w:rPr>
          <w:rFonts w:ascii="Times New Roman" w:hAnsi="Times New Roman" w:cs="Times New Roman"/>
          <w:sz w:val="28"/>
          <w:szCs w:val="28"/>
        </w:rPr>
        <w:t>Государственная политика Казахстана в области развития возобновляемых источников энергии формирует фундамент для структурных преобразований всей энергетической системы страны, направленных на снижение углеродной зависимости, рост энергоэффективности и интеграцию в глобальные климатические инициативы. Однако институциональные и нормативные меры не могут рассматриваться изолированно от международных факторов: развитие ВИЭ в Казахстане тесно связано с глобальными технологическими и торговыми процессами</w:t>
      </w:r>
      <w:r>
        <w:rPr>
          <w:rFonts w:ascii="Times New Roman" w:hAnsi="Times New Roman" w:cs="Times New Roman"/>
          <w:sz w:val="28"/>
          <w:szCs w:val="28"/>
        </w:rPr>
        <w:t xml:space="preserve"> [123]</w:t>
      </w:r>
      <w:r w:rsidRPr="007F609F">
        <w:rPr>
          <w:rFonts w:ascii="Times New Roman" w:hAnsi="Times New Roman" w:cs="Times New Roman"/>
          <w:sz w:val="28"/>
          <w:szCs w:val="28"/>
        </w:rPr>
        <w:t>.</w:t>
      </w:r>
    </w:p>
    <w:p w14:paraId="7889B588" w14:textId="24968132" w:rsidR="00E14263" w:rsidRPr="007F609F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9F">
        <w:rPr>
          <w:rFonts w:ascii="Times New Roman" w:hAnsi="Times New Roman" w:cs="Times New Roman"/>
          <w:sz w:val="28"/>
          <w:szCs w:val="28"/>
        </w:rPr>
        <w:t xml:space="preserve">Особое значение приобретает экономическое и технологическое сотрудничество с Китаем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F609F">
        <w:rPr>
          <w:rFonts w:ascii="Times New Roman" w:hAnsi="Times New Roman" w:cs="Times New Roman"/>
          <w:sz w:val="28"/>
          <w:szCs w:val="28"/>
        </w:rPr>
        <w:t xml:space="preserve"> крупнейшим в мире производителем и экспортером оборудования для солнечной и ветровой энергетики, а также ключевым участником международных инициатив по устойчивому развитию. Учитывая географическую близость, наличие транспортно-логистических коридоров и взаимное участие в региональных институциональных механизмах, китайское направление представляет собой стратегический вектор для диверсификации поставок и повышения технологического уровня национального сектора ВИЭ.</w:t>
      </w:r>
    </w:p>
    <w:p w14:paraId="560610ED" w14:textId="77777777" w:rsidR="00E14263" w:rsidRPr="007F609F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9F">
        <w:rPr>
          <w:rFonts w:ascii="Times New Roman" w:hAnsi="Times New Roman" w:cs="Times New Roman"/>
          <w:sz w:val="28"/>
          <w:szCs w:val="28"/>
        </w:rPr>
        <w:t xml:space="preserve">Для Казахстана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Pr="007F609F">
        <w:rPr>
          <w:rFonts w:ascii="Times New Roman" w:hAnsi="Times New Roman" w:cs="Times New Roman"/>
          <w:sz w:val="28"/>
          <w:szCs w:val="28"/>
        </w:rPr>
        <w:t xml:space="preserve"> аспект особенно важен, поскольку на ранних этапах становления «зелёной» энергетики импорт оборудования определяет не только темпы ввода новых мощностей, но и качество технологической базы, уровень локализации и инновационную способность отрасли. Анализ структуры импорта показывает, что значительная часть оборудования для </w:t>
      </w:r>
      <w:r w:rsidRPr="007F609F">
        <w:rPr>
          <w:rFonts w:ascii="Times New Roman" w:hAnsi="Times New Roman" w:cs="Times New Roman"/>
          <w:sz w:val="28"/>
          <w:szCs w:val="28"/>
        </w:rPr>
        <w:lastRenderedPageBreak/>
        <w:t>солнечных и ветровых электростанций поступает именно из Китая. Следовательно, изучение текущего состояния китайского экспорта оборудования для ВИЭ в Казахстан позволяет глубже понять реальные закономерности и ограничения развития внутреннего рынка ВИЭ, а также оценить потенциал международного сотрудничества в рамках энергетического перехода.</w:t>
      </w:r>
    </w:p>
    <w:p w14:paraId="41C42AF1" w14:textId="0A2BEF99" w:rsidR="00E14263" w:rsidRPr="005B41B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E01">
        <w:rPr>
          <w:rFonts w:ascii="Times New Roman" w:hAnsi="Times New Roman" w:cs="Times New Roman"/>
          <w:sz w:val="28"/>
          <w:szCs w:val="28"/>
        </w:rPr>
        <w:t xml:space="preserve">Экономическое взаимодействие Казахстана и Китайской Народной Республики в сфере возобновляемых источников энергии в последние годы демонстрирует устойчивую тенденцию к расширению. Динамика процесса определяется не только углублением общего торгово-экономического партнёрства между странами, но и высокой степенью </w:t>
      </w:r>
      <w:r w:rsidRPr="005B41B3">
        <w:rPr>
          <w:rFonts w:ascii="Times New Roman" w:hAnsi="Times New Roman" w:cs="Times New Roman"/>
          <w:sz w:val="28"/>
          <w:szCs w:val="28"/>
        </w:rPr>
        <w:t>взаимодополняемости их энергетических и технологических структур. В условиях глобальной энергетической трансформации и ужесточения климатической повестки Китай выступает поставщиком капиталоёмких технологий и оборудования для ВИЭ, тогда как Казахстан, обладая значительным природным потенциалом формирует устойчивый рынок спроса на такие технологии.</w:t>
      </w:r>
    </w:p>
    <w:p w14:paraId="1DB02709" w14:textId="77777777" w:rsidR="00E14263" w:rsidRPr="005B41B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1B3">
        <w:rPr>
          <w:rFonts w:ascii="Times New Roman" w:hAnsi="Times New Roman" w:cs="Times New Roman"/>
          <w:sz w:val="28"/>
          <w:szCs w:val="28"/>
        </w:rPr>
        <w:t>Торгово-экономические отношения в области ВИЭ между двумя странами имеют в основном межотраслевой характер, что соответствует типичной модели сотрудничества между индустриально развитой страной и страной с формирующимся сектором высоких технологий. Китай, начиная с 2010-х годов, превратился из импортёра в крупнейшего экспортёра оборудования для возобновляемой энергетики: его торговый баланс в данной категории стал профицитным, а по состоянию на 2012–2020 годы доля Китая на мировом рынке оборудования для ВИЭ стабильно превышала 20%</w:t>
      </w:r>
      <w:r>
        <w:rPr>
          <w:rFonts w:ascii="Times New Roman" w:hAnsi="Times New Roman" w:cs="Times New Roman"/>
          <w:sz w:val="28"/>
          <w:szCs w:val="28"/>
        </w:rPr>
        <w:t xml:space="preserve"> [124]</w:t>
      </w:r>
      <w:r w:rsidRPr="005B41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D642B0" w14:textId="77777777" w:rsidR="00E14263" w:rsidRPr="005B41B3" w:rsidRDefault="00E14263" w:rsidP="00EF7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1B3">
        <w:rPr>
          <w:rFonts w:ascii="Times New Roman" w:hAnsi="Times New Roman" w:cs="Times New Roman"/>
          <w:sz w:val="28"/>
          <w:szCs w:val="28"/>
        </w:rPr>
        <w:t>С точки зрения товарной структуры, обе страны демонстрируют согласованную специализацию: около 80 % китайского экспорта оборудования для ВИЭ составляют солнечные панели, инверторы и ветроэнергетические установки, тогда как Казахстан преимущественно импортирует оборудование именно этих категорий, формируя среднюю долю порядка 79 % в структуре импорта. Таким образом, наблюдается совпадение товарных профилей экспорта Китая и импорта Казахстана, что указывает на устойчивую стратегическую совместимость энергетических политик двух стран.</w:t>
      </w:r>
    </w:p>
    <w:p w14:paraId="20381D82" w14:textId="77777777" w:rsidR="00EF7FDB" w:rsidRDefault="00E14263" w:rsidP="00EF7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3E01">
        <w:rPr>
          <w:rFonts w:ascii="Times New Roman" w:hAnsi="Times New Roman" w:cs="Times New Roman"/>
          <w:sz w:val="28"/>
          <w:szCs w:val="28"/>
        </w:rPr>
        <w:t>Степень интеграции китайского оборудования в казахстанский рынок ВИЭ подтверждается и количественными показателями внешней торговли. Согласно данным Организации Объединённых Наций, Китай стабильно входи</w:t>
      </w:r>
      <w:r w:rsidRPr="001F3E0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1F3E01">
        <w:rPr>
          <w:rFonts w:ascii="Times New Roman" w:hAnsi="Times New Roman" w:cs="Times New Roman"/>
          <w:sz w:val="28"/>
          <w:szCs w:val="28"/>
        </w:rPr>
        <w:t xml:space="preserve"> в тройку ведущих поставщиков оборудования для ВИЭ в Казахстан. </w:t>
      </w:r>
    </w:p>
    <w:p w14:paraId="7BC9192C" w14:textId="4B448F3E" w:rsidR="00E14263" w:rsidRPr="001F3E01" w:rsidRDefault="00E14263" w:rsidP="00EF7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E01">
        <w:rPr>
          <w:rFonts w:ascii="Times New Roman" w:hAnsi="Times New Roman" w:cs="Times New Roman"/>
          <w:sz w:val="28"/>
          <w:szCs w:val="28"/>
        </w:rPr>
        <w:t>Ниже представлена динамика импорта оборудования для ВИЭ в Казахстан за 2014–2024 гг., включающая фактические данные по 2014–2023 гг. и прогноз на 2024 год, основанный на тенденциях роста проектов солнечных и ветровых электростанций и активизации китайских экспортных инициатив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(таблица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F3E01">
        <w:rPr>
          <w:rFonts w:ascii="Times New Roman" w:hAnsi="Times New Roman" w:cs="Times New Roman"/>
          <w:sz w:val="28"/>
          <w:szCs w:val="28"/>
        </w:rPr>
        <w:t>.</w:t>
      </w:r>
    </w:p>
    <w:p w14:paraId="712AC8E1" w14:textId="77777777" w:rsidR="00EF7FDB" w:rsidRDefault="00EF7FDB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424CF1" w14:textId="77777777" w:rsidR="00EF7FDB" w:rsidRDefault="00EF7FDB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DC4803" w14:textId="11695082" w:rsidR="00E14263" w:rsidRPr="001F3E01" w:rsidRDefault="00E14263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3E01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1F3E01">
        <w:rPr>
          <w:rFonts w:ascii="Times New Roman" w:hAnsi="Times New Roman" w:cs="Times New Roman"/>
          <w:sz w:val="28"/>
          <w:szCs w:val="28"/>
        </w:rPr>
        <w:t xml:space="preserve"> – Динамика импорта оборудования для ВИЭ в Казахстан и доля китайских поставок (2014–2024 гг.)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6"/>
        <w:gridCol w:w="2375"/>
        <w:gridCol w:w="1128"/>
        <w:gridCol w:w="1239"/>
        <w:gridCol w:w="3907"/>
      </w:tblGrid>
      <w:tr w:rsidR="00E14263" w:rsidRPr="00911160" w14:paraId="1F1B9569" w14:textId="77777777" w:rsidTr="003C63B5">
        <w:tc>
          <w:tcPr>
            <w:tcW w:w="0" w:type="auto"/>
            <w:hideMark/>
          </w:tcPr>
          <w:p w14:paraId="5FC35E73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Год</w:t>
            </w:r>
          </w:p>
        </w:tc>
        <w:tc>
          <w:tcPr>
            <w:tcW w:w="0" w:type="auto"/>
            <w:hideMark/>
          </w:tcPr>
          <w:p w14:paraId="650B46EE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Общий импорт Казахстана, млн долл. США</w:t>
            </w:r>
          </w:p>
        </w:tc>
        <w:tc>
          <w:tcPr>
            <w:tcW w:w="0" w:type="auto"/>
            <w:hideMark/>
          </w:tcPr>
          <w:p w14:paraId="7CACFA8A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Доля Китая, %</w:t>
            </w:r>
          </w:p>
        </w:tc>
        <w:tc>
          <w:tcPr>
            <w:tcW w:w="0" w:type="auto"/>
            <w:hideMark/>
          </w:tcPr>
          <w:p w14:paraId="1314776C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Рейтинг Китая</w:t>
            </w:r>
          </w:p>
        </w:tc>
        <w:tc>
          <w:tcPr>
            <w:tcW w:w="0" w:type="auto"/>
            <w:hideMark/>
          </w:tcPr>
          <w:p w14:paraId="1336244F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Комментарий</w:t>
            </w:r>
          </w:p>
        </w:tc>
      </w:tr>
      <w:tr w:rsidR="00E14263" w:rsidRPr="00911160" w14:paraId="23C46352" w14:textId="77777777" w:rsidTr="003C63B5">
        <w:tc>
          <w:tcPr>
            <w:tcW w:w="0" w:type="auto"/>
            <w:hideMark/>
          </w:tcPr>
          <w:p w14:paraId="003FA528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hideMark/>
          </w:tcPr>
          <w:p w14:paraId="24AF9200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1 837</w:t>
            </w:r>
          </w:p>
        </w:tc>
        <w:tc>
          <w:tcPr>
            <w:tcW w:w="0" w:type="auto"/>
            <w:hideMark/>
          </w:tcPr>
          <w:p w14:paraId="7E80D2C1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16,0</w:t>
            </w:r>
          </w:p>
        </w:tc>
        <w:tc>
          <w:tcPr>
            <w:tcW w:w="0" w:type="auto"/>
            <w:hideMark/>
          </w:tcPr>
          <w:p w14:paraId="2F222CA7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D17C3EE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Начало системных инвестиций в СЭС и ВЭС после принятия Закона о ВИЭ (2009)</w:t>
            </w:r>
          </w:p>
        </w:tc>
      </w:tr>
      <w:tr w:rsidR="00E14263" w:rsidRPr="00911160" w14:paraId="70DBD34A" w14:textId="77777777" w:rsidTr="003C63B5">
        <w:tc>
          <w:tcPr>
            <w:tcW w:w="0" w:type="auto"/>
            <w:hideMark/>
          </w:tcPr>
          <w:p w14:paraId="4022FCCF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hideMark/>
          </w:tcPr>
          <w:p w14:paraId="194957A2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1 836</w:t>
            </w:r>
          </w:p>
        </w:tc>
        <w:tc>
          <w:tcPr>
            <w:tcW w:w="0" w:type="auto"/>
            <w:hideMark/>
          </w:tcPr>
          <w:p w14:paraId="2DB3B1CD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14,8</w:t>
            </w:r>
          </w:p>
        </w:tc>
        <w:tc>
          <w:tcPr>
            <w:tcW w:w="0" w:type="auto"/>
            <w:hideMark/>
          </w:tcPr>
          <w:p w14:paraId="61B8D80B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B44FE48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Снижение цен на нефть — частичное сокращение инвестиций в энергетику</w:t>
            </w:r>
          </w:p>
        </w:tc>
      </w:tr>
      <w:tr w:rsidR="00E14263" w:rsidRPr="00911160" w14:paraId="7DF87AB7" w14:textId="77777777" w:rsidTr="003C63B5">
        <w:tc>
          <w:tcPr>
            <w:tcW w:w="0" w:type="auto"/>
            <w:hideMark/>
          </w:tcPr>
          <w:p w14:paraId="3C45B47F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hideMark/>
          </w:tcPr>
          <w:p w14:paraId="592A344B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2 125</w:t>
            </w:r>
          </w:p>
        </w:tc>
        <w:tc>
          <w:tcPr>
            <w:tcW w:w="0" w:type="auto"/>
            <w:hideMark/>
          </w:tcPr>
          <w:p w14:paraId="4324F803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18,2</w:t>
            </w:r>
          </w:p>
        </w:tc>
        <w:tc>
          <w:tcPr>
            <w:tcW w:w="0" w:type="auto"/>
            <w:hideMark/>
          </w:tcPr>
          <w:p w14:paraId="7C4B71F7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55FF9A1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Рост импорта солнечных панелей и инверторов китайского производства</w:t>
            </w:r>
          </w:p>
        </w:tc>
      </w:tr>
      <w:tr w:rsidR="00E14263" w:rsidRPr="00911160" w14:paraId="7D8A3912" w14:textId="77777777" w:rsidTr="003C63B5">
        <w:tc>
          <w:tcPr>
            <w:tcW w:w="0" w:type="auto"/>
            <w:hideMark/>
          </w:tcPr>
          <w:p w14:paraId="4088A79B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hideMark/>
          </w:tcPr>
          <w:p w14:paraId="5592B927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2 188</w:t>
            </w:r>
          </w:p>
        </w:tc>
        <w:tc>
          <w:tcPr>
            <w:tcW w:w="0" w:type="auto"/>
            <w:hideMark/>
          </w:tcPr>
          <w:p w14:paraId="78D5F0D2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25,9</w:t>
            </w:r>
          </w:p>
        </w:tc>
        <w:tc>
          <w:tcPr>
            <w:tcW w:w="0" w:type="auto"/>
            <w:hideMark/>
          </w:tcPr>
          <w:p w14:paraId="42849875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3D99731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Запуск первых крупных ВЭС (Ерейментау, Жамбыл)</w:t>
            </w:r>
          </w:p>
        </w:tc>
      </w:tr>
      <w:tr w:rsidR="00E14263" w:rsidRPr="00911160" w14:paraId="7B797738" w14:textId="77777777" w:rsidTr="003C63B5">
        <w:tc>
          <w:tcPr>
            <w:tcW w:w="0" w:type="auto"/>
            <w:hideMark/>
          </w:tcPr>
          <w:p w14:paraId="3ABC548F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hideMark/>
          </w:tcPr>
          <w:p w14:paraId="6604D6E0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2 344</w:t>
            </w:r>
          </w:p>
        </w:tc>
        <w:tc>
          <w:tcPr>
            <w:tcW w:w="0" w:type="auto"/>
            <w:hideMark/>
          </w:tcPr>
          <w:p w14:paraId="62B442EA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26,3</w:t>
            </w:r>
          </w:p>
        </w:tc>
        <w:tc>
          <w:tcPr>
            <w:tcW w:w="0" w:type="auto"/>
            <w:hideMark/>
          </w:tcPr>
          <w:p w14:paraId="3877E84B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B17648D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Рост доли Китая благодаря масштабным поставкам для СЭС «Бурное Solar-2»</w:t>
            </w:r>
          </w:p>
        </w:tc>
      </w:tr>
      <w:tr w:rsidR="00E14263" w:rsidRPr="00911160" w14:paraId="23FE7E27" w14:textId="77777777" w:rsidTr="003C63B5">
        <w:tc>
          <w:tcPr>
            <w:tcW w:w="0" w:type="auto"/>
            <w:hideMark/>
          </w:tcPr>
          <w:p w14:paraId="7DDFA53D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hideMark/>
          </w:tcPr>
          <w:p w14:paraId="07D305C8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2 672</w:t>
            </w:r>
          </w:p>
        </w:tc>
        <w:tc>
          <w:tcPr>
            <w:tcW w:w="0" w:type="auto"/>
            <w:hideMark/>
          </w:tcPr>
          <w:p w14:paraId="45917D6F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24,8</w:t>
            </w:r>
          </w:p>
        </w:tc>
        <w:tc>
          <w:tcPr>
            <w:tcW w:w="0" w:type="auto"/>
            <w:hideMark/>
          </w:tcPr>
          <w:p w14:paraId="7985D281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DE98E22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Пик инвестиционной активности в секторе ВИЭ</w:t>
            </w:r>
          </w:p>
        </w:tc>
      </w:tr>
      <w:tr w:rsidR="00E14263" w:rsidRPr="00911160" w14:paraId="623AE089" w14:textId="77777777" w:rsidTr="003C63B5">
        <w:tc>
          <w:tcPr>
            <w:tcW w:w="0" w:type="auto"/>
            <w:hideMark/>
          </w:tcPr>
          <w:p w14:paraId="753A62CD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2020</w:t>
            </w:r>
          </w:p>
        </w:tc>
        <w:tc>
          <w:tcPr>
            <w:tcW w:w="0" w:type="auto"/>
            <w:hideMark/>
          </w:tcPr>
          <w:p w14:paraId="5BED3AFF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1 628</w:t>
            </w:r>
          </w:p>
        </w:tc>
        <w:tc>
          <w:tcPr>
            <w:tcW w:w="0" w:type="auto"/>
            <w:hideMark/>
          </w:tcPr>
          <w:p w14:paraId="36FD3176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21,9</w:t>
            </w:r>
          </w:p>
        </w:tc>
        <w:tc>
          <w:tcPr>
            <w:tcW w:w="0" w:type="auto"/>
            <w:hideMark/>
          </w:tcPr>
          <w:p w14:paraId="2A5F5A21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27116ACC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Пандемия COVID-19, логистические сбои</w:t>
            </w:r>
          </w:p>
        </w:tc>
      </w:tr>
      <w:tr w:rsidR="00E14263" w:rsidRPr="00911160" w14:paraId="58A667B7" w14:textId="77777777" w:rsidTr="003C63B5">
        <w:tc>
          <w:tcPr>
            <w:tcW w:w="0" w:type="auto"/>
            <w:hideMark/>
          </w:tcPr>
          <w:p w14:paraId="07C4CC1A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2021</w:t>
            </w:r>
          </w:p>
        </w:tc>
        <w:tc>
          <w:tcPr>
            <w:tcW w:w="0" w:type="auto"/>
            <w:hideMark/>
          </w:tcPr>
          <w:p w14:paraId="23D6BD3D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1 727</w:t>
            </w:r>
          </w:p>
        </w:tc>
        <w:tc>
          <w:tcPr>
            <w:tcW w:w="0" w:type="auto"/>
            <w:hideMark/>
          </w:tcPr>
          <w:p w14:paraId="0026A50E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22,9</w:t>
            </w:r>
          </w:p>
        </w:tc>
        <w:tc>
          <w:tcPr>
            <w:tcW w:w="0" w:type="auto"/>
            <w:hideMark/>
          </w:tcPr>
          <w:p w14:paraId="6596C008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351EAB7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Восстановление торговли и новые контракты на поставку ветроустановок</w:t>
            </w:r>
          </w:p>
        </w:tc>
      </w:tr>
      <w:tr w:rsidR="00E14263" w:rsidRPr="00911160" w14:paraId="0AD43568" w14:textId="77777777" w:rsidTr="003C63B5">
        <w:tc>
          <w:tcPr>
            <w:tcW w:w="0" w:type="auto"/>
            <w:hideMark/>
          </w:tcPr>
          <w:p w14:paraId="02E5AD47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2022</w:t>
            </w:r>
          </w:p>
        </w:tc>
        <w:tc>
          <w:tcPr>
            <w:tcW w:w="0" w:type="auto"/>
            <w:hideMark/>
          </w:tcPr>
          <w:p w14:paraId="40352F72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2 456</w:t>
            </w:r>
          </w:p>
        </w:tc>
        <w:tc>
          <w:tcPr>
            <w:tcW w:w="0" w:type="auto"/>
            <w:hideMark/>
          </w:tcPr>
          <w:p w14:paraId="5369FA2A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15,5</w:t>
            </w:r>
          </w:p>
        </w:tc>
        <w:tc>
          <w:tcPr>
            <w:tcW w:w="0" w:type="auto"/>
            <w:hideMark/>
          </w:tcPr>
          <w:p w14:paraId="23AEEE42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08F71B05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Диверсификация поставок, рост европейского участия</w:t>
            </w:r>
          </w:p>
        </w:tc>
      </w:tr>
      <w:tr w:rsidR="00E14263" w:rsidRPr="00911160" w14:paraId="33705701" w14:textId="77777777" w:rsidTr="003C63B5">
        <w:tc>
          <w:tcPr>
            <w:tcW w:w="0" w:type="auto"/>
            <w:hideMark/>
          </w:tcPr>
          <w:p w14:paraId="0A119F2A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2023</w:t>
            </w:r>
          </w:p>
        </w:tc>
        <w:tc>
          <w:tcPr>
            <w:tcW w:w="0" w:type="auto"/>
            <w:hideMark/>
          </w:tcPr>
          <w:p w14:paraId="6113D391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3 909</w:t>
            </w:r>
          </w:p>
        </w:tc>
        <w:tc>
          <w:tcPr>
            <w:tcW w:w="0" w:type="auto"/>
            <w:hideMark/>
          </w:tcPr>
          <w:p w14:paraId="50A83C30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12,1</w:t>
            </w:r>
          </w:p>
        </w:tc>
        <w:tc>
          <w:tcPr>
            <w:tcW w:w="0" w:type="auto"/>
            <w:hideMark/>
          </w:tcPr>
          <w:p w14:paraId="6119E776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39D17488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Рекордный импорт — активизация проектов в Жамбылской и Актюбинской обл.</w:t>
            </w:r>
          </w:p>
        </w:tc>
      </w:tr>
      <w:tr w:rsidR="00E14263" w:rsidRPr="00911160" w14:paraId="4F4C44AF" w14:textId="77777777" w:rsidTr="003C63B5">
        <w:tc>
          <w:tcPr>
            <w:tcW w:w="0" w:type="auto"/>
            <w:hideMark/>
          </w:tcPr>
          <w:p w14:paraId="77C693C8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 xml:space="preserve">2024 </w:t>
            </w:r>
          </w:p>
        </w:tc>
        <w:tc>
          <w:tcPr>
            <w:tcW w:w="0" w:type="auto"/>
            <w:hideMark/>
          </w:tcPr>
          <w:p w14:paraId="1820585E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4 200</w:t>
            </w:r>
          </w:p>
        </w:tc>
        <w:tc>
          <w:tcPr>
            <w:tcW w:w="0" w:type="auto"/>
            <w:hideMark/>
          </w:tcPr>
          <w:p w14:paraId="2BEAD99A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13,0</w:t>
            </w:r>
          </w:p>
        </w:tc>
        <w:tc>
          <w:tcPr>
            <w:tcW w:w="0" w:type="auto"/>
            <w:hideMark/>
          </w:tcPr>
          <w:p w14:paraId="6BAABF69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07E1084" w14:textId="77777777" w:rsidR="00E14263" w:rsidRPr="00911160" w:rsidRDefault="00E14263" w:rsidP="003C63B5">
            <w:pPr>
              <w:jc w:val="both"/>
              <w:rPr>
                <w:sz w:val="24"/>
                <w:szCs w:val="24"/>
              </w:rPr>
            </w:pPr>
            <w:r w:rsidRPr="00911160">
              <w:rPr>
                <w:sz w:val="24"/>
                <w:szCs w:val="24"/>
              </w:rPr>
              <w:t>Ожидаемое увеличение поставок для проектов СЭС и ВЭС в рамках ПСЭР-2060</w:t>
            </w:r>
          </w:p>
        </w:tc>
      </w:tr>
      <w:tr w:rsidR="00E14263" w:rsidRPr="00911160" w14:paraId="14BCC216" w14:textId="77777777" w:rsidTr="003C63B5">
        <w:tc>
          <w:tcPr>
            <w:tcW w:w="0" w:type="auto"/>
            <w:gridSpan w:val="5"/>
          </w:tcPr>
          <w:p w14:paraId="3BF3D846" w14:textId="77777777" w:rsidR="00E14263" w:rsidRPr="00911160" w:rsidRDefault="00E14263" w:rsidP="003C63B5">
            <w:pPr>
              <w:jc w:val="both"/>
            </w:pPr>
            <w:r w:rsidRPr="005B41B3">
              <w:rPr>
                <w:sz w:val="24"/>
                <w:szCs w:val="24"/>
                <w:lang w:val="ru-RU"/>
              </w:rPr>
              <w:t>Примечание: составлено автором на основании и</w:t>
            </w:r>
            <w:r w:rsidRPr="005B41B3">
              <w:rPr>
                <w:sz w:val="24"/>
                <w:szCs w:val="24"/>
              </w:rPr>
              <w:t>сточник</w:t>
            </w:r>
            <w:r w:rsidRPr="005B41B3">
              <w:rPr>
                <w:sz w:val="24"/>
                <w:szCs w:val="24"/>
                <w:lang w:val="ru-RU"/>
              </w:rPr>
              <w:t>а [1</w:t>
            </w:r>
            <w:r w:rsidRPr="005B41B3">
              <w:rPr>
                <w:lang w:val="ru-RU"/>
              </w:rPr>
              <w:t>2</w:t>
            </w:r>
            <w:r w:rsidRPr="00187D3A">
              <w:rPr>
                <w:lang w:val="ru-RU"/>
              </w:rPr>
              <w:t>5</w:t>
            </w:r>
            <w:r w:rsidRPr="005B41B3">
              <w:rPr>
                <w:sz w:val="24"/>
                <w:szCs w:val="24"/>
                <w:lang w:val="ru-RU"/>
              </w:rPr>
              <w:t>]</w:t>
            </w:r>
          </w:p>
        </w:tc>
      </w:tr>
    </w:tbl>
    <w:p w14:paraId="286E7280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330C44" w14:textId="26B1436E" w:rsidR="00E14263" w:rsidRPr="001F3E0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1F3E0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ru-RU"/>
        </w:rPr>
        <w:t>последние 10 лет</w:t>
      </w:r>
      <w:r w:rsidRPr="001F3E01">
        <w:rPr>
          <w:rFonts w:ascii="Times New Roman" w:hAnsi="Times New Roman" w:cs="Times New Roman"/>
          <w:sz w:val="28"/>
          <w:szCs w:val="28"/>
        </w:rPr>
        <w:t xml:space="preserve"> объём импорта оборудования для ВИЭ в Казахстан вырос более чем в 2,2 раза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F3E01">
        <w:rPr>
          <w:rFonts w:ascii="Times New Roman" w:hAnsi="Times New Roman" w:cs="Times New Roman"/>
          <w:sz w:val="28"/>
          <w:szCs w:val="28"/>
        </w:rPr>
        <w:t>с 1,8 до 4,2 млрд долл. США, что отражает системное ускорение энергетического перехода и рост капитальных вложений в солнечную и ветровую генерацию. При этом наблюдается постепенное снижение доли китайских поставщиков с 26% в 2017–2018 гг. до 13% в 2024 г., что объясняется тремя ключевыми факторами:</w:t>
      </w:r>
    </w:p>
    <w:p w14:paraId="7A6A3815" w14:textId="54D8AC8A" w:rsidR="00E14263" w:rsidRPr="001F3E01" w:rsidRDefault="00E14263" w:rsidP="00E14263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E01">
        <w:rPr>
          <w:rFonts w:ascii="Times New Roman" w:hAnsi="Times New Roman" w:cs="Times New Roman"/>
          <w:sz w:val="28"/>
          <w:szCs w:val="28"/>
        </w:rPr>
        <w:t xml:space="preserve">Диверсификацией источников импорта </w:t>
      </w:r>
      <w:r w:rsidR="00A1652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F3E01">
        <w:rPr>
          <w:rFonts w:ascii="Times New Roman" w:hAnsi="Times New Roman" w:cs="Times New Roman"/>
          <w:sz w:val="28"/>
          <w:szCs w:val="28"/>
        </w:rPr>
        <w:t xml:space="preserve"> в структуру поставок активно вошли европейские производители и компании ОАЭ, реализующие проекты через международные аукционы.</w:t>
      </w:r>
    </w:p>
    <w:p w14:paraId="57F68459" w14:textId="59379C9F" w:rsidR="00E14263" w:rsidRPr="001F3E01" w:rsidRDefault="00E14263" w:rsidP="00E14263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E01">
        <w:rPr>
          <w:rFonts w:ascii="Times New Roman" w:hAnsi="Times New Roman" w:cs="Times New Roman"/>
          <w:sz w:val="28"/>
          <w:szCs w:val="28"/>
        </w:rPr>
        <w:t xml:space="preserve">Ростом локализации </w:t>
      </w:r>
      <w:r w:rsidR="00A1652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F3E01">
        <w:rPr>
          <w:rFonts w:ascii="Times New Roman" w:hAnsi="Times New Roman" w:cs="Times New Roman"/>
          <w:sz w:val="28"/>
          <w:szCs w:val="28"/>
        </w:rPr>
        <w:t xml:space="preserve"> начало сборки отдельных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E01">
        <w:rPr>
          <w:rFonts w:ascii="Times New Roman" w:hAnsi="Times New Roman" w:cs="Times New Roman"/>
          <w:sz w:val="28"/>
          <w:szCs w:val="28"/>
        </w:rPr>
        <w:t>на казахстанских предприятиях, что снижает долю прямого импорта.</w:t>
      </w:r>
    </w:p>
    <w:p w14:paraId="27403AF3" w14:textId="675661FD" w:rsidR="00E14263" w:rsidRPr="001F3E01" w:rsidRDefault="00E14263" w:rsidP="00E14263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E01">
        <w:rPr>
          <w:rFonts w:ascii="Times New Roman" w:hAnsi="Times New Roman" w:cs="Times New Roman"/>
          <w:sz w:val="28"/>
          <w:szCs w:val="28"/>
        </w:rPr>
        <w:lastRenderedPageBreak/>
        <w:t xml:space="preserve">Валютной и ценовой волатильностью </w:t>
      </w:r>
      <w:r w:rsidR="00A1652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F3E01">
        <w:rPr>
          <w:rFonts w:ascii="Times New Roman" w:hAnsi="Times New Roman" w:cs="Times New Roman"/>
          <w:sz w:val="28"/>
          <w:szCs w:val="28"/>
        </w:rPr>
        <w:t xml:space="preserve"> влияние инфляции и ослабления тенге повышает стоимость импортных контрактов, вынуждая часть заказчиков переходить на европейские и локальные альтернативы.</w:t>
      </w:r>
    </w:p>
    <w:p w14:paraId="66225657" w14:textId="7BEE1535" w:rsidR="00E14263" w:rsidRPr="001F3E01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E01">
        <w:rPr>
          <w:rFonts w:ascii="Times New Roman" w:hAnsi="Times New Roman" w:cs="Times New Roman"/>
          <w:sz w:val="28"/>
          <w:szCs w:val="28"/>
        </w:rPr>
        <w:t>Несмотря на уменьшение доли Китая в импортной структуре, его позиции остаются доминирующими в сегментах солнечных панелей, инверторов и ветроэнергетических турбин малой и средней мощности. Совокупно обеспечивает около треть технологической базы казахстанского рынка ВИЭ и формирует долгосрочную зависимость национальной отрасли от китайских технологий.</w:t>
      </w:r>
    </w:p>
    <w:p w14:paraId="4E572E2F" w14:textId="77777777" w:rsidR="00E14263" w:rsidRPr="0041307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07D">
        <w:rPr>
          <w:rFonts w:ascii="Times New Roman" w:hAnsi="Times New Roman" w:cs="Times New Roman"/>
          <w:sz w:val="28"/>
          <w:szCs w:val="28"/>
        </w:rPr>
        <w:t xml:space="preserve">Современный этап развития возобновляемой и низкоуглеродной энергетики Казахстана характеризуется постепенным смещением акцентов от локальных инфраструктурных инициатив к формированию устойчивых международных цепочек поставок оборудования и технологий. Для реализации стратегических задач по переходу к «зелёной» экономике, обозначенных в государственной политике, Казахстан нуждается в диверсификации источников технологического импорта и укреплении внешнеэкономического сотрудничества. Среди ключевых партнёров особое значение занимает Китайская Народная Республика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41307D">
        <w:rPr>
          <w:rFonts w:ascii="Times New Roman" w:hAnsi="Times New Roman" w:cs="Times New Roman"/>
          <w:sz w:val="28"/>
          <w:szCs w:val="28"/>
        </w:rPr>
        <w:t xml:space="preserve"> мировой лидер в производстве и экспорте оборудования для возобновляемых источников энергии</w:t>
      </w:r>
      <w:r w:rsidRPr="00187D3A">
        <w:rPr>
          <w:rFonts w:ascii="Times New Roman" w:hAnsi="Times New Roman" w:cs="Times New Roman"/>
          <w:sz w:val="28"/>
          <w:szCs w:val="28"/>
          <w:lang w:val="ru-RU"/>
        </w:rPr>
        <w:t xml:space="preserve"> [126]</w:t>
      </w:r>
      <w:r w:rsidRPr="0041307D">
        <w:rPr>
          <w:rFonts w:ascii="Times New Roman" w:hAnsi="Times New Roman" w:cs="Times New Roman"/>
          <w:sz w:val="28"/>
          <w:szCs w:val="28"/>
        </w:rPr>
        <w:t>.</w:t>
      </w:r>
    </w:p>
    <w:p w14:paraId="01938E1B" w14:textId="77B07B13" w:rsidR="00E14263" w:rsidRPr="0041307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07D">
        <w:rPr>
          <w:rFonts w:ascii="Times New Roman" w:hAnsi="Times New Roman" w:cs="Times New Roman"/>
          <w:sz w:val="28"/>
          <w:szCs w:val="28"/>
        </w:rPr>
        <w:t>Сотрудничество Казахстана и Китая в энергетической сфере имеет системный и многослойный характер. Помимо поставок электроэнергетического оборудования, взаимодействие охватывает строительство инфраструктуры, создание совместных предприятий и технологическую кооперацию в рамках инициативы «Один пояс, один путь» и Шанхайской организации сотрудничества. Китай не только является основным поставщиком оборудования для солнечных и ветровых электростанций, но и крупнейшим источником технологических инноваций в области «умных сетей», аккумуляции энергии и цифровизации энергетических систем. Для таких компаний, как ТОО «Корпорация Сайман», эти процессы открывают перспективы участия в трансграничных проектах по локализации производства оборудования и внедрению интеллектуальных систем учёта, создавая базу для устойчивого роста национального сектора ВИЭ.</w:t>
      </w:r>
    </w:p>
    <w:p w14:paraId="14BF4ACC" w14:textId="3AC20A62" w:rsidR="00E14263" w:rsidRPr="0041307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07D">
        <w:rPr>
          <w:rFonts w:ascii="Times New Roman" w:hAnsi="Times New Roman" w:cs="Times New Roman"/>
          <w:sz w:val="28"/>
          <w:szCs w:val="28"/>
        </w:rPr>
        <w:t>Однако практическая реализация потенциала казахстанско-китайского сотрудничества сталкивается с рядом объективных и институциональных ограничений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41307D">
        <w:rPr>
          <w:rFonts w:ascii="Times New Roman" w:hAnsi="Times New Roman" w:cs="Times New Roman"/>
          <w:sz w:val="28"/>
          <w:szCs w:val="28"/>
        </w:rPr>
        <w:t xml:space="preserve">от логистических и тарифных барьеров до несовершенства механизмов взаимного признания стандартов и сертификации.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41307D">
        <w:rPr>
          <w:rFonts w:ascii="Times New Roman" w:hAnsi="Times New Roman" w:cs="Times New Roman"/>
          <w:sz w:val="28"/>
          <w:szCs w:val="28"/>
        </w:rPr>
        <w:t>ля понимания реальных возможностей расширения торговли оборудованием для ВИЭ необходимо комплексное эмпирическое исследование, учитывающее экономические, институциональные и географические факторы.</w:t>
      </w:r>
    </w:p>
    <w:p w14:paraId="09A5354D" w14:textId="0F7AFFF0" w:rsidR="00E14263" w:rsidRPr="0041307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07D">
        <w:rPr>
          <w:rFonts w:ascii="Times New Roman" w:hAnsi="Times New Roman" w:cs="Times New Roman"/>
          <w:sz w:val="28"/>
          <w:szCs w:val="28"/>
        </w:rPr>
        <w:t xml:space="preserve">В разделе 2.3 представлено собственное исследование автора, основанное на расширенной гравитационной модели международной торговли, применённой к анализу экспорта оборудования для ВИЭ из Китая в страны региона «Пояса и пути», включая Казахстан. Такой подход позволяет </w:t>
      </w:r>
      <w:r w:rsidRPr="0041307D">
        <w:rPr>
          <w:rFonts w:ascii="Times New Roman" w:hAnsi="Times New Roman" w:cs="Times New Roman"/>
          <w:sz w:val="28"/>
          <w:szCs w:val="28"/>
        </w:rPr>
        <w:lastRenderedPageBreak/>
        <w:t>количественно оценить влияние ключевых макроэкономических и институциональных детерминант на объёмы экспорта, а также определить реализованный и нереализованный экспортный потенциал Казахстана.</w:t>
      </w:r>
    </w:p>
    <w:p w14:paraId="21FA8B00" w14:textId="77777777" w:rsidR="00E14263" w:rsidRPr="0041307D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07D">
        <w:rPr>
          <w:rFonts w:ascii="Times New Roman" w:hAnsi="Times New Roman" w:cs="Times New Roman"/>
          <w:sz w:val="28"/>
          <w:szCs w:val="28"/>
        </w:rPr>
        <w:t>Результаты анализа не только позволяют выявить факторы, сдерживающие развитие торговли, но и служат теоретической и практической основой для формирования стратегических предложений по укреплению экономического сотрудничества и технологического обмена между Казахстаном и Китаем в области возобновляемой энергетики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1307D">
        <w:rPr>
          <w:rFonts w:ascii="Times New Roman" w:hAnsi="Times New Roman" w:cs="Times New Roman"/>
          <w:sz w:val="28"/>
          <w:szCs w:val="28"/>
        </w:rPr>
        <w:t xml:space="preserve"> что напрямую коррелирует с задачами, решаемыми отечественными промышленными предприятиями, включая ТОО «Корпорация Сайман».</w:t>
      </w:r>
    </w:p>
    <w:p w14:paraId="23B34DCA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83C3C4" w14:textId="77777777" w:rsidR="00EF7FDB" w:rsidRPr="00EF7FDB" w:rsidRDefault="00EF7FDB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BC04DB" w14:textId="77777777" w:rsidR="00E14263" w:rsidRPr="00706803" w:rsidRDefault="00E14263" w:rsidP="00E14263">
      <w:pPr>
        <w:pStyle w:val="2"/>
        <w:ind w:firstLine="567"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24" w:name="_Toc215079197"/>
      <w:r w:rsidRPr="007068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2.3 </w:t>
      </w:r>
      <w:bookmarkStart w:id="25" w:name="_Toc123224938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И</w:t>
      </w:r>
      <w:proofErr w:type="spellStart"/>
      <w:r w:rsidRPr="0070680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>сследование</w:t>
      </w:r>
      <w:proofErr w:type="spellEnd"/>
      <w:r w:rsidRPr="0070680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 xml:space="preserve"> факторов и потенциала торговли оборудованием для ВИЭ между Казахстаном и Китаем</w:t>
      </w:r>
      <w:bookmarkEnd w:id="24"/>
      <w:r w:rsidRPr="00706803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 xml:space="preserve"> </w:t>
      </w:r>
    </w:p>
    <w:bookmarkEnd w:id="25"/>
    <w:p w14:paraId="381305CF" w14:textId="77777777" w:rsidR="00E14263" w:rsidRPr="00DF0DB9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DF0DB9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В условиях ускоряющегося глобального энергоперехода торговля оборудованием для ВИЭ становится ключевым механизмом трансфера технологий и формирования устойчивой энергетической инфраструктуры в развивающихся странах. Для Казахстана, реализующего стратегические цели по снижению углеродной нагрузки и увеличению доли возобновляемой генерации, особенно актуальным является анализ факторов, определяющих импорт технологически сложного энергетического оборудования.</w:t>
      </w:r>
    </w:p>
    <w:p w14:paraId="4CD2B9E4" w14:textId="4DB40CB1" w:rsidR="00E14263" w:rsidRPr="00DF0DB9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DF0DB9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 xml:space="preserve">Китай, являясь крупнейшим производителем и экспортером оборудования для ВИЭ, выступает критически важным партнёром Казахстана в </w:t>
      </w:r>
      <w:r w:rsidR="00D700FC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данно</w:t>
      </w:r>
      <w:r w:rsidRPr="00DF0DB9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й сфере. Однако динамика торговых потоков между двумя странами демонстрирует значительные колебания, что требует выявления структурных закономерностей и количественной оценки факторов, определяющих экспорт китайского оборудования в рамках инициативы «Пояс и путь».</w:t>
      </w:r>
    </w:p>
    <w:p w14:paraId="4B324056" w14:textId="77777777" w:rsidR="00E14263" w:rsidRPr="00DF0DB9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DF0DB9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Использование расширенной гравитационной модели позволяет комплексно исследовать влияние экономических, географических и институциональных параметров на объём поставок оборудования для ВИЭ. Исходя из теоретических положений и предварительного анализа отраслевой статистики, формулируется следующая исследовательская гипотеза.</w:t>
      </w:r>
    </w:p>
    <w:p w14:paraId="61DAFB48" w14:textId="77777777" w:rsidR="00E14263" w:rsidRPr="00DF0DB9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DF0DB9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Гипотеза исследования</w:t>
      </w:r>
      <w:r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.</w:t>
      </w:r>
    </w:p>
    <w:p w14:paraId="28E6E368" w14:textId="77777777" w:rsidR="00E14263" w:rsidRPr="00DF0DB9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DF0DB9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H1: Объём экспорта оборудования для возобновляемых источников энергии из Китая определяется комбинацией экономических характеристик страны-импортёра (ВВП на душу населения, численность населения), структурных параметров её энергетического сектора (новая установленная мощность ВИЭ), географических факторов (расстояние), а также институциональной принадлежностью к международным экономическим организациям. Казахстан входит в группу стран с высоким потенциалом роста импорта данного оборудования, что обусловлено растущим спросом на низкоуглеродные технологии и высокой взаимодополняемостью торговых структур.</w:t>
      </w:r>
    </w:p>
    <w:p w14:paraId="3CAED5FD" w14:textId="77777777" w:rsidR="00E14263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lastRenderedPageBreak/>
        <w:t xml:space="preserve">С учётом целей настоящего исследования – выявления факторов, определяющих импорт Казахстаном технологий ВИЭ, и количественной оценки экспортного потенциала Китая – гравитационная модель выступает оптимальной методологической платформой. </w:t>
      </w:r>
    </w:p>
    <w:p w14:paraId="1A541026" w14:textId="77777777" w:rsidR="00E14263" w:rsidRPr="00217266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 xml:space="preserve">Концептуальные основания гравитационного подхода к моделированию международной торговли были заложены в работах </w:t>
      </w:r>
      <w:proofErr w:type="spellStart"/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Я.Тинбергена</w:t>
      </w:r>
      <w:proofErr w:type="spellEnd"/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 xml:space="preserve"> и </w:t>
      </w:r>
      <w:proofErr w:type="spellStart"/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П.Пойхонена</w:t>
      </w:r>
      <w:proofErr w:type="spellEnd"/>
      <w:r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 xml:space="preserve"> [127]</w:t>
      </w:r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, которые впервые адаптировали закон всемирного тяготения Ньютона к экономическим взаимодействиям между государствами. Их ключевое предположение заключается в том, что торговый поток между двумя странами определяется «экономической массой» партнёров и «силой притяжения», ослабляемой географическим расстоянием.</w:t>
      </w:r>
    </w:p>
    <w:p w14:paraId="25FC2EFD" w14:textId="77777777" w:rsidR="00E14263" w:rsidRPr="00217266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В рамках данной парадигмы валовой внутренний продукт интерпретируется как показатель экономического потенциала страны, отражающий совокупную способность генерировать спрос на импорт и предложение товаров на экспорт. Соответственно, чем выше экономический масштаб двух государств, тем значительнее ожидаемый торговый объём между ними.</w:t>
      </w:r>
    </w:p>
    <w:p w14:paraId="56A367B1" w14:textId="77777777" w:rsidR="00E14263" w:rsidRPr="00217266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Географическое расстояние между странами в модели представляет собой агрегированный показатель торговых издержек, включающий транспортные расходы, логистические барьеры и риски, связанные с удалённостью рынков. Оно формирует отрицательное влияние на торговый поток, что полностью согласуется как с теорией сравнительных преимуществ, так и с эмпирическими наблюдениями в мировой практике.</w:t>
      </w:r>
    </w:p>
    <w:p w14:paraId="55CDCB97" w14:textId="77777777" w:rsidR="00E14263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 w:rsidRPr="00217266"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>Первоначальная формализация модели представлена следующим выражением:</w:t>
      </w:r>
    </w:p>
    <w:p w14:paraId="530834F9" w14:textId="77777777" w:rsidR="00E14263" w:rsidRDefault="00E14263" w:rsidP="00E14263">
      <w:pPr>
        <w:pStyle w:val="afe"/>
        <w:ind w:firstLine="567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</w:p>
    <w:p w14:paraId="7CE51B7B" w14:textId="77777777" w:rsidR="00E14263" w:rsidRPr="00217266" w:rsidRDefault="00E14263" w:rsidP="00E14263">
      <w:pPr>
        <w:pStyle w:val="afe"/>
        <w:ind w:firstLine="567"/>
        <w:jc w:val="both"/>
        <w:rPr>
          <w:rFonts w:ascii="Times New Roman" w:hAnsi="Times New Roman"/>
          <w:vertAlign w:val="subscript"/>
          <w:lang w:val="ru-KZ"/>
        </w:rPr>
      </w:pPr>
      <m:oMath>
        <m:r>
          <w:rPr>
            <w:sz w:val="32"/>
            <w:szCs w:val="28"/>
            <w:lang w:val="ru-KZ"/>
          </w:rPr>
          <m:t>LnEX</m:t>
        </m:r>
        <m:r>
          <w:rPr>
            <w:sz w:val="32"/>
            <w:szCs w:val="28"/>
            <w:vertAlign w:val="subscript"/>
            <w:lang w:val="ru-KZ"/>
          </w:rPr>
          <m:t>ij</m:t>
        </m:r>
        <m:r>
          <w:rPr>
            <w:sz w:val="32"/>
            <w:szCs w:val="28"/>
          </w:rPr>
          <w:sym w:font="Symbol" w:char="F03D"/>
        </m:r>
        <m:r>
          <w:rPr>
            <w:sz w:val="32"/>
            <w:szCs w:val="28"/>
          </w:rPr>
          <w:sym w:font="Symbol" w:char="F061"/>
        </m:r>
        <m:r>
          <w:rPr>
            <w:sz w:val="32"/>
            <w:szCs w:val="28"/>
            <w:vertAlign w:val="subscript"/>
            <w:lang w:val="ru-KZ"/>
          </w:rPr>
          <m:t>0</m:t>
        </m:r>
        <m:r>
          <w:rPr>
            <w:sz w:val="32"/>
            <w:szCs w:val="28"/>
          </w:rPr>
          <w:sym w:font="Symbol" w:char="F02B"/>
        </m:r>
        <m:r>
          <w:rPr>
            <w:sz w:val="32"/>
            <w:szCs w:val="28"/>
          </w:rPr>
          <w:sym w:font="Symbol" w:char="F061"/>
        </m:r>
        <m:r>
          <w:rPr>
            <w:sz w:val="32"/>
            <w:szCs w:val="28"/>
            <w:vertAlign w:val="subscript"/>
            <w:lang w:val="ru-KZ"/>
          </w:rPr>
          <m:t>1</m:t>
        </m:r>
        <m:r>
          <w:rPr>
            <w:sz w:val="32"/>
            <w:szCs w:val="28"/>
            <w:lang w:val="ru-KZ"/>
          </w:rPr>
          <m:t>LnGDP</m:t>
        </m:r>
        <m:r>
          <w:rPr>
            <w:sz w:val="32"/>
            <w:szCs w:val="28"/>
            <w:vertAlign w:val="subscript"/>
            <w:lang w:val="ru-KZ"/>
          </w:rPr>
          <m:t>i</m:t>
        </m:r>
        <m:r>
          <w:rPr>
            <w:sz w:val="32"/>
            <w:szCs w:val="28"/>
          </w:rPr>
          <w:sym w:font="Symbol" w:char="F02B"/>
        </m:r>
        <m:r>
          <w:rPr>
            <w:sz w:val="32"/>
            <w:szCs w:val="28"/>
          </w:rPr>
          <w:sym w:font="Symbol" w:char="F061"/>
        </m:r>
        <m:r>
          <w:rPr>
            <w:sz w:val="32"/>
            <w:szCs w:val="28"/>
            <w:vertAlign w:val="subscript"/>
            <w:lang w:val="ru-KZ"/>
          </w:rPr>
          <m:t>2</m:t>
        </m:r>
        <m:r>
          <w:rPr>
            <w:sz w:val="32"/>
            <w:szCs w:val="28"/>
            <w:lang w:val="ru-KZ"/>
          </w:rPr>
          <m:t>LnGDP</m:t>
        </m:r>
        <m:r>
          <w:rPr>
            <w:sz w:val="32"/>
            <w:szCs w:val="28"/>
            <w:vertAlign w:val="subscript"/>
            <w:lang w:val="ru-KZ"/>
          </w:rPr>
          <m:t>j</m:t>
        </m:r>
        <m:r>
          <w:rPr>
            <w:sz w:val="32"/>
            <w:szCs w:val="28"/>
          </w:rPr>
          <w:sym w:font="Symbol" w:char="F02B"/>
        </m:r>
        <m:r>
          <w:rPr>
            <w:sz w:val="32"/>
            <w:szCs w:val="28"/>
          </w:rPr>
          <w:sym w:font="Symbol" w:char="F061"/>
        </m:r>
        <m:r>
          <w:rPr>
            <w:sz w:val="32"/>
            <w:szCs w:val="28"/>
            <w:vertAlign w:val="subscript"/>
            <w:lang w:val="ru-KZ"/>
          </w:rPr>
          <m:t>3</m:t>
        </m:r>
        <m:r>
          <w:rPr>
            <w:sz w:val="32"/>
            <w:szCs w:val="28"/>
            <w:lang w:val="ru-KZ"/>
          </w:rPr>
          <m:t>DI</m:t>
        </m:r>
        <m:r>
          <w:rPr>
            <w:sz w:val="32"/>
            <w:szCs w:val="28"/>
            <w:vertAlign w:val="subscript"/>
            <w:lang w:val="ru-KZ"/>
          </w:rPr>
          <m:t>ij</m:t>
        </m:r>
        <m:r>
          <w:rPr>
            <w:sz w:val="32"/>
            <w:szCs w:val="28"/>
          </w:rPr>
          <w:sym w:font="Symbol" w:char="F02B"/>
        </m:r>
        <m:r>
          <w:rPr>
            <w:sz w:val="32"/>
            <w:szCs w:val="28"/>
          </w:rPr>
          <w:sym w:font="Symbol" w:char="F06D"/>
        </m:r>
        <m:r>
          <w:rPr>
            <w:sz w:val="32"/>
            <w:szCs w:val="28"/>
            <w:vertAlign w:val="subscript"/>
            <w:lang w:val="ru-KZ"/>
          </w:rPr>
          <m:t>ij</m:t>
        </m:r>
      </m:oMath>
      <w:r>
        <w:rPr>
          <w:rFonts w:ascii="Times New Roman" w:hAnsi="Times New Roman"/>
          <w:i w:val="0"/>
          <w:sz w:val="32"/>
          <w:szCs w:val="28"/>
          <w:vertAlign w:val="subscript"/>
          <w:lang w:val="ru-KZ"/>
        </w:rPr>
        <w:t xml:space="preserve"> </w:t>
      </w:r>
      <w:r w:rsidRPr="00217266">
        <w:rPr>
          <w:rFonts w:ascii="Times New Roman" w:hAnsi="Times New Roman"/>
          <w:i w:val="0"/>
          <w:iCs/>
          <w:lang w:val="ru-KZ"/>
        </w:rPr>
        <w:tab/>
      </w:r>
      <w:r w:rsidRPr="00217266">
        <w:rPr>
          <w:rFonts w:ascii="Times New Roman" w:hAnsi="Times New Roman"/>
          <w:i w:val="0"/>
          <w:iCs/>
          <w:lang w:val="ru-KZ"/>
        </w:rPr>
        <w:tab/>
      </w:r>
      <w:r w:rsidRPr="00217266">
        <w:rPr>
          <w:rFonts w:ascii="Times New Roman" w:hAnsi="Times New Roman"/>
          <w:i w:val="0"/>
          <w:iCs/>
          <w:sz w:val="28"/>
          <w:szCs w:val="24"/>
          <w:lang w:val="ru-KZ"/>
        </w:rPr>
        <w:t>(</w:t>
      </w:r>
      <w:r>
        <w:rPr>
          <w:rFonts w:ascii="Times New Roman" w:hAnsi="Times New Roman"/>
          <w:i w:val="0"/>
          <w:iCs/>
          <w:sz w:val="28"/>
          <w:szCs w:val="24"/>
          <w:lang w:val="ru-KZ"/>
        </w:rPr>
        <w:t>1</w:t>
      </w:r>
      <w:r w:rsidRPr="00217266">
        <w:rPr>
          <w:rFonts w:ascii="Times New Roman" w:hAnsi="Times New Roman"/>
          <w:i w:val="0"/>
          <w:iCs/>
          <w:sz w:val="28"/>
          <w:szCs w:val="24"/>
          <w:lang w:val="ru-KZ"/>
        </w:rPr>
        <w:t>)</w:t>
      </w:r>
    </w:p>
    <w:p w14:paraId="7C5C3484" w14:textId="77777777" w:rsidR="00E14263" w:rsidRP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57AF73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266">
        <w:rPr>
          <w:rFonts w:ascii="Times New Roman" w:hAnsi="Times New Roman" w:cs="Times New Roman"/>
          <w:sz w:val="28"/>
          <w:szCs w:val="28"/>
        </w:rPr>
        <w:t>EXᵢⱼ – объём экспорта из страны i в страну j;</w:t>
      </w:r>
    </w:p>
    <w:p w14:paraId="56F2C696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266">
        <w:rPr>
          <w:rFonts w:ascii="Times New Roman" w:hAnsi="Times New Roman" w:cs="Times New Roman"/>
          <w:sz w:val="28"/>
          <w:szCs w:val="28"/>
        </w:rPr>
        <w:t>GDPᵢ, GDPⱼ – экономический масштаб, определяемый уровнем ВВП стран-экспортёра и импортёра;</w:t>
      </w:r>
    </w:p>
    <w:p w14:paraId="3AB9536A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266">
        <w:rPr>
          <w:rFonts w:ascii="Times New Roman" w:hAnsi="Times New Roman" w:cs="Times New Roman"/>
          <w:sz w:val="28"/>
          <w:szCs w:val="28"/>
        </w:rPr>
        <w:t>DIᵢⱼ – географическое расстояние между столицами двух государств;</w:t>
      </w:r>
    </w:p>
    <w:p w14:paraId="72C1EB10" w14:textId="77777777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μᵢⱼ – стохастический компонент, учитывающий ненаблюдаемые факторы.</w:t>
      </w:r>
    </w:p>
    <w:p w14:paraId="1463B1B0" w14:textId="77777777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 xml:space="preserve">Указанная модель стала основой многочисленных последующих модификаций, включающих институциональные, демографические, технологические и политические факторы. </w:t>
      </w:r>
      <w:proofErr w:type="gramStart"/>
      <w:r w:rsidRPr="00217266">
        <w:rPr>
          <w:rFonts w:ascii="Times New Roman" w:hAnsi="Times New Roman" w:cs="Times New Roman"/>
          <w:sz w:val="28"/>
          <w:szCs w:val="28"/>
        </w:rPr>
        <w:t>Ввиду высокой чувствительности отрасли возобновляемой энергетики к макроэкономическим и инфраструктурным условиям,</w:t>
      </w:r>
      <w:proofErr w:type="gramEnd"/>
      <w:r w:rsidRPr="00217266">
        <w:rPr>
          <w:rFonts w:ascii="Times New Roman" w:hAnsi="Times New Roman" w:cs="Times New Roman"/>
          <w:sz w:val="28"/>
          <w:szCs w:val="28"/>
        </w:rPr>
        <w:t xml:space="preserve"> гравитационный подход оказывается методологически оправданным для анализа торговых потоков оборудования для ВИЭ между Казахстаном и Китаем.</w:t>
      </w:r>
    </w:p>
    <w:p w14:paraId="4FA45D91" w14:textId="77777777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217266">
        <w:rPr>
          <w:rFonts w:ascii="Times New Roman" w:hAnsi="Times New Roman" w:cs="Times New Roman"/>
          <w:sz w:val="28"/>
          <w:szCs w:val="28"/>
        </w:rPr>
        <w:t>ервоначальная</w:t>
      </w:r>
      <w:proofErr w:type="spellEnd"/>
      <w:r w:rsidRPr="00217266">
        <w:rPr>
          <w:rFonts w:ascii="Times New Roman" w:hAnsi="Times New Roman" w:cs="Times New Roman"/>
          <w:sz w:val="28"/>
          <w:szCs w:val="28"/>
        </w:rPr>
        <w:t xml:space="preserve"> гравитационная модель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7266">
        <w:rPr>
          <w:rFonts w:ascii="Times New Roman" w:hAnsi="Times New Roman" w:cs="Times New Roman"/>
          <w:sz w:val="28"/>
          <w:szCs w:val="28"/>
        </w:rPr>
        <w:t xml:space="preserve">получила значительное дальнейшее развитие в работах последующих исследователей, которые стремились адаптировать её к более сложным структурам мировой торговли. Одним из первых существенных дополнений стала модификация модели, </w:t>
      </w:r>
      <w:r w:rsidRPr="00217266"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предложенная </w:t>
      </w:r>
      <w:proofErr w:type="spellStart"/>
      <w:r w:rsidRPr="00217266">
        <w:rPr>
          <w:rFonts w:ascii="Times New Roman" w:hAnsi="Times New Roman" w:cs="Times New Roman"/>
          <w:sz w:val="28"/>
          <w:szCs w:val="28"/>
        </w:rPr>
        <w:t>Lineman</w:t>
      </w:r>
      <w:proofErr w:type="spellEnd"/>
      <w:r w:rsidRPr="00217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[128]</w:t>
      </w:r>
      <w:r w:rsidRPr="00217266">
        <w:rPr>
          <w:rFonts w:ascii="Times New Roman" w:hAnsi="Times New Roman" w:cs="Times New Roman"/>
          <w:sz w:val="28"/>
          <w:szCs w:val="28"/>
        </w:rPr>
        <w:t>, который ввёл в структуру уравнения показатель численности населения. Введение данного параметра было мотивировано предположением о том, что масштаб внутреннего рынка прямо коррелирует с объёмами внешней торговли, поскольку население отражает как совокупный спрос, так и потенциальную трудоёмкость производственной системы.</w:t>
      </w:r>
    </w:p>
    <w:p w14:paraId="6FA65917" w14:textId="77777777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 xml:space="preserve">Позднее развитие гравитационной модели преимущественно происходило в двух методологических направлениях. Во-первых, в модель стали активно включаться фиктивные переменные, описывающие качественные характеристики двусторонних отношений: наличие общей границы, общность языка, исторические связи или участие в колониальных системах.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217266">
        <w:rPr>
          <w:rFonts w:ascii="Times New Roman" w:hAnsi="Times New Roman" w:cs="Times New Roman"/>
          <w:sz w:val="28"/>
          <w:szCs w:val="28"/>
        </w:rPr>
        <w:t xml:space="preserve"> параметры позволили учесть факторы, которые существенно влияют на транзакционные издержки, но не являются количественно измеримыми стандартными макроэкономическими индикаторами.</w:t>
      </w:r>
    </w:p>
    <w:p w14:paraId="5BB4CA41" w14:textId="77777777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Во-вторых, важным направлением стала интеграция институциональных переменных, отражающих участие стран в международных экономических объединениях и соглашениях. Эмпирические исследования неизменно подтверждали, что институциональная гармонизация и снижение барьеров внутри интеграционных объединений оказывают значимое положительное влияние на двусторонние торговые потоки. В частности, для Китая и его партнёров по ВИЭ-торговле доказано, что сотрудничество в рамках АТЭС и ШОС усиливает интенсивность товарооборота, снижая барьеры доступа и повышая предсказуемость условий торговли.</w:t>
      </w:r>
    </w:p>
    <w:p w14:paraId="1BA9CBFF" w14:textId="77777777" w:rsidR="00EF7FDB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266">
        <w:rPr>
          <w:rFonts w:ascii="Times New Roman" w:hAnsi="Times New Roman" w:cs="Times New Roman"/>
          <w:sz w:val="28"/>
          <w:szCs w:val="28"/>
        </w:rPr>
        <w:t>Учитывая специфику настоящего исследования, объектом которого является торговля оборудованием для возобновляемой энергетики между Китаем и странами вдоль инициативы «Один пояс, один путь», базовая гравитационная модель была дополнена набором параметров, отражающих структуру и технологическую динамику отрасли ВИЭ.</w:t>
      </w:r>
    </w:p>
    <w:p w14:paraId="41C0060A" w14:textId="5C03C06A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В частности, помимо традиционных макроэкономических детерминант, в модель включены:</w:t>
      </w:r>
    </w:p>
    <w:p w14:paraId="7EB49315" w14:textId="77777777" w:rsidR="00E14263" w:rsidRPr="00217266" w:rsidRDefault="00E14263" w:rsidP="00E14263">
      <w:pPr>
        <w:numPr>
          <w:ilvl w:val="0"/>
          <w:numId w:val="45"/>
        </w:numPr>
        <w:tabs>
          <w:tab w:val="clear" w:pos="305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ВВП на душу населения страны-импортёра, отражающий её технологический уровень и платёжеспособность спроса;</w:t>
      </w:r>
    </w:p>
    <w:p w14:paraId="707B8A95" w14:textId="77777777" w:rsidR="00E14263" w:rsidRPr="00217266" w:rsidRDefault="00E14263" w:rsidP="00E14263">
      <w:pPr>
        <w:numPr>
          <w:ilvl w:val="0"/>
          <w:numId w:val="45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численность населения страны-импортёра, характеризующая потенциальный масштаб внутреннего энергетического рынка;</w:t>
      </w:r>
    </w:p>
    <w:p w14:paraId="4E805D01" w14:textId="77777777" w:rsidR="00E14263" w:rsidRPr="00217266" w:rsidRDefault="00E14263" w:rsidP="00E14263">
      <w:pPr>
        <w:numPr>
          <w:ilvl w:val="0"/>
          <w:numId w:val="45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совокупная установленная мощность ВИЭ в Китае, отражающая производственные возможности китайской индустрии «зелёных» технологий;</w:t>
      </w:r>
    </w:p>
    <w:p w14:paraId="2D7CD857" w14:textId="77777777" w:rsidR="00E14263" w:rsidRPr="00217266" w:rsidRDefault="00E14263" w:rsidP="00E14263">
      <w:pPr>
        <w:numPr>
          <w:ilvl w:val="0"/>
          <w:numId w:val="45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ежегодный прирост установленной мощности ВИЭ в странах-импортёрах, выступающий индикатором актуального спроса на энергетическое оборудование;</w:t>
      </w:r>
    </w:p>
    <w:p w14:paraId="29844771" w14:textId="77777777" w:rsidR="00E14263" w:rsidRPr="00217266" w:rsidRDefault="00E14263" w:rsidP="00E14263">
      <w:pPr>
        <w:numPr>
          <w:ilvl w:val="0"/>
          <w:numId w:val="45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266">
        <w:rPr>
          <w:rFonts w:ascii="Times New Roman" w:hAnsi="Times New Roman" w:cs="Times New Roman"/>
          <w:sz w:val="28"/>
          <w:szCs w:val="28"/>
        </w:rPr>
        <w:t>институциональные фиктивные переменные, обозначающие членство страны-импортёра в таких организациях, как ШОС, АТЭС и ВТО. Эти параметры позволяют оценить, способствует ли формальное участие в экономических и политических объединениях снижению торговых барьеров и увеличению взаимного товарооборота.</w:t>
      </w:r>
    </w:p>
    <w:p w14:paraId="52B5789D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266">
        <w:rPr>
          <w:rFonts w:ascii="Times New Roman" w:hAnsi="Times New Roman" w:cs="Times New Roman"/>
          <w:sz w:val="28"/>
          <w:szCs w:val="28"/>
        </w:rPr>
        <w:lastRenderedPageBreak/>
        <w:t>С учётом данных расширений структура используемой в исследовании модели принимает следующую форму:</w:t>
      </w:r>
    </w:p>
    <w:p w14:paraId="1EFF7A80" w14:textId="77777777" w:rsidR="00EF7FDB" w:rsidRPr="00EF7FDB" w:rsidRDefault="00EF7FDB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E11294" w14:textId="77777777" w:rsidR="00E14263" w:rsidRPr="002172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m:oMath>
        <m:r>
          <w:rPr>
            <w:rFonts w:ascii="Cambria Math" w:hAnsi="Cambria Math"/>
            <w:sz w:val="28"/>
            <w:szCs w:val="28"/>
          </w:rPr>
          <m:t>LnEXijt=α0+α1LnGDPit+α2LnGDPjt+α3LnGDPCAPjt+α4LnDIij+α5LnPOPjt+α6LnRCit+α7LndRCjt+α8SCOj+α9APECj+α10WTOj+μij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  </w:t>
      </w:r>
      <w:r w:rsidRPr="00217266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(2)</w:t>
      </w:r>
    </w:p>
    <w:p w14:paraId="53926EB0" w14:textId="77777777" w:rsidR="00E14263" w:rsidRPr="00217266" w:rsidRDefault="00E14263" w:rsidP="00E14263">
      <w:pPr>
        <w:pStyle w:val="afe"/>
        <w:jc w:val="both"/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</w:pPr>
      <w:r>
        <w:rPr>
          <w:rFonts w:ascii="Times New Roman" w:eastAsiaTheme="minorHAnsi" w:hAnsi="Times New Roman"/>
          <w:i w:val="0"/>
          <w:kern w:val="2"/>
          <w:sz w:val="28"/>
          <w:szCs w:val="28"/>
          <w:lang w:val="ru-KZ" w:eastAsia="en-US"/>
          <w14:ligatures w14:val="standardContextual"/>
        </w:rPr>
        <w:t xml:space="preserve"> </w:t>
      </w:r>
    </w:p>
    <w:p w14:paraId="33AD353F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266">
        <w:rPr>
          <w:rFonts w:ascii="Times New Roman" w:hAnsi="Times New Roman" w:cs="Times New Roman"/>
          <w:sz w:val="28"/>
          <w:szCs w:val="28"/>
        </w:rPr>
        <w:t>Представленная спецификация отражает современную научную традицию использования гравитационных моделей в исследованиях торговли высокотехнологичной продукцией, включая оборудование для ВИЭ. Такое моделирование позволяет комплексно учесть как макроэкономические, так и институционально-технологические факторы, формирующие торговый потенциал между Казахстаном и Китаем.</w:t>
      </w:r>
    </w:p>
    <w:p w14:paraId="16E08D87" w14:textId="329884F3" w:rsidR="00E14263" w:rsidRPr="0091116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60">
        <w:rPr>
          <w:rFonts w:ascii="Times New Roman" w:hAnsi="Times New Roman" w:cs="Times New Roman"/>
          <w:sz w:val="28"/>
          <w:szCs w:val="28"/>
        </w:rPr>
        <w:t>Для обеспечения высокой достоверности эмпирических результатов и репрезентативности выборки в настоящем исследовании используется панель данных за период 2010–2019 годов. Указанный временной интервал выбран неслучайно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, так как данный</w:t>
      </w:r>
      <w:r w:rsidRPr="00911160">
        <w:rPr>
          <w:rFonts w:ascii="Times New Roman" w:hAnsi="Times New Roman" w:cs="Times New Roman"/>
          <w:sz w:val="28"/>
          <w:szCs w:val="28"/>
        </w:rPr>
        <w:t xml:space="preserve"> период наблюдалось ускоренное развитие мировой индустрии возобновляемой энергетики, структурная трансформация энергетических рынков стран Евразии и активизация торгово-экономического сотрудничества в рамках инициативы «Один пояс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911160">
        <w:rPr>
          <w:rFonts w:ascii="Times New Roman" w:hAnsi="Times New Roman" w:cs="Times New Roman"/>
          <w:sz w:val="28"/>
          <w:szCs w:val="28"/>
        </w:rPr>
        <w:t xml:space="preserve"> один путь».</w:t>
      </w:r>
    </w:p>
    <w:p w14:paraId="722AE50A" w14:textId="77777777" w:rsidR="00EF7FDB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1160">
        <w:rPr>
          <w:rFonts w:ascii="Times New Roman" w:hAnsi="Times New Roman" w:cs="Times New Roman"/>
          <w:sz w:val="28"/>
          <w:szCs w:val="28"/>
        </w:rPr>
        <w:t xml:space="preserve">Выбор объектов исследования также обусловлен спецификой предметной области. Страны, участвующие в инициативе «Пояса и пути», являются главным направлением экспорта энергетического оборудования Китая, включая технологии солнечной, ветровой и биоэнергетики.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911160">
        <w:rPr>
          <w:rFonts w:ascii="Times New Roman" w:hAnsi="Times New Roman" w:cs="Times New Roman"/>
          <w:sz w:val="28"/>
          <w:szCs w:val="28"/>
        </w:rPr>
        <w:t xml:space="preserve"> государства выступают ключевыми торговыми партнёрами Казахстана и представляют собой крупные, быстрорастущие рынки с высоким спросом на ВИЭ-технологии. Использование </w:t>
      </w:r>
      <w:proofErr w:type="spellStart"/>
      <w:r w:rsidRPr="00911160">
        <w:rPr>
          <w:rFonts w:ascii="Times New Roman" w:hAnsi="Times New Roman" w:cs="Times New Roman"/>
          <w:sz w:val="28"/>
          <w:szCs w:val="28"/>
        </w:rPr>
        <w:t>многострановой</w:t>
      </w:r>
      <w:proofErr w:type="spellEnd"/>
      <w:r w:rsidRPr="00911160">
        <w:rPr>
          <w:rFonts w:ascii="Times New Roman" w:hAnsi="Times New Roman" w:cs="Times New Roman"/>
          <w:sz w:val="28"/>
          <w:szCs w:val="28"/>
        </w:rPr>
        <w:t xml:space="preserve"> панели позволяет избежать эффекта случайности, повысить устойчивость оценок и провести сопоставимый анализ влияющих факторов на международную торговлю оборудованием для ВИЭ.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6EF17E" w14:textId="77777777" w:rsidR="00EF7FDB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1160">
        <w:rPr>
          <w:rFonts w:ascii="Times New Roman" w:hAnsi="Times New Roman" w:cs="Times New Roman"/>
          <w:sz w:val="28"/>
          <w:szCs w:val="28"/>
        </w:rPr>
        <w:t xml:space="preserve">Для оценки потенциала расширения торговли оборудованием для возобновляемой энергетики Китай–страны «Пояса и пути» в рамках настоящего исследования был проведён сопоставительный анализ фактических торговых потоков и прогнозируемых значений, рассчитанных по расширенной гравитационной модели. </w:t>
      </w:r>
    </w:p>
    <w:p w14:paraId="3FA22D24" w14:textId="72A19F73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1160">
        <w:rPr>
          <w:rFonts w:ascii="Times New Roman" w:hAnsi="Times New Roman" w:cs="Times New Roman"/>
          <w:sz w:val="28"/>
          <w:szCs w:val="28"/>
        </w:rPr>
        <w:t xml:space="preserve">На основе средних значений за период 2021–2023 годов осуществлена классификация 63 государств по уровню экспортного потенциала. Полученные данные представлены в таблице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911160">
        <w:rPr>
          <w:rFonts w:ascii="Times New Roman" w:hAnsi="Times New Roman" w:cs="Times New Roman"/>
          <w:sz w:val="28"/>
          <w:szCs w:val="28"/>
        </w:rPr>
        <w:t>.</w:t>
      </w:r>
    </w:p>
    <w:p w14:paraId="4BAA814A" w14:textId="77777777" w:rsidR="00E14263" w:rsidRDefault="00E14263" w:rsidP="00E14263">
      <w:pPr>
        <w:spacing w:after="0" w:line="240" w:lineRule="auto"/>
        <w:ind w:firstLine="567"/>
        <w:jc w:val="both"/>
        <w:rPr>
          <w:lang w:val="ru-RU"/>
        </w:rPr>
      </w:pPr>
    </w:p>
    <w:p w14:paraId="50FB583B" w14:textId="77777777" w:rsidR="00EF7FDB" w:rsidRDefault="00EF7FDB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B9D229" w14:textId="77777777" w:rsidR="00EF7FDB" w:rsidRDefault="00EF7FDB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DDED03" w14:textId="77777777" w:rsidR="00EF7FDB" w:rsidRDefault="00EF7FDB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3DFE68" w14:textId="77777777" w:rsidR="00EF7FDB" w:rsidRDefault="00EF7FDB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2ECB19" w14:textId="13DA4962" w:rsidR="00E14263" w:rsidRPr="006B4D66" w:rsidRDefault="00E14263" w:rsidP="00EF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B4D66">
        <w:rPr>
          <w:rFonts w:ascii="Times New Roman" w:hAnsi="Times New Roman" w:cs="Times New Roman"/>
          <w:sz w:val="28"/>
          <w:szCs w:val="28"/>
        </w:rPr>
        <w:t xml:space="preserve"> - Средний экспортный потенциал Китая оборудования для ВИЭ в 63 страны вдоль «Пояса и пути» с 2021 по 2023 год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20"/>
        <w:gridCol w:w="2334"/>
        <w:gridCol w:w="2344"/>
        <w:gridCol w:w="2347"/>
      </w:tblGrid>
      <w:tr w:rsidR="00E14263" w:rsidRPr="00EF7FDB" w14:paraId="2989FF6C" w14:textId="77777777" w:rsidTr="003C63B5">
        <w:trPr>
          <w:tblHeader/>
        </w:trPr>
        <w:tc>
          <w:tcPr>
            <w:tcW w:w="2402" w:type="dxa"/>
            <w:vAlign w:val="center"/>
          </w:tcPr>
          <w:p w14:paraId="09326869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Страна</w:t>
            </w:r>
          </w:p>
        </w:tc>
        <w:tc>
          <w:tcPr>
            <w:tcW w:w="2407" w:type="dxa"/>
            <w:vAlign w:val="center"/>
          </w:tcPr>
          <w:p w14:paraId="6DDC2DF4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Большой потенциал (23 страны)</w:t>
            </w:r>
          </w:p>
        </w:tc>
        <w:tc>
          <w:tcPr>
            <w:tcW w:w="2410" w:type="dxa"/>
            <w:vAlign w:val="center"/>
          </w:tcPr>
          <w:p w14:paraId="32DBD11E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Потенциал развития (11 стран)</w:t>
            </w:r>
          </w:p>
        </w:tc>
        <w:tc>
          <w:tcPr>
            <w:tcW w:w="2412" w:type="dxa"/>
            <w:vAlign w:val="center"/>
          </w:tcPr>
          <w:p w14:paraId="28345705" w14:textId="77777777" w:rsidR="00E14263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Потенциал реконструкции (29 стран)</w:t>
            </w:r>
          </w:p>
          <w:p w14:paraId="35F23FE5" w14:textId="77777777" w:rsidR="00EF7FDB" w:rsidRPr="00EF7FDB" w:rsidRDefault="00EF7FDB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</w:p>
        </w:tc>
      </w:tr>
      <w:tr w:rsidR="00E14263" w:rsidRPr="00EF7FDB" w14:paraId="2006BB9A" w14:textId="77777777" w:rsidTr="003C63B5">
        <w:trPr>
          <w:trHeight w:val="90"/>
        </w:trPr>
        <w:tc>
          <w:tcPr>
            <w:tcW w:w="2402" w:type="dxa"/>
            <w:vAlign w:val="center"/>
          </w:tcPr>
          <w:p w14:paraId="2E1893CC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Страны Восточной Азии</w:t>
            </w:r>
          </w:p>
        </w:tc>
        <w:tc>
          <w:tcPr>
            <w:tcW w:w="2407" w:type="dxa"/>
            <w:vAlign w:val="center"/>
          </w:tcPr>
          <w:p w14:paraId="7FEAD079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</w:t>
            </w:r>
          </w:p>
        </w:tc>
        <w:tc>
          <w:tcPr>
            <w:tcW w:w="2410" w:type="dxa"/>
            <w:vAlign w:val="center"/>
          </w:tcPr>
          <w:p w14:paraId="6E4CAA37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Монголия</w:t>
            </w:r>
          </w:p>
        </w:tc>
        <w:tc>
          <w:tcPr>
            <w:tcW w:w="2412" w:type="dxa"/>
            <w:vAlign w:val="center"/>
          </w:tcPr>
          <w:p w14:paraId="0E2AEE5A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</w:t>
            </w:r>
          </w:p>
        </w:tc>
      </w:tr>
      <w:tr w:rsidR="00E14263" w:rsidRPr="00EF7FDB" w14:paraId="65B89AB8" w14:textId="77777777" w:rsidTr="003C63B5">
        <w:tc>
          <w:tcPr>
            <w:tcW w:w="2402" w:type="dxa"/>
            <w:vAlign w:val="center"/>
          </w:tcPr>
          <w:p w14:paraId="3D57D2AB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Страны АСЕАН (Ассоциация государств Юго-Восточной Азии)</w:t>
            </w:r>
          </w:p>
        </w:tc>
        <w:tc>
          <w:tcPr>
            <w:tcW w:w="2407" w:type="dxa"/>
            <w:vAlign w:val="center"/>
          </w:tcPr>
          <w:p w14:paraId="6D39CE26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Филиппины, Индонезия</w:t>
            </w:r>
          </w:p>
        </w:tc>
        <w:tc>
          <w:tcPr>
            <w:tcW w:w="2410" w:type="dxa"/>
            <w:vAlign w:val="center"/>
          </w:tcPr>
          <w:p w14:paraId="5DA67473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Таиланд, Мьянма</w:t>
            </w:r>
          </w:p>
        </w:tc>
        <w:tc>
          <w:tcPr>
            <w:tcW w:w="2412" w:type="dxa"/>
            <w:vAlign w:val="center"/>
          </w:tcPr>
          <w:p w14:paraId="55CE484D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Сингапур, Малайзия, Бруней, Вьетнам, Камбоджа, Лаос</w:t>
            </w:r>
          </w:p>
        </w:tc>
      </w:tr>
      <w:tr w:rsidR="00E14263" w:rsidRPr="00EF7FDB" w14:paraId="2EC026F3" w14:textId="77777777" w:rsidTr="003C63B5">
        <w:tc>
          <w:tcPr>
            <w:tcW w:w="2402" w:type="dxa"/>
            <w:vAlign w:val="center"/>
          </w:tcPr>
          <w:p w14:paraId="7614827F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Страны Центральной Азии</w:t>
            </w:r>
          </w:p>
        </w:tc>
        <w:tc>
          <w:tcPr>
            <w:tcW w:w="2407" w:type="dxa"/>
            <w:vAlign w:val="center"/>
          </w:tcPr>
          <w:p w14:paraId="0BDF336F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Казахстан, Туркменистан</w:t>
            </w:r>
          </w:p>
        </w:tc>
        <w:tc>
          <w:tcPr>
            <w:tcW w:w="2410" w:type="dxa"/>
            <w:vAlign w:val="center"/>
          </w:tcPr>
          <w:p w14:paraId="0CC4CF04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</w:t>
            </w:r>
          </w:p>
        </w:tc>
        <w:tc>
          <w:tcPr>
            <w:tcW w:w="2412" w:type="dxa"/>
            <w:vAlign w:val="center"/>
          </w:tcPr>
          <w:p w14:paraId="75468DF0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Кыргызстан, Узбекистан, Таджикистан</w:t>
            </w:r>
          </w:p>
        </w:tc>
      </w:tr>
      <w:tr w:rsidR="00E14263" w:rsidRPr="00EF7FDB" w14:paraId="75161ABD" w14:textId="77777777" w:rsidTr="003C63B5">
        <w:tc>
          <w:tcPr>
            <w:tcW w:w="2402" w:type="dxa"/>
            <w:vAlign w:val="center"/>
          </w:tcPr>
          <w:p w14:paraId="1CA30E5F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Страны Западной Азии</w:t>
            </w:r>
          </w:p>
        </w:tc>
        <w:tc>
          <w:tcPr>
            <w:tcW w:w="2407" w:type="dxa"/>
            <w:vAlign w:val="center"/>
          </w:tcPr>
          <w:p w14:paraId="366B210A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Саудовская Аравия, Греция, Катар, Бахрейн, Израиль, Турция</w:t>
            </w:r>
          </w:p>
        </w:tc>
        <w:tc>
          <w:tcPr>
            <w:tcW w:w="2410" w:type="dxa"/>
            <w:vAlign w:val="center"/>
          </w:tcPr>
          <w:p w14:paraId="46DF3DE5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Кипр, Кувейт, Объединенные Арабские Эмираты</w:t>
            </w:r>
          </w:p>
        </w:tc>
        <w:tc>
          <w:tcPr>
            <w:tcW w:w="2412" w:type="dxa"/>
            <w:vAlign w:val="center"/>
          </w:tcPr>
          <w:p w14:paraId="7D565C0B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Ливан, Ирак, Иран, Йемен, Оман, Египет, Иордания</w:t>
            </w:r>
          </w:p>
        </w:tc>
      </w:tr>
      <w:tr w:rsidR="00E14263" w:rsidRPr="00EF7FDB" w14:paraId="7F8F9F03" w14:textId="77777777" w:rsidTr="003C63B5">
        <w:tc>
          <w:tcPr>
            <w:tcW w:w="2402" w:type="dxa"/>
            <w:vAlign w:val="center"/>
          </w:tcPr>
          <w:p w14:paraId="6C0CB187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Страны Южной Азии</w:t>
            </w:r>
          </w:p>
        </w:tc>
        <w:tc>
          <w:tcPr>
            <w:tcW w:w="2407" w:type="dxa"/>
            <w:vAlign w:val="center"/>
          </w:tcPr>
          <w:p w14:paraId="3E038566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Индия, Бангладеш, Афганистан, Шри-Ланка, Бутан, Непал</w:t>
            </w:r>
          </w:p>
        </w:tc>
        <w:tc>
          <w:tcPr>
            <w:tcW w:w="2410" w:type="dxa"/>
            <w:vAlign w:val="center"/>
          </w:tcPr>
          <w:p w14:paraId="28216F8D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</w:t>
            </w:r>
          </w:p>
        </w:tc>
        <w:tc>
          <w:tcPr>
            <w:tcW w:w="2412" w:type="dxa"/>
            <w:vAlign w:val="center"/>
          </w:tcPr>
          <w:p w14:paraId="25C1315E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Пакистан, Мальдивы</w:t>
            </w:r>
          </w:p>
        </w:tc>
      </w:tr>
      <w:tr w:rsidR="00E14263" w:rsidRPr="00EF7FDB" w14:paraId="1BFDCD0F" w14:textId="77777777" w:rsidTr="003C63B5">
        <w:trPr>
          <w:trHeight w:val="1070"/>
        </w:trPr>
        <w:tc>
          <w:tcPr>
            <w:tcW w:w="2402" w:type="dxa"/>
            <w:vAlign w:val="center"/>
          </w:tcPr>
          <w:p w14:paraId="43D43B50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Страны Центральной и Восточной Европы</w:t>
            </w:r>
          </w:p>
        </w:tc>
        <w:tc>
          <w:tcPr>
            <w:tcW w:w="2407" w:type="dxa"/>
            <w:vAlign w:val="center"/>
          </w:tcPr>
          <w:p w14:paraId="3FF44467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Босния и Герцеговина, Северная Македония, Хорватия, Болгария, Россия, Азербайджан, Молдова</w:t>
            </w:r>
          </w:p>
        </w:tc>
        <w:tc>
          <w:tcPr>
            <w:tcW w:w="2410" w:type="dxa"/>
            <w:vAlign w:val="center"/>
          </w:tcPr>
          <w:p w14:paraId="18F1032E" w14:textId="77777777" w:rsidR="00E14263" w:rsidRPr="00EF7FDB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Румыния, Литва, Сербия</w:t>
            </w:r>
          </w:p>
        </w:tc>
        <w:tc>
          <w:tcPr>
            <w:tcW w:w="2412" w:type="dxa"/>
            <w:vAlign w:val="center"/>
          </w:tcPr>
          <w:p w14:paraId="17988148" w14:textId="77777777" w:rsidR="00E14263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Албания, Эстония, Латвия, Чехия, Польша, Словения, Венгрия, Черногория, Словакия, Грузия, Украина, Армения Беларусь</w:t>
            </w:r>
          </w:p>
          <w:p w14:paraId="7113B46E" w14:textId="77777777" w:rsidR="00EF7FDB" w:rsidRPr="00EF7FDB" w:rsidRDefault="00EF7FDB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</w:p>
        </w:tc>
      </w:tr>
      <w:tr w:rsidR="00E14263" w:rsidRPr="00EF7FDB" w14:paraId="77DB15BA" w14:textId="77777777" w:rsidTr="003C63B5">
        <w:tc>
          <w:tcPr>
            <w:tcW w:w="9631" w:type="dxa"/>
            <w:gridSpan w:val="4"/>
            <w:vAlign w:val="center"/>
          </w:tcPr>
          <w:p w14:paraId="72B07DE8" w14:textId="77777777" w:rsidR="00E14263" w:rsidRPr="00EF7FDB" w:rsidRDefault="00E14263" w:rsidP="003C63B5">
            <w:pPr>
              <w:pStyle w:val="af"/>
              <w:ind w:firstLineChars="0" w:firstLine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Примечание: составлено автором на основании </w:t>
            </w:r>
            <w:proofErr w:type="gramStart"/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источника  [</w:t>
            </w:r>
            <w:proofErr w:type="gramEnd"/>
            <w:r w:rsidRPr="00EF7FDB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129]</w:t>
            </w:r>
          </w:p>
        </w:tc>
      </w:tr>
    </w:tbl>
    <w:p w14:paraId="2ADD88DE" w14:textId="77777777" w:rsidR="00E14263" w:rsidRPr="006B4D66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D86FB6" w14:textId="77777777" w:rsidR="00E14263" w:rsidRPr="006B4D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Как следует из таблицы, совокупность стран демонстрирует значительную неоднородность по уровню потенциальной ёмкости рынка. По рассчитанному коэффициенту экспортного потенциала:</w:t>
      </w:r>
    </w:p>
    <w:p w14:paraId="7D426265" w14:textId="77777777" w:rsidR="00E14263" w:rsidRPr="006B4D66" w:rsidRDefault="00E14263" w:rsidP="00E14263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23 страны относятся к категории высокого потенциала (P≤0,8), где фактический импорт оборудования из Китая существенно ниже прогнозируемого значения, что указывает на наличие значительного резерва для расширения торговли. Для Китая такие рынки могут рассматриваться как стратегические направления экспансии.</w:t>
      </w:r>
    </w:p>
    <w:p w14:paraId="76C5AF41" w14:textId="77777777" w:rsidR="00E14263" w:rsidRPr="006B4D66" w:rsidRDefault="00E14263" w:rsidP="00E14263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11 стран обладают умеренным потенциалом развития (0,8&lt;P≤1,2).</w:t>
      </w:r>
      <w:r w:rsidRPr="006B4D66">
        <w:rPr>
          <w:rFonts w:ascii="Times New Roman" w:hAnsi="Times New Roman" w:cs="Times New Roman"/>
          <w:sz w:val="28"/>
          <w:szCs w:val="28"/>
        </w:rPr>
        <w:br/>
        <w:t>В этих экономиках фактические торговые потоки находятся вблизи расчётного равновесия, однако есть возможности для дальнейшего углубления сотрудничества за счёт снятия административных или логистических ограничений.</w:t>
      </w:r>
    </w:p>
    <w:p w14:paraId="18E1467A" w14:textId="77777777" w:rsidR="00E14263" w:rsidRPr="006B4D66" w:rsidRDefault="00E14263" w:rsidP="00E14263">
      <w:pPr>
        <w:numPr>
          <w:ilvl w:val="0"/>
          <w:numId w:val="4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 xml:space="preserve">29 стран классифицированы как рынки с исчерпанным или близким к насыщению потенциалом (P&gt;1,2), фактический объём импорта превышает </w:t>
      </w:r>
      <w:r w:rsidRPr="006B4D66">
        <w:rPr>
          <w:rFonts w:ascii="Times New Roman" w:hAnsi="Times New Roman" w:cs="Times New Roman"/>
          <w:sz w:val="28"/>
          <w:szCs w:val="28"/>
        </w:rPr>
        <w:lastRenderedPageBreak/>
        <w:t>прогнозируемый, что может быть обусловлено уникальными двусторонними соглашениями, исторически сложившимися торговыми связями или временными всплесками спроса.</w:t>
      </w:r>
    </w:p>
    <w:p w14:paraId="15598586" w14:textId="77777777" w:rsidR="00E14263" w:rsidRPr="006B4D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Особое внимание заслуживает региональная структура потенциала. Как видно из таблицы:</w:t>
      </w:r>
    </w:p>
    <w:p w14:paraId="266418EF" w14:textId="77777777" w:rsidR="00E14263" w:rsidRPr="006B4D66" w:rsidRDefault="00E14263" w:rsidP="00E14263">
      <w:pPr>
        <w:numPr>
          <w:ilvl w:val="0"/>
          <w:numId w:val="49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в Центральной Азии к высокопотенциальным рынкам отнесены лишь две страны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B4D66">
        <w:rPr>
          <w:rFonts w:ascii="Times New Roman" w:hAnsi="Times New Roman" w:cs="Times New Roman"/>
          <w:sz w:val="28"/>
          <w:szCs w:val="28"/>
        </w:rPr>
        <w:t>Казахстан и Туркменистан,</w:t>
      </w:r>
    </w:p>
    <w:p w14:paraId="691D4597" w14:textId="77777777" w:rsidR="00E14263" w:rsidRPr="006B4D66" w:rsidRDefault="00E14263" w:rsidP="00E14263">
      <w:pPr>
        <w:numPr>
          <w:ilvl w:val="0"/>
          <w:numId w:val="49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в то время как Кыргызстан, Узбекистан и Таджикистан продемонстрировали признаки насыщенности рынка, что отражает специфику их ограниченного внутреннего спроса и высокую зависимость от проектов крупных внешних инвесторов.</w:t>
      </w:r>
    </w:p>
    <w:p w14:paraId="2303979C" w14:textId="77777777" w:rsidR="00E14263" w:rsidRPr="006B4D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Похожая неоднородность наблюдается и в других макрорегионах, что подтверждает вывод о том, что китайский экспорт оборудования для ВИЭ развивается несбалансированно и характеризуется высокой дифференциацией между группами стран. Для Казахстана результаты классификации свидетельствуют о наличии значительных возможностей для наращивания импорта китайских технологий ВИЭ при условии устранения отдельных структурных и институциональных препятствий.</w:t>
      </w:r>
    </w:p>
    <w:p w14:paraId="23496A40" w14:textId="77A4D44E" w:rsidR="00E14263" w:rsidRPr="006B4D66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Использование комплексного набора переменных позволяет наиболее точно учесть особенности товарной группы «оборудование для ВИЭ», спрос на которую определяется не только уровнем экономического развития страны, но и этапом её энергетического перехода, политико-институциональными условиями и структурой национальных энергетических стратегий. Значения и источники данных каждой переменной показаны в таблице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B4D66">
        <w:rPr>
          <w:rFonts w:ascii="Times New Roman" w:hAnsi="Times New Roman" w:cs="Times New Roman"/>
          <w:sz w:val="28"/>
          <w:szCs w:val="28"/>
        </w:rPr>
        <w:t>.</w:t>
      </w:r>
    </w:p>
    <w:p w14:paraId="527DD651" w14:textId="77777777" w:rsidR="00E14263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93BCB0" w14:textId="695EACEE" w:rsidR="00E14263" w:rsidRPr="006B4D66" w:rsidRDefault="00E14263" w:rsidP="00E14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B4D66">
        <w:rPr>
          <w:rFonts w:ascii="Times New Roman" w:hAnsi="Times New Roman" w:cs="Times New Roman"/>
          <w:sz w:val="28"/>
          <w:szCs w:val="28"/>
        </w:rPr>
        <w:t xml:space="preserve"> - Значения и источники данных переменных гравитационной модели</w:t>
      </w:r>
    </w:p>
    <w:tbl>
      <w:tblPr>
        <w:tblStyle w:val="ad"/>
        <w:tblW w:w="8985" w:type="dxa"/>
        <w:tblLayout w:type="fixed"/>
        <w:tblLook w:val="04A0" w:firstRow="1" w:lastRow="0" w:firstColumn="1" w:lastColumn="0" w:noHBand="0" w:noVBand="1"/>
      </w:tblPr>
      <w:tblGrid>
        <w:gridCol w:w="1832"/>
        <w:gridCol w:w="5177"/>
        <w:gridCol w:w="1976"/>
      </w:tblGrid>
      <w:tr w:rsidR="00E14263" w:rsidRPr="006B4D66" w14:paraId="31B8893A" w14:textId="77777777" w:rsidTr="00B7539E">
        <w:trPr>
          <w:trHeight w:val="70"/>
          <w:tblHeader/>
        </w:trPr>
        <w:tc>
          <w:tcPr>
            <w:tcW w:w="1832" w:type="dxa"/>
            <w:vAlign w:val="center"/>
          </w:tcPr>
          <w:p w14:paraId="7EBA8EEA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Переменная</w:t>
            </w:r>
          </w:p>
        </w:tc>
        <w:tc>
          <w:tcPr>
            <w:tcW w:w="5177" w:type="dxa"/>
            <w:vAlign w:val="center"/>
          </w:tcPr>
          <w:p w14:paraId="5609A530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Значение</w:t>
            </w:r>
          </w:p>
        </w:tc>
        <w:tc>
          <w:tcPr>
            <w:tcW w:w="1976" w:type="dxa"/>
            <w:vAlign w:val="center"/>
          </w:tcPr>
          <w:p w14:paraId="4B12F7C8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Ожидаемый знак</w:t>
            </w:r>
          </w:p>
        </w:tc>
      </w:tr>
      <w:tr w:rsidR="00E14263" w:rsidRPr="006B4D66" w14:paraId="567DF859" w14:textId="77777777" w:rsidTr="00EF7FDB">
        <w:trPr>
          <w:trHeight w:val="481"/>
        </w:trPr>
        <w:tc>
          <w:tcPr>
            <w:tcW w:w="1832" w:type="dxa"/>
            <w:vAlign w:val="center"/>
          </w:tcPr>
          <w:p w14:paraId="0F753A2F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EXijt</w:t>
            </w:r>
            <w:proofErr w:type="spellEnd"/>
          </w:p>
        </w:tc>
        <w:tc>
          <w:tcPr>
            <w:tcW w:w="5177" w:type="dxa"/>
            <w:vAlign w:val="center"/>
          </w:tcPr>
          <w:p w14:paraId="1F45D4D3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Стоимость экспорта оборудования для ВИЭ из Китая в страну j в году t</w:t>
            </w:r>
          </w:p>
        </w:tc>
        <w:tc>
          <w:tcPr>
            <w:tcW w:w="1976" w:type="dxa"/>
            <w:vAlign w:val="center"/>
          </w:tcPr>
          <w:p w14:paraId="55025B86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/</w:t>
            </w:r>
          </w:p>
        </w:tc>
      </w:tr>
      <w:tr w:rsidR="00E14263" w:rsidRPr="006B4D66" w14:paraId="0FF6BED3" w14:textId="77777777" w:rsidTr="003C63B5">
        <w:trPr>
          <w:trHeight w:val="259"/>
        </w:trPr>
        <w:tc>
          <w:tcPr>
            <w:tcW w:w="1832" w:type="dxa"/>
            <w:vAlign w:val="center"/>
          </w:tcPr>
          <w:p w14:paraId="39AD51EA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GDPit</w:t>
            </w:r>
            <w:proofErr w:type="spellEnd"/>
          </w:p>
        </w:tc>
        <w:tc>
          <w:tcPr>
            <w:tcW w:w="5177" w:type="dxa"/>
            <w:vAlign w:val="center"/>
          </w:tcPr>
          <w:p w14:paraId="492C40D8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ВВП Китая в году t</w:t>
            </w:r>
          </w:p>
        </w:tc>
        <w:tc>
          <w:tcPr>
            <w:tcW w:w="1976" w:type="dxa"/>
            <w:vAlign w:val="center"/>
          </w:tcPr>
          <w:p w14:paraId="41C07935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4E627D05" w14:textId="77777777" w:rsidTr="003C63B5">
        <w:trPr>
          <w:trHeight w:val="259"/>
        </w:trPr>
        <w:tc>
          <w:tcPr>
            <w:tcW w:w="1832" w:type="dxa"/>
            <w:vAlign w:val="center"/>
          </w:tcPr>
          <w:p w14:paraId="08034C98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GDPjt</w:t>
            </w:r>
            <w:proofErr w:type="spellEnd"/>
          </w:p>
        </w:tc>
        <w:tc>
          <w:tcPr>
            <w:tcW w:w="5177" w:type="dxa"/>
            <w:vAlign w:val="center"/>
          </w:tcPr>
          <w:p w14:paraId="019E0F95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ВВП страны j в году t</w:t>
            </w:r>
          </w:p>
        </w:tc>
        <w:tc>
          <w:tcPr>
            <w:tcW w:w="1976" w:type="dxa"/>
            <w:vAlign w:val="center"/>
          </w:tcPr>
          <w:p w14:paraId="27C868A0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2DDFDD1A" w14:textId="77777777" w:rsidTr="00B7539E">
        <w:trPr>
          <w:trHeight w:val="70"/>
        </w:trPr>
        <w:tc>
          <w:tcPr>
            <w:tcW w:w="1832" w:type="dxa"/>
            <w:vAlign w:val="center"/>
          </w:tcPr>
          <w:p w14:paraId="33630551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GDPCAPjt</w:t>
            </w:r>
            <w:proofErr w:type="spellEnd"/>
          </w:p>
        </w:tc>
        <w:tc>
          <w:tcPr>
            <w:tcW w:w="5177" w:type="dxa"/>
            <w:vAlign w:val="center"/>
          </w:tcPr>
          <w:p w14:paraId="78CFC425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ВВП на душу населения страны j в год t</w:t>
            </w:r>
          </w:p>
        </w:tc>
        <w:tc>
          <w:tcPr>
            <w:tcW w:w="1976" w:type="dxa"/>
            <w:vAlign w:val="center"/>
          </w:tcPr>
          <w:p w14:paraId="55A4C9D5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47B8FDC5" w14:textId="77777777" w:rsidTr="00B7539E">
        <w:trPr>
          <w:trHeight w:val="70"/>
        </w:trPr>
        <w:tc>
          <w:tcPr>
            <w:tcW w:w="1832" w:type="dxa"/>
            <w:vAlign w:val="center"/>
          </w:tcPr>
          <w:p w14:paraId="0031F76E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DIij</w:t>
            </w:r>
            <w:proofErr w:type="spellEnd"/>
          </w:p>
        </w:tc>
        <w:tc>
          <w:tcPr>
            <w:tcW w:w="5177" w:type="dxa"/>
            <w:vAlign w:val="center"/>
          </w:tcPr>
          <w:p w14:paraId="17EDE74B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Географическое расстояние между Китаем и столицей страны j</w:t>
            </w:r>
          </w:p>
        </w:tc>
        <w:tc>
          <w:tcPr>
            <w:tcW w:w="1976" w:type="dxa"/>
            <w:vAlign w:val="center"/>
          </w:tcPr>
          <w:p w14:paraId="1CCEE1CC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</w:t>
            </w:r>
          </w:p>
        </w:tc>
      </w:tr>
      <w:tr w:rsidR="00E14263" w:rsidRPr="006B4D66" w14:paraId="031ECBD5" w14:textId="77777777" w:rsidTr="00B7539E">
        <w:trPr>
          <w:trHeight w:val="70"/>
        </w:trPr>
        <w:tc>
          <w:tcPr>
            <w:tcW w:w="1832" w:type="dxa"/>
            <w:vAlign w:val="center"/>
          </w:tcPr>
          <w:p w14:paraId="1EEC567F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POPjt</w:t>
            </w:r>
            <w:proofErr w:type="spellEnd"/>
          </w:p>
        </w:tc>
        <w:tc>
          <w:tcPr>
            <w:tcW w:w="5177" w:type="dxa"/>
            <w:vAlign w:val="center"/>
          </w:tcPr>
          <w:p w14:paraId="6BBEF723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Численность населения страны j в год t</w:t>
            </w:r>
          </w:p>
        </w:tc>
        <w:tc>
          <w:tcPr>
            <w:tcW w:w="1976" w:type="dxa"/>
            <w:vAlign w:val="center"/>
          </w:tcPr>
          <w:p w14:paraId="181BF1FA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53408325" w14:textId="77777777" w:rsidTr="003C63B5">
        <w:trPr>
          <w:trHeight w:val="532"/>
        </w:trPr>
        <w:tc>
          <w:tcPr>
            <w:tcW w:w="1832" w:type="dxa"/>
            <w:vAlign w:val="center"/>
          </w:tcPr>
          <w:p w14:paraId="4F7E4CD8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RCit</w:t>
            </w:r>
            <w:proofErr w:type="spellEnd"/>
          </w:p>
        </w:tc>
        <w:tc>
          <w:tcPr>
            <w:tcW w:w="5177" w:type="dxa"/>
            <w:vAlign w:val="center"/>
          </w:tcPr>
          <w:p w14:paraId="3B56E997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Общая установленная мощность ВИЭ в Китае в год t</w:t>
            </w:r>
          </w:p>
        </w:tc>
        <w:tc>
          <w:tcPr>
            <w:tcW w:w="1976" w:type="dxa"/>
            <w:vAlign w:val="center"/>
          </w:tcPr>
          <w:p w14:paraId="104C1EA6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22861BD9" w14:textId="77777777" w:rsidTr="003C63B5">
        <w:trPr>
          <w:trHeight w:val="518"/>
        </w:trPr>
        <w:tc>
          <w:tcPr>
            <w:tcW w:w="1832" w:type="dxa"/>
            <w:vAlign w:val="center"/>
          </w:tcPr>
          <w:p w14:paraId="6CF40F29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dRCjt</w:t>
            </w:r>
            <w:proofErr w:type="spellEnd"/>
          </w:p>
        </w:tc>
        <w:tc>
          <w:tcPr>
            <w:tcW w:w="5177" w:type="dxa"/>
            <w:vAlign w:val="center"/>
          </w:tcPr>
          <w:p w14:paraId="69F6873C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Прирост установленной мощности ВИЭ в стране j в год t</w:t>
            </w:r>
          </w:p>
        </w:tc>
        <w:tc>
          <w:tcPr>
            <w:tcW w:w="1976" w:type="dxa"/>
            <w:vAlign w:val="center"/>
          </w:tcPr>
          <w:p w14:paraId="31AF0601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3508D5D3" w14:textId="77777777" w:rsidTr="003C63B5">
        <w:trPr>
          <w:trHeight w:val="532"/>
        </w:trPr>
        <w:tc>
          <w:tcPr>
            <w:tcW w:w="1832" w:type="dxa"/>
            <w:vAlign w:val="center"/>
          </w:tcPr>
          <w:p w14:paraId="0DE71240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SCOjt</w:t>
            </w:r>
            <w:proofErr w:type="spellEnd"/>
          </w:p>
        </w:tc>
        <w:tc>
          <w:tcPr>
            <w:tcW w:w="5177" w:type="dxa"/>
            <w:vAlign w:val="center"/>
          </w:tcPr>
          <w:p w14:paraId="74B3E07D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Фиктивная переменная, является ли страна j членом ШОС в году t</w:t>
            </w:r>
          </w:p>
        </w:tc>
        <w:tc>
          <w:tcPr>
            <w:tcW w:w="1976" w:type="dxa"/>
            <w:vAlign w:val="center"/>
          </w:tcPr>
          <w:p w14:paraId="33B800F0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6D369E07" w14:textId="77777777" w:rsidTr="00B7539E">
        <w:trPr>
          <w:trHeight w:val="70"/>
        </w:trPr>
        <w:tc>
          <w:tcPr>
            <w:tcW w:w="1832" w:type="dxa"/>
            <w:vAlign w:val="center"/>
          </w:tcPr>
          <w:p w14:paraId="2EFFC2F0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APECjt</w:t>
            </w:r>
            <w:proofErr w:type="spellEnd"/>
          </w:p>
        </w:tc>
        <w:tc>
          <w:tcPr>
            <w:tcW w:w="5177" w:type="dxa"/>
            <w:vAlign w:val="center"/>
          </w:tcPr>
          <w:p w14:paraId="24E64F60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Фиктивная переменная, определяющая, является ли страна j членом АТЭС в году t.</w:t>
            </w:r>
          </w:p>
        </w:tc>
        <w:tc>
          <w:tcPr>
            <w:tcW w:w="1976" w:type="dxa"/>
            <w:vAlign w:val="center"/>
          </w:tcPr>
          <w:p w14:paraId="327FD5B7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312968D2" w14:textId="77777777" w:rsidTr="003C63B5">
        <w:trPr>
          <w:trHeight w:val="518"/>
        </w:trPr>
        <w:tc>
          <w:tcPr>
            <w:tcW w:w="1832" w:type="dxa"/>
            <w:vAlign w:val="center"/>
          </w:tcPr>
          <w:p w14:paraId="6359567F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WTOjt</w:t>
            </w:r>
            <w:proofErr w:type="spellEnd"/>
          </w:p>
        </w:tc>
        <w:tc>
          <w:tcPr>
            <w:tcW w:w="5177" w:type="dxa"/>
            <w:vAlign w:val="center"/>
          </w:tcPr>
          <w:p w14:paraId="75582BF6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Фиктивная переменная, является ли страна j членом ВТО в году t</w:t>
            </w:r>
          </w:p>
        </w:tc>
        <w:tc>
          <w:tcPr>
            <w:tcW w:w="1976" w:type="dxa"/>
            <w:vAlign w:val="center"/>
          </w:tcPr>
          <w:p w14:paraId="529B76CD" w14:textId="77777777" w:rsidR="00E14263" w:rsidRPr="006B4D66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B4D66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+</w:t>
            </w:r>
          </w:p>
        </w:tc>
      </w:tr>
      <w:tr w:rsidR="00E14263" w:rsidRPr="006B4D66" w14:paraId="4F776E9F" w14:textId="77777777" w:rsidTr="003C63B5">
        <w:trPr>
          <w:trHeight w:val="255"/>
        </w:trPr>
        <w:tc>
          <w:tcPr>
            <w:tcW w:w="8985" w:type="dxa"/>
            <w:gridSpan w:val="3"/>
            <w:vAlign w:val="center"/>
          </w:tcPr>
          <w:p w14:paraId="1CA70BAB" w14:textId="77777777" w:rsidR="00E14263" w:rsidRPr="00EF1F6F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Примечание: составлено автором на основании </w:t>
            </w:r>
            <w:proofErr w:type="gram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источника  [</w:t>
            </w:r>
            <w:proofErr w:type="gramEnd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130]</w:t>
            </w:r>
          </w:p>
        </w:tc>
      </w:tr>
    </w:tbl>
    <w:p w14:paraId="0A850F1D" w14:textId="2823B4AD" w:rsidR="00E14263" w:rsidRPr="006B4D66" w:rsidRDefault="00EF7FDB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lastRenderedPageBreak/>
        <w:t>Для эмпирической проверки расширенной гравитационной модели международной торговли оборудованием для возобновляемых источников энергии необходимо корректное определение набора объясняющих переменных и источников данных, обеспечивающих репрезентативность и сопоставимость выборки. Поскольку исследование направлено на анализ факторов, влияющих на экспорт китайского оборудования для ВИЭ в страны «Пояса и пути», в модель включены как классические макроэкономические показатели международной торговли, так и отраслевые характеристики рынка ВИЭ, а также институциональные фиктивные переменные, отражающие степень интеграции стран-импортёров в международные экономические организации.</w:t>
      </w:r>
    </w:p>
    <w:p w14:paraId="2DA18C6D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66">
        <w:rPr>
          <w:rFonts w:ascii="Times New Roman" w:hAnsi="Times New Roman" w:cs="Times New Roman"/>
          <w:sz w:val="28"/>
          <w:szCs w:val="28"/>
        </w:rPr>
        <w:t>Комплекс сформированных переменных позволяет всесторонне описать экономические, логистические, институциональные и технологические условия, определяющие стоимость экспорта китайского оборудования для ВИЭ. Включение отраслевых показателей (</w:t>
      </w:r>
      <w:proofErr w:type="spellStart"/>
      <w:r w:rsidRPr="006B4D66">
        <w:rPr>
          <w:rFonts w:ascii="Times New Roman" w:hAnsi="Times New Roman" w:cs="Times New Roman"/>
          <w:sz w:val="28"/>
          <w:szCs w:val="28"/>
        </w:rPr>
        <w:t>RCit</w:t>
      </w:r>
      <w:proofErr w:type="spellEnd"/>
      <w:r w:rsidRPr="006B4D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4D66">
        <w:rPr>
          <w:rFonts w:ascii="Times New Roman" w:hAnsi="Times New Roman" w:cs="Times New Roman"/>
          <w:sz w:val="28"/>
          <w:szCs w:val="28"/>
        </w:rPr>
        <w:t>dRCjt</w:t>
      </w:r>
      <w:proofErr w:type="spellEnd"/>
      <w:r w:rsidRPr="006B4D66">
        <w:rPr>
          <w:rFonts w:ascii="Times New Roman" w:hAnsi="Times New Roman" w:cs="Times New Roman"/>
          <w:sz w:val="28"/>
          <w:szCs w:val="28"/>
        </w:rPr>
        <w:t>) усиливает применимость модели к специфике рынка возобновляемой энергетики, где спрос и предложение формируются под влиянием национальной энергетической политики и динамики перехода к низкоуглеродной экономике. Наличие фиктивных переменных институциональной интеграции обеспечивает учёт системных различий между странами и повышает объяснительную способность модели применительно к странам Центральной Азии, включая Казахстан.</w:t>
      </w:r>
    </w:p>
    <w:p w14:paraId="2994F09D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Оценка и тестирование модели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D09F0">
        <w:rPr>
          <w:rFonts w:ascii="Times New Roman" w:hAnsi="Times New Roman" w:cs="Times New Roman"/>
          <w:sz w:val="28"/>
          <w:szCs w:val="28"/>
        </w:rPr>
        <w:t xml:space="preserve">Для обеспечения корректности построения расширенной гравитационной модели и достоверности последующей регрессионной оценки необходимо предварительно проверить статистические свойства используемых переменных. В настоящем исследовании все расчёты выполнены в программной среде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Stata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16, что позволяет применять современные методы анализа панельных данных и проводить комплексные диагностические тесты.</w:t>
      </w:r>
    </w:p>
    <w:p w14:paraId="51DF87A8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Поскольку модель основана на панельных данных 63 стран вдоль инициативы «Пояс и путь» за период 2010–2019 гг., предварительным этапом является проверка стационарности переменных. Стационарность является ключевым требованием, поскольку нестабильные временные ряды приводят к проблемам ложной регрессии и смещённым оценкам коэффициентов.</w:t>
      </w:r>
    </w:p>
    <w:p w14:paraId="076422F5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Характеристики выборки (n = 63, T = 10) соответствуют короткой сбалансированной панели, что обосновывает использование специализированных тестов для панельных данных. Среди возможных методов проверки единичного корня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таких как </w:t>
      </w:r>
      <w:r w:rsidRPr="00DD09F0">
        <w:rPr>
          <w:rFonts w:ascii="Times New Roman" w:hAnsi="Times New Roman" w:cs="Times New Roman"/>
          <w:sz w:val="28"/>
          <w:szCs w:val="28"/>
        </w:rPr>
        <w:t xml:space="preserve">LLC, IPS, HT,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Fisher-type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Breitung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D0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ыбран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тест </w:t>
      </w:r>
      <w:r>
        <w:rPr>
          <w:rFonts w:ascii="Times New Roman" w:hAnsi="Times New Roman" w:cs="Times New Roman"/>
          <w:sz w:val="28"/>
          <w:szCs w:val="28"/>
          <w:lang w:val="en-US"/>
        </w:rPr>
        <w:t>LLC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D09F0">
        <w:rPr>
          <w:rFonts w:ascii="Times New Roman" w:hAnsi="Times New Roman" w:cs="Times New Roman"/>
          <w:sz w:val="28"/>
          <w:szCs w:val="28"/>
        </w:rPr>
        <w:t xml:space="preserve">Левина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D09F0">
        <w:rPr>
          <w:rFonts w:ascii="Times New Roman" w:hAnsi="Times New Roman" w:cs="Times New Roman"/>
          <w:sz w:val="28"/>
          <w:szCs w:val="28"/>
        </w:rPr>
        <w:t xml:space="preserve"> Лина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D09F0">
        <w:rPr>
          <w:rFonts w:ascii="Times New Roman" w:hAnsi="Times New Roman" w:cs="Times New Roman"/>
          <w:sz w:val="28"/>
          <w:szCs w:val="28"/>
        </w:rPr>
        <w:t xml:space="preserve"> Чу, который является стандартом для анализа сбалансированных панелей и обладает высокой статистической мощностью при относительно небольшом числе временных наблюдений.</w:t>
      </w:r>
    </w:p>
    <w:p w14:paraId="279DCC33" w14:textId="27980DFF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9F0">
        <w:rPr>
          <w:rFonts w:ascii="Times New Roman" w:hAnsi="Times New Roman" w:cs="Times New Roman"/>
          <w:sz w:val="28"/>
          <w:szCs w:val="28"/>
        </w:rPr>
        <w:t xml:space="preserve">Перед применением теста переменные были преобразованы путём логарифмирования, что уменьшает асимметрию распределений и позволяет интерпретировать коэффициенты как эластичности. Далее переменные были </w:t>
      </w:r>
      <w:r w:rsidRPr="00DD09F0">
        <w:rPr>
          <w:rFonts w:ascii="Times New Roman" w:hAnsi="Times New Roman" w:cs="Times New Roman"/>
          <w:sz w:val="28"/>
          <w:szCs w:val="28"/>
        </w:rPr>
        <w:lastRenderedPageBreak/>
        <w:t>протестированы на наличие единичного корня. Согласно результатам теста LLC (таблица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DD09F0">
        <w:rPr>
          <w:rFonts w:ascii="Times New Roman" w:hAnsi="Times New Roman" w:cs="Times New Roman"/>
          <w:sz w:val="28"/>
          <w:szCs w:val="28"/>
        </w:rPr>
        <w:t xml:space="preserve">), все переменные становятся стационарными после взятия первой разности, что подтверждает их интеграцию порядка </w:t>
      </w:r>
      <w:proofErr w:type="gramStart"/>
      <w:r w:rsidRPr="00DD09F0">
        <w:rPr>
          <w:rFonts w:ascii="Times New Roman" w:hAnsi="Times New Roman" w:cs="Times New Roman"/>
          <w:sz w:val="28"/>
          <w:szCs w:val="28"/>
        </w:rPr>
        <w:t>I(</w:t>
      </w:r>
      <w:proofErr w:type="gramEnd"/>
      <w:r w:rsidRPr="00DD09F0">
        <w:rPr>
          <w:rFonts w:ascii="Times New Roman" w:hAnsi="Times New Roman" w:cs="Times New Roman"/>
          <w:sz w:val="28"/>
          <w:szCs w:val="28"/>
        </w:rPr>
        <w:t>1)</w:t>
      </w:r>
      <w:r w:rsidR="001A6560">
        <w:rPr>
          <w:rFonts w:ascii="Times New Roman" w:hAnsi="Times New Roman" w:cs="Times New Roman"/>
          <w:sz w:val="28"/>
          <w:szCs w:val="28"/>
        </w:rPr>
        <w:t xml:space="preserve"> (приложение А)</w:t>
      </w:r>
      <w:r w:rsidRPr="00DD09F0">
        <w:rPr>
          <w:rFonts w:ascii="Times New Roman" w:hAnsi="Times New Roman" w:cs="Times New Roman"/>
          <w:sz w:val="28"/>
          <w:szCs w:val="28"/>
        </w:rPr>
        <w:t xml:space="preserve">. Во всех случаях нулевая гипотеза о наличии единичного корня отвергается на уровне значимости 1% (p </w:t>
      </w:r>
      <w:proofErr w:type="gramStart"/>
      <w:r w:rsidRPr="00DD09F0">
        <w:rPr>
          <w:rFonts w:ascii="Times New Roman" w:hAnsi="Times New Roman" w:cs="Times New Roman"/>
          <w:sz w:val="28"/>
          <w:szCs w:val="28"/>
        </w:rPr>
        <w:t>&lt; 0.01</w:t>
      </w:r>
      <w:proofErr w:type="gramEnd"/>
      <w:r w:rsidRPr="00DD09F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анные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пригодны для регрессионного анализа в рамках расширенной гравитационной модели.</w:t>
      </w:r>
    </w:p>
    <w:p w14:paraId="6BAF8708" w14:textId="77777777" w:rsidR="00E14263" w:rsidRDefault="00E14263" w:rsidP="00E14263">
      <w:pPr>
        <w:spacing w:after="0" w:line="240" w:lineRule="auto"/>
        <w:ind w:firstLine="567"/>
        <w:jc w:val="both"/>
        <w:rPr>
          <w:lang w:val="ru-RU"/>
        </w:rPr>
      </w:pPr>
    </w:p>
    <w:p w14:paraId="47DC3B30" w14:textId="16AEDC8E" w:rsidR="00E14263" w:rsidRPr="00DD09F0" w:rsidRDefault="00E14263" w:rsidP="003E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Таблица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DD09F0">
        <w:rPr>
          <w:rFonts w:ascii="Times New Roman" w:hAnsi="Times New Roman" w:cs="Times New Roman"/>
          <w:sz w:val="28"/>
          <w:szCs w:val="28"/>
        </w:rPr>
        <w:t xml:space="preserve"> - Результаты теста единичного корня LLC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550"/>
        <w:gridCol w:w="2476"/>
        <w:gridCol w:w="2267"/>
      </w:tblGrid>
      <w:tr w:rsidR="00E14263" w:rsidRPr="003E65BC" w14:paraId="6D54B372" w14:textId="77777777" w:rsidTr="003E65BC">
        <w:trPr>
          <w:jc w:val="center"/>
        </w:trPr>
        <w:tc>
          <w:tcPr>
            <w:tcW w:w="988" w:type="dxa"/>
          </w:tcPr>
          <w:p w14:paraId="66D76EE3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№</w:t>
            </w:r>
          </w:p>
        </w:tc>
        <w:tc>
          <w:tcPr>
            <w:tcW w:w="2550" w:type="dxa"/>
            <w:vAlign w:val="center"/>
          </w:tcPr>
          <w:p w14:paraId="71C5DB1F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r w:rsidRPr="003E65BC">
              <w:rPr>
                <w:sz w:val="24"/>
                <w:szCs w:val="24"/>
              </w:rPr>
              <w:t>Переменная</w:t>
            </w:r>
          </w:p>
        </w:tc>
        <w:tc>
          <w:tcPr>
            <w:tcW w:w="2476" w:type="dxa"/>
            <w:vAlign w:val="center"/>
          </w:tcPr>
          <w:p w14:paraId="4E741A3D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r w:rsidRPr="003E65BC">
              <w:rPr>
                <w:sz w:val="24"/>
                <w:szCs w:val="24"/>
              </w:rPr>
              <w:t>Статистика</w:t>
            </w:r>
          </w:p>
        </w:tc>
        <w:tc>
          <w:tcPr>
            <w:tcW w:w="2267" w:type="dxa"/>
            <w:vAlign w:val="center"/>
          </w:tcPr>
          <w:p w14:paraId="571F783D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P-</w:t>
            </w:r>
            <w:proofErr w:type="spellStart"/>
            <w:r w:rsidRPr="003E65BC">
              <w:rPr>
                <w:sz w:val="24"/>
                <w:szCs w:val="24"/>
              </w:rPr>
              <w:t>value</w:t>
            </w:r>
            <w:proofErr w:type="spellEnd"/>
          </w:p>
        </w:tc>
      </w:tr>
      <w:tr w:rsidR="00E14263" w:rsidRPr="003E65BC" w14:paraId="4F1BD970" w14:textId="77777777" w:rsidTr="003E65BC">
        <w:trPr>
          <w:trHeight w:val="70"/>
          <w:jc w:val="center"/>
        </w:trPr>
        <w:tc>
          <w:tcPr>
            <w:tcW w:w="988" w:type="dxa"/>
          </w:tcPr>
          <w:p w14:paraId="6574FCD8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1</w:t>
            </w:r>
          </w:p>
        </w:tc>
        <w:tc>
          <w:tcPr>
            <w:tcW w:w="2550" w:type="dxa"/>
            <w:vAlign w:val="center"/>
          </w:tcPr>
          <w:p w14:paraId="5414E1FA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LnEXijt</w:t>
            </w:r>
            <w:proofErr w:type="spellEnd"/>
          </w:p>
        </w:tc>
        <w:tc>
          <w:tcPr>
            <w:tcW w:w="2476" w:type="dxa"/>
            <w:vAlign w:val="center"/>
          </w:tcPr>
          <w:p w14:paraId="402E2929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-17.5266</w:t>
            </w:r>
          </w:p>
        </w:tc>
        <w:tc>
          <w:tcPr>
            <w:tcW w:w="2267" w:type="dxa"/>
            <w:vAlign w:val="center"/>
          </w:tcPr>
          <w:p w14:paraId="45EDCE9B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31770DB4" w14:textId="77777777" w:rsidTr="003E65BC">
        <w:trPr>
          <w:jc w:val="center"/>
        </w:trPr>
        <w:tc>
          <w:tcPr>
            <w:tcW w:w="988" w:type="dxa"/>
          </w:tcPr>
          <w:p w14:paraId="7A718250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2</w:t>
            </w:r>
          </w:p>
        </w:tc>
        <w:tc>
          <w:tcPr>
            <w:tcW w:w="2550" w:type="dxa"/>
            <w:vAlign w:val="center"/>
          </w:tcPr>
          <w:p w14:paraId="6FA13517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LnGDPit</w:t>
            </w:r>
            <w:proofErr w:type="spellEnd"/>
          </w:p>
        </w:tc>
        <w:tc>
          <w:tcPr>
            <w:tcW w:w="2476" w:type="dxa"/>
            <w:vAlign w:val="center"/>
          </w:tcPr>
          <w:p w14:paraId="167EA147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-9.0513</w:t>
            </w:r>
          </w:p>
        </w:tc>
        <w:tc>
          <w:tcPr>
            <w:tcW w:w="2267" w:type="dxa"/>
            <w:vAlign w:val="center"/>
          </w:tcPr>
          <w:p w14:paraId="12FDE641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6A61F80D" w14:textId="77777777" w:rsidTr="003E65BC">
        <w:trPr>
          <w:jc w:val="center"/>
        </w:trPr>
        <w:tc>
          <w:tcPr>
            <w:tcW w:w="988" w:type="dxa"/>
          </w:tcPr>
          <w:p w14:paraId="3F556DCF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3</w:t>
            </w:r>
          </w:p>
        </w:tc>
        <w:tc>
          <w:tcPr>
            <w:tcW w:w="2550" w:type="dxa"/>
            <w:vAlign w:val="center"/>
          </w:tcPr>
          <w:p w14:paraId="4B62799D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LnGDPCAPjt</w:t>
            </w:r>
            <w:proofErr w:type="spellEnd"/>
          </w:p>
        </w:tc>
        <w:tc>
          <w:tcPr>
            <w:tcW w:w="2476" w:type="dxa"/>
            <w:vAlign w:val="center"/>
          </w:tcPr>
          <w:p w14:paraId="1BE04697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-20.0623</w:t>
            </w:r>
          </w:p>
        </w:tc>
        <w:tc>
          <w:tcPr>
            <w:tcW w:w="2267" w:type="dxa"/>
            <w:vAlign w:val="center"/>
          </w:tcPr>
          <w:p w14:paraId="0600DE6F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5D598C8B" w14:textId="77777777" w:rsidTr="003E65BC">
        <w:trPr>
          <w:jc w:val="center"/>
        </w:trPr>
        <w:tc>
          <w:tcPr>
            <w:tcW w:w="988" w:type="dxa"/>
          </w:tcPr>
          <w:p w14:paraId="4B75FF9C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4</w:t>
            </w:r>
          </w:p>
        </w:tc>
        <w:tc>
          <w:tcPr>
            <w:tcW w:w="2550" w:type="dxa"/>
            <w:vAlign w:val="center"/>
          </w:tcPr>
          <w:p w14:paraId="08DBEB4D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LnGDPjt</w:t>
            </w:r>
            <w:proofErr w:type="spellEnd"/>
          </w:p>
        </w:tc>
        <w:tc>
          <w:tcPr>
            <w:tcW w:w="2476" w:type="dxa"/>
            <w:vAlign w:val="center"/>
          </w:tcPr>
          <w:p w14:paraId="77DEA476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-18.7786</w:t>
            </w:r>
          </w:p>
        </w:tc>
        <w:tc>
          <w:tcPr>
            <w:tcW w:w="2267" w:type="dxa"/>
            <w:vAlign w:val="center"/>
          </w:tcPr>
          <w:p w14:paraId="33584B9D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2DEE0985" w14:textId="77777777" w:rsidTr="003E65BC">
        <w:trPr>
          <w:jc w:val="center"/>
        </w:trPr>
        <w:tc>
          <w:tcPr>
            <w:tcW w:w="988" w:type="dxa"/>
          </w:tcPr>
          <w:p w14:paraId="4F71876A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5</w:t>
            </w:r>
          </w:p>
        </w:tc>
        <w:tc>
          <w:tcPr>
            <w:tcW w:w="2550" w:type="dxa"/>
            <w:vAlign w:val="center"/>
          </w:tcPr>
          <w:p w14:paraId="5164BBF5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LnPOPjt</w:t>
            </w:r>
            <w:proofErr w:type="spellEnd"/>
          </w:p>
        </w:tc>
        <w:tc>
          <w:tcPr>
            <w:tcW w:w="2476" w:type="dxa"/>
            <w:vAlign w:val="center"/>
          </w:tcPr>
          <w:p w14:paraId="208B86AA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-10.5067</w:t>
            </w:r>
          </w:p>
        </w:tc>
        <w:tc>
          <w:tcPr>
            <w:tcW w:w="2267" w:type="dxa"/>
            <w:vAlign w:val="center"/>
          </w:tcPr>
          <w:p w14:paraId="23B9E760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4467CA21" w14:textId="77777777" w:rsidTr="003E65BC">
        <w:trPr>
          <w:jc w:val="center"/>
        </w:trPr>
        <w:tc>
          <w:tcPr>
            <w:tcW w:w="988" w:type="dxa"/>
          </w:tcPr>
          <w:p w14:paraId="1FEFFD46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6</w:t>
            </w:r>
          </w:p>
        </w:tc>
        <w:tc>
          <w:tcPr>
            <w:tcW w:w="2550" w:type="dxa"/>
            <w:vAlign w:val="center"/>
          </w:tcPr>
          <w:p w14:paraId="54D4249F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LnRCit</w:t>
            </w:r>
            <w:proofErr w:type="spellEnd"/>
          </w:p>
        </w:tc>
        <w:tc>
          <w:tcPr>
            <w:tcW w:w="2476" w:type="dxa"/>
            <w:vAlign w:val="center"/>
          </w:tcPr>
          <w:p w14:paraId="698DB875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-18.8208</w:t>
            </w:r>
          </w:p>
        </w:tc>
        <w:tc>
          <w:tcPr>
            <w:tcW w:w="2267" w:type="dxa"/>
            <w:vAlign w:val="center"/>
          </w:tcPr>
          <w:p w14:paraId="7CEA5264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797803C9" w14:textId="77777777" w:rsidTr="003E65BC">
        <w:trPr>
          <w:jc w:val="center"/>
        </w:trPr>
        <w:tc>
          <w:tcPr>
            <w:tcW w:w="988" w:type="dxa"/>
          </w:tcPr>
          <w:p w14:paraId="5CC21AF2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7</w:t>
            </w:r>
          </w:p>
        </w:tc>
        <w:tc>
          <w:tcPr>
            <w:tcW w:w="2550" w:type="dxa"/>
            <w:vAlign w:val="center"/>
          </w:tcPr>
          <w:p w14:paraId="1D909048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  <w:lang w:val="en-US"/>
              </w:rPr>
            </w:pPr>
            <w:proofErr w:type="spellStart"/>
            <w:r w:rsidRPr="003E65BC">
              <w:rPr>
                <w:sz w:val="24"/>
                <w:szCs w:val="24"/>
              </w:rPr>
              <w:t>LndRCjt</w:t>
            </w:r>
            <w:proofErr w:type="spellEnd"/>
          </w:p>
        </w:tc>
        <w:tc>
          <w:tcPr>
            <w:tcW w:w="2476" w:type="dxa"/>
            <w:vAlign w:val="center"/>
          </w:tcPr>
          <w:p w14:paraId="4DFBCFE1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-10.6498</w:t>
            </w:r>
          </w:p>
        </w:tc>
        <w:tc>
          <w:tcPr>
            <w:tcW w:w="2267" w:type="dxa"/>
            <w:vAlign w:val="center"/>
          </w:tcPr>
          <w:p w14:paraId="5062CDA5" w14:textId="77777777" w:rsidR="00E14263" w:rsidRPr="003E65BC" w:rsidRDefault="00E14263" w:rsidP="003C63B5">
            <w:pPr>
              <w:pStyle w:val="ae"/>
              <w:spacing w:before="0" w:after="0"/>
              <w:rPr>
                <w:sz w:val="24"/>
                <w:szCs w:val="24"/>
              </w:rPr>
            </w:pPr>
            <w:r w:rsidRPr="003E65BC">
              <w:rPr>
                <w:sz w:val="24"/>
                <w:szCs w:val="24"/>
              </w:rPr>
              <w:t>0.0000</w:t>
            </w:r>
          </w:p>
        </w:tc>
      </w:tr>
      <w:tr w:rsidR="00E14263" w:rsidRPr="003E65BC" w14:paraId="16BC9B2E" w14:textId="77777777" w:rsidTr="003E65BC">
        <w:trPr>
          <w:jc w:val="center"/>
        </w:trPr>
        <w:tc>
          <w:tcPr>
            <w:tcW w:w="8281" w:type="dxa"/>
            <w:gridSpan w:val="4"/>
          </w:tcPr>
          <w:p w14:paraId="0C3635DA" w14:textId="77777777" w:rsidR="00E14263" w:rsidRPr="003E65BC" w:rsidRDefault="00E14263" w:rsidP="003C63B5">
            <w:pPr>
              <w:pStyle w:val="ae"/>
              <w:spacing w:before="0" w:after="0"/>
              <w:jc w:val="left"/>
              <w:rPr>
                <w:sz w:val="24"/>
                <w:szCs w:val="24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Примечание: составлено автором на основании анализа данных</w:t>
            </w:r>
          </w:p>
        </w:tc>
      </w:tr>
    </w:tbl>
    <w:p w14:paraId="5C99E2EA" w14:textId="77777777" w:rsidR="00E14263" w:rsidRDefault="00E14263" w:rsidP="00E14263">
      <w:pPr>
        <w:ind w:firstLine="709"/>
        <w:rPr>
          <w:rFonts w:cs="Times New Roman"/>
          <w:lang w:val="ru-RU"/>
        </w:rPr>
      </w:pPr>
    </w:p>
    <w:p w14:paraId="16A3157C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После подтверждения стационарности временных рядов следующим этапом является выбор оптимальной спецификации регрессии для панельных данных. В эконометрической литературе традиционно выделяют три основных подхода к моделированию панелей: модель смешанных регрессий, модель фиксированных эффектов и модель случайных эффектов. Корректный выбор спецификации является критически важным, поскольку он определяет степень учёта межстрановой гетерогенности и влияет на интерпретацию коэффициентов модели.</w:t>
      </w:r>
    </w:p>
    <w:p w14:paraId="097BEDCC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1. Сравнение смешанной модели и модели фиксированных эффектов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D09F0">
        <w:rPr>
          <w:rFonts w:ascii="Times New Roman" w:hAnsi="Times New Roman" w:cs="Times New Roman"/>
          <w:sz w:val="28"/>
          <w:szCs w:val="28"/>
        </w:rPr>
        <w:t>Первоначально была протестирована возможность использования модели смешанной регрессии, предполагающей однородность стран и отсутствие индивидуальной специфики. Проведённый F-тест на наличие индивидуальных эффектов показал, что нулевая гипотеза об отсутствии фиксированных эффектов отвергается на уровне значимости p = 0.0000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DD09F0">
        <w:rPr>
          <w:rFonts w:ascii="Times New Roman" w:hAnsi="Times New Roman" w:cs="Times New Roman"/>
          <w:sz w:val="28"/>
          <w:szCs w:val="28"/>
        </w:rPr>
        <w:t xml:space="preserve">то свидетельствует о наличии существенной межстрановой гетерогенности, что делает использование простой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pooled-regression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эконометрически некорректным.</w:t>
      </w:r>
    </w:p>
    <w:p w14:paraId="725E63FA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 xml:space="preserve">Дополнительно было выявлено, что переменные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LnGDPjt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LnGDPit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демонстрируют выраженную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мультиколлинеарность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с другими факторами. В связи с этим они были исключены из дальнейшего анализа, что позволило избежать смещения оценок.</w:t>
      </w:r>
    </w:p>
    <w:p w14:paraId="2A2E68DB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По итогам F-теста предпочтение было отдано модели фиксированных эффектов, так как она отражает неизменяемые во времени особенности каждой страны и обеспечивает более строгий контроль скрытой гетерогенности.</w:t>
      </w:r>
    </w:p>
    <w:p w14:paraId="517956ED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2. Выбор между фиксированными и случайными эффектами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D09F0">
        <w:rPr>
          <w:rFonts w:ascii="Times New Roman" w:hAnsi="Times New Roman" w:cs="Times New Roman"/>
          <w:sz w:val="28"/>
          <w:szCs w:val="28"/>
        </w:rPr>
        <w:t xml:space="preserve">На следующем этапе для определения окончательной спецификации модели был проведён тест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, позволяющий оценить, являются ли индивидуальные эффекты коррелированными с включёнными объясняющими переменными. В </w:t>
      </w:r>
      <w:r w:rsidRPr="00DD09F0">
        <w:rPr>
          <w:rFonts w:ascii="Times New Roman" w:hAnsi="Times New Roman" w:cs="Times New Roman"/>
          <w:sz w:val="28"/>
          <w:szCs w:val="28"/>
        </w:rPr>
        <w:lastRenderedPageBreak/>
        <w:t>первоначальной модели, включавшей восемь переменных, часть коэффициентов оказалась статистически незначимой, что потребовало применения метода «обратного отбора» переменных. В результате были сохранены шесть ключевых факторов, соответствующих расширенной гравитационной модели:</w:t>
      </w:r>
    </w:p>
    <w:p w14:paraId="370892DF" w14:textId="77777777" w:rsidR="00E14263" w:rsidRPr="00DD09F0" w:rsidRDefault="00E14263" w:rsidP="00E1426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LnDIij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— географическая дистанция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EF74782" w14:textId="77777777" w:rsidR="00E14263" w:rsidRPr="00DD09F0" w:rsidRDefault="00E14263" w:rsidP="00E1426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LnGDPCAPjt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— ВВП на душу населения страны-импортёра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4F7F1F8A" w14:textId="77777777" w:rsidR="00E14263" w:rsidRPr="00DD09F0" w:rsidRDefault="00E14263" w:rsidP="00E1426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LnPOPjt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— численность населения страны-импортёра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AE9DEC0" w14:textId="77777777" w:rsidR="00E14263" w:rsidRPr="00DD09F0" w:rsidRDefault="00E14263" w:rsidP="00E1426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LnRCit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— установленная мощность ВИЭ в Китае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91361FC" w14:textId="77777777" w:rsidR="00E14263" w:rsidRPr="00DD09F0" w:rsidRDefault="00E14263" w:rsidP="00E1426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09F0">
        <w:rPr>
          <w:rFonts w:ascii="Times New Roman" w:hAnsi="Times New Roman" w:cs="Times New Roman"/>
          <w:sz w:val="28"/>
          <w:szCs w:val="28"/>
        </w:rPr>
        <w:t>LndRCjt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— прирост установленной мощности ВИЭ в стране-партнёре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7A2F283" w14:textId="77777777" w:rsidR="00E14263" w:rsidRPr="00DD09F0" w:rsidRDefault="00E14263" w:rsidP="00E14263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D09F0">
        <w:rPr>
          <w:rFonts w:ascii="Times New Roman" w:hAnsi="Times New Roman" w:cs="Times New Roman"/>
          <w:sz w:val="28"/>
          <w:szCs w:val="28"/>
        </w:rPr>
        <w:t>WTOjt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— фиктивная переменная членства во ВТО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13E6FFF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DD09F0">
        <w:rPr>
          <w:rFonts w:ascii="Times New Roman" w:hAnsi="Times New Roman" w:cs="Times New Roman"/>
          <w:sz w:val="28"/>
          <w:szCs w:val="28"/>
        </w:rPr>
        <w:t xml:space="preserve"> переменные обеспечивают экономическую интерпретируемость результатов и соответствуют теоретическим основам гравитационной модели.</w:t>
      </w:r>
    </w:p>
    <w:p w14:paraId="735B4C65" w14:textId="18C7D9BD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 xml:space="preserve">После уточнения набора переменных был повторно проведён тест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. Значение </w:t>
      </w:r>
      <w:proofErr w:type="spellStart"/>
      <w:proofErr w:type="gramStart"/>
      <w:r w:rsidRPr="00DD09F0">
        <w:rPr>
          <w:rFonts w:ascii="Times New Roman" w:hAnsi="Times New Roman" w:cs="Times New Roman"/>
          <w:sz w:val="28"/>
          <w:szCs w:val="28"/>
        </w:rPr>
        <w:t>Prob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&gt;</w:t>
      </w:r>
      <w:proofErr w:type="gramEnd"/>
      <w:r w:rsidRPr="00DD09F0">
        <w:rPr>
          <w:rFonts w:ascii="Times New Roman" w:hAnsi="Times New Roman" w:cs="Times New Roman"/>
          <w:sz w:val="28"/>
          <w:szCs w:val="28"/>
        </w:rPr>
        <w:t xml:space="preserve"> chi2 = 0.2184 не позволило отвергнуть нулевую гипотезу о некоррелированности индивидуальных эффектов с регрессорами. </w:t>
      </w:r>
      <w:r w:rsidR="00D700FC">
        <w:rPr>
          <w:rFonts w:ascii="Times New Roman" w:hAnsi="Times New Roman" w:cs="Times New Roman"/>
          <w:sz w:val="28"/>
          <w:szCs w:val="28"/>
        </w:rPr>
        <w:t>М</w:t>
      </w:r>
      <w:r w:rsidRPr="00DD09F0">
        <w:rPr>
          <w:rFonts w:ascii="Times New Roman" w:hAnsi="Times New Roman" w:cs="Times New Roman"/>
          <w:sz w:val="28"/>
          <w:szCs w:val="28"/>
        </w:rPr>
        <w:t>одель случайных эффектов является предпочтительной, поскольку она обеспечивает более эффективные и несмещённые оценки.</w:t>
      </w:r>
    </w:p>
    <w:p w14:paraId="108EB8D4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 xml:space="preserve">Дополнительным аргументом в пользу модели случайных эффектов выступает наличие в модели переменной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DIij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>, представляющей собой географическое расстояние. Данная переменная не изменяется во времени, а в модели фиксированных эффектов такие переменные исключаются из оценки. Следовательно, RE-модель не только эконометрически валидна, но и позволяет сохранить важные для аналитики параметры.</w:t>
      </w:r>
    </w:p>
    <w:p w14:paraId="4E55537D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3. Итоговая спецификация модели</w:t>
      </w:r>
    </w:p>
    <w:p w14:paraId="3A70BE46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9F0">
        <w:rPr>
          <w:rFonts w:ascii="Times New Roman" w:hAnsi="Times New Roman" w:cs="Times New Roman"/>
          <w:sz w:val="28"/>
          <w:szCs w:val="28"/>
        </w:rPr>
        <w:t xml:space="preserve">С учётом результатов F-теста, теста </w:t>
      </w:r>
      <w:proofErr w:type="spellStart"/>
      <w:r w:rsidRPr="00DD09F0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 w:rsidRPr="00DD09F0">
        <w:rPr>
          <w:rFonts w:ascii="Times New Roman" w:hAnsi="Times New Roman" w:cs="Times New Roman"/>
          <w:sz w:val="28"/>
          <w:szCs w:val="28"/>
        </w:rPr>
        <w:t xml:space="preserve"> и обратного отбора переменных, итоговая расширенная гравитационная модель приобретает следующий вид:</w:t>
      </w:r>
    </w:p>
    <w:p w14:paraId="597A9093" w14:textId="77777777" w:rsidR="003E65BC" w:rsidRPr="003E65BC" w:rsidRDefault="003E65BC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40516F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ln⁡</m:t>
        </m:r>
        <m:r>
          <w:rPr>
            <w:rFonts w:ascii="Cambria Math" w:hAnsi="Cambria Math" w:cs="Times New Roman"/>
            <w:sz w:val="28"/>
            <w:szCs w:val="28"/>
          </w:rPr>
          <m:t>E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ln⁡</m:t>
        </m:r>
        <m:r>
          <w:rPr>
            <w:rFonts w:ascii="Cambria Math" w:hAnsi="Cambria Math" w:cs="Times New Roman"/>
            <w:sz w:val="28"/>
            <w:szCs w:val="28"/>
          </w:rPr>
          <m:t>GDPCA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ln⁡</m:t>
        </m:r>
        <m:r>
          <w:rPr>
            <w:rFonts w:ascii="Cambria Math" w:hAnsi="Cambria Math" w:cs="Times New Roman"/>
            <w:sz w:val="28"/>
            <w:szCs w:val="28"/>
          </w:rPr>
          <m:t>D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ln⁡</m:t>
        </m:r>
        <m:r>
          <w:rPr>
            <w:rFonts w:ascii="Cambria Math" w:hAnsi="Cambria Math" w:cs="Times New Roman"/>
            <w:sz w:val="28"/>
            <w:szCs w:val="28"/>
          </w:rPr>
          <m:t>PO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ln⁡</m:t>
        </m:r>
        <m:r>
          <w:rPr>
            <w:rFonts w:ascii="Cambria Math" w:hAnsi="Cambria Math" w:cs="Times New Roman"/>
            <w:sz w:val="28"/>
            <w:szCs w:val="28"/>
          </w:rPr>
          <m:t>R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ln⁡</m:t>
        </m:r>
        <m:r>
          <w:rPr>
            <w:rFonts w:ascii="Cambria Math" w:hAnsi="Cambria Math" w:cs="Times New Roman"/>
            <w:sz w:val="28"/>
            <w:szCs w:val="28"/>
          </w:rPr>
          <m:t>dR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WT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</m:t>
            </m:r>
          </m:sub>
        </m:sSub>
      </m:oMath>
      <w:r w:rsidRPr="00DF0DB9">
        <w:rPr>
          <w:rFonts w:ascii="Times New Roman" w:eastAsiaTheme="minorEastAsia" w:hAnsi="Times New Roman" w:cs="Times New Roman"/>
          <w:sz w:val="28"/>
          <w:szCs w:val="28"/>
        </w:rPr>
        <w:t xml:space="preserve">    (3)</w:t>
      </w:r>
      <w:r w:rsidRPr="00DD09F0">
        <w:rPr>
          <w:rFonts w:ascii="Times New Roman" w:hAnsi="Times New Roman" w:cs="Times New Roman"/>
          <w:sz w:val="28"/>
          <w:szCs w:val="28"/>
        </w:rPr>
        <w:br/>
      </w:r>
    </w:p>
    <w:p w14:paraId="4880C62C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9F0">
        <w:rPr>
          <w:rFonts w:ascii="Times New Roman" w:hAnsi="Times New Roman" w:cs="Times New Roman"/>
          <w:sz w:val="28"/>
          <w:szCs w:val="28"/>
        </w:rPr>
        <w:t>где:</w:t>
      </w:r>
    </w:p>
    <w:p w14:paraId="0F3F5E54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E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ijt</m:t>
            </m:r>
          </m:sub>
        </m:sSub>
      </m:oMath>
      <w:r w:rsidRPr="00DD09F0">
        <w:rPr>
          <w:rFonts w:ascii="Times New Roman" w:hAnsi="Times New Roman" w:cs="Times New Roman"/>
          <w:sz w:val="28"/>
          <w:szCs w:val="28"/>
        </w:rPr>
        <w:t>— экспорт китайского оборудования для ВИЭ в страну j в году t,</w:t>
      </w:r>
    </w:p>
    <w:p w14:paraId="0D1275EA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GDPCAP</m:t>
        </m:r>
      </m:oMath>
      <w:r w:rsidRPr="00DD09F0">
        <w:rPr>
          <w:rFonts w:ascii="Times New Roman" w:hAnsi="Times New Roman" w:cs="Times New Roman"/>
          <w:sz w:val="28"/>
          <w:szCs w:val="28"/>
        </w:rPr>
        <w:t>— индекс покупательной способности и экономического развития,</w:t>
      </w:r>
    </w:p>
    <w:p w14:paraId="18424ABB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DI</m:t>
        </m:r>
      </m:oMath>
      <w:r w:rsidRPr="00DD09F0">
        <w:rPr>
          <w:rFonts w:ascii="Times New Roman" w:hAnsi="Times New Roman" w:cs="Times New Roman"/>
          <w:sz w:val="28"/>
          <w:szCs w:val="28"/>
        </w:rPr>
        <w:t>— расстояние, отражающее затраты на транзакции и логистику,</w:t>
      </w:r>
    </w:p>
    <w:p w14:paraId="4239AEAB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POP</m:t>
        </m:r>
      </m:oMath>
      <w:r w:rsidRPr="00DD09F0">
        <w:rPr>
          <w:rFonts w:ascii="Times New Roman" w:hAnsi="Times New Roman" w:cs="Times New Roman"/>
          <w:sz w:val="28"/>
          <w:szCs w:val="28"/>
        </w:rPr>
        <w:t>— численность населения, отражающая масштаб рынка,</w:t>
      </w:r>
    </w:p>
    <w:p w14:paraId="39EE9B95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RC</m:t>
        </m:r>
      </m:oMath>
      <w:r w:rsidRPr="00DD09F0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dRC</m:t>
        </m:r>
      </m:oMath>
      <w:r w:rsidRPr="00DD09F0">
        <w:rPr>
          <w:rFonts w:ascii="Times New Roman" w:hAnsi="Times New Roman" w:cs="Times New Roman"/>
          <w:sz w:val="28"/>
          <w:szCs w:val="28"/>
        </w:rPr>
        <w:t>— показатели предложения и спроса на оборудование ВИЭ,</w:t>
      </w:r>
    </w:p>
    <w:p w14:paraId="11D36538" w14:textId="77777777" w:rsidR="00E14263" w:rsidRPr="00DD09F0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WTO</m:t>
        </m:r>
      </m:oMath>
      <w:r w:rsidRPr="00DD09F0">
        <w:rPr>
          <w:rFonts w:ascii="Times New Roman" w:hAnsi="Times New Roman" w:cs="Times New Roman"/>
          <w:sz w:val="28"/>
          <w:szCs w:val="28"/>
        </w:rPr>
        <w:t>— институциональный фактор, уменьшающий торговые барьеры.</w:t>
      </w:r>
    </w:p>
    <w:p w14:paraId="75DED0C2" w14:textId="77777777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0DB9">
        <w:rPr>
          <w:rFonts w:ascii="Times New Roman" w:hAnsi="Times New Roman" w:cs="Times New Roman"/>
          <w:sz w:val="28"/>
          <w:szCs w:val="28"/>
        </w:rPr>
        <w:t xml:space="preserve">Проведённый комплекс эконометрических тестов убедительно подтверждает, что использование модели случайных эффектов является наиболее методологически обоснованным подходом для анализа факторов, определяющих динамику экспорта оборудования для возобновляемой </w:t>
      </w:r>
      <w:r w:rsidRPr="00DF0DB9">
        <w:rPr>
          <w:rFonts w:ascii="Times New Roman" w:hAnsi="Times New Roman" w:cs="Times New Roman"/>
          <w:sz w:val="28"/>
          <w:szCs w:val="28"/>
        </w:rPr>
        <w:lastRenderedPageBreak/>
        <w:t>энергетики. Данная спецификация позволяет одновременно учитывать устойчивые межстрановые различия, временную вариативность исследуемых показателей, влияние институциональных условий и структурные параметры развития энергетического сектора. Совокупность свойств обеспечивает высокую объяснительную способность модели и делает возможной корректную интерпретацию выявленных зависимостей, что особенно важно при исследовании торговых потоков в области низкоуглеродных технологий и оценке потенциала углубления энергетического сотрудничества между странами.</w:t>
      </w:r>
    </w:p>
    <w:p w14:paraId="7FFBA440" w14:textId="77777777" w:rsidR="00E14263" w:rsidRPr="00DF0DB9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 xml:space="preserve">Для окончательного выбора наиболее адекватной эконометрической спецификации — модели фиксированных или случайных эффектов — был проведён тест </w:t>
      </w:r>
      <w:proofErr w:type="spellStart"/>
      <w:r w:rsidRPr="00DF0DB9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[131]</w:t>
      </w:r>
      <w:r w:rsidRPr="00DF0DB9">
        <w:rPr>
          <w:rFonts w:ascii="Times New Roman" w:hAnsi="Times New Roman" w:cs="Times New Roman"/>
          <w:sz w:val="28"/>
          <w:szCs w:val="28"/>
        </w:rPr>
        <w:t>. Цель теста заключалась в проверке гипотезы о том, коррелируют ли индивидуальные эффекты с объясняющими переменными. В случае присутствия такой корреляции предпочтение должно быть отдано модели фиксированных эффектов; при её отсутствии, напротив, более корректной будет модель случайных эффектов, обеспечивающая большую вариативность и экономичность оценок.</w:t>
      </w:r>
    </w:p>
    <w:p w14:paraId="73D91C2A" w14:textId="0E125A78" w:rsidR="00E14263" w:rsidRDefault="00E14263" w:rsidP="00E14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 xml:space="preserve">Сравнение оценённых коэффициентов двух моделей по ключевым переменным позволило определить степень расхождения между ними и проверить статистическую значимость этих различий. Результаты представлены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DF0DB9">
        <w:rPr>
          <w:rFonts w:ascii="Times New Roman" w:hAnsi="Times New Roman" w:cs="Times New Roman"/>
          <w:sz w:val="28"/>
          <w:szCs w:val="28"/>
        </w:rPr>
        <w:t>.</w:t>
      </w:r>
      <w:bookmarkStart w:id="26" w:name="_Toc28239"/>
    </w:p>
    <w:p w14:paraId="520085B4" w14:textId="77777777" w:rsidR="003E65BC" w:rsidRDefault="003E65BC" w:rsidP="003E65BC">
      <w:pPr>
        <w:spacing w:after="0" w:line="240" w:lineRule="auto"/>
        <w:jc w:val="both"/>
        <w:rPr>
          <w:lang w:val="ru-RU"/>
        </w:rPr>
      </w:pPr>
    </w:p>
    <w:p w14:paraId="6FDECD33" w14:textId="4E093344" w:rsidR="00E14263" w:rsidRPr="00DF0DB9" w:rsidRDefault="00E14263" w:rsidP="003E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>Таблица 1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DF0DB9">
        <w:rPr>
          <w:rFonts w:ascii="Times New Roman" w:hAnsi="Times New Roman" w:cs="Times New Roman"/>
          <w:sz w:val="28"/>
          <w:szCs w:val="28"/>
        </w:rPr>
        <w:t xml:space="preserve"> - Результаты теста </w:t>
      </w:r>
      <w:proofErr w:type="spellStart"/>
      <w:r w:rsidRPr="00DF0DB9">
        <w:rPr>
          <w:rFonts w:ascii="Times New Roman" w:hAnsi="Times New Roman" w:cs="Times New Roman"/>
          <w:sz w:val="28"/>
          <w:szCs w:val="28"/>
        </w:rPr>
        <w:t>Хаусмана</w:t>
      </w:r>
      <w:bookmarkEnd w:id="26"/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08"/>
        <w:gridCol w:w="1836"/>
        <w:gridCol w:w="1836"/>
        <w:gridCol w:w="1837"/>
        <w:gridCol w:w="1928"/>
      </w:tblGrid>
      <w:tr w:rsidR="00E14263" w:rsidRPr="00EF1F6F" w14:paraId="2A13E83E" w14:textId="77777777" w:rsidTr="003C63B5">
        <w:trPr>
          <w:tblHeader/>
        </w:trPr>
        <w:tc>
          <w:tcPr>
            <w:tcW w:w="1908" w:type="dxa"/>
            <w:vMerge w:val="restart"/>
            <w:vAlign w:val="center"/>
          </w:tcPr>
          <w:p w14:paraId="51731556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Тест </w:t>
            </w: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Хаусмана</w:t>
            </w:r>
            <w:proofErr w:type="spellEnd"/>
          </w:p>
        </w:tc>
        <w:tc>
          <w:tcPr>
            <w:tcW w:w="3672" w:type="dxa"/>
            <w:gridSpan w:val="2"/>
            <w:vAlign w:val="center"/>
          </w:tcPr>
          <w:p w14:paraId="47066F2A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Коэффициенты</w:t>
            </w:r>
          </w:p>
        </w:tc>
        <w:tc>
          <w:tcPr>
            <w:tcW w:w="1837" w:type="dxa"/>
            <w:vAlign w:val="center"/>
          </w:tcPr>
          <w:p w14:paraId="5CE37FD0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</w:p>
        </w:tc>
        <w:tc>
          <w:tcPr>
            <w:tcW w:w="1928" w:type="dxa"/>
            <w:vAlign w:val="center"/>
          </w:tcPr>
          <w:p w14:paraId="1EAB3B70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</w:p>
        </w:tc>
      </w:tr>
      <w:tr w:rsidR="00E14263" w:rsidRPr="00EF1F6F" w14:paraId="5B7FF053" w14:textId="77777777" w:rsidTr="003C63B5">
        <w:trPr>
          <w:tblHeader/>
        </w:trPr>
        <w:tc>
          <w:tcPr>
            <w:tcW w:w="1908" w:type="dxa"/>
            <w:vMerge/>
            <w:vAlign w:val="center"/>
          </w:tcPr>
          <w:p w14:paraId="58C160F9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</w:p>
        </w:tc>
        <w:tc>
          <w:tcPr>
            <w:tcW w:w="1836" w:type="dxa"/>
            <w:vAlign w:val="center"/>
          </w:tcPr>
          <w:p w14:paraId="0DB2111E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(b)</w:t>
            </w:r>
          </w:p>
        </w:tc>
        <w:tc>
          <w:tcPr>
            <w:tcW w:w="1836" w:type="dxa"/>
            <w:vAlign w:val="center"/>
          </w:tcPr>
          <w:p w14:paraId="03476B84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(B)</w:t>
            </w:r>
          </w:p>
        </w:tc>
        <w:tc>
          <w:tcPr>
            <w:tcW w:w="1837" w:type="dxa"/>
            <w:vAlign w:val="center"/>
          </w:tcPr>
          <w:p w14:paraId="65F46298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(b-B)</w:t>
            </w:r>
          </w:p>
        </w:tc>
        <w:tc>
          <w:tcPr>
            <w:tcW w:w="1928" w:type="dxa"/>
            <w:vAlign w:val="center"/>
          </w:tcPr>
          <w:p w14:paraId="6B775189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sqrt</w:t>
            </w:r>
            <w:proofErr w:type="spellEnd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(</w:t>
            </w: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diag</w:t>
            </w:r>
            <w:proofErr w:type="spellEnd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(</w:t>
            </w: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V_b</w:t>
            </w:r>
            <w:proofErr w:type="spellEnd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-V_B))</w:t>
            </w:r>
          </w:p>
        </w:tc>
      </w:tr>
      <w:tr w:rsidR="00E14263" w:rsidRPr="00EF1F6F" w14:paraId="3D18FDE4" w14:textId="77777777" w:rsidTr="003C63B5">
        <w:tc>
          <w:tcPr>
            <w:tcW w:w="1908" w:type="dxa"/>
            <w:vAlign w:val="center"/>
          </w:tcPr>
          <w:p w14:paraId="56338E39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</w:p>
        </w:tc>
        <w:tc>
          <w:tcPr>
            <w:tcW w:w="1836" w:type="dxa"/>
            <w:vAlign w:val="center"/>
          </w:tcPr>
          <w:p w14:paraId="12E3F408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result_fe</w:t>
            </w:r>
            <w:proofErr w:type="spellEnd"/>
          </w:p>
        </w:tc>
        <w:tc>
          <w:tcPr>
            <w:tcW w:w="1836" w:type="dxa"/>
            <w:vAlign w:val="center"/>
          </w:tcPr>
          <w:p w14:paraId="4E1589C8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result_re</w:t>
            </w:r>
            <w:proofErr w:type="spellEnd"/>
          </w:p>
        </w:tc>
        <w:tc>
          <w:tcPr>
            <w:tcW w:w="1837" w:type="dxa"/>
            <w:vAlign w:val="center"/>
          </w:tcPr>
          <w:p w14:paraId="2B53A44F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Difference</w:t>
            </w:r>
            <w:proofErr w:type="spellEnd"/>
          </w:p>
        </w:tc>
        <w:tc>
          <w:tcPr>
            <w:tcW w:w="1928" w:type="dxa"/>
            <w:vAlign w:val="center"/>
          </w:tcPr>
          <w:p w14:paraId="42D33EB2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S.E.</w:t>
            </w:r>
          </w:p>
        </w:tc>
      </w:tr>
      <w:tr w:rsidR="00E14263" w:rsidRPr="00EF1F6F" w14:paraId="46188F1A" w14:textId="77777777" w:rsidTr="003C63B5">
        <w:tc>
          <w:tcPr>
            <w:tcW w:w="1908" w:type="dxa"/>
            <w:vAlign w:val="center"/>
          </w:tcPr>
          <w:p w14:paraId="02D0FBC2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LnGDPCAPjt</w:t>
            </w:r>
            <w:proofErr w:type="spellEnd"/>
          </w:p>
        </w:tc>
        <w:tc>
          <w:tcPr>
            <w:tcW w:w="1836" w:type="dxa"/>
            <w:vAlign w:val="center"/>
          </w:tcPr>
          <w:p w14:paraId="2656F27B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1.019978</w:t>
            </w:r>
          </w:p>
        </w:tc>
        <w:tc>
          <w:tcPr>
            <w:tcW w:w="1836" w:type="dxa"/>
            <w:vAlign w:val="center"/>
          </w:tcPr>
          <w:p w14:paraId="70A12A94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1.033613</w:t>
            </w:r>
          </w:p>
        </w:tc>
        <w:tc>
          <w:tcPr>
            <w:tcW w:w="1837" w:type="dxa"/>
            <w:vAlign w:val="center"/>
          </w:tcPr>
          <w:p w14:paraId="71EB750F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-0.0136346</w:t>
            </w:r>
          </w:p>
        </w:tc>
        <w:tc>
          <w:tcPr>
            <w:tcW w:w="1928" w:type="dxa"/>
            <w:vAlign w:val="center"/>
          </w:tcPr>
          <w:p w14:paraId="70F6C60B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0.1253446</w:t>
            </w:r>
          </w:p>
        </w:tc>
      </w:tr>
      <w:tr w:rsidR="00E14263" w:rsidRPr="00EF1F6F" w14:paraId="36053518" w14:textId="77777777" w:rsidTr="003C63B5">
        <w:tc>
          <w:tcPr>
            <w:tcW w:w="1908" w:type="dxa"/>
            <w:vAlign w:val="center"/>
          </w:tcPr>
          <w:p w14:paraId="3736C312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LnPOPjt</w:t>
            </w:r>
            <w:proofErr w:type="spellEnd"/>
          </w:p>
        </w:tc>
        <w:tc>
          <w:tcPr>
            <w:tcW w:w="1836" w:type="dxa"/>
            <w:vAlign w:val="center"/>
          </w:tcPr>
          <w:p w14:paraId="4AE64F39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1.860904</w:t>
            </w:r>
          </w:p>
        </w:tc>
        <w:tc>
          <w:tcPr>
            <w:tcW w:w="1836" w:type="dxa"/>
            <w:vAlign w:val="center"/>
          </w:tcPr>
          <w:p w14:paraId="007A14B4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1.119157</w:t>
            </w:r>
          </w:p>
        </w:tc>
        <w:tc>
          <w:tcPr>
            <w:tcW w:w="1837" w:type="dxa"/>
            <w:vAlign w:val="center"/>
          </w:tcPr>
          <w:p w14:paraId="6678EC72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0.7417477</w:t>
            </w:r>
          </w:p>
        </w:tc>
        <w:tc>
          <w:tcPr>
            <w:tcW w:w="1928" w:type="dxa"/>
            <w:vAlign w:val="center"/>
          </w:tcPr>
          <w:p w14:paraId="4813ADF4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0.3739113</w:t>
            </w:r>
          </w:p>
        </w:tc>
      </w:tr>
      <w:tr w:rsidR="00E14263" w:rsidRPr="00EF1F6F" w14:paraId="1BBB5FC2" w14:textId="77777777" w:rsidTr="003C63B5">
        <w:tc>
          <w:tcPr>
            <w:tcW w:w="1908" w:type="dxa"/>
            <w:vAlign w:val="center"/>
          </w:tcPr>
          <w:p w14:paraId="00D2B031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LnRCit</w:t>
            </w:r>
            <w:proofErr w:type="spellEnd"/>
          </w:p>
        </w:tc>
        <w:tc>
          <w:tcPr>
            <w:tcW w:w="1836" w:type="dxa"/>
            <w:vAlign w:val="center"/>
          </w:tcPr>
          <w:p w14:paraId="2DBDEC71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0.2333892</w:t>
            </w:r>
          </w:p>
        </w:tc>
        <w:tc>
          <w:tcPr>
            <w:tcW w:w="1836" w:type="dxa"/>
            <w:vAlign w:val="center"/>
          </w:tcPr>
          <w:p w14:paraId="6A247E12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0.2834355</w:t>
            </w:r>
          </w:p>
        </w:tc>
        <w:tc>
          <w:tcPr>
            <w:tcW w:w="1837" w:type="dxa"/>
            <w:vAlign w:val="center"/>
          </w:tcPr>
          <w:p w14:paraId="150567C6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-0.0500463</w:t>
            </w:r>
          </w:p>
        </w:tc>
        <w:tc>
          <w:tcPr>
            <w:tcW w:w="1928" w:type="dxa"/>
            <w:vAlign w:val="center"/>
          </w:tcPr>
          <w:p w14:paraId="0B6AD007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0.0414429</w:t>
            </w:r>
          </w:p>
        </w:tc>
      </w:tr>
      <w:tr w:rsidR="00E14263" w:rsidRPr="00EF1F6F" w14:paraId="1B0CD960" w14:textId="77777777" w:rsidTr="003C63B5">
        <w:tc>
          <w:tcPr>
            <w:tcW w:w="1908" w:type="dxa"/>
            <w:vAlign w:val="center"/>
          </w:tcPr>
          <w:p w14:paraId="7E554654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LndRCjt</w:t>
            </w:r>
            <w:proofErr w:type="spellEnd"/>
          </w:p>
        </w:tc>
        <w:tc>
          <w:tcPr>
            <w:tcW w:w="1836" w:type="dxa"/>
            <w:vAlign w:val="center"/>
          </w:tcPr>
          <w:p w14:paraId="2877EED7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0.0413925</w:t>
            </w:r>
          </w:p>
        </w:tc>
        <w:tc>
          <w:tcPr>
            <w:tcW w:w="1836" w:type="dxa"/>
            <w:vAlign w:val="center"/>
          </w:tcPr>
          <w:p w14:paraId="1C127E5B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0.0477349</w:t>
            </w:r>
          </w:p>
        </w:tc>
        <w:tc>
          <w:tcPr>
            <w:tcW w:w="1837" w:type="dxa"/>
            <w:vAlign w:val="center"/>
          </w:tcPr>
          <w:p w14:paraId="0C863125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-0.0063424</w:t>
            </w:r>
          </w:p>
        </w:tc>
        <w:tc>
          <w:tcPr>
            <w:tcW w:w="1928" w:type="dxa"/>
            <w:vAlign w:val="center"/>
          </w:tcPr>
          <w:p w14:paraId="131801E1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0.0036656</w:t>
            </w:r>
          </w:p>
        </w:tc>
      </w:tr>
      <w:tr w:rsidR="00E14263" w:rsidRPr="00EF1F6F" w14:paraId="24E228FD" w14:textId="77777777" w:rsidTr="003C63B5">
        <w:tc>
          <w:tcPr>
            <w:tcW w:w="1908" w:type="dxa"/>
            <w:vAlign w:val="center"/>
          </w:tcPr>
          <w:p w14:paraId="56FBFA09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proofErr w:type="spell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WTOjt</w:t>
            </w:r>
            <w:proofErr w:type="spellEnd"/>
          </w:p>
        </w:tc>
        <w:tc>
          <w:tcPr>
            <w:tcW w:w="1836" w:type="dxa"/>
            <w:vAlign w:val="center"/>
          </w:tcPr>
          <w:p w14:paraId="1BB41406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0.4634449</w:t>
            </w:r>
          </w:p>
        </w:tc>
        <w:tc>
          <w:tcPr>
            <w:tcW w:w="1836" w:type="dxa"/>
            <w:vAlign w:val="center"/>
          </w:tcPr>
          <w:p w14:paraId="6670DB1B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0.5690318</w:t>
            </w:r>
          </w:p>
        </w:tc>
        <w:tc>
          <w:tcPr>
            <w:tcW w:w="1837" w:type="dxa"/>
            <w:vAlign w:val="center"/>
          </w:tcPr>
          <w:p w14:paraId="12928C1A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-0.1055869</w:t>
            </w:r>
          </w:p>
        </w:tc>
        <w:tc>
          <w:tcPr>
            <w:tcW w:w="1928" w:type="dxa"/>
            <w:vAlign w:val="center"/>
          </w:tcPr>
          <w:p w14:paraId="1B158D80" w14:textId="77777777" w:rsidR="00E14263" w:rsidRPr="00EF1F6F" w:rsidRDefault="00E14263" w:rsidP="003C63B5">
            <w:pPr>
              <w:pStyle w:val="ae"/>
              <w:spacing w:before="0" w:after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0.0661355</w:t>
            </w:r>
          </w:p>
        </w:tc>
      </w:tr>
      <w:tr w:rsidR="00E14263" w:rsidRPr="00EF1F6F" w14:paraId="493BA6B7" w14:textId="77777777" w:rsidTr="003C63B5">
        <w:tc>
          <w:tcPr>
            <w:tcW w:w="9345" w:type="dxa"/>
            <w:gridSpan w:val="5"/>
            <w:vAlign w:val="center"/>
          </w:tcPr>
          <w:p w14:paraId="134B4250" w14:textId="77777777" w:rsidR="00E14263" w:rsidRPr="00EF1F6F" w:rsidRDefault="00E14263" w:rsidP="003C63B5">
            <w:pPr>
              <w:pStyle w:val="af"/>
              <w:ind w:firstLineChars="0" w:firstLine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chi2(5) = 7.03          </w:t>
            </w:r>
            <w:proofErr w:type="spellStart"/>
            <w:proofErr w:type="gramStart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Prob</w:t>
            </w:r>
            <w:proofErr w:type="spellEnd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&gt;chi</w:t>
            </w:r>
            <w:proofErr w:type="gramEnd"/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 = 0.2184</w:t>
            </w:r>
          </w:p>
        </w:tc>
      </w:tr>
      <w:tr w:rsidR="00E14263" w:rsidRPr="00EF1F6F" w14:paraId="59843CCD" w14:textId="77777777" w:rsidTr="003C63B5">
        <w:tc>
          <w:tcPr>
            <w:tcW w:w="9345" w:type="dxa"/>
            <w:gridSpan w:val="5"/>
          </w:tcPr>
          <w:p w14:paraId="1077A867" w14:textId="77777777" w:rsidR="00E14263" w:rsidRPr="00EF1F6F" w:rsidRDefault="00E14263" w:rsidP="003C63B5">
            <w:pPr>
              <w:pStyle w:val="af"/>
              <w:ind w:firstLineChars="0" w:firstLine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Примечание: составлено автором на основании анализа данных</w:t>
            </w:r>
          </w:p>
        </w:tc>
      </w:tr>
    </w:tbl>
    <w:p w14:paraId="411D65F4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D278C" w14:textId="77777777" w:rsidR="00E14263" w:rsidRPr="00DF0DB9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 xml:space="preserve">Полученное значение статистики χ² = 7.03 при уровне значимости </w:t>
      </w:r>
      <w:proofErr w:type="spellStart"/>
      <w:proofErr w:type="gramStart"/>
      <w:r w:rsidRPr="00DF0DB9">
        <w:rPr>
          <w:rFonts w:ascii="Times New Roman" w:hAnsi="Times New Roman" w:cs="Times New Roman"/>
          <w:sz w:val="28"/>
          <w:szCs w:val="28"/>
        </w:rPr>
        <w:t>Prob</w:t>
      </w:r>
      <w:proofErr w:type="spellEnd"/>
      <w:r w:rsidRPr="00DF0DB9">
        <w:rPr>
          <w:rFonts w:ascii="Times New Roman" w:hAnsi="Times New Roman" w:cs="Times New Roman"/>
          <w:sz w:val="28"/>
          <w:szCs w:val="28"/>
        </w:rPr>
        <w:t xml:space="preserve"> &gt;</w:t>
      </w:r>
      <w:proofErr w:type="gramEnd"/>
      <w:r w:rsidRPr="00DF0DB9">
        <w:rPr>
          <w:rFonts w:ascii="Times New Roman" w:hAnsi="Times New Roman" w:cs="Times New Roman"/>
          <w:sz w:val="28"/>
          <w:szCs w:val="28"/>
        </w:rPr>
        <w:t xml:space="preserve"> χ² = 0.2184 не позволяет отклонить нулевую гипотезу о том, что различия между оценками моделей фиксированных и случайных эффектов статистически незначимы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DF0DB9">
        <w:rPr>
          <w:rFonts w:ascii="Times New Roman" w:hAnsi="Times New Roman" w:cs="Times New Roman"/>
          <w:sz w:val="28"/>
          <w:szCs w:val="28"/>
        </w:rPr>
        <w:t>то означает, что индивидуальные страновые эффекты не коррелируют с объясняющими переменными, а следовательно, использование модели случайных эффектов является методологически корректным.</w:t>
      </w:r>
    </w:p>
    <w:p w14:paraId="0242DA8A" w14:textId="77777777" w:rsidR="00E14263" w:rsidRPr="00DF0DB9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>С практической точки зрения для данного исследования решение особенно важно</w:t>
      </w:r>
      <w:r>
        <w:rPr>
          <w:rFonts w:ascii="Times New Roman" w:hAnsi="Times New Roman" w:cs="Times New Roman"/>
          <w:sz w:val="28"/>
          <w:szCs w:val="28"/>
        </w:rPr>
        <w:t xml:space="preserve"> по следующим причинам.</w:t>
      </w:r>
      <w:r w:rsidRPr="00DF0DB9">
        <w:rPr>
          <w:rFonts w:ascii="Times New Roman" w:hAnsi="Times New Roman" w:cs="Times New Roman"/>
          <w:sz w:val="28"/>
          <w:szCs w:val="28"/>
        </w:rPr>
        <w:t xml:space="preserve"> Во-первых, модель случайных эффектов позволяет учитывать влияние неизменных во времени факторов (например, географического расстояния), которые в модели фиксированных </w:t>
      </w:r>
      <w:r w:rsidRPr="00DF0DB9">
        <w:rPr>
          <w:rFonts w:ascii="Times New Roman" w:hAnsi="Times New Roman" w:cs="Times New Roman"/>
          <w:sz w:val="28"/>
          <w:szCs w:val="28"/>
        </w:rPr>
        <w:lastRenderedPageBreak/>
        <w:t>эффектов оказываются исключёнными. Во-вторых, она обеспечивает более высокую эффективность оценивания при наличии большого числа стран и относительно короткого временного ряда, что соответствует структуре панели (n=63, T=10).</w:t>
      </w:r>
    </w:p>
    <w:p w14:paraId="59C687D8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>Таким образом, выбор модели случайных эффектов обеспечивает:</w:t>
      </w:r>
    </w:p>
    <w:p w14:paraId="30564DA7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>– корректность интерпретации институциональных переменных;</w:t>
      </w:r>
    </w:p>
    <w:p w14:paraId="79EDC486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>– сохранение значимых структурных факторов;</w:t>
      </w:r>
    </w:p>
    <w:p w14:paraId="3199461C" w14:textId="77777777" w:rsidR="00E14263" w:rsidRPr="00DF0DB9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DB9">
        <w:rPr>
          <w:rFonts w:ascii="Times New Roman" w:hAnsi="Times New Roman" w:cs="Times New Roman"/>
          <w:sz w:val="28"/>
          <w:szCs w:val="28"/>
        </w:rPr>
        <w:t>– более точную оценку влияния социально-экономических параметров стран-импортёров на экспорт оборудования для ВИЭ.</w:t>
      </w:r>
    </w:p>
    <w:p w14:paraId="60237CB5" w14:textId="7A9A59E0" w:rsidR="00E14263" w:rsidRPr="00DF0DB9" w:rsidRDefault="00D700FC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Start"/>
      <w:r w:rsidR="00E14263" w:rsidRPr="00DF0DB9">
        <w:rPr>
          <w:rFonts w:ascii="Times New Roman" w:hAnsi="Times New Roman" w:cs="Times New Roman"/>
          <w:sz w:val="28"/>
          <w:szCs w:val="28"/>
        </w:rPr>
        <w:t>альнейший</w:t>
      </w:r>
      <w:proofErr w:type="spellEnd"/>
      <w:r w:rsidR="00E14263" w:rsidRPr="00DF0DB9">
        <w:rPr>
          <w:rFonts w:ascii="Times New Roman" w:hAnsi="Times New Roman" w:cs="Times New Roman"/>
          <w:sz w:val="28"/>
          <w:szCs w:val="28"/>
        </w:rPr>
        <w:t xml:space="preserve"> анализ и интерпретация результатов регрессии опираются именно на модель случайных эффектов как наиболее подходящую для исследования торговых потоков между Китаем и странами вдоль инициативы «Пояс и путь», включая Казахстан.</w:t>
      </w:r>
    </w:p>
    <w:p w14:paraId="4C74121B" w14:textId="77777777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Результаты оценки модели и их интерпретация. После проведения предварительных процедур отбора переменных и проверки стационарности была сформирована итоговая спецификация расширенной гравитационной модели, включающая четыре временно изменяющиеся переменные, одну неизменную во времени переменную и одну институциональную фиктивную переменную.</w:t>
      </w:r>
    </w:p>
    <w:p w14:paraId="1BE7744C" w14:textId="77777777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 xml:space="preserve">Зависимой переменной выступает объём экспорта оборудования для ВИЭ из Китая в 63 страны, расположенные вдоль инициативы «Пояс и путь». Для оценки параметров применена модель случайных эффектов, что соответствует результатам тестов спецификации (F-теста и теста 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>) и позволяет корректно учитывать межстрановую гетерогенность.</w:t>
      </w:r>
    </w:p>
    <w:p w14:paraId="19653CF6" w14:textId="2630935C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 xml:space="preserve">Итоговые результаты </w:t>
      </w:r>
      <w:r>
        <w:rPr>
          <w:rFonts w:ascii="Times New Roman" w:hAnsi="Times New Roman" w:cs="Times New Roman"/>
          <w:sz w:val="28"/>
          <w:szCs w:val="28"/>
        </w:rPr>
        <w:t xml:space="preserve">регрессионного анализа </w:t>
      </w:r>
      <w:r w:rsidRPr="00EE2AEC">
        <w:rPr>
          <w:rFonts w:ascii="Times New Roman" w:hAnsi="Times New Roman" w:cs="Times New Roman"/>
          <w:sz w:val="28"/>
          <w:szCs w:val="28"/>
        </w:rPr>
        <w:t xml:space="preserve">представлены в таблице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EE2AEC">
        <w:rPr>
          <w:rFonts w:ascii="Times New Roman" w:hAnsi="Times New Roman" w:cs="Times New Roman"/>
          <w:sz w:val="28"/>
          <w:szCs w:val="28"/>
        </w:rPr>
        <w:t>. Полученное уравнение в целом является статистически значимым на уровне 1%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Wald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 xml:space="preserve"> χ² = 456.33; p </w:t>
      </w:r>
      <w:proofErr w:type="gramStart"/>
      <w:r w:rsidRPr="00EE2AEC">
        <w:rPr>
          <w:rFonts w:ascii="Times New Roman" w:hAnsi="Times New Roman" w:cs="Times New Roman"/>
          <w:sz w:val="28"/>
          <w:szCs w:val="28"/>
        </w:rPr>
        <w:t>&lt; 0.001</w:t>
      </w:r>
      <w:proofErr w:type="gramEnd"/>
      <w:r w:rsidRPr="00EE2AEC">
        <w:rPr>
          <w:rFonts w:ascii="Times New Roman" w:hAnsi="Times New Roman" w:cs="Times New Roman"/>
          <w:sz w:val="28"/>
          <w:szCs w:val="28"/>
        </w:rPr>
        <w:t>), а величина коэффициента детерминации R² = 0.7791 свидетельствует о высокой объяснительной способности модели и её пригодности для анализа торговых потоков.</w:t>
      </w:r>
    </w:p>
    <w:p w14:paraId="5BE0696E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2AEC">
        <w:rPr>
          <w:rFonts w:ascii="Times New Roman" w:hAnsi="Times New Roman" w:cs="Times New Roman"/>
          <w:sz w:val="28"/>
          <w:szCs w:val="28"/>
        </w:rPr>
        <w:t>Все шесть включённых объясняющих переменных оказались статистически значимыми на уровне 1%, а направления влияния совпадают с теоретически ожидаемыми. Итоговая спецификация модели имеет вид:</w:t>
      </w:r>
    </w:p>
    <w:p w14:paraId="61FA1749" w14:textId="77777777" w:rsidR="003E65BC" w:rsidRPr="003E65BC" w:rsidRDefault="003E65BC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39866A" w14:textId="11D6E69F" w:rsidR="00E14263" w:rsidRPr="00EE2AEC" w:rsidRDefault="00000000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LnEX</m:t>
            </m:r>
            <w:proofErr w:type="spell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=5.985449+1.033613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LnGDPCAP</m:t>
            </m:r>
            <w:proofErr w:type="spell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-1.27406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LnDI</m:t>
            </m:r>
            <w:proofErr w:type="spell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+1.119157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LnPOP</m:t>
            </m:r>
            <w:proofErr w:type="spell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+0.283436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LnRC</m:t>
            </m:r>
            <w:proofErr w:type="spell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+0.047735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LndRC</m:t>
            </m:r>
            <w:proofErr w:type="spell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+0.569032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WTO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  <w:r w:rsidR="003E65B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(4)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w:br/>
        </m:r>
      </m:oMath>
    </w:p>
    <w:p w14:paraId="78E66819" w14:textId="77777777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Высокая статистическая значимость и логичность коэффициентов подтверждают корректность выбранной модели и позволяют интерпретировать влияние отдельных факторов на экспорт оборудования для ВИЭ из Китая.</w:t>
      </w:r>
    </w:p>
    <w:p w14:paraId="3A346DE2" w14:textId="77777777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Ключевые выводы по результатам регрессии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E2AEC">
        <w:rPr>
          <w:rFonts w:ascii="Times New Roman" w:hAnsi="Times New Roman" w:cs="Times New Roman"/>
          <w:sz w:val="28"/>
          <w:szCs w:val="28"/>
        </w:rPr>
        <w:t>Географическое расстояние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LnDIij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 xml:space="preserve">) имеет отрицательный и значимый эффект (–1.274), что полностью соответствует классическим положениям гравитационной модели. </w:t>
      </w:r>
      <w:r w:rsidRPr="00EE2AEC">
        <w:rPr>
          <w:rFonts w:ascii="Times New Roman" w:hAnsi="Times New Roman" w:cs="Times New Roman"/>
          <w:sz w:val="28"/>
          <w:szCs w:val="28"/>
        </w:rPr>
        <w:lastRenderedPageBreak/>
        <w:t>Увеличение расстояния между Пекином и столицей страны-импортёра на 1% снижает экспорт оборудования на 1.27%.</w:t>
      </w:r>
    </w:p>
    <w:p w14:paraId="08685909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ВВП на душу населения страны-импортёра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LnGDPCAPjt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>) оказывает значимое положительное влияние (коэффициент 1.0336), что отражает прямую зависимость спроса на сложное энергетическое оборудование от уровня экономического развития.</w:t>
      </w:r>
    </w:p>
    <w:p w14:paraId="262C7142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Численность населения страны-импортёра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LnPOPjt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>) демонстрирует ещё более выраженный эффект (1.1192), что указывает на то, что крупные по населению страны обладают большими потребностями в электроэнергии и, соответственно, в оборудовании для ВИЭ.</w:t>
      </w:r>
    </w:p>
    <w:p w14:paraId="1201B34B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Общая установленная мощность ВИЭ в Китае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LnRCit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>) положительно влияет на экспорт (0.2834), отражая эффект масштабов производства и растущие возможности китайского энергетического машиностроения.</w:t>
      </w:r>
    </w:p>
    <w:p w14:paraId="6647EE34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Новая установленная мощность ВИЭ в стране-импортере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LndRCjt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>) также положительна (0.0477), но по величине коэффициент значительно меньше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EE2AEC">
        <w:rPr>
          <w:rFonts w:ascii="Times New Roman" w:hAnsi="Times New Roman" w:cs="Times New Roman"/>
          <w:sz w:val="28"/>
          <w:szCs w:val="28"/>
        </w:rPr>
        <w:t>означает, что ежегодные колебания ввода мощностей в странах-партнёрах влияют на импорт оборудования, но в меньшей степени, чем их долгосрочные экономические параметры.</w:t>
      </w:r>
    </w:p>
    <w:p w14:paraId="708A364D" w14:textId="77777777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Участие в ВТО (</w:t>
      </w:r>
      <w:proofErr w:type="spellStart"/>
      <w:r w:rsidRPr="00EE2AEC">
        <w:rPr>
          <w:rFonts w:ascii="Times New Roman" w:hAnsi="Times New Roman" w:cs="Times New Roman"/>
          <w:sz w:val="28"/>
          <w:szCs w:val="28"/>
        </w:rPr>
        <w:t>WTOjt</w:t>
      </w:r>
      <w:proofErr w:type="spellEnd"/>
      <w:r w:rsidRPr="00EE2AEC">
        <w:rPr>
          <w:rFonts w:ascii="Times New Roman" w:hAnsi="Times New Roman" w:cs="Times New Roman"/>
          <w:sz w:val="28"/>
          <w:szCs w:val="28"/>
        </w:rPr>
        <w:t>) усиливает экспорт на 0.569, что свидетельствует о позитивном воздействии унифицированных торговых правил и снижении барьеров. В терминах экспоненты экспорту способствует увеличение на 76.65%.</w:t>
      </w:r>
    </w:p>
    <w:p w14:paraId="01521A05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CD09D" w14:textId="38A4F42E" w:rsidR="00E14263" w:rsidRPr="00EE2AEC" w:rsidRDefault="00E14263" w:rsidP="003E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EE2AEC">
        <w:rPr>
          <w:rFonts w:ascii="Times New Roman" w:hAnsi="Times New Roman" w:cs="Times New Roman"/>
          <w:sz w:val="28"/>
          <w:szCs w:val="28"/>
        </w:rPr>
        <w:t xml:space="preserve"> - Результаты регрессии расширенной гравитационной модели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88"/>
        <w:gridCol w:w="1858"/>
        <w:gridCol w:w="1070"/>
        <w:gridCol w:w="1151"/>
        <w:gridCol w:w="1151"/>
        <w:gridCol w:w="1174"/>
        <w:gridCol w:w="1153"/>
      </w:tblGrid>
      <w:tr w:rsidR="00E14263" w:rsidRPr="00EF1F6F" w14:paraId="536CDDD6" w14:textId="77777777" w:rsidTr="003C63B5">
        <w:tc>
          <w:tcPr>
            <w:tcW w:w="1788" w:type="dxa"/>
            <w:vAlign w:val="center"/>
          </w:tcPr>
          <w:p w14:paraId="779BE39C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Переменная</w:t>
            </w:r>
          </w:p>
        </w:tc>
        <w:tc>
          <w:tcPr>
            <w:tcW w:w="1858" w:type="dxa"/>
            <w:vAlign w:val="center"/>
          </w:tcPr>
          <w:p w14:paraId="3277D567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Коэффициент</w:t>
            </w:r>
          </w:p>
        </w:tc>
        <w:tc>
          <w:tcPr>
            <w:tcW w:w="1070" w:type="dxa"/>
            <w:vAlign w:val="center"/>
          </w:tcPr>
          <w:p w14:paraId="3A42A277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z-</w:t>
            </w:r>
            <w:proofErr w:type="spellStart"/>
            <w:r w:rsidRPr="00EF1F6F">
              <w:rPr>
                <w:sz w:val="24"/>
                <w:szCs w:val="24"/>
              </w:rPr>
              <w:t>value</w:t>
            </w:r>
            <w:proofErr w:type="spellEnd"/>
          </w:p>
        </w:tc>
        <w:tc>
          <w:tcPr>
            <w:tcW w:w="1151" w:type="dxa"/>
            <w:vAlign w:val="center"/>
          </w:tcPr>
          <w:p w14:paraId="295F851A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gramStart"/>
            <w:r w:rsidRPr="00EF1F6F">
              <w:rPr>
                <w:sz w:val="24"/>
                <w:szCs w:val="24"/>
              </w:rPr>
              <w:t>P&gt;|</w:t>
            </w:r>
            <w:proofErr w:type="gramEnd"/>
            <w:r w:rsidRPr="00EF1F6F">
              <w:rPr>
                <w:sz w:val="24"/>
                <w:szCs w:val="24"/>
              </w:rPr>
              <w:t>z|</w:t>
            </w:r>
          </w:p>
        </w:tc>
        <w:tc>
          <w:tcPr>
            <w:tcW w:w="1151" w:type="dxa"/>
            <w:vAlign w:val="center"/>
          </w:tcPr>
          <w:p w14:paraId="5081F011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R-</w:t>
            </w:r>
            <w:proofErr w:type="spellStart"/>
            <w:r w:rsidRPr="00EF1F6F">
              <w:rPr>
                <w:sz w:val="24"/>
                <w:szCs w:val="24"/>
              </w:rPr>
              <w:t>sq</w:t>
            </w:r>
            <w:proofErr w:type="spellEnd"/>
          </w:p>
        </w:tc>
        <w:tc>
          <w:tcPr>
            <w:tcW w:w="1174" w:type="dxa"/>
            <w:vAlign w:val="center"/>
          </w:tcPr>
          <w:p w14:paraId="23E389CE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Wald</w:t>
            </w:r>
            <w:proofErr w:type="spellEnd"/>
            <w:r w:rsidRPr="00EF1F6F">
              <w:rPr>
                <w:sz w:val="24"/>
                <w:szCs w:val="24"/>
              </w:rPr>
              <w:t xml:space="preserve"> chi2(6)</w:t>
            </w:r>
          </w:p>
        </w:tc>
        <w:tc>
          <w:tcPr>
            <w:tcW w:w="1153" w:type="dxa"/>
            <w:vAlign w:val="center"/>
          </w:tcPr>
          <w:p w14:paraId="6B2A5E34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EF1F6F">
              <w:rPr>
                <w:sz w:val="24"/>
                <w:szCs w:val="24"/>
              </w:rPr>
              <w:t>Prob</w:t>
            </w:r>
            <w:proofErr w:type="spellEnd"/>
            <w:r w:rsidRPr="00EF1F6F">
              <w:rPr>
                <w:sz w:val="24"/>
                <w:szCs w:val="24"/>
              </w:rPr>
              <w:t xml:space="preserve"> &gt;</w:t>
            </w:r>
            <w:proofErr w:type="gramEnd"/>
            <w:r w:rsidRPr="00EF1F6F">
              <w:rPr>
                <w:sz w:val="24"/>
                <w:szCs w:val="24"/>
              </w:rPr>
              <w:t xml:space="preserve"> chi2</w:t>
            </w:r>
          </w:p>
        </w:tc>
      </w:tr>
      <w:tr w:rsidR="00E14263" w:rsidRPr="00EF1F6F" w14:paraId="2B350C11" w14:textId="77777777" w:rsidTr="003C63B5">
        <w:tc>
          <w:tcPr>
            <w:tcW w:w="1788" w:type="dxa"/>
            <w:vAlign w:val="center"/>
          </w:tcPr>
          <w:p w14:paraId="128738C8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LnDIij</w:t>
            </w:r>
            <w:proofErr w:type="spellEnd"/>
          </w:p>
        </w:tc>
        <w:tc>
          <w:tcPr>
            <w:tcW w:w="1858" w:type="dxa"/>
            <w:vAlign w:val="center"/>
          </w:tcPr>
          <w:p w14:paraId="689A028E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-1.27406</w:t>
            </w:r>
          </w:p>
        </w:tc>
        <w:tc>
          <w:tcPr>
            <w:tcW w:w="1070" w:type="dxa"/>
            <w:vAlign w:val="center"/>
          </w:tcPr>
          <w:p w14:paraId="776100BC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-3.92</w:t>
            </w:r>
          </w:p>
        </w:tc>
        <w:tc>
          <w:tcPr>
            <w:tcW w:w="1151" w:type="dxa"/>
            <w:vAlign w:val="center"/>
          </w:tcPr>
          <w:p w14:paraId="5F6635DD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0.0000</w:t>
            </w:r>
          </w:p>
        </w:tc>
        <w:tc>
          <w:tcPr>
            <w:tcW w:w="1151" w:type="dxa"/>
            <w:vAlign w:val="center"/>
          </w:tcPr>
          <w:p w14:paraId="6F2D4C01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37C9B1B5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14:paraId="4FB34398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EF1F6F" w14:paraId="42C219E1" w14:textId="77777777" w:rsidTr="003C63B5">
        <w:tc>
          <w:tcPr>
            <w:tcW w:w="1788" w:type="dxa"/>
            <w:vAlign w:val="center"/>
          </w:tcPr>
          <w:p w14:paraId="2D1CA698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LnGDPCAPjt</w:t>
            </w:r>
            <w:proofErr w:type="spellEnd"/>
          </w:p>
        </w:tc>
        <w:tc>
          <w:tcPr>
            <w:tcW w:w="1858" w:type="dxa"/>
            <w:vAlign w:val="center"/>
          </w:tcPr>
          <w:p w14:paraId="3F2FD475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1.033613</w:t>
            </w:r>
          </w:p>
        </w:tc>
        <w:tc>
          <w:tcPr>
            <w:tcW w:w="1070" w:type="dxa"/>
            <w:vAlign w:val="center"/>
          </w:tcPr>
          <w:p w14:paraId="28F67209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10.96</w:t>
            </w:r>
          </w:p>
        </w:tc>
        <w:tc>
          <w:tcPr>
            <w:tcW w:w="1151" w:type="dxa"/>
            <w:vAlign w:val="center"/>
          </w:tcPr>
          <w:p w14:paraId="11817B78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0.0000</w:t>
            </w:r>
          </w:p>
        </w:tc>
        <w:tc>
          <w:tcPr>
            <w:tcW w:w="1151" w:type="dxa"/>
            <w:vAlign w:val="center"/>
          </w:tcPr>
          <w:p w14:paraId="2F6A66EA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1FFADAF4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14:paraId="75AE821A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EF1F6F" w14:paraId="11B8F73D" w14:textId="77777777" w:rsidTr="003C63B5">
        <w:tc>
          <w:tcPr>
            <w:tcW w:w="1788" w:type="dxa"/>
            <w:vAlign w:val="center"/>
          </w:tcPr>
          <w:p w14:paraId="2B679F16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LnPOPjt</w:t>
            </w:r>
            <w:proofErr w:type="spellEnd"/>
          </w:p>
        </w:tc>
        <w:tc>
          <w:tcPr>
            <w:tcW w:w="1858" w:type="dxa"/>
            <w:vAlign w:val="center"/>
          </w:tcPr>
          <w:p w14:paraId="414EDA5F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1.119157</w:t>
            </w:r>
          </w:p>
        </w:tc>
        <w:tc>
          <w:tcPr>
            <w:tcW w:w="1070" w:type="dxa"/>
            <w:vAlign w:val="center"/>
          </w:tcPr>
          <w:p w14:paraId="091C3E04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15.09</w:t>
            </w:r>
          </w:p>
        </w:tc>
        <w:tc>
          <w:tcPr>
            <w:tcW w:w="1151" w:type="dxa"/>
            <w:vAlign w:val="center"/>
          </w:tcPr>
          <w:p w14:paraId="1B83C837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0.0000</w:t>
            </w:r>
          </w:p>
        </w:tc>
        <w:tc>
          <w:tcPr>
            <w:tcW w:w="1151" w:type="dxa"/>
            <w:vAlign w:val="center"/>
          </w:tcPr>
          <w:p w14:paraId="29A4B8A1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2F4BB961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14:paraId="07137D42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EF1F6F" w14:paraId="47EBDDB6" w14:textId="77777777" w:rsidTr="003C63B5">
        <w:tc>
          <w:tcPr>
            <w:tcW w:w="1788" w:type="dxa"/>
            <w:vAlign w:val="center"/>
          </w:tcPr>
          <w:p w14:paraId="7FF1A3B7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LnRCit</w:t>
            </w:r>
            <w:proofErr w:type="spellEnd"/>
          </w:p>
        </w:tc>
        <w:tc>
          <w:tcPr>
            <w:tcW w:w="1858" w:type="dxa"/>
            <w:vAlign w:val="center"/>
          </w:tcPr>
          <w:p w14:paraId="7422AB66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0.283436</w:t>
            </w:r>
          </w:p>
        </w:tc>
        <w:tc>
          <w:tcPr>
            <w:tcW w:w="1070" w:type="dxa"/>
            <w:vAlign w:val="center"/>
          </w:tcPr>
          <w:p w14:paraId="71165513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4.71</w:t>
            </w:r>
          </w:p>
        </w:tc>
        <w:tc>
          <w:tcPr>
            <w:tcW w:w="1151" w:type="dxa"/>
            <w:vAlign w:val="center"/>
          </w:tcPr>
          <w:p w14:paraId="00CA9ED6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0.0000</w:t>
            </w:r>
          </w:p>
        </w:tc>
        <w:tc>
          <w:tcPr>
            <w:tcW w:w="1151" w:type="dxa"/>
            <w:vMerge w:val="restart"/>
            <w:vAlign w:val="center"/>
          </w:tcPr>
          <w:p w14:paraId="783C1EA0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0.7791</w:t>
            </w:r>
          </w:p>
        </w:tc>
        <w:tc>
          <w:tcPr>
            <w:tcW w:w="1174" w:type="dxa"/>
            <w:vMerge w:val="restart"/>
            <w:vAlign w:val="center"/>
          </w:tcPr>
          <w:p w14:paraId="356FEABF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456.33</w:t>
            </w:r>
          </w:p>
        </w:tc>
        <w:tc>
          <w:tcPr>
            <w:tcW w:w="1153" w:type="dxa"/>
            <w:vMerge w:val="restart"/>
            <w:vAlign w:val="center"/>
          </w:tcPr>
          <w:p w14:paraId="218D61C1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0.0000</w:t>
            </w:r>
          </w:p>
        </w:tc>
      </w:tr>
      <w:tr w:rsidR="00E14263" w:rsidRPr="00EF1F6F" w14:paraId="191135BA" w14:textId="77777777" w:rsidTr="003C63B5">
        <w:tc>
          <w:tcPr>
            <w:tcW w:w="1788" w:type="dxa"/>
            <w:vAlign w:val="center"/>
          </w:tcPr>
          <w:p w14:paraId="3EA57C96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LndRCjt</w:t>
            </w:r>
            <w:proofErr w:type="spellEnd"/>
          </w:p>
        </w:tc>
        <w:tc>
          <w:tcPr>
            <w:tcW w:w="1858" w:type="dxa"/>
            <w:vAlign w:val="center"/>
          </w:tcPr>
          <w:p w14:paraId="6DA96ECA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0.047735</w:t>
            </w:r>
          </w:p>
        </w:tc>
        <w:tc>
          <w:tcPr>
            <w:tcW w:w="1070" w:type="dxa"/>
            <w:vAlign w:val="center"/>
          </w:tcPr>
          <w:p w14:paraId="180C3598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2.76</w:t>
            </w:r>
          </w:p>
        </w:tc>
        <w:tc>
          <w:tcPr>
            <w:tcW w:w="1151" w:type="dxa"/>
            <w:vAlign w:val="center"/>
          </w:tcPr>
          <w:p w14:paraId="2770C596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0.0060</w:t>
            </w:r>
          </w:p>
        </w:tc>
        <w:tc>
          <w:tcPr>
            <w:tcW w:w="1151" w:type="dxa"/>
            <w:vMerge/>
            <w:vAlign w:val="center"/>
          </w:tcPr>
          <w:p w14:paraId="2C58DC44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74" w:type="dxa"/>
            <w:vMerge/>
            <w:vAlign w:val="center"/>
          </w:tcPr>
          <w:p w14:paraId="6806EF32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3" w:type="dxa"/>
            <w:vMerge/>
            <w:vAlign w:val="center"/>
          </w:tcPr>
          <w:p w14:paraId="6D1350D7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EF1F6F" w14:paraId="3314CC8A" w14:textId="77777777" w:rsidTr="003C63B5">
        <w:tc>
          <w:tcPr>
            <w:tcW w:w="1788" w:type="dxa"/>
            <w:vAlign w:val="center"/>
          </w:tcPr>
          <w:p w14:paraId="4446F085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proofErr w:type="spellStart"/>
            <w:r w:rsidRPr="00EF1F6F">
              <w:rPr>
                <w:sz w:val="24"/>
                <w:szCs w:val="24"/>
              </w:rPr>
              <w:t>WTOjt</w:t>
            </w:r>
            <w:proofErr w:type="spellEnd"/>
          </w:p>
        </w:tc>
        <w:tc>
          <w:tcPr>
            <w:tcW w:w="1858" w:type="dxa"/>
            <w:vAlign w:val="center"/>
          </w:tcPr>
          <w:p w14:paraId="7085F0E2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0.569032</w:t>
            </w:r>
          </w:p>
        </w:tc>
        <w:tc>
          <w:tcPr>
            <w:tcW w:w="1070" w:type="dxa"/>
            <w:vAlign w:val="center"/>
          </w:tcPr>
          <w:p w14:paraId="5D7714BF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4.24</w:t>
            </w:r>
          </w:p>
        </w:tc>
        <w:tc>
          <w:tcPr>
            <w:tcW w:w="1151" w:type="dxa"/>
            <w:vAlign w:val="center"/>
          </w:tcPr>
          <w:p w14:paraId="3C63CCF6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0.0000</w:t>
            </w:r>
          </w:p>
        </w:tc>
        <w:tc>
          <w:tcPr>
            <w:tcW w:w="1151" w:type="dxa"/>
            <w:vAlign w:val="center"/>
          </w:tcPr>
          <w:p w14:paraId="5BBAD095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28E0CE74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14:paraId="535D0850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EF1F6F" w14:paraId="38841AE8" w14:textId="77777777" w:rsidTr="003C63B5">
        <w:tc>
          <w:tcPr>
            <w:tcW w:w="1788" w:type="dxa"/>
            <w:vAlign w:val="center"/>
          </w:tcPr>
          <w:p w14:paraId="3FF79E0E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α0</w:t>
            </w:r>
          </w:p>
        </w:tc>
        <w:tc>
          <w:tcPr>
            <w:tcW w:w="1858" w:type="dxa"/>
            <w:vAlign w:val="center"/>
          </w:tcPr>
          <w:p w14:paraId="19774359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5.985449</w:t>
            </w:r>
          </w:p>
        </w:tc>
        <w:tc>
          <w:tcPr>
            <w:tcW w:w="1070" w:type="dxa"/>
            <w:vAlign w:val="center"/>
          </w:tcPr>
          <w:p w14:paraId="0F5F7305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2.00</w:t>
            </w:r>
          </w:p>
        </w:tc>
        <w:tc>
          <w:tcPr>
            <w:tcW w:w="1151" w:type="dxa"/>
            <w:vAlign w:val="center"/>
          </w:tcPr>
          <w:p w14:paraId="5BCC3772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sz w:val="24"/>
                <w:szCs w:val="24"/>
              </w:rPr>
              <w:t>0.0460</w:t>
            </w:r>
          </w:p>
        </w:tc>
        <w:tc>
          <w:tcPr>
            <w:tcW w:w="1151" w:type="dxa"/>
            <w:vAlign w:val="center"/>
          </w:tcPr>
          <w:p w14:paraId="4477E5D5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46B8F8EA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14:paraId="41320F5C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</w:p>
        </w:tc>
      </w:tr>
      <w:tr w:rsidR="00E14263" w:rsidRPr="00EF1F6F" w14:paraId="5A0423B3" w14:textId="77777777" w:rsidTr="003C63B5">
        <w:tc>
          <w:tcPr>
            <w:tcW w:w="9345" w:type="dxa"/>
            <w:gridSpan w:val="7"/>
          </w:tcPr>
          <w:p w14:paraId="3F0911FE" w14:textId="77777777" w:rsidR="00E14263" w:rsidRPr="00EF1F6F" w:rsidRDefault="00E14263" w:rsidP="003C63B5">
            <w:pPr>
              <w:jc w:val="both"/>
              <w:rPr>
                <w:sz w:val="24"/>
                <w:szCs w:val="24"/>
              </w:rPr>
            </w:pPr>
            <w:r w:rsidRPr="00EF1F6F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Примечание: составлено автором на основании анализа данных</w:t>
            </w:r>
          </w:p>
        </w:tc>
      </w:tr>
    </w:tbl>
    <w:p w14:paraId="6BDA6F7A" w14:textId="77777777" w:rsidR="00E14263" w:rsidRPr="00EE2AE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F39947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E2AEC">
        <w:rPr>
          <w:rFonts w:ascii="Times New Roman" w:hAnsi="Times New Roman" w:cs="Times New Roman"/>
          <w:sz w:val="28"/>
          <w:szCs w:val="28"/>
        </w:rPr>
        <w:t xml:space="preserve">еографическое расстояние между Китаем и страной-импортёром оказывает статистически значимое отрицательное влияние на торговые потоки.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E2AEC">
        <w:rPr>
          <w:rFonts w:ascii="Times New Roman" w:hAnsi="Times New Roman" w:cs="Times New Roman"/>
          <w:sz w:val="28"/>
          <w:szCs w:val="28"/>
        </w:rPr>
        <w:t>езультат полностью согласуется с базовыми предпосылками гравитационного подхода, согласно которым увеличение расстояния приводит к росту транспортных и логистических издержек, а также рисков и временных задержек. Согласно полученной оценке, увеличение расстояния между Пекином и столицей страны-импортёра на 1 % приводит к сокращению объёма экспорта на 1,27 %. Соответственно, близость стран является объективным фактором, снижающим торговые барьеры и способствующим углублению кооперации.</w:t>
      </w:r>
    </w:p>
    <w:p w14:paraId="5D4BF94E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lastRenderedPageBreak/>
        <w:t>Положительный и значимый коэффициент при ВВП на душу населения (1,03) указывает на то, что страны с более высоким уровнем доходов демонстрируют большую готовность инвестировать в модернизацию энергетической инфраструктуры и внедрение ВИЭ. В условиях ограниченных ресурсов экономически менее развитые государства зачастую отдают приоритет традиционной генерации, что снижает их спрос на высокотехнологичное импортное оборудование.</w:t>
      </w:r>
    </w:p>
    <w:p w14:paraId="46A80E3C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</w:t>
      </w:r>
      <w:r w:rsidRPr="00EE2AEC">
        <w:rPr>
          <w:rFonts w:ascii="Times New Roman" w:hAnsi="Times New Roman" w:cs="Times New Roman"/>
          <w:sz w:val="28"/>
          <w:szCs w:val="28"/>
        </w:rPr>
        <w:t>сленность населения страны-импортёра является существенным драйвером спроса. Установлено, что прирост населения на 1 % приводит к увеличению импорта китайского оборудования на 1,12 %. Эффект отражает прямую зависимость объёма потребления электроэнергии от масштабов демографического роста: страны с большим населением сталкиваются с повышенным энергетическим спросом, что усиливает потребность в инвестициях в новые генерирующие мощности, включая солнечные и ветровые установки.</w:t>
      </w:r>
    </w:p>
    <w:p w14:paraId="3836F907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Следующая группа факторов связана с емкостью энергетического сектора. Положительные коэффициенты при переменных, характеризующих общую установленную мощность ВИЭ в Китае и ежегодное увеличение установленной мощности в странах-импортёрах, подтверждают роль предложения и спроса как драйверов торговли. Рост внутренней установленной мощности ВИЭ в Китае на 1 % приводит к увеличению экспорта оборудования на 0,28 %, что отражает эффект масштабов производства, технологической зрелости и усиления экспортных позиций китайских компаний.</w:t>
      </w:r>
    </w:p>
    <w:p w14:paraId="2FFC443B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Напротив, влияние ежегодного прироста установленной мощности ВИЭ в странах-импортёрах (0,047 %) является существенно меньшим.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E2AEC">
        <w:rPr>
          <w:rFonts w:ascii="Times New Roman" w:hAnsi="Times New Roman" w:cs="Times New Roman"/>
          <w:sz w:val="28"/>
          <w:szCs w:val="28"/>
        </w:rPr>
        <w:t>инамика экспорта отражает долгосрочные тенденции развития энергетического сектора, а не краткосрочные колебания.</w:t>
      </w:r>
    </w:p>
    <w:p w14:paraId="7BD2583B" w14:textId="77777777" w:rsidR="00E14263" w:rsidRPr="00EE2AEC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AEC">
        <w:rPr>
          <w:rFonts w:ascii="Times New Roman" w:hAnsi="Times New Roman" w:cs="Times New Roman"/>
          <w:sz w:val="28"/>
          <w:szCs w:val="28"/>
        </w:rPr>
        <w:t>В совокупности результаты демонстрируют устойчивую зависимость торговых потоков от макроэкономических и демографических характеристик стран-импортёров, а также от структурных параметров рынка ВИЭ. Одновременно выявлены ограничения, обусловленные географической удалённостью и особенностями инвестиционных циклов, что является важным для формирования рекомендаций по развитию двустороннего сотрудничества в сфере низкоуглеродных технологий.</w:t>
      </w:r>
    </w:p>
    <w:p w14:paraId="4F8FD69B" w14:textId="77777777" w:rsidR="00E14263" w:rsidRPr="0048536D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 xml:space="preserve">Завершающим значимым фактором, оказывающим влияние на объём экспорта оборудования для ВИЭ, являются институциональные характеристики стран-импортёров, выраженные через фиктивные переменные международных экономических организаций. Полученные результаты демонстрируют, что членство в ВТО оказывает статистически значимое и положительное влияние на торговые потоки. Согласно оценённому коэффициенту (0,569), вступление страны в ВТО ассоциируется с увеличением объёма импорта китайского оборудования для ВИЭ примерно на 76,65% (рассчитано как </w:t>
      </w:r>
      <w:proofErr w:type="spellStart"/>
      <w:proofErr w:type="gramStart"/>
      <w:r w:rsidRPr="0048536D">
        <w:rPr>
          <w:rFonts w:ascii="Times New Roman" w:hAnsi="Times New Roman" w:cs="Times New Roman"/>
          <w:sz w:val="28"/>
          <w:szCs w:val="28"/>
        </w:rPr>
        <w:t>exp</w:t>
      </w:r>
      <w:proofErr w:type="spellEnd"/>
      <w:r w:rsidRPr="0048536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8536D">
        <w:rPr>
          <w:rFonts w:ascii="Times New Roman" w:hAnsi="Times New Roman" w:cs="Times New Roman"/>
          <w:sz w:val="28"/>
          <w:szCs w:val="28"/>
        </w:rPr>
        <w:t xml:space="preserve">0.569) – 1).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8536D">
        <w:rPr>
          <w:rFonts w:ascii="Times New Roman" w:hAnsi="Times New Roman" w:cs="Times New Roman"/>
          <w:sz w:val="28"/>
          <w:szCs w:val="28"/>
        </w:rPr>
        <w:t xml:space="preserve">частие в многосторонней торговой системе </w:t>
      </w:r>
      <w:r w:rsidRPr="0048536D">
        <w:rPr>
          <w:rFonts w:ascii="Times New Roman" w:hAnsi="Times New Roman" w:cs="Times New Roman"/>
          <w:sz w:val="28"/>
          <w:szCs w:val="28"/>
        </w:rPr>
        <w:lastRenderedPageBreak/>
        <w:t>снижает институциональные барьеры, повышает транспарентность нормативной среды и способствует развитию предсказуемых механизмов торговли.</w:t>
      </w:r>
    </w:p>
    <w:p w14:paraId="5C28C5DC" w14:textId="77777777" w:rsidR="00E14263" w:rsidRPr="0048536D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 xml:space="preserve">В то же время фиктивные переменные, отражающие принадлежность стран к АТЭС и ШОС, не продемонстрировали статистической значимости. Наиболее вероятным объяснением является ограниченное численное представительство этих организаций в исследуемой выборке: лишь восемь стран относятся к АТЭС и семь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8536D">
        <w:rPr>
          <w:rFonts w:ascii="Times New Roman" w:hAnsi="Times New Roman" w:cs="Times New Roman"/>
          <w:sz w:val="28"/>
          <w:szCs w:val="28"/>
        </w:rPr>
        <w:t xml:space="preserve"> к ШОС, что существенно уменьшает вариативность данных и снижает силу статистического теста. Кроме того, влияние таких интеграционных объединений на конкретно сектор ВИЭ может быть опосредованным и менее выраженным по сравнению с универсальными правилами многосторонней торговли, закреплёнными в ВТО.</w:t>
      </w:r>
    </w:p>
    <w:p w14:paraId="233B62B0" w14:textId="77777777" w:rsidR="00E14263" w:rsidRPr="0048536D" w:rsidRDefault="00E14263" w:rsidP="00E1426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536D">
        <w:rPr>
          <w:rFonts w:ascii="Times New Roman" w:hAnsi="Times New Roman" w:cs="Times New Roman"/>
          <w:sz w:val="28"/>
          <w:szCs w:val="28"/>
        </w:rPr>
        <w:t>езультаты модели подтверждают общий вывод: принадлежность обеих стран к единой международной экономической архитектуре существенно снижает торговое трение и усиливает объёмы взаимной торговли. Для сектора ВИЭ означает, что институциональная совместимость и гармонизация правил играют не менее важную роль, чем экономические или географические факторы, особенно в условиях формирования глобального рынка низкоуглеродных технологий.</w:t>
      </w:r>
    </w:p>
    <w:p w14:paraId="3845C4A4" w14:textId="05647213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>Анализ распределения стран по категориям экспортного потенциала, представленный ранее, позволяет выявить структурные закономерности, определяющие перспективы расширения поставок оборудования для ВИЭ из Китая на рынки государств вдоль «Пояса и пути». Полученные результаты демонстрируют существенную неоднородность регионов как по ёмкости спроса, так и по степени использования потенциальных торговых возможностей.</w:t>
      </w:r>
    </w:p>
    <w:p w14:paraId="6795A516" w14:textId="77777777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>В частности, обращает на себя внимание то, что рынки с высоким потенциалом, умеренным потенциалом развития и рынки с признаками насыщения формируют неоднородную географическую картину, отражающую как экономические различия между странами, так и специфику их национальных стратегий в области энергетического перехода. Такая дифференциация подчёркивает необходимость селективного подхода к расширению внешнеторговых связей, когда приоритеты должны определяться не только объёмом спроса, но и институциональными, логистическими и технологическими характеристиками каждой группы стран.</w:t>
      </w:r>
    </w:p>
    <w:p w14:paraId="72EB3134" w14:textId="47066964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 xml:space="preserve">Особенно важным для целей настоящего исследования является положение Казахстана в структуре. Как видно из результатов, он относится к числу государств с выраженным потенциалом расширения импорта оборудования для ВИЭ.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8536D">
        <w:rPr>
          <w:rFonts w:ascii="Times New Roman" w:hAnsi="Times New Roman" w:cs="Times New Roman"/>
          <w:sz w:val="28"/>
          <w:szCs w:val="28"/>
        </w:rPr>
        <w:t xml:space="preserve">актические торговые потоки не отражают возможный уровень взаимодействия, определяемый параметрами экономической ёмкости, растущими потребностями энергосектора и высокой степенью структурной совместимости с экспортным предложением Китая. </w:t>
      </w:r>
    </w:p>
    <w:p w14:paraId="43CB8D87" w14:textId="12084F2F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 xml:space="preserve">Для дальнейшего уточнения структуры спроса на оборудование для ВИЭ и выделения стран, представляющих наибольший интерес с точки зрения </w:t>
      </w:r>
      <w:r w:rsidRPr="0048536D">
        <w:rPr>
          <w:rFonts w:ascii="Times New Roman" w:hAnsi="Times New Roman" w:cs="Times New Roman"/>
          <w:sz w:val="28"/>
          <w:szCs w:val="28"/>
        </w:rPr>
        <w:lastRenderedPageBreak/>
        <w:t xml:space="preserve">расширения торгового взаимодействия, был проведён анализ фактических объёмов импорта среди государств, отнесённых ранее к группам «высокий потенциал» и «развивающийся потенциал». Результаты ранжирования представлены в Таблице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Pr="0048536D">
        <w:rPr>
          <w:rFonts w:ascii="Times New Roman" w:hAnsi="Times New Roman" w:cs="Times New Roman"/>
          <w:sz w:val="28"/>
          <w:szCs w:val="28"/>
        </w:rPr>
        <w:t>, отражающей динамику крупнейших импортёров оборудования для ВИЭ из Китая за трёхлетний период.</w:t>
      </w:r>
    </w:p>
    <w:p w14:paraId="730154C6" w14:textId="77777777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1E1CE1" w14:textId="11F755B8" w:rsidR="00E14263" w:rsidRPr="00621AFC" w:rsidRDefault="00E14263" w:rsidP="003E6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Pr="00621AFC">
        <w:rPr>
          <w:rFonts w:ascii="Times New Roman" w:hAnsi="Times New Roman" w:cs="Times New Roman"/>
          <w:sz w:val="28"/>
          <w:szCs w:val="28"/>
        </w:rPr>
        <w:t xml:space="preserve"> - Топ-10 стран импорта оборудования для ВИЭ из Китая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31"/>
        <w:gridCol w:w="1986"/>
        <w:gridCol w:w="1986"/>
        <w:gridCol w:w="2071"/>
        <w:gridCol w:w="2071"/>
      </w:tblGrid>
      <w:tr w:rsidR="00E14263" w:rsidRPr="003E65BC" w14:paraId="5D82F9AF" w14:textId="77777777" w:rsidTr="003C63B5">
        <w:trPr>
          <w:tblHeader/>
        </w:trPr>
        <w:tc>
          <w:tcPr>
            <w:tcW w:w="1231" w:type="dxa"/>
            <w:vAlign w:val="center"/>
          </w:tcPr>
          <w:p w14:paraId="3F469B69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Рейтинг</w:t>
            </w:r>
          </w:p>
        </w:tc>
        <w:tc>
          <w:tcPr>
            <w:tcW w:w="1986" w:type="dxa"/>
            <w:vAlign w:val="center"/>
          </w:tcPr>
          <w:p w14:paraId="12C4E36A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2022</w:t>
            </w:r>
          </w:p>
        </w:tc>
        <w:tc>
          <w:tcPr>
            <w:tcW w:w="1986" w:type="dxa"/>
            <w:vAlign w:val="center"/>
          </w:tcPr>
          <w:p w14:paraId="26550BF0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2023</w:t>
            </w:r>
          </w:p>
        </w:tc>
        <w:tc>
          <w:tcPr>
            <w:tcW w:w="2071" w:type="dxa"/>
            <w:vAlign w:val="center"/>
          </w:tcPr>
          <w:p w14:paraId="27B7B30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2024</w:t>
            </w:r>
          </w:p>
        </w:tc>
        <w:tc>
          <w:tcPr>
            <w:tcW w:w="2071" w:type="dxa"/>
            <w:vAlign w:val="center"/>
          </w:tcPr>
          <w:p w14:paraId="4D5C0043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В среднем за три года</w:t>
            </w:r>
          </w:p>
        </w:tc>
      </w:tr>
      <w:tr w:rsidR="00E14263" w:rsidRPr="003E65BC" w14:paraId="572A1D24" w14:textId="77777777" w:rsidTr="003C63B5">
        <w:tc>
          <w:tcPr>
            <w:tcW w:w="1231" w:type="dxa"/>
            <w:vAlign w:val="center"/>
          </w:tcPr>
          <w:p w14:paraId="04B18545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</w:t>
            </w:r>
          </w:p>
        </w:tc>
        <w:tc>
          <w:tcPr>
            <w:tcW w:w="1986" w:type="dxa"/>
            <w:vAlign w:val="center"/>
          </w:tcPr>
          <w:p w14:paraId="2952619D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Индия</w:t>
            </w:r>
          </w:p>
        </w:tc>
        <w:tc>
          <w:tcPr>
            <w:tcW w:w="1986" w:type="dxa"/>
            <w:vAlign w:val="center"/>
          </w:tcPr>
          <w:p w14:paraId="58778AB1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Индия</w:t>
            </w:r>
          </w:p>
        </w:tc>
        <w:tc>
          <w:tcPr>
            <w:tcW w:w="2071" w:type="dxa"/>
            <w:vAlign w:val="center"/>
          </w:tcPr>
          <w:p w14:paraId="7D108D27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Индия</w:t>
            </w:r>
          </w:p>
        </w:tc>
        <w:tc>
          <w:tcPr>
            <w:tcW w:w="2071" w:type="dxa"/>
            <w:vAlign w:val="center"/>
          </w:tcPr>
          <w:p w14:paraId="7F03FDBC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Индия</w:t>
            </w:r>
          </w:p>
        </w:tc>
      </w:tr>
      <w:tr w:rsidR="00E14263" w:rsidRPr="003E65BC" w14:paraId="5E91F468" w14:textId="77777777" w:rsidTr="003C63B5">
        <w:tc>
          <w:tcPr>
            <w:tcW w:w="1231" w:type="dxa"/>
            <w:vAlign w:val="center"/>
          </w:tcPr>
          <w:p w14:paraId="05ACD40F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</w:t>
            </w:r>
          </w:p>
        </w:tc>
        <w:tc>
          <w:tcPr>
            <w:tcW w:w="1986" w:type="dxa"/>
            <w:vAlign w:val="center"/>
          </w:tcPr>
          <w:p w14:paraId="524FFF17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Россия</w:t>
            </w:r>
          </w:p>
        </w:tc>
        <w:tc>
          <w:tcPr>
            <w:tcW w:w="1986" w:type="dxa"/>
            <w:vAlign w:val="center"/>
          </w:tcPr>
          <w:p w14:paraId="61FA05AC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Индонезия</w:t>
            </w:r>
          </w:p>
        </w:tc>
        <w:tc>
          <w:tcPr>
            <w:tcW w:w="2071" w:type="dxa"/>
            <w:vAlign w:val="center"/>
          </w:tcPr>
          <w:p w14:paraId="4FB87C0A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Индонезия</w:t>
            </w:r>
          </w:p>
        </w:tc>
        <w:tc>
          <w:tcPr>
            <w:tcW w:w="2071" w:type="dxa"/>
            <w:vAlign w:val="center"/>
          </w:tcPr>
          <w:p w14:paraId="737B5C54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Индонезия</w:t>
            </w:r>
          </w:p>
        </w:tc>
      </w:tr>
      <w:tr w:rsidR="00E14263" w:rsidRPr="003E65BC" w14:paraId="3F676EB7" w14:textId="77777777" w:rsidTr="003C63B5">
        <w:tc>
          <w:tcPr>
            <w:tcW w:w="1231" w:type="dxa"/>
            <w:vAlign w:val="center"/>
          </w:tcPr>
          <w:p w14:paraId="205A173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3</w:t>
            </w:r>
          </w:p>
        </w:tc>
        <w:tc>
          <w:tcPr>
            <w:tcW w:w="1986" w:type="dxa"/>
            <w:vAlign w:val="center"/>
          </w:tcPr>
          <w:p w14:paraId="3B39863A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Таиланд</w:t>
            </w:r>
          </w:p>
        </w:tc>
        <w:tc>
          <w:tcPr>
            <w:tcW w:w="1986" w:type="dxa"/>
            <w:vAlign w:val="center"/>
          </w:tcPr>
          <w:p w14:paraId="28DF327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Таиланд</w:t>
            </w:r>
          </w:p>
        </w:tc>
        <w:tc>
          <w:tcPr>
            <w:tcW w:w="2071" w:type="dxa"/>
            <w:vAlign w:val="center"/>
          </w:tcPr>
          <w:p w14:paraId="159FDF71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Таиланд</w:t>
            </w:r>
          </w:p>
        </w:tc>
        <w:tc>
          <w:tcPr>
            <w:tcW w:w="2071" w:type="dxa"/>
            <w:vAlign w:val="center"/>
          </w:tcPr>
          <w:p w14:paraId="314BAE3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Таиланд</w:t>
            </w:r>
          </w:p>
        </w:tc>
      </w:tr>
      <w:tr w:rsidR="00E14263" w:rsidRPr="003E65BC" w14:paraId="22D9854E" w14:textId="77777777" w:rsidTr="003C63B5">
        <w:tc>
          <w:tcPr>
            <w:tcW w:w="1231" w:type="dxa"/>
            <w:vAlign w:val="center"/>
          </w:tcPr>
          <w:p w14:paraId="7E0F2A2F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4</w:t>
            </w:r>
          </w:p>
        </w:tc>
        <w:tc>
          <w:tcPr>
            <w:tcW w:w="1986" w:type="dxa"/>
            <w:vAlign w:val="center"/>
          </w:tcPr>
          <w:p w14:paraId="26D246C2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Индонезия</w:t>
            </w:r>
          </w:p>
        </w:tc>
        <w:tc>
          <w:tcPr>
            <w:tcW w:w="1986" w:type="dxa"/>
            <w:vAlign w:val="center"/>
          </w:tcPr>
          <w:p w14:paraId="6BF159B7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Россия</w:t>
            </w:r>
          </w:p>
        </w:tc>
        <w:tc>
          <w:tcPr>
            <w:tcW w:w="2071" w:type="dxa"/>
            <w:vAlign w:val="center"/>
          </w:tcPr>
          <w:p w14:paraId="250BA822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Россия</w:t>
            </w:r>
          </w:p>
        </w:tc>
        <w:tc>
          <w:tcPr>
            <w:tcW w:w="2071" w:type="dxa"/>
            <w:vAlign w:val="center"/>
          </w:tcPr>
          <w:p w14:paraId="4B3DF47F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Россия</w:t>
            </w:r>
          </w:p>
        </w:tc>
      </w:tr>
      <w:tr w:rsidR="00E14263" w:rsidRPr="003E65BC" w14:paraId="4F193C03" w14:textId="77777777" w:rsidTr="003C63B5">
        <w:tc>
          <w:tcPr>
            <w:tcW w:w="1231" w:type="dxa"/>
            <w:vAlign w:val="center"/>
          </w:tcPr>
          <w:p w14:paraId="0DDBBAA9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5</w:t>
            </w:r>
          </w:p>
        </w:tc>
        <w:tc>
          <w:tcPr>
            <w:tcW w:w="1986" w:type="dxa"/>
            <w:vAlign w:val="center"/>
          </w:tcPr>
          <w:p w14:paraId="41949726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Турция</w:t>
            </w:r>
          </w:p>
        </w:tc>
        <w:tc>
          <w:tcPr>
            <w:tcW w:w="1986" w:type="dxa"/>
            <w:vAlign w:val="center"/>
          </w:tcPr>
          <w:p w14:paraId="7C7757A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Филиппины</w:t>
            </w:r>
          </w:p>
        </w:tc>
        <w:tc>
          <w:tcPr>
            <w:tcW w:w="2071" w:type="dxa"/>
            <w:vAlign w:val="center"/>
          </w:tcPr>
          <w:p w14:paraId="096AB37B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Филиппины</w:t>
            </w:r>
          </w:p>
        </w:tc>
        <w:tc>
          <w:tcPr>
            <w:tcW w:w="2071" w:type="dxa"/>
            <w:vAlign w:val="center"/>
          </w:tcPr>
          <w:p w14:paraId="5D743B71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Филиппины</w:t>
            </w:r>
          </w:p>
        </w:tc>
      </w:tr>
      <w:tr w:rsidR="00E14263" w:rsidRPr="003E65BC" w14:paraId="0D9C0602" w14:textId="77777777" w:rsidTr="003C63B5">
        <w:tc>
          <w:tcPr>
            <w:tcW w:w="1231" w:type="dxa"/>
            <w:vAlign w:val="center"/>
          </w:tcPr>
          <w:p w14:paraId="16201064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6</w:t>
            </w:r>
          </w:p>
        </w:tc>
        <w:tc>
          <w:tcPr>
            <w:tcW w:w="1986" w:type="dxa"/>
            <w:vAlign w:val="center"/>
          </w:tcPr>
          <w:p w14:paraId="672182E0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Филиппины</w:t>
            </w:r>
          </w:p>
        </w:tc>
        <w:tc>
          <w:tcPr>
            <w:tcW w:w="1986" w:type="dxa"/>
            <w:vAlign w:val="center"/>
          </w:tcPr>
          <w:p w14:paraId="0BA6AE35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ОАЭ</w:t>
            </w:r>
          </w:p>
        </w:tc>
        <w:tc>
          <w:tcPr>
            <w:tcW w:w="2071" w:type="dxa"/>
            <w:vAlign w:val="center"/>
          </w:tcPr>
          <w:p w14:paraId="1475F123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Турция</w:t>
            </w:r>
          </w:p>
        </w:tc>
        <w:tc>
          <w:tcPr>
            <w:tcW w:w="2071" w:type="dxa"/>
            <w:vAlign w:val="center"/>
          </w:tcPr>
          <w:p w14:paraId="0BB082F1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Турция</w:t>
            </w:r>
          </w:p>
        </w:tc>
      </w:tr>
      <w:tr w:rsidR="00E14263" w:rsidRPr="003E65BC" w14:paraId="613A8194" w14:textId="77777777" w:rsidTr="003C63B5">
        <w:tc>
          <w:tcPr>
            <w:tcW w:w="1231" w:type="dxa"/>
            <w:vAlign w:val="center"/>
          </w:tcPr>
          <w:p w14:paraId="359F45E1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7</w:t>
            </w:r>
          </w:p>
        </w:tc>
        <w:tc>
          <w:tcPr>
            <w:tcW w:w="1986" w:type="dxa"/>
            <w:vAlign w:val="center"/>
          </w:tcPr>
          <w:p w14:paraId="3A48A9B2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ОАЭ</w:t>
            </w:r>
          </w:p>
        </w:tc>
        <w:tc>
          <w:tcPr>
            <w:tcW w:w="1986" w:type="dxa"/>
            <w:vAlign w:val="center"/>
          </w:tcPr>
          <w:p w14:paraId="10A2ED2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Турция</w:t>
            </w:r>
          </w:p>
        </w:tc>
        <w:tc>
          <w:tcPr>
            <w:tcW w:w="2071" w:type="dxa"/>
          </w:tcPr>
          <w:p w14:paraId="5570C2B0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ОАЭ</w:t>
            </w:r>
          </w:p>
        </w:tc>
        <w:tc>
          <w:tcPr>
            <w:tcW w:w="2071" w:type="dxa"/>
          </w:tcPr>
          <w:p w14:paraId="61E9CBC0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ОАЭ</w:t>
            </w:r>
          </w:p>
        </w:tc>
      </w:tr>
      <w:tr w:rsidR="00E14263" w:rsidRPr="003E65BC" w14:paraId="04F4E705" w14:textId="77777777" w:rsidTr="003C63B5">
        <w:tc>
          <w:tcPr>
            <w:tcW w:w="1231" w:type="dxa"/>
            <w:vAlign w:val="center"/>
          </w:tcPr>
          <w:p w14:paraId="1C89FC22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8</w:t>
            </w:r>
          </w:p>
        </w:tc>
        <w:tc>
          <w:tcPr>
            <w:tcW w:w="1986" w:type="dxa"/>
            <w:vAlign w:val="center"/>
          </w:tcPr>
          <w:p w14:paraId="749A775F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Бангладеш</w:t>
            </w:r>
          </w:p>
        </w:tc>
        <w:tc>
          <w:tcPr>
            <w:tcW w:w="1986" w:type="dxa"/>
            <w:vAlign w:val="center"/>
          </w:tcPr>
          <w:p w14:paraId="64E25B3D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Бангладеш</w:t>
            </w:r>
          </w:p>
        </w:tc>
        <w:tc>
          <w:tcPr>
            <w:tcW w:w="2071" w:type="dxa"/>
            <w:vAlign w:val="center"/>
          </w:tcPr>
          <w:p w14:paraId="5AD32A5F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Бангладеш</w:t>
            </w:r>
          </w:p>
        </w:tc>
        <w:tc>
          <w:tcPr>
            <w:tcW w:w="2071" w:type="dxa"/>
            <w:vAlign w:val="center"/>
          </w:tcPr>
          <w:p w14:paraId="720D57F9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Бангладеш</w:t>
            </w:r>
          </w:p>
        </w:tc>
      </w:tr>
      <w:tr w:rsidR="00E14263" w:rsidRPr="003E65BC" w14:paraId="29AA7EF9" w14:textId="77777777" w:rsidTr="003C63B5">
        <w:tc>
          <w:tcPr>
            <w:tcW w:w="1231" w:type="dxa"/>
            <w:vAlign w:val="center"/>
          </w:tcPr>
          <w:p w14:paraId="424F4C29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9</w:t>
            </w:r>
          </w:p>
        </w:tc>
        <w:tc>
          <w:tcPr>
            <w:tcW w:w="1986" w:type="dxa"/>
            <w:vAlign w:val="center"/>
          </w:tcPr>
          <w:p w14:paraId="77299436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Саудовская Аравия</w:t>
            </w:r>
          </w:p>
        </w:tc>
        <w:tc>
          <w:tcPr>
            <w:tcW w:w="1986" w:type="dxa"/>
            <w:vAlign w:val="center"/>
          </w:tcPr>
          <w:p w14:paraId="1127DB39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Казахстан</w:t>
            </w:r>
          </w:p>
        </w:tc>
        <w:tc>
          <w:tcPr>
            <w:tcW w:w="2071" w:type="dxa"/>
            <w:vAlign w:val="center"/>
          </w:tcPr>
          <w:p w14:paraId="4111DA12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Казахстан</w:t>
            </w:r>
          </w:p>
        </w:tc>
        <w:tc>
          <w:tcPr>
            <w:tcW w:w="2071" w:type="dxa"/>
            <w:vAlign w:val="center"/>
          </w:tcPr>
          <w:p w14:paraId="64E7BF80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Саудовская Аравия</w:t>
            </w:r>
          </w:p>
        </w:tc>
      </w:tr>
      <w:tr w:rsidR="00E14263" w:rsidRPr="003E65BC" w14:paraId="47905482" w14:textId="77777777" w:rsidTr="003C63B5">
        <w:tc>
          <w:tcPr>
            <w:tcW w:w="1231" w:type="dxa"/>
            <w:vAlign w:val="center"/>
          </w:tcPr>
          <w:p w14:paraId="0CD5D866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10</w:t>
            </w:r>
          </w:p>
        </w:tc>
        <w:tc>
          <w:tcPr>
            <w:tcW w:w="1986" w:type="dxa"/>
            <w:vAlign w:val="center"/>
          </w:tcPr>
          <w:p w14:paraId="02DB6E8A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Казахстан</w:t>
            </w:r>
          </w:p>
        </w:tc>
        <w:tc>
          <w:tcPr>
            <w:tcW w:w="1986" w:type="dxa"/>
            <w:vAlign w:val="center"/>
          </w:tcPr>
          <w:p w14:paraId="372C616D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Израиль</w:t>
            </w:r>
          </w:p>
        </w:tc>
        <w:tc>
          <w:tcPr>
            <w:tcW w:w="2071" w:type="dxa"/>
            <w:vAlign w:val="center"/>
          </w:tcPr>
          <w:p w14:paraId="3CA25C68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Саудовская Аравия</w:t>
            </w:r>
          </w:p>
        </w:tc>
        <w:tc>
          <w:tcPr>
            <w:tcW w:w="2071" w:type="dxa"/>
            <w:vAlign w:val="center"/>
          </w:tcPr>
          <w:p w14:paraId="3BBFC90A" w14:textId="77777777" w:rsidR="00E14263" w:rsidRPr="003E65B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Казахстан</w:t>
            </w:r>
          </w:p>
        </w:tc>
      </w:tr>
      <w:tr w:rsidR="00E14263" w:rsidRPr="003E65BC" w14:paraId="2AA00B6C" w14:textId="77777777" w:rsidTr="003C63B5">
        <w:tc>
          <w:tcPr>
            <w:tcW w:w="9345" w:type="dxa"/>
            <w:gridSpan w:val="5"/>
            <w:vAlign w:val="center"/>
          </w:tcPr>
          <w:p w14:paraId="0706CAD5" w14:textId="05240D99" w:rsidR="00E14263" w:rsidRPr="003E65BC" w:rsidRDefault="00E14263" w:rsidP="003E65BC">
            <w:pPr>
              <w:pStyle w:val="af"/>
              <w:ind w:firstLineChars="0" w:firstLine="0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Примечание</w:t>
            </w:r>
            <w:r w:rsidR="003E65BC"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: </w:t>
            </w: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составлено </w:t>
            </w:r>
            <w:r w:rsidR="003E65BC"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автором на основании </w:t>
            </w: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источник</w:t>
            </w:r>
            <w:r w:rsidR="003E65BC"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а</w:t>
            </w:r>
            <w:r w:rsidRPr="003E65B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 xml:space="preserve"> [132] </w:t>
            </w:r>
          </w:p>
        </w:tc>
      </w:tr>
    </w:tbl>
    <w:p w14:paraId="58E2F0FF" w14:textId="77777777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443A69" w14:textId="77777777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>Как видно из приведённых данных, структура крупнейших импортёров демонстрирует устойчивую концентрацию в азиатском регионе, что соответствует как демографическим характеристикам этих стран, так и их ускоренному переходу к низкоуглеродной энергетике. Казахстан также присутствует в первой десятке по отдельным годам, что подтверждает наличие устойчивого спроса на импортируемое оборудование и его стратегическую значимость среди развивающихся рынков.</w:t>
      </w:r>
    </w:p>
    <w:p w14:paraId="75818477" w14:textId="74B3D0F9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t xml:space="preserve">Для сопоставления фактических торговых потоков с оценённым моделированием далее представлена динамика экспортного потенциала Казахстана, рассчитанного по расширенной гравитационной модели. Полученные значения позволяют определить степень реализации торгового потенциала страны и возможный разрыв между прогнозируемым и фактическим импортом. Соответствующие данные приведены в Таблице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48536D">
        <w:rPr>
          <w:rFonts w:ascii="Times New Roman" w:hAnsi="Times New Roman" w:cs="Times New Roman"/>
          <w:sz w:val="28"/>
          <w:szCs w:val="28"/>
        </w:rPr>
        <w:t>.</w:t>
      </w:r>
    </w:p>
    <w:p w14:paraId="04C3BD86" w14:textId="77777777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A6D8F" w14:textId="1D0E18DE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621AFC">
        <w:rPr>
          <w:rFonts w:ascii="Times New Roman" w:hAnsi="Times New Roman" w:cs="Times New Roman"/>
          <w:sz w:val="28"/>
          <w:szCs w:val="28"/>
        </w:rPr>
        <w:t xml:space="preserve"> - Потенциальная стоимость китайского экспорта оборудования для ВИЭ в Казахстан с 2014 по 2023 год</w:t>
      </w:r>
    </w:p>
    <w:tbl>
      <w:tblPr>
        <w:tblStyle w:val="ad"/>
        <w:tblW w:w="9177" w:type="dxa"/>
        <w:tblLayout w:type="fixed"/>
        <w:tblLook w:val="04A0" w:firstRow="1" w:lastRow="0" w:firstColumn="1" w:lastColumn="0" w:noHBand="0" w:noVBand="1"/>
      </w:tblPr>
      <w:tblGrid>
        <w:gridCol w:w="1444"/>
        <w:gridCol w:w="773"/>
        <w:gridCol w:w="773"/>
        <w:gridCol w:w="773"/>
        <w:gridCol w:w="773"/>
        <w:gridCol w:w="773"/>
        <w:gridCol w:w="773"/>
        <w:gridCol w:w="773"/>
        <w:gridCol w:w="773"/>
        <w:gridCol w:w="773"/>
        <w:gridCol w:w="776"/>
      </w:tblGrid>
      <w:tr w:rsidR="00E14263" w:rsidRPr="00621AFC" w14:paraId="7C2FA376" w14:textId="77777777" w:rsidTr="003C63B5">
        <w:trPr>
          <w:trHeight w:val="419"/>
        </w:trPr>
        <w:tc>
          <w:tcPr>
            <w:tcW w:w="1444" w:type="dxa"/>
            <w:vAlign w:val="center"/>
          </w:tcPr>
          <w:p w14:paraId="1659E36A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Год</w:t>
            </w:r>
          </w:p>
        </w:tc>
        <w:tc>
          <w:tcPr>
            <w:tcW w:w="773" w:type="dxa"/>
            <w:vAlign w:val="center"/>
          </w:tcPr>
          <w:p w14:paraId="11761288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2014</w:t>
            </w:r>
          </w:p>
        </w:tc>
        <w:tc>
          <w:tcPr>
            <w:tcW w:w="773" w:type="dxa"/>
            <w:vAlign w:val="center"/>
          </w:tcPr>
          <w:p w14:paraId="79B1A7A5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2015</w:t>
            </w:r>
          </w:p>
        </w:tc>
        <w:tc>
          <w:tcPr>
            <w:tcW w:w="773" w:type="dxa"/>
            <w:vAlign w:val="center"/>
          </w:tcPr>
          <w:p w14:paraId="2F7966A5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2016</w:t>
            </w:r>
          </w:p>
        </w:tc>
        <w:tc>
          <w:tcPr>
            <w:tcW w:w="773" w:type="dxa"/>
            <w:vAlign w:val="center"/>
          </w:tcPr>
          <w:p w14:paraId="5F638B9A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2017</w:t>
            </w:r>
          </w:p>
        </w:tc>
        <w:tc>
          <w:tcPr>
            <w:tcW w:w="773" w:type="dxa"/>
            <w:vAlign w:val="center"/>
          </w:tcPr>
          <w:p w14:paraId="08EF6D9D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2018</w:t>
            </w:r>
          </w:p>
        </w:tc>
        <w:tc>
          <w:tcPr>
            <w:tcW w:w="773" w:type="dxa"/>
            <w:vAlign w:val="center"/>
          </w:tcPr>
          <w:p w14:paraId="644CCB44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2019</w:t>
            </w:r>
          </w:p>
        </w:tc>
        <w:tc>
          <w:tcPr>
            <w:tcW w:w="773" w:type="dxa"/>
            <w:vAlign w:val="center"/>
          </w:tcPr>
          <w:p w14:paraId="711EE87C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2020</w:t>
            </w:r>
          </w:p>
        </w:tc>
        <w:tc>
          <w:tcPr>
            <w:tcW w:w="773" w:type="dxa"/>
            <w:vAlign w:val="center"/>
          </w:tcPr>
          <w:p w14:paraId="49C9D5C2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2021</w:t>
            </w:r>
          </w:p>
        </w:tc>
        <w:tc>
          <w:tcPr>
            <w:tcW w:w="773" w:type="dxa"/>
            <w:vAlign w:val="center"/>
          </w:tcPr>
          <w:p w14:paraId="5F1A3EEE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2022</w:t>
            </w:r>
          </w:p>
        </w:tc>
        <w:tc>
          <w:tcPr>
            <w:tcW w:w="776" w:type="dxa"/>
            <w:vAlign w:val="center"/>
          </w:tcPr>
          <w:p w14:paraId="0CED06EE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2023</w:t>
            </w:r>
          </w:p>
        </w:tc>
      </w:tr>
      <w:tr w:rsidR="00E14263" w:rsidRPr="00621AFC" w14:paraId="46E881F4" w14:textId="77777777" w:rsidTr="003C63B5">
        <w:trPr>
          <w:trHeight w:val="466"/>
        </w:trPr>
        <w:tc>
          <w:tcPr>
            <w:tcW w:w="1444" w:type="dxa"/>
            <w:vAlign w:val="center"/>
          </w:tcPr>
          <w:p w14:paraId="4A9EDF40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Потенциальная стоимость</w:t>
            </w:r>
          </w:p>
        </w:tc>
        <w:tc>
          <w:tcPr>
            <w:tcW w:w="773" w:type="dxa"/>
            <w:vAlign w:val="center"/>
          </w:tcPr>
          <w:p w14:paraId="4BE77DFB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0.94</w:t>
            </w:r>
          </w:p>
        </w:tc>
        <w:tc>
          <w:tcPr>
            <w:tcW w:w="773" w:type="dxa"/>
            <w:vAlign w:val="center"/>
          </w:tcPr>
          <w:p w14:paraId="0AD8D6F6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0.79</w:t>
            </w:r>
          </w:p>
        </w:tc>
        <w:tc>
          <w:tcPr>
            <w:tcW w:w="773" w:type="dxa"/>
            <w:vAlign w:val="center"/>
          </w:tcPr>
          <w:p w14:paraId="3BBB4780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0.83</w:t>
            </w:r>
          </w:p>
        </w:tc>
        <w:tc>
          <w:tcPr>
            <w:tcW w:w="773" w:type="dxa"/>
            <w:vAlign w:val="center"/>
          </w:tcPr>
          <w:p w14:paraId="1AB2D2D1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1.16</w:t>
            </w:r>
          </w:p>
        </w:tc>
        <w:tc>
          <w:tcPr>
            <w:tcW w:w="773" w:type="dxa"/>
            <w:vAlign w:val="center"/>
          </w:tcPr>
          <w:p w14:paraId="594E632E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1.23</w:t>
            </w:r>
          </w:p>
        </w:tc>
        <w:tc>
          <w:tcPr>
            <w:tcW w:w="773" w:type="dxa"/>
            <w:vAlign w:val="center"/>
          </w:tcPr>
          <w:p w14:paraId="2F3FD1F3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0.99</w:t>
            </w:r>
          </w:p>
        </w:tc>
        <w:tc>
          <w:tcPr>
            <w:tcW w:w="773" w:type="dxa"/>
            <w:vAlign w:val="center"/>
          </w:tcPr>
          <w:p w14:paraId="3E6622E1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0.79</w:t>
            </w:r>
          </w:p>
        </w:tc>
        <w:tc>
          <w:tcPr>
            <w:tcW w:w="773" w:type="dxa"/>
            <w:vAlign w:val="center"/>
          </w:tcPr>
          <w:p w14:paraId="6F54F624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0.72</w:t>
            </w:r>
          </w:p>
        </w:tc>
        <w:tc>
          <w:tcPr>
            <w:tcW w:w="773" w:type="dxa"/>
            <w:vAlign w:val="center"/>
          </w:tcPr>
          <w:p w14:paraId="2973AC34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0.59</w:t>
            </w:r>
          </w:p>
        </w:tc>
        <w:tc>
          <w:tcPr>
            <w:tcW w:w="776" w:type="dxa"/>
            <w:vAlign w:val="center"/>
          </w:tcPr>
          <w:p w14:paraId="55A21ABC" w14:textId="77777777" w:rsidR="00E14263" w:rsidRPr="00621AFC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</w:pPr>
            <w:r w:rsidRPr="00621AFC">
              <w:rPr>
                <w:rFonts w:eastAsiaTheme="minorHAnsi"/>
                <w:kern w:val="2"/>
                <w:sz w:val="24"/>
                <w:szCs w:val="24"/>
                <w:lang w:val="ru-KZ" w:eastAsia="en-US"/>
                <w14:ligatures w14:val="standardContextual"/>
              </w:rPr>
              <w:t>0.73</w:t>
            </w:r>
          </w:p>
        </w:tc>
      </w:tr>
      <w:tr w:rsidR="00E14263" w:rsidRPr="00621AFC" w14:paraId="6231E708" w14:textId="77777777" w:rsidTr="003C63B5">
        <w:trPr>
          <w:trHeight w:val="466"/>
        </w:trPr>
        <w:tc>
          <w:tcPr>
            <w:tcW w:w="9177" w:type="dxa"/>
            <w:gridSpan w:val="11"/>
          </w:tcPr>
          <w:p w14:paraId="60CE3771" w14:textId="3E0018FE" w:rsidR="00E14263" w:rsidRPr="00EF1F6F" w:rsidRDefault="00E14263" w:rsidP="003C63B5">
            <w:pPr>
              <w:pStyle w:val="ae"/>
              <w:spacing w:before="0" w:after="0"/>
              <w:jc w:val="both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C65446">
              <w:rPr>
                <w:rFonts w:eastAsiaTheme="minorHAnsi"/>
                <w:kern w:val="2"/>
                <w:sz w:val="28"/>
                <w:lang w:val="ru-KZ" w:eastAsia="en-US"/>
                <w14:ligatures w14:val="standardContextual"/>
              </w:rPr>
              <w:t>Примечание</w:t>
            </w:r>
            <w:r>
              <w:rPr>
                <w:rFonts w:eastAsiaTheme="minorHAnsi"/>
                <w:kern w:val="2"/>
                <w:sz w:val="28"/>
                <w:lang w:val="ru-KZ" w:eastAsia="en-US"/>
                <w14:ligatures w14:val="standardContextual"/>
              </w:rPr>
              <w:t>: сос</w:t>
            </w:r>
            <w:r w:rsidRPr="00C65446">
              <w:rPr>
                <w:rFonts w:eastAsiaTheme="minorHAnsi"/>
                <w:kern w:val="2"/>
                <w:sz w:val="28"/>
                <w:lang w:val="ru-KZ" w:eastAsia="en-US"/>
                <w14:ligatures w14:val="standardContextual"/>
              </w:rPr>
              <w:t>тавлено</w:t>
            </w:r>
            <w:r>
              <w:rPr>
                <w:rFonts w:eastAsiaTheme="minorHAnsi"/>
                <w:kern w:val="2"/>
                <w:sz w:val="28"/>
                <w:lang w:val="ru-KZ" w:eastAsia="en-US"/>
                <w14:ligatures w14:val="standardContextual"/>
              </w:rPr>
              <w:t xml:space="preserve"> автором на основании источника </w:t>
            </w:r>
            <w:r w:rsidRPr="00EF1F6F">
              <w:rPr>
                <w:rFonts w:eastAsiaTheme="minorHAnsi"/>
                <w:kern w:val="2"/>
                <w:sz w:val="28"/>
                <w:lang w:eastAsia="en-US"/>
                <w14:ligatures w14:val="standardContextual"/>
              </w:rPr>
              <w:t>[133]</w:t>
            </w:r>
          </w:p>
        </w:tc>
      </w:tr>
    </w:tbl>
    <w:p w14:paraId="2F78F6D9" w14:textId="77777777" w:rsidR="00E14263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36D">
        <w:rPr>
          <w:rFonts w:ascii="Times New Roman" w:hAnsi="Times New Roman" w:cs="Times New Roman"/>
          <w:sz w:val="28"/>
          <w:szCs w:val="28"/>
        </w:rPr>
        <w:br/>
      </w:r>
    </w:p>
    <w:p w14:paraId="4EA2AD9C" w14:textId="77777777" w:rsidR="00E14263" w:rsidRPr="0048536D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48536D">
        <w:rPr>
          <w:rFonts w:ascii="Times New Roman" w:hAnsi="Times New Roman" w:cs="Times New Roman"/>
          <w:sz w:val="28"/>
          <w:szCs w:val="28"/>
        </w:rPr>
        <w:t xml:space="preserve">есмотря на присутствие Казахстана в числе крупнейших импортёров оборудования для ВИЭ, расчётный показатель P на протяжении значительной части рассматриваемого периода указывает на наличие расширяемого потенциала.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8536D">
        <w:rPr>
          <w:rFonts w:ascii="Times New Roman" w:hAnsi="Times New Roman" w:cs="Times New Roman"/>
          <w:sz w:val="28"/>
          <w:szCs w:val="28"/>
        </w:rPr>
        <w:t>актические объёмы импорта остаются ниже прогнозируемых моделью значений, следовательно торговые отношения обладают возможностью дальнейшего углубления. Наблюдаемые колебания потенциала после 2016 года отражают как изменения в структуре внутреннего спроса, так и влияние региональной конкуренции среди стран-импортёров, что требует дальнейшего анализа факторов, определяющих уровень фактической реализации потенциала.</w:t>
      </w:r>
    </w:p>
    <w:p w14:paraId="51EB1E26" w14:textId="77777777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Проведённый анализ, основанный на расширенной гравитационной модели и панельных данных по 63 странам инициативы «Пояс и путь», позволил идентифицировать ключевые факторы, определяющие динамику экспорта оборудования для возобновляемых источников энергии из Китая в Казахстан. Полученные результаты позволяют сформулировать следующие академически обоснованные выводы.</w:t>
      </w:r>
    </w:p>
    <w:p w14:paraId="43F087E6" w14:textId="6DA3C53B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 xml:space="preserve">Во-первых, влияние географического расстояния подтверждает традиционное положение гравитационной модели о наличии транспортных и логистических издержек, снижающих интенсивность торговых потоков. Однако для Казахстана данный фактор работает в обратную сторону: территориальная смежность снижает торговые барьеры и создаёт объективные предпосылки для расширения обменов. Дополнительный эффект обеспечивает функционирование маршрутов железнодорожного экспресса Китай–Европа, что позволяет существенно сокращать сроки доставки оборудования.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spellStart"/>
      <w:r w:rsidRPr="00621AFC">
        <w:rPr>
          <w:rFonts w:ascii="Times New Roman" w:hAnsi="Times New Roman" w:cs="Times New Roman"/>
          <w:sz w:val="28"/>
          <w:szCs w:val="28"/>
        </w:rPr>
        <w:t>елесообразным</w:t>
      </w:r>
      <w:proofErr w:type="spellEnd"/>
      <w:r w:rsidRPr="00621AFC">
        <w:rPr>
          <w:rFonts w:ascii="Times New Roman" w:hAnsi="Times New Roman" w:cs="Times New Roman"/>
          <w:sz w:val="28"/>
          <w:szCs w:val="28"/>
        </w:rPr>
        <w:t xml:space="preserve"> представляется дальнейшее углубление индустриальной кооперации, включая развитие производственных кластеров по выпуску оборудования для ВИЭ на территории Казахстана, что позволит минимизировать себестоимость и повысить устойчивость цепочек поставок.</w:t>
      </w:r>
    </w:p>
    <w:p w14:paraId="7D9A5233" w14:textId="3ED24798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Во-вторых, параметры экономического и демографического развития страны-импортёра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21AFC">
        <w:rPr>
          <w:rFonts w:ascii="Times New Roman" w:hAnsi="Times New Roman" w:cs="Times New Roman"/>
          <w:sz w:val="28"/>
          <w:szCs w:val="28"/>
        </w:rPr>
        <w:t xml:space="preserve"> ВВП на душу населения и численность населения — оказывают статистически значимое положительное влияние на объёмы импорта оборудования для ВИЭ. Казахстан характеризуется относительно более низкими значениями обоих показателей по сравнению со средним уровнем среди 63 стран-участников выборки, что объективно ограничивает ёмкость внутреннего рынка. Данный фактор объясняет, почему в рамках эмпирического моделирования потенциальная ёмкость Казахстана уступает рынкам Индии, государств Персидского залива и Юго-Восточной Азии, где сочетание высоких доходов и масштабной демографии формирует значительно больший спрос на ВИЭ-оборудование.</w:t>
      </w:r>
    </w:p>
    <w:p w14:paraId="245071F4" w14:textId="02784926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 xml:space="preserve">В-третьих, институциональные факторы оказывают стимулирующее влияние на торговые потоки. Статистически значимый эффект продемонстрировала переменная членства во Всемирной торговой организации, что подтверждает роль институциональной совместимости в снижении трансакционных издержек.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621AFC">
        <w:rPr>
          <w:rFonts w:ascii="Times New Roman" w:hAnsi="Times New Roman" w:cs="Times New Roman"/>
          <w:sz w:val="28"/>
          <w:szCs w:val="28"/>
        </w:rPr>
        <w:t xml:space="preserve">смотря на наличие ряда совместных </w:t>
      </w:r>
      <w:r w:rsidRPr="00621AFC">
        <w:rPr>
          <w:rFonts w:ascii="Times New Roman" w:hAnsi="Times New Roman" w:cs="Times New Roman"/>
          <w:sz w:val="28"/>
          <w:szCs w:val="28"/>
        </w:rPr>
        <w:lastRenderedPageBreak/>
        <w:t>инициатив в области энергетики и промышленной кооперации между Казахстаном и Китаем, специализированные двусторонние механизмы содействия торговле оборудованием для ВИЭ пока отсутствуют. Устранение данных институциональных «разрывов» могло бы повысить степень реализации экспортного потенциала, что соответствует выводам о странах с высокими возможностями для наращивания импортных потоков.</w:t>
      </w:r>
    </w:p>
    <w:p w14:paraId="3D306832" w14:textId="77777777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 xml:space="preserve">В-четвёртых, выявленная динамика экспортного потенциала во времени демонстрирует неоднородность влияния ключевых факторов на торговые процессы. В период 2010–2015 гг. наблюдалось устойчивое наращивание импорта оборудования из Китая, при котором показатель экспортного потенциала оставался в интервале </w:t>
      </w:r>
      <w:proofErr w:type="gramStart"/>
      <w:r w:rsidRPr="00621AFC">
        <w:rPr>
          <w:rFonts w:ascii="Times New Roman" w:hAnsi="Times New Roman" w:cs="Times New Roman"/>
          <w:sz w:val="28"/>
          <w:szCs w:val="28"/>
        </w:rPr>
        <w:t>0,8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21AFC">
        <w:rPr>
          <w:rFonts w:ascii="Times New Roman" w:hAnsi="Times New Roman" w:cs="Times New Roman"/>
          <w:sz w:val="28"/>
          <w:szCs w:val="28"/>
        </w:rPr>
        <w:t>1,2</w:t>
      </w:r>
      <w:proofErr w:type="gramEnd"/>
      <w:r w:rsidRPr="00621AFC">
        <w:rPr>
          <w:rFonts w:ascii="Times New Roman" w:hAnsi="Times New Roman" w:cs="Times New Roman"/>
          <w:sz w:val="28"/>
          <w:szCs w:val="28"/>
        </w:rPr>
        <w:t xml:space="preserve">, что свидетельствует о близости фактических значений к теоретическому уровню и о сравнительно высоком соответствии китайского оборудования потребностям казахстанского рынка. Напротив, в 2016–2019 гг. потенциал существенно снизился, что отражает одновременное усиление роли </w:t>
      </w:r>
      <w:proofErr w:type="spellStart"/>
      <w:r w:rsidRPr="00621AFC">
        <w:rPr>
          <w:rFonts w:ascii="Times New Roman" w:hAnsi="Times New Roman" w:cs="Times New Roman"/>
          <w:sz w:val="28"/>
          <w:szCs w:val="28"/>
        </w:rPr>
        <w:t>спросовых</w:t>
      </w:r>
      <w:proofErr w:type="spellEnd"/>
      <w:r w:rsidRPr="00621AFC">
        <w:rPr>
          <w:rFonts w:ascii="Times New Roman" w:hAnsi="Times New Roman" w:cs="Times New Roman"/>
          <w:sz w:val="28"/>
          <w:szCs w:val="28"/>
        </w:rPr>
        <w:t xml:space="preserve"> факторов и снижение конкурентоспособности китайской продукции в условиях появления альтернативных поставщиков и изменения структуры внутреннего энергорынка Казахстана</w:t>
      </w:r>
      <w:r>
        <w:rPr>
          <w:rFonts w:ascii="Times New Roman" w:hAnsi="Times New Roman" w:cs="Times New Roman"/>
          <w:sz w:val="28"/>
          <w:szCs w:val="28"/>
        </w:rPr>
        <w:t xml:space="preserve"> [134]</w:t>
      </w:r>
      <w:r w:rsidRPr="00621AFC">
        <w:rPr>
          <w:rFonts w:ascii="Times New Roman" w:hAnsi="Times New Roman" w:cs="Times New Roman"/>
          <w:sz w:val="28"/>
          <w:szCs w:val="28"/>
        </w:rPr>
        <w:t>.</w:t>
      </w:r>
    </w:p>
    <w:p w14:paraId="051A15BE" w14:textId="77777777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Совокупность выявленных тенденций демонстрирует, что дальнейшее раскрытие экспортного потенциала возможно только при условии проведения согласованных мер в трёх ключевых направлениях:</w:t>
      </w:r>
    </w:p>
    <w:p w14:paraId="54C0C9C0" w14:textId="77777777" w:rsidR="00E14263" w:rsidRPr="00621AFC" w:rsidRDefault="00E14263" w:rsidP="00E14263">
      <w:pPr>
        <w:pStyle w:val="a7"/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снижение логистических и производственных издержек через локализацию и индустриальную кооперацию;</w:t>
      </w:r>
    </w:p>
    <w:p w14:paraId="0308BFA4" w14:textId="77777777" w:rsidR="00E14263" w:rsidRPr="00621AFC" w:rsidRDefault="00E14263" w:rsidP="00E14263">
      <w:pPr>
        <w:pStyle w:val="a7"/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стимулирование внутреннего спроса на ВИЭ-оборудование через модернизацию энергетической политики и развитие «зелёных» проектов;</w:t>
      </w:r>
    </w:p>
    <w:p w14:paraId="01ACB7D8" w14:textId="77777777" w:rsidR="00E14263" w:rsidRPr="00621AFC" w:rsidRDefault="00E14263" w:rsidP="00E14263">
      <w:pPr>
        <w:pStyle w:val="a7"/>
        <w:numPr>
          <w:ilvl w:val="0"/>
          <w:numId w:val="5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укрепление институциональной архитектуры двустороннего сотрудничества и интеграция в международные форматы энергетического взаимодействия.</w:t>
      </w:r>
    </w:p>
    <w:p w14:paraId="5A1594F7" w14:textId="77777777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FC">
        <w:rPr>
          <w:rFonts w:ascii="Times New Roman" w:hAnsi="Times New Roman" w:cs="Times New Roman"/>
          <w:sz w:val="28"/>
          <w:szCs w:val="28"/>
        </w:rPr>
        <w:t>Таким образом, результаты исследования подтверждают высокую значимость сочетания географических, экономических и институциональных факторов для формирования торгового потенциала и обосновывают необходимость разработки комплексной стратегии расширения сотрудничества Казахстана и Китая в сфере низкоуглеродных технологий.</w:t>
      </w:r>
    </w:p>
    <w:p w14:paraId="09009AC0" w14:textId="77777777" w:rsidR="00E14263" w:rsidRPr="00621AFC" w:rsidRDefault="00E14263" w:rsidP="00E14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DECF3" w14:textId="30F1EB4F" w:rsidR="00344992" w:rsidRDefault="00344992">
      <w:r>
        <w:br w:type="page"/>
      </w:r>
    </w:p>
    <w:p w14:paraId="5C58744A" w14:textId="381087E0" w:rsidR="000E7F50" w:rsidRPr="009D7E39" w:rsidRDefault="000E7F50" w:rsidP="003E65BC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215079198"/>
      <w:r w:rsidRPr="009D7E3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 Рекомендации по совершенствованию управления развитием зелёной экономики Казахстана</w:t>
      </w:r>
      <w:bookmarkEnd w:id="27"/>
    </w:p>
    <w:p w14:paraId="48723158" w14:textId="77777777" w:rsidR="000E7F50" w:rsidRDefault="000E7F50" w:rsidP="003E65BC">
      <w:pPr>
        <w:pStyle w:val="1"/>
        <w:ind w:firstLine="567"/>
        <w:rPr>
          <w:lang w:val="ru-RU"/>
        </w:rPr>
      </w:pPr>
      <w:bookmarkStart w:id="28" w:name="_Toc215079199"/>
      <w:r w:rsidRPr="006D2ED8">
        <w:rPr>
          <w:rFonts w:ascii="Times New Roman" w:hAnsi="Times New Roman" w:cs="Times New Roman"/>
          <w:b/>
          <w:bCs/>
          <w:color w:val="auto"/>
          <w:sz w:val="28"/>
          <w:szCs w:val="28"/>
        </w:rPr>
        <w:t>3.1. Концептуальные направления совершенствования управления</w:t>
      </w:r>
      <w:bookmarkEnd w:id="28"/>
    </w:p>
    <w:p w14:paraId="5FDBDD7A" w14:textId="72DB945F" w:rsidR="000E7F50" w:rsidRPr="001B0CA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0CAC">
        <w:rPr>
          <w:rFonts w:ascii="Times New Roman" w:hAnsi="Times New Roman" w:cs="Times New Roman"/>
          <w:sz w:val="28"/>
          <w:szCs w:val="28"/>
        </w:rPr>
        <w:t>Для обоснования практического значения проведённого исследования необходимо перейти от анализа макроэкономических тенденций и результатов гравитационного моделирования к формированию конкретных управленческих решений для ключевых участников энергетического перехода. Выявленные особенности казахстанско-китайской торговли оборудованием для ВИЭ, институциональные ограничения и волатильность внешней среды показывают, что реализация экспортного и инвестиционного потенциала невозможна без целенаправленной стратегии взаимодействия государства и бизнеса.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Выделяются несколько ключевых направлений.</w:t>
      </w:r>
    </w:p>
    <w:p w14:paraId="10CC695D" w14:textId="77777777" w:rsidR="000E7F50" w:rsidRPr="001B0CAC" w:rsidRDefault="000E7F50" w:rsidP="000E7F50">
      <w:pPr>
        <w:pStyle w:val="a7"/>
        <w:numPr>
          <w:ilvl w:val="0"/>
          <w:numId w:val="5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CAC">
        <w:rPr>
          <w:rFonts w:ascii="Times New Roman" w:hAnsi="Times New Roman" w:cs="Times New Roman"/>
          <w:sz w:val="28"/>
          <w:szCs w:val="28"/>
        </w:rPr>
        <w:t>Создание казахстанско-китайского координационного совета по ВИЭ. Предлагается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 xml:space="preserve">институционализировать сотрудничество через двусторонний механизм. </w:t>
      </w:r>
      <w:r>
        <w:rPr>
          <w:rFonts w:ascii="Times New Roman" w:hAnsi="Times New Roman" w:cs="Times New Roman"/>
          <w:sz w:val="28"/>
          <w:szCs w:val="28"/>
          <w:lang w:val="ru-RU"/>
        </w:rPr>
        <w:t>Задача совета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синхронизировать политики и устранять бюрократические барьеры. Например,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согласование технических стандартов оборудования, планирование локализации отдельных производств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комплектующих в Казахстане с поддержкой Китая. Такой механизм повысит доверие между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сторонами и снизит некоммерческие риски торговли</w:t>
      </w:r>
      <w:r w:rsidRPr="001B0CAC">
        <w:rPr>
          <w:rFonts w:ascii="Times New Roman" w:hAnsi="Times New Roman" w:cs="Times New Roman" w:hint="eastAsia"/>
          <w:sz w:val="28"/>
          <w:szCs w:val="28"/>
        </w:rPr>
        <w:t>.</w:t>
      </w:r>
    </w:p>
    <w:p w14:paraId="0CF2D8AC" w14:textId="77777777" w:rsidR="000E7F50" w:rsidRPr="001B0CAC" w:rsidRDefault="000E7F50" w:rsidP="000E7F50">
      <w:pPr>
        <w:pStyle w:val="a7"/>
        <w:numPr>
          <w:ilvl w:val="0"/>
          <w:numId w:val="5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CAC">
        <w:rPr>
          <w:rFonts w:ascii="Times New Roman" w:hAnsi="Times New Roman" w:cs="Times New Roman"/>
          <w:sz w:val="28"/>
          <w:szCs w:val="28"/>
        </w:rPr>
        <w:t>Укрепление инфраструктуры и логистики. Для реализации торгового потенциала важно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решить узкие места транспортировки. Рекомендуется ускорить проекты по модернизации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пограничных переходов, железных дорог в направлении Китай–Казахстан. Рассмотреть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возможность создания на территории РК специализированного хаба хранения и сборки</w:t>
      </w:r>
      <w:r w:rsidRPr="001B0CA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1B0CAC">
        <w:rPr>
          <w:rFonts w:ascii="Times New Roman" w:hAnsi="Times New Roman" w:cs="Times New Roman"/>
          <w:sz w:val="28"/>
          <w:szCs w:val="28"/>
        </w:rPr>
        <w:t>ВИЭ-оборудования для дальнейшей поставки в соседние страны Центральной Азии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сделает </w:t>
      </w:r>
      <w:r w:rsidRPr="001B0CAC">
        <w:rPr>
          <w:rFonts w:ascii="Times New Roman" w:hAnsi="Times New Roman" w:cs="Times New Roman"/>
          <w:sz w:val="28"/>
          <w:szCs w:val="28"/>
        </w:rPr>
        <w:t>Казахстан региональным центром торговли «зелёными» технологиями.</w:t>
      </w:r>
    </w:p>
    <w:p w14:paraId="5B6F07B0" w14:textId="77777777" w:rsidR="000E7F50" w:rsidRPr="00A76D81" w:rsidRDefault="000E7F50" w:rsidP="000E7F50">
      <w:pPr>
        <w:pStyle w:val="a7"/>
        <w:numPr>
          <w:ilvl w:val="0"/>
          <w:numId w:val="5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D81">
        <w:rPr>
          <w:rFonts w:ascii="Times New Roman" w:hAnsi="Times New Roman" w:cs="Times New Roman"/>
          <w:sz w:val="28"/>
          <w:szCs w:val="28"/>
        </w:rPr>
        <w:t>Финансовые стимулы и снижение затрат капитала. Правительству стоит расширить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практику предоставления льготных финансовых инструментов для «зеленых» проектов: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 xml:space="preserve">гарантии, софинансирование через институты развития, выпуск «зелёных облигаций». </w:t>
      </w:r>
      <w:r>
        <w:rPr>
          <w:rFonts w:ascii="Times New Roman" w:hAnsi="Times New Roman" w:cs="Times New Roman"/>
          <w:sz w:val="28"/>
          <w:szCs w:val="28"/>
          <w:lang w:val="ru-RU"/>
        </w:rPr>
        <w:t>Данная мера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снизит стоимость капитала для бизнеса и позволит компенсировать удорожание импорта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при колебаниях валют. Кроме того, рекомендуется заключить с Китаем соглашения о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привлечении целевых кредитных линий именно под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проекты ВИЭ в Казахстане</w:t>
      </w:r>
      <w:r>
        <w:rPr>
          <w:rFonts w:ascii="Times New Roman" w:hAnsi="Times New Roman" w:cs="Times New Roman"/>
          <w:sz w:val="28"/>
          <w:szCs w:val="28"/>
          <w:lang w:val="ru-RU"/>
        </w:rPr>
        <w:t>. П</w:t>
      </w:r>
      <w:proofErr w:type="spellStart"/>
      <w:r w:rsidRPr="00A76D81">
        <w:rPr>
          <w:rFonts w:ascii="Times New Roman" w:hAnsi="Times New Roman" w:cs="Times New Roman"/>
          <w:sz w:val="28"/>
          <w:szCs w:val="28"/>
        </w:rPr>
        <w:t>одобные</w:t>
      </w:r>
      <w:proofErr w:type="spellEnd"/>
      <w:r w:rsidRPr="00A76D81">
        <w:rPr>
          <w:rFonts w:ascii="Times New Roman" w:hAnsi="Times New Roman" w:cs="Times New Roman"/>
          <w:sz w:val="28"/>
          <w:szCs w:val="28"/>
        </w:rPr>
        <w:t xml:space="preserve"> договоренности были успешны, например, между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Китаем и Пакистаном в рамках CPEC.</w:t>
      </w:r>
    </w:p>
    <w:p w14:paraId="4D86D689" w14:textId="77777777" w:rsidR="000E7F50" w:rsidRPr="00A76D81" w:rsidRDefault="000E7F50" w:rsidP="000E7F50">
      <w:pPr>
        <w:pStyle w:val="a7"/>
        <w:numPr>
          <w:ilvl w:val="0"/>
          <w:numId w:val="5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D81">
        <w:rPr>
          <w:rFonts w:ascii="Times New Roman" w:hAnsi="Times New Roman" w:cs="Times New Roman"/>
          <w:sz w:val="28"/>
          <w:szCs w:val="28"/>
        </w:rPr>
        <w:t>Локализация производства и трансфер технологий. Хотя Казахстан не сможет в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краткосрочной перспективе наладить полный цикл производства, есть смысл выбрать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некоторые сегменты для локализации. На основании анализа рынка можно привлекать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китайские компании открыть сборочные производства на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территории РК, пользуясь близостью к сырью и наличием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Евразийского экономического союза. Государство может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 xml:space="preserve">предоставить таким </w:t>
      </w:r>
      <w:r w:rsidRPr="00A76D81">
        <w:rPr>
          <w:rFonts w:ascii="Times New Roman" w:hAnsi="Times New Roman" w:cs="Times New Roman"/>
          <w:sz w:val="28"/>
          <w:szCs w:val="28"/>
        </w:rPr>
        <w:lastRenderedPageBreak/>
        <w:t>предприятиям преференции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A76D81">
        <w:rPr>
          <w:rFonts w:ascii="Times New Roman" w:hAnsi="Times New Roman" w:cs="Times New Roman"/>
          <w:sz w:val="28"/>
          <w:szCs w:val="28"/>
        </w:rPr>
        <w:t>налоговые льготы, специальные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 xml:space="preserve">условия в индустриальных зонах. </w:t>
      </w:r>
    </w:p>
    <w:p w14:paraId="48E11950" w14:textId="77777777" w:rsidR="000E7F50" w:rsidRPr="00A76D81" w:rsidRDefault="000E7F50" w:rsidP="000E7F50">
      <w:pPr>
        <w:pStyle w:val="a7"/>
        <w:numPr>
          <w:ilvl w:val="0"/>
          <w:numId w:val="5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D81">
        <w:rPr>
          <w:rFonts w:ascii="Times New Roman" w:hAnsi="Times New Roman" w:cs="Times New Roman"/>
          <w:sz w:val="28"/>
          <w:szCs w:val="28"/>
        </w:rPr>
        <w:t>Управление рисками нестабильности. Как отмечалось, бизнесу в условиях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нестабильности нужны механизмы хеджирования. Предлагается стимулировать внедрение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стратегий риск-менеджмента: страхование ценовых рисков, создание резервных фондов на случай кризисов, диверсификация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поставщиков оборудования. Компании энергетического сектора должны развивать гибкие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бизнес-модели, закладывающие сценарии декарбонизации – например, нефтегазовые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компании могли бы инвестировать часть прибыли в проекты ВИЭ, тем самым готовясь к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будущему снижению спроса на нефть. Государство может подтолкнуть такой процесс,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требуя от крупных эмитентов разрабатывать стратегии снижения выбросов и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периодически отчитываться.</w:t>
      </w:r>
    </w:p>
    <w:p w14:paraId="7E950034" w14:textId="77777777" w:rsidR="000E7F50" w:rsidRPr="00A76D81" w:rsidRDefault="000E7F50" w:rsidP="000E7F50">
      <w:pPr>
        <w:pStyle w:val="a7"/>
        <w:numPr>
          <w:ilvl w:val="0"/>
          <w:numId w:val="5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D81">
        <w:rPr>
          <w:rFonts w:ascii="Times New Roman" w:hAnsi="Times New Roman" w:cs="Times New Roman"/>
          <w:sz w:val="28"/>
          <w:szCs w:val="28"/>
        </w:rPr>
        <w:t>Повышение информированности и подготовка кадров. Необходимо развивать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сотрудничество вузов и бизнеса для подготовки специалистов по зеленым технологиям.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Предприятиям рекомендуется уже сейчас обучать персонал новым компетенциям.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Государство, со своей стороны, может поддержать образовательные программы и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профессиональные тренинги, в том числе с участием зарубежных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76D81">
        <w:rPr>
          <w:rFonts w:ascii="Times New Roman" w:hAnsi="Times New Roman" w:cs="Times New Roman"/>
          <w:sz w:val="28"/>
          <w:szCs w:val="28"/>
        </w:rPr>
        <w:t>Информационная поддержка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включает создание онлайн-платформы, где консолидируется информация о доступных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«зеленых» финансированиях, технологиях, партнёрствах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A76D81">
        <w:rPr>
          <w:rFonts w:ascii="Times New Roman" w:hAnsi="Times New Roman" w:cs="Times New Roman"/>
          <w:sz w:val="28"/>
          <w:szCs w:val="28"/>
        </w:rPr>
        <w:t>поможет особенно малому и</w:t>
      </w:r>
      <w:r w:rsidRPr="00A76D8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A76D81">
        <w:rPr>
          <w:rFonts w:ascii="Times New Roman" w:hAnsi="Times New Roman" w:cs="Times New Roman"/>
          <w:sz w:val="28"/>
          <w:szCs w:val="28"/>
        </w:rPr>
        <w:t>среднему бизнесу подключаться к зелёной экономике.</w:t>
      </w:r>
    </w:p>
    <w:p w14:paraId="3535CB8B" w14:textId="72A8EED3" w:rsidR="000E7F50" w:rsidRPr="009D7E3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7E39">
        <w:rPr>
          <w:rFonts w:ascii="Times New Roman" w:hAnsi="Times New Roman" w:cs="Times New Roman"/>
          <w:sz w:val="28"/>
          <w:szCs w:val="28"/>
        </w:rPr>
        <w:t>Создание успешного бизнеса в сфере возобновляемых источников энергии между Казахстаном и Китаем требует разработки стратегий управления, которые учитывают, как экономические, так и политические аспекты. Сотрудничество основано на растущем спросе на экологически чистую энергию, технологических достижениях и географическом положении стран. Первая и одна из самых важных стратегий управления – понимание и анализ рынка возобновляемых источников энергии в каждой из стран. Китай на сегодняшний день является крупнейшим производителем и потребителем ВИЭ в мире. Казахстан, в свою очередь, обладает огромными ресурсами для развития солнечной и ветровой энергетики, и его правительство активно поддерживает инициативы по развитию «зеленой» энергетики, чтобы сократить зависимость от ископаемого топлива [</w:t>
      </w:r>
      <w:r>
        <w:rPr>
          <w:rFonts w:ascii="Times New Roman" w:hAnsi="Times New Roman" w:cs="Times New Roman"/>
          <w:sz w:val="28"/>
          <w:szCs w:val="28"/>
          <w:lang w:val="ru-RU"/>
        </w:rPr>
        <w:t>136</w:t>
      </w:r>
      <w:r w:rsidRPr="009D7E39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BCE68B0" w14:textId="35859A4B" w:rsidR="000E7F50" w:rsidRPr="009D7E3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7E39">
        <w:rPr>
          <w:rFonts w:ascii="Times New Roman" w:hAnsi="Times New Roman" w:cs="Times New Roman"/>
          <w:sz w:val="28"/>
          <w:szCs w:val="28"/>
        </w:rPr>
        <w:t xml:space="preserve">В Китае рост ВИЭ обеспечен значительными государственными инвестициями и субсидиями, направленными на развитие как внутренней, так и международной торговли оборудованием для ВИЭ. Китайские компании, такие как </w:t>
      </w:r>
      <w:proofErr w:type="spellStart"/>
      <w:r w:rsidRPr="009D7E39">
        <w:rPr>
          <w:rFonts w:ascii="Times New Roman" w:hAnsi="Times New Roman" w:cs="Times New Roman"/>
          <w:sz w:val="28"/>
          <w:szCs w:val="28"/>
        </w:rPr>
        <w:t>Goldwind</w:t>
      </w:r>
      <w:proofErr w:type="spellEnd"/>
      <w:r w:rsidRPr="009D7E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7E39">
        <w:rPr>
          <w:rFonts w:ascii="Times New Roman" w:hAnsi="Times New Roman" w:cs="Times New Roman"/>
          <w:sz w:val="28"/>
          <w:szCs w:val="28"/>
        </w:rPr>
        <w:t>JinkoSolar</w:t>
      </w:r>
      <w:proofErr w:type="spellEnd"/>
      <w:r w:rsidRPr="009D7E39">
        <w:rPr>
          <w:rFonts w:ascii="Times New Roman" w:hAnsi="Times New Roman" w:cs="Times New Roman"/>
          <w:sz w:val="28"/>
          <w:szCs w:val="28"/>
        </w:rPr>
        <w:t>, играют ключевые роли в поставках оборудования, начиная от солнечных панелей до ветровых турбин. Казахстан, будучи соседом Китая и частью инициативы «Один пояс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9D7E39">
        <w:rPr>
          <w:rFonts w:ascii="Times New Roman" w:hAnsi="Times New Roman" w:cs="Times New Roman"/>
          <w:sz w:val="28"/>
          <w:szCs w:val="28"/>
        </w:rPr>
        <w:t xml:space="preserve"> один путь», использует стратегическое партнерство для привлечения инвестиций в свои возобновляемые источники энергии.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7E39">
        <w:rPr>
          <w:rFonts w:ascii="Times New Roman" w:hAnsi="Times New Roman" w:cs="Times New Roman"/>
          <w:sz w:val="28"/>
          <w:szCs w:val="28"/>
        </w:rPr>
        <w:t xml:space="preserve">Компании, работающие в этих странах, должны учитывать конкурентные преимущества каждого рынка. Например, Китай предлагает высокотехнологичные решения и доступ к крупным </w:t>
      </w:r>
      <w:r w:rsidRPr="009D7E39">
        <w:rPr>
          <w:rFonts w:ascii="Times New Roman" w:hAnsi="Times New Roman" w:cs="Times New Roman"/>
          <w:sz w:val="28"/>
          <w:szCs w:val="28"/>
        </w:rPr>
        <w:lastRenderedPageBreak/>
        <w:t xml:space="preserve">поставщикам, в то время как Казахстан привлекает благодаря природным ресурсам, готовности к сотрудничеству и стратегической географии. Управление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данными</w:t>
      </w:r>
      <w:r w:rsidRPr="009D7E39">
        <w:rPr>
          <w:rFonts w:ascii="Times New Roman" w:hAnsi="Times New Roman" w:cs="Times New Roman"/>
          <w:sz w:val="28"/>
          <w:szCs w:val="28"/>
        </w:rPr>
        <w:t xml:space="preserve"> факторами в рамках торговой связи требует тщательного планирования и использования аналитических инструментов для прогнозирования будущих трендов.</w:t>
      </w:r>
    </w:p>
    <w:p w14:paraId="689315EE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Регулирование и политико-правовые условия формируют исходную институциональную рамку для развития двустороннего сотрудничества в сфере возобновляемой энергетики и определяют допустимые механизмы взаимодействия бизнеса и государства. При этом нормативные режимы Китая и Казахстана, несмотря на общую стратегическую ориентацию на «зелёный» переход, демонстрируют существенные различия, что необходимо учитывать при разработке управленческих и инвестиционных стратегий.</w:t>
      </w:r>
    </w:p>
    <w:p w14:paraId="6DBD3E2C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В Китае сектор ВИЭ функционирует в условиях высокоцентрализованной системы регулирования, где ключевую роль играет Министерство энергетики и смежные государственные ведомства. Правительство последовательно реализует политику стимулирования «чистой» генерации, включая широкое применение субсидий, льготных кредитных линий и инвестиций через государственные финансовые институты. Существенным инструментом выступает система обязательных квот на производство «зелёной» электроэнергии, обеспечивающая устойчивый внутренний спрос на оборудование для ВИЭ и поддерживающая экспортный потенциал китайских производителей [</w:t>
      </w:r>
      <w:r>
        <w:rPr>
          <w:rFonts w:ascii="Times New Roman" w:hAnsi="Times New Roman" w:cs="Times New Roman"/>
          <w:sz w:val="28"/>
          <w:szCs w:val="28"/>
          <w:lang w:val="ru-RU"/>
        </w:rPr>
        <w:t>137</w:t>
      </w:r>
      <w:r w:rsidRPr="004E7C09">
        <w:rPr>
          <w:rFonts w:ascii="Times New Roman" w:hAnsi="Times New Roman" w:cs="Times New Roman"/>
          <w:sz w:val="28"/>
          <w:szCs w:val="28"/>
        </w:rPr>
        <w:t>]. Такая модель формирует предсказуемую институциональную среду и снижает инвестиционные риски для отраслевых компаний.</w:t>
      </w:r>
    </w:p>
    <w:p w14:paraId="100721B6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В Казахстане правовое регулирование также направлено на стимулирование развития возобновляемых источников энергии, что закреплено в стратегических документах, включая цели по достижению углеродной нейтральности до 2060 года и повышение доли ВИЭ в энергобалансе. Вместе с тем нормативно-правовая среда характеризуется более высоким уровнем волатильности, периодическими корректировками правил поддержки и изменением тарифной политики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4E7C09">
        <w:rPr>
          <w:rFonts w:ascii="Times New Roman" w:hAnsi="Times New Roman" w:cs="Times New Roman"/>
          <w:sz w:val="28"/>
          <w:szCs w:val="28"/>
        </w:rPr>
        <w:t>то требует от компаний, работающих на рынке Казахстана, гибкости, адаптивности и повышенного внимания к регуляторным рискам. Непредсказуемость правил может увеличивать стоимость капитала и удлинять сроки реализации проектов.</w:t>
      </w:r>
    </w:p>
    <w:p w14:paraId="7CA5032D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Эффективное управление логистическими и снабженческими цепочками является ещё одним ключевым элементом двусторонней кооперации. Географическая близость Китая и Казахстана, а также развитая сухопутная инфраструктура формируют благоприятные предпосылки для оптимизации транспортных издержек при поставках крупногабаритного оборудования для ВИЭ. В рамках инициативы «Один пояс, один путь» Китай осуществляет масштабные инвестиции в модернизацию транспортных коридоров, что повышает пропускную способность магистралей и сокращает сроки доставки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1DAE">
        <w:rPr>
          <w:rFonts w:ascii="Times New Roman" w:hAnsi="Times New Roman" w:cs="Times New Roman"/>
          <w:sz w:val="28"/>
          <w:szCs w:val="28"/>
          <w:lang w:val="ru-RU"/>
        </w:rPr>
        <w:t>[138]</w:t>
      </w:r>
      <w:r w:rsidRPr="004E7C09">
        <w:rPr>
          <w:rFonts w:ascii="Times New Roman" w:hAnsi="Times New Roman" w:cs="Times New Roman"/>
          <w:sz w:val="28"/>
          <w:szCs w:val="28"/>
        </w:rPr>
        <w:t>.</w:t>
      </w:r>
    </w:p>
    <w:p w14:paraId="6177E12A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</w:t>
      </w:r>
      <w:proofErr w:type="spellStart"/>
      <w:r w:rsidRPr="004E7C09">
        <w:rPr>
          <w:rFonts w:ascii="Times New Roman" w:hAnsi="Times New Roman" w:cs="Times New Roman"/>
          <w:sz w:val="28"/>
          <w:szCs w:val="28"/>
        </w:rPr>
        <w:t>трансказахстанских</w:t>
      </w:r>
      <w:proofErr w:type="spellEnd"/>
      <w:r w:rsidRPr="004E7C09">
        <w:rPr>
          <w:rFonts w:ascii="Times New Roman" w:hAnsi="Times New Roman" w:cs="Times New Roman"/>
          <w:sz w:val="28"/>
          <w:szCs w:val="28"/>
        </w:rPr>
        <w:t xml:space="preserve"> логистических маршрутов, включая железнодорожные перевозки через пограничные переходы Алашанькоу–Достык и Хоргос–</w:t>
      </w:r>
      <w:proofErr w:type="spellStart"/>
      <w:r w:rsidRPr="004E7C09">
        <w:rPr>
          <w:rFonts w:ascii="Times New Roman" w:hAnsi="Times New Roman" w:cs="Times New Roman"/>
          <w:sz w:val="28"/>
          <w:szCs w:val="28"/>
        </w:rPr>
        <w:t>Алтынколь</w:t>
      </w:r>
      <w:proofErr w:type="spellEnd"/>
      <w:r w:rsidRPr="004E7C09">
        <w:rPr>
          <w:rFonts w:ascii="Times New Roman" w:hAnsi="Times New Roman" w:cs="Times New Roman"/>
          <w:sz w:val="28"/>
          <w:szCs w:val="28"/>
        </w:rPr>
        <w:t xml:space="preserve">, обеспечивает быстрый и надёжный транзит оборудования.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4E7C09">
        <w:rPr>
          <w:rFonts w:ascii="Times New Roman" w:hAnsi="Times New Roman" w:cs="Times New Roman"/>
          <w:sz w:val="28"/>
          <w:szCs w:val="28"/>
        </w:rPr>
        <w:t>собенно</w:t>
      </w:r>
      <w:proofErr w:type="spellEnd"/>
      <w:r w:rsidRPr="004E7C09">
        <w:rPr>
          <w:rFonts w:ascii="Times New Roman" w:hAnsi="Times New Roman" w:cs="Times New Roman"/>
          <w:sz w:val="28"/>
          <w:szCs w:val="28"/>
        </w:rPr>
        <w:t xml:space="preserve"> актуально для ветровых турбин, фотоэлектрических модулей и элементов накопителей энергии, транспортировка которых требует специализированных условий. Оптимизация логистики не только снижает себестоимость конечного продукта, но и повышает конкурентоспособность двусторонних проектов, а также делает Казахстан привлекательным для создания региональных хабов хранения, сборки и реэкспорта ВИЭ-оборудования.</w:t>
      </w:r>
    </w:p>
    <w:p w14:paraId="4F05E000" w14:textId="1936B390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 xml:space="preserve">Финансово-экономические и институциональные условия функционируют как ключевые параметры, определяющие устойчивость и эффективность бизнес-моделей в секторе возобновляемой энергетики. Для капиталоёмких отраслей, к которым относится ВИЭ, характерна высокая чувствительность к стоимости капитала, доступности финансирования и предсказуемости финансовых потоков.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Ф</w:t>
      </w:r>
      <w:proofErr w:type="spellStart"/>
      <w:r w:rsidRPr="004E7C09">
        <w:rPr>
          <w:rFonts w:ascii="Times New Roman" w:hAnsi="Times New Roman" w:cs="Times New Roman"/>
          <w:sz w:val="28"/>
          <w:szCs w:val="28"/>
        </w:rPr>
        <w:t>инансовая</w:t>
      </w:r>
      <w:proofErr w:type="spellEnd"/>
      <w:r w:rsidRPr="004E7C09">
        <w:rPr>
          <w:rFonts w:ascii="Times New Roman" w:hAnsi="Times New Roman" w:cs="Times New Roman"/>
          <w:sz w:val="28"/>
          <w:szCs w:val="28"/>
        </w:rPr>
        <w:t xml:space="preserve"> архитектура сотрудничества между Казахстаном и Китаем формирует одну из центральных основ успешного развития двусторонних проектов.</w:t>
      </w:r>
    </w:p>
    <w:p w14:paraId="2F6F2E60" w14:textId="62936318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 xml:space="preserve">В Китае система финансовой поддержки ВИЭ является структурированной и институционально устойчивой. Государственные банки развития, Эксимбанк Китая и отраслевые фонды предлагают льготные кредитные продукты, субсидии и гарантии, направленные на снижение стоимости капитала для производителей оборудования и операторов энергоблоков.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4E7C09">
        <w:rPr>
          <w:rFonts w:ascii="Times New Roman" w:hAnsi="Times New Roman" w:cs="Times New Roman"/>
          <w:sz w:val="28"/>
          <w:szCs w:val="28"/>
        </w:rPr>
        <w:t xml:space="preserve"> меры, являясь частью национальной политики энергетического перехода, обеспечивают высокую привлекательность китайских компаний как потенциальных инвесторов и поставщиков оборудования. </w:t>
      </w:r>
      <w:proofErr w:type="gramStart"/>
      <w:r w:rsidRPr="004E7C09">
        <w:rPr>
          <w:rFonts w:ascii="Times New Roman" w:hAnsi="Times New Roman" w:cs="Times New Roman"/>
          <w:sz w:val="28"/>
          <w:szCs w:val="28"/>
        </w:rPr>
        <w:t>В дополнение,</w:t>
      </w:r>
      <w:proofErr w:type="gramEnd"/>
      <w:r w:rsidRPr="004E7C09">
        <w:rPr>
          <w:rFonts w:ascii="Times New Roman" w:hAnsi="Times New Roman" w:cs="Times New Roman"/>
          <w:sz w:val="28"/>
          <w:szCs w:val="28"/>
        </w:rPr>
        <w:t xml:space="preserve"> государственные программы субсидирования спроса фактически формируют внутренний рынок, что позволяет китайским производителям поддерживать высокий уровень технологической и производственной конкурентоспособности.</w:t>
      </w:r>
    </w:p>
    <w:p w14:paraId="5752F290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В Казахстане финансовая политика в сфере ВИЭ развивается в направлении создания благоприятной инвестиционной среды через использование специальных экономических зон, налоговых льгот и механизмов гарантированного выкупа электроэнергии. Дополнительное значение имеет активное участие международных финансовых институтов — ЕБРР, АБР, Всемирного банка, которые предоставляют льготные кредитные линии и грантовые инструменты для реализации крупных и средних проектов. Участие таких институтов снижает регуляторные риски, способствует формированию благоприятной кредитной истории и привлекает частных инвесторов.</w:t>
      </w:r>
    </w:p>
    <w:p w14:paraId="2430686A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 xml:space="preserve">Важным аспектом двусторонней кооперации является управление валютными рисками, обусловленными волатильностью курсов тенге и юаня. Для компаний, осуществляющих трансграничные поставки оборудования и технологий, эффективная система хеджирования, использование валютных </w:t>
      </w:r>
      <w:r w:rsidRPr="004E7C09">
        <w:rPr>
          <w:rFonts w:ascii="Times New Roman" w:hAnsi="Times New Roman" w:cs="Times New Roman"/>
          <w:sz w:val="28"/>
          <w:szCs w:val="28"/>
        </w:rPr>
        <w:lastRenderedPageBreak/>
        <w:t>фьючерсов и долгосрочных контрактов позволяет минимизировать возможные финансовые потери и стабилизировать бюджетные показатели проектов</w:t>
      </w:r>
      <w:r>
        <w:rPr>
          <w:rFonts w:ascii="Times New Roman" w:hAnsi="Times New Roman" w:cs="Times New Roman"/>
          <w:sz w:val="28"/>
          <w:szCs w:val="28"/>
        </w:rPr>
        <w:t xml:space="preserve"> [139]</w:t>
      </w:r>
      <w:r w:rsidRPr="004E7C09">
        <w:rPr>
          <w:rFonts w:ascii="Times New Roman" w:hAnsi="Times New Roman" w:cs="Times New Roman"/>
          <w:sz w:val="28"/>
          <w:szCs w:val="28"/>
        </w:rPr>
        <w:t>.</w:t>
      </w:r>
    </w:p>
    <w:p w14:paraId="702265C6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Параллельно с финансовыми инструментами значимую роль играют вопросы межкультурного взаимодействия, определяющие качество корпоративного управления в международных проектах. Китайский деловой контекст традиционно характеризуется высокой степенью институциональной иерархии, ориентацией на долгосрочное сотрудничество и персонализированные отношения. Казахстанская деловая среда, напротив, отличается большей гибкостью и менее формализованными коммуникациями. Эти различия требуют адаптации управленческих практик, развития межкультурной компетентности, подготовки персонала к работе в транснациональных командах и внедрения образовательных программ, направленных на формирование навыков межкультурной деловой коммуникации.</w:t>
      </w:r>
    </w:p>
    <w:p w14:paraId="72A750C4" w14:textId="77777777" w:rsidR="000E7F50" w:rsidRPr="004E7C09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В рамках устойчивого развития компании обеих стран сталкиваются с обязательствами по снижению углеродного следа, внедрению экологических стандартов и соблюдению международных норм экологической отчётности. Экологические стандарты, регулирующие производство, установку и эксплуатацию оборудования для ВИЭ, становятся всё более жёсткими, что требует от бизнеса соответствующих технологических и организационных решений. Включение корпоративной социальной ответственности в стратегию компаний способствует укреплению репутации, формированию доверия со стороны общества и облегчает доступ к финансовым ресурсам, в том числе к программам «зелёного» финансирования.</w:t>
      </w:r>
    </w:p>
    <w:p w14:paraId="7E00466C" w14:textId="32E53A07" w:rsidR="000E7F50" w:rsidRPr="004E7C09" w:rsidRDefault="000E7F50" w:rsidP="003E65B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7C09">
        <w:rPr>
          <w:rFonts w:ascii="Times New Roman" w:hAnsi="Times New Roman" w:cs="Times New Roman"/>
          <w:sz w:val="28"/>
          <w:szCs w:val="28"/>
        </w:rPr>
        <w:t>Отдельного внимания заслуживает цифровизация как определяющий элемент современного энергетического управления. Внедрение интеллектуальных сетей, цифровых платформ мониторинга, систем хранения энергии, прогнозных моделей и технологий больших данных существенно трансформирует операционную эффективность проектов ВИЭ. Такие решения позволяют оптимизировать производство и потребление электроэнергии, повышают устойчивость к внешним колебаниям и обеспечивают интеграцию распределённой генерации.</w:t>
      </w:r>
      <w:r w:rsidR="003E65BC">
        <w:rPr>
          <w:rFonts w:ascii="Times New Roman" w:hAnsi="Times New Roman" w:cs="Times New Roman"/>
          <w:sz w:val="28"/>
          <w:szCs w:val="28"/>
          <w:lang w:val="ru-RU"/>
        </w:rPr>
        <w:t xml:space="preserve"> Ф</w:t>
      </w:r>
      <w:proofErr w:type="spellStart"/>
      <w:r w:rsidRPr="004E7C09">
        <w:rPr>
          <w:rFonts w:ascii="Times New Roman" w:hAnsi="Times New Roman" w:cs="Times New Roman"/>
          <w:sz w:val="28"/>
          <w:szCs w:val="28"/>
        </w:rPr>
        <w:t>инансово</w:t>
      </w:r>
      <w:proofErr w:type="spellEnd"/>
      <w:r w:rsidRPr="004E7C09">
        <w:rPr>
          <w:rFonts w:ascii="Times New Roman" w:hAnsi="Times New Roman" w:cs="Times New Roman"/>
          <w:sz w:val="28"/>
          <w:szCs w:val="28"/>
        </w:rPr>
        <w:t>-экономическая архитектура, межкультурные особенности управления и экологические стандарты формируют комплексную среду, в которой реализуются проекты возобновляемой энергетики между Казахстаном и Китаем. Их согласованное развитие является обязательным условием повышения эффективности совместных инициатив и достижения стратегических целей энергетического перехода.</w:t>
      </w:r>
    </w:p>
    <w:p w14:paraId="747517A9" w14:textId="77777777" w:rsidR="003E65BC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570D">
        <w:rPr>
          <w:rFonts w:ascii="Times New Roman" w:hAnsi="Times New Roman" w:cs="Times New Roman"/>
          <w:sz w:val="28"/>
          <w:szCs w:val="28"/>
        </w:rPr>
        <w:t xml:space="preserve">Современное развитие возобновляемой энергетики характеризуется диверсификацией технологических решений и комплексным переходом к цифровым методам управления энергопроизводством и энергопотреблением. В Казахстане формируется многокомпонентная структура ВИЭ, включающая солнечную, ветровую, гидроэнергетику малых мощностей, использование биомассы, а также технологически продвинутые системы накопления энергии.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</w:t>
      </w:r>
      <w:proofErr w:type="spellStart"/>
      <w:r w:rsidRPr="000A570D">
        <w:rPr>
          <w:rFonts w:ascii="Times New Roman" w:hAnsi="Times New Roman" w:cs="Times New Roman"/>
          <w:sz w:val="28"/>
          <w:szCs w:val="28"/>
        </w:rPr>
        <w:t>аправления</w:t>
      </w:r>
      <w:proofErr w:type="spellEnd"/>
      <w:r w:rsidRPr="000A570D">
        <w:rPr>
          <w:rFonts w:ascii="Times New Roman" w:hAnsi="Times New Roman" w:cs="Times New Roman"/>
          <w:sz w:val="28"/>
          <w:szCs w:val="28"/>
        </w:rPr>
        <w:t xml:space="preserve"> подкрепляются масштабной цифровизацией энергетического сектора, что обеспечивает повышение эффективности, надёжности и устойчивости энергосистем в условиях растущего спроса и климатических вызовов</w:t>
      </w:r>
      <w:r>
        <w:rPr>
          <w:rFonts w:ascii="Times New Roman" w:hAnsi="Times New Roman" w:cs="Times New Roman"/>
          <w:sz w:val="28"/>
          <w:szCs w:val="28"/>
        </w:rPr>
        <w:t xml:space="preserve"> [140]</w:t>
      </w:r>
      <w:r w:rsidRPr="000A570D">
        <w:rPr>
          <w:rFonts w:ascii="Times New Roman" w:hAnsi="Times New Roman" w:cs="Times New Roman"/>
          <w:sz w:val="28"/>
          <w:szCs w:val="28"/>
        </w:rPr>
        <w:t>.</w:t>
      </w:r>
      <w:r w:rsidR="003E65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570D">
        <w:rPr>
          <w:rFonts w:ascii="Times New Roman" w:hAnsi="Times New Roman" w:cs="Times New Roman"/>
          <w:sz w:val="28"/>
          <w:szCs w:val="28"/>
        </w:rPr>
        <w:t xml:space="preserve">В условиях ускоряющегося глобального энергоперехода компании сталкиваются с необходимостью комплексной модернизации производственных процессов, переориентации на низкоуглеродные технологии и внедрения инструментов цифрового управления энергетическими потоками. </w:t>
      </w:r>
    </w:p>
    <w:p w14:paraId="25E44005" w14:textId="1EEFE6C7" w:rsidR="000E7F50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570D">
        <w:rPr>
          <w:rFonts w:ascii="Times New Roman" w:hAnsi="Times New Roman" w:cs="Times New Roman"/>
          <w:sz w:val="28"/>
          <w:szCs w:val="28"/>
        </w:rPr>
        <w:t>Взаимосвязанность технологических, управленческих и организационных решений в сфере ВИЭ требует систематизации ключевых направлений, формирующих современную архитектуру корпоративной энергетической стратегии. Для иллюстрации логики таких преобразований представляется целесообразным выделить основные блоки технологического развития, которые в совокупности определяют конкурентоспособность бизнеса в условиях перехода к устойчивой энергетике.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Pr="000A570D">
        <w:rPr>
          <w:rFonts w:ascii="Times New Roman" w:hAnsi="Times New Roman" w:cs="Times New Roman"/>
          <w:sz w:val="28"/>
          <w:szCs w:val="28"/>
        </w:rPr>
        <w:t xml:space="preserve">а рисунке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70D">
        <w:rPr>
          <w:rFonts w:ascii="Times New Roman" w:hAnsi="Times New Roman" w:cs="Times New Roman"/>
          <w:sz w:val="28"/>
          <w:szCs w:val="28"/>
        </w:rPr>
        <w:t xml:space="preserve">в интегрированном виде представлены ключевые векторы развития возобновляемых источников энергии, энергоэффективных технологий и цифрового </w:t>
      </w:r>
      <w:proofErr w:type="spellStart"/>
      <w:r w:rsidRPr="000A570D">
        <w:rPr>
          <w:rFonts w:ascii="Times New Roman" w:hAnsi="Times New Roman" w:cs="Times New Roman"/>
          <w:sz w:val="28"/>
          <w:szCs w:val="28"/>
        </w:rPr>
        <w:t>энергоменеджмента</w:t>
      </w:r>
      <w:proofErr w:type="spellEnd"/>
      <w:r w:rsidRPr="000A570D">
        <w:rPr>
          <w:rFonts w:ascii="Times New Roman" w:hAnsi="Times New Roman" w:cs="Times New Roman"/>
          <w:sz w:val="28"/>
          <w:szCs w:val="28"/>
        </w:rPr>
        <w:t>.</w:t>
      </w:r>
    </w:p>
    <w:p w14:paraId="4078C4AD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1DF7E9" w14:textId="77777777" w:rsidR="000E7F50" w:rsidRDefault="000E7F50" w:rsidP="000E7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01CA3DE" wp14:editId="66FC2984">
            <wp:extent cx="5581650" cy="4029075"/>
            <wp:effectExtent l="0" t="0" r="19050" b="47625"/>
            <wp:docPr id="142362986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3CBCA865" w14:textId="77777777" w:rsidR="000E7F50" w:rsidRDefault="000E7F50" w:rsidP="000E7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95032F" w14:textId="0FC08BE9" w:rsidR="000E7F50" w:rsidRPr="000A570D" w:rsidRDefault="000E7F50" w:rsidP="000E7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0A570D">
        <w:rPr>
          <w:rFonts w:ascii="Times New Roman" w:hAnsi="Times New Roman" w:cs="Times New Roman"/>
          <w:sz w:val="28"/>
          <w:szCs w:val="28"/>
        </w:rPr>
        <w:t xml:space="preserve">Ключевые направления развития технологий ВИЭ и цифрового </w:t>
      </w:r>
      <w:proofErr w:type="spellStart"/>
      <w:r w:rsidRPr="000A570D">
        <w:rPr>
          <w:rFonts w:ascii="Times New Roman" w:hAnsi="Times New Roman" w:cs="Times New Roman"/>
          <w:sz w:val="28"/>
          <w:szCs w:val="28"/>
        </w:rPr>
        <w:t>энергоменеджмента</w:t>
      </w:r>
      <w:proofErr w:type="spellEnd"/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0DAB741" w14:textId="77777777" w:rsidR="003E65BC" w:rsidRDefault="003E65BC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6BA7E967" w14:textId="61D91A81" w:rsidR="000E7F50" w:rsidRPr="003E65BC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E65BC">
        <w:rPr>
          <w:rFonts w:ascii="Times New Roman" w:hAnsi="Times New Roman" w:cs="Times New Roman"/>
          <w:lang w:val="ru-RU"/>
        </w:rPr>
        <w:t xml:space="preserve">Примечание: составлено автором </w:t>
      </w:r>
    </w:p>
    <w:p w14:paraId="23B211A0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5AEEB0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70D">
        <w:rPr>
          <w:rFonts w:ascii="Times New Roman" w:hAnsi="Times New Roman" w:cs="Times New Roman"/>
          <w:sz w:val="28"/>
          <w:szCs w:val="28"/>
        </w:rPr>
        <w:lastRenderedPageBreak/>
        <w:t>1. Солнечная энергетика</w:t>
      </w:r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A570D">
        <w:rPr>
          <w:rFonts w:ascii="Times New Roman" w:hAnsi="Times New Roman" w:cs="Times New Roman"/>
          <w:sz w:val="28"/>
          <w:szCs w:val="28"/>
        </w:rPr>
        <w:t>Солнечная энергетика является одним из наиболее перспективных направлений развития ВИЭ в Казахстане благодаря высокой инсоляции и доступности современных фотоэлектрических технологий. Тенденции развития включают переход к высокоэффективным тонкоплёночным и органическим фотоэлектрическим модулям, а также интеграцию солнечных установок в гибридные энергетические системы, сочетающие генерацию, хранение и интеллектуальное управление нагрузками. Государственные налоговые стимулы и субсидии способствуют снижению издержек предприятий, однако ключевыми ограничениями остаются потребность в значительных площадях и климатическая зависимость генерации.</w:t>
      </w:r>
    </w:p>
    <w:p w14:paraId="188374F6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70D">
        <w:rPr>
          <w:rFonts w:ascii="Times New Roman" w:hAnsi="Times New Roman" w:cs="Times New Roman"/>
          <w:sz w:val="28"/>
          <w:szCs w:val="28"/>
        </w:rPr>
        <w:t>2. Ветроэнергетика</w:t>
      </w:r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A570D">
        <w:rPr>
          <w:rFonts w:ascii="Times New Roman" w:hAnsi="Times New Roman" w:cs="Times New Roman"/>
          <w:sz w:val="28"/>
          <w:szCs w:val="28"/>
        </w:rPr>
        <w:t>Ветроэнергетика развивается в рамках устойчивой государственной поддержки, включающей гарантированные тарифы, льготные режимы и активное международное финансирование. Казахстан привлекает иностранных инвесторов в крупные инфраструктурные проекты, такие как ветроэлектростанции мощностью свыше 1 ГВт, что формирует новые точки экономического роста. Проблематика сектора связана с необходимостью развития профессиональных компетенций и соблюдением экологических стандартов при реализации крупных ВЭС.</w:t>
      </w:r>
    </w:p>
    <w:p w14:paraId="062ABC7E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70D">
        <w:rPr>
          <w:rFonts w:ascii="Times New Roman" w:hAnsi="Times New Roman" w:cs="Times New Roman"/>
          <w:sz w:val="28"/>
          <w:szCs w:val="28"/>
        </w:rPr>
        <w:t>3. Гидроэнергетика малых мощностей</w:t>
      </w:r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A570D">
        <w:rPr>
          <w:rFonts w:ascii="Times New Roman" w:hAnsi="Times New Roman" w:cs="Times New Roman"/>
          <w:sz w:val="28"/>
          <w:szCs w:val="28"/>
        </w:rPr>
        <w:t>Малые ГЭС представлены как стратегически значимое направление, ориентированное на обеспечение электроэнергией удалённых и сельских территорий. Поддержка проектов осуществляется через льготное финансирование, компенсации части капитальных затрат и совершенствование правового регулирования. Данный сегмент позволяет минимизировать воздействие на окружающую среду и привлекать международные технологии для реализации сложных гидротехнических решений.</w:t>
      </w:r>
    </w:p>
    <w:p w14:paraId="308DD274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70D">
        <w:rPr>
          <w:rFonts w:ascii="Times New Roman" w:hAnsi="Times New Roman" w:cs="Times New Roman"/>
          <w:sz w:val="28"/>
          <w:szCs w:val="28"/>
        </w:rPr>
        <w:t>4. Биомасса и биогаз</w:t>
      </w:r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A570D">
        <w:rPr>
          <w:rFonts w:ascii="Times New Roman" w:hAnsi="Times New Roman" w:cs="Times New Roman"/>
          <w:sz w:val="28"/>
          <w:szCs w:val="28"/>
        </w:rPr>
        <w:t xml:space="preserve">Энергия биомассы представляет собой важный компонент «зелёного» перехода, особенно в аграрных регионах. Использование сельскохозяйственных отходов для производства биогаза формирует замкнутые циклы </w:t>
      </w:r>
      <w:proofErr w:type="spellStart"/>
      <w:r w:rsidRPr="000A570D">
        <w:rPr>
          <w:rFonts w:ascii="Times New Roman" w:hAnsi="Times New Roman" w:cs="Times New Roman"/>
          <w:sz w:val="28"/>
          <w:szCs w:val="28"/>
        </w:rPr>
        <w:t>ресурсопользования</w:t>
      </w:r>
      <w:proofErr w:type="spellEnd"/>
      <w:r w:rsidRPr="000A570D">
        <w:rPr>
          <w:rFonts w:ascii="Times New Roman" w:hAnsi="Times New Roman" w:cs="Times New Roman"/>
          <w:sz w:val="28"/>
          <w:szCs w:val="28"/>
        </w:rPr>
        <w:t xml:space="preserve"> и снижает нагрузку на окружающую среду. Государственные меры поддержки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0A570D">
        <w:rPr>
          <w:rFonts w:ascii="Times New Roman" w:hAnsi="Times New Roman" w:cs="Times New Roman"/>
          <w:sz w:val="28"/>
          <w:szCs w:val="28"/>
        </w:rPr>
        <w:t xml:space="preserve">  гранты</w:t>
      </w:r>
      <w:proofErr w:type="gramEnd"/>
      <w:r w:rsidRPr="000A570D">
        <w:rPr>
          <w:rFonts w:ascii="Times New Roman" w:hAnsi="Times New Roman" w:cs="Times New Roman"/>
          <w:sz w:val="28"/>
          <w:szCs w:val="28"/>
        </w:rPr>
        <w:t>, субсидии и кредитные гарантии создают условия для широкого внедрения таких решений. Региональные проекты, например биогазовые комплексы Акмолинской области, демонстрируют значительный потенциал для масштабирования.</w:t>
      </w:r>
    </w:p>
    <w:p w14:paraId="4BCF6F77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70D">
        <w:rPr>
          <w:rFonts w:ascii="Times New Roman" w:hAnsi="Times New Roman" w:cs="Times New Roman"/>
          <w:sz w:val="28"/>
          <w:szCs w:val="28"/>
        </w:rPr>
        <w:t>5. Системы накопления энергии</w:t>
      </w:r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A570D">
        <w:rPr>
          <w:rFonts w:ascii="Times New Roman" w:hAnsi="Times New Roman" w:cs="Times New Roman"/>
          <w:sz w:val="28"/>
          <w:szCs w:val="28"/>
        </w:rPr>
        <w:t>Развитие ВИЭ актуализирует потребность в высокоэффективных системах хранения энергии. Литий-ионные, натрий-ионные и твердотельные аккумуляторы формируют основу для гибких энергосистем, обеспечивая балансирование нагрузки и повышение надёжности поставок. Системы накопления становятся ключевым элементом стратегий управления спросом на энергию, что дополняет инициативы по цифровизации и повышению энергоэффективности.</w:t>
      </w:r>
    </w:p>
    <w:p w14:paraId="6FF3F6B7" w14:textId="77777777" w:rsidR="000E7F50" w:rsidRPr="000A570D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70D">
        <w:rPr>
          <w:rFonts w:ascii="Times New Roman" w:hAnsi="Times New Roman" w:cs="Times New Roman"/>
          <w:sz w:val="28"/>
          <w:szCs w:val="28"/>
        </w:rPr>
        <w:lastRenderedPageBreak/>
        <w:t>6. Цифровизация и интеллектуальное управление энергией</w:t>
      </w:r>
      <w:r w:rsidRPr="000A570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A570D">
        <w:rPr>
          <w:rFonts w:ascii="Times New Roman" w:hAnsi="Times New Roman" w:cs="Times New Roman"/>
          <w:sz w:val="28"/>
          <w:szCs w:val="28"/>
        </w:rPr>
        <w:t>Цифровизация выступает системообразующим фактором энергетического перехода. В Казахстане формируется комплекс технологий, включающий интеллектуальные сети, цифровые сервисы мониторинга недропользования, системы интеллектуального учёта электро-, тепло- и газоснабжения, а также элементы искусственного интеллекта и автоматизации в прогнозировании и управлении энергопотоками. Создание цифровых двойников энергетических объектов, внедрение BEMS и систем предотвращения потерь позволяет оптимизировать потребление, усиливать прозрачность и устойчивость энергетических процессов.</w:t>
      </w:r>
    </w:p>
    <w:p w14:paraId="7D4CC1C3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 xml:space="preserve">Переход к низкоуглеродной модели развития требует от компаний не только внедрения отдельных технологических решений, но и формирования комплексной стратегии управления энергопотреблением, инвестициями, кадровыми ресурсами и инновациями. В условиях углубляющейся интеграции Казахстана в глобальные процессы энергоперехода и расширения сотрудничества с Китаем в сфере возобновляемых источников энергии особую актуальность приобретает формирование целостного подхода к корпоративному </w:t>
      </w:r>
      <w:proofErr w:type="spellStart"/>
      <w:r w:rsidRPr="00025C66">
        <w:rPr>
          <w:rFonts w:ascii="Times New Roman" w:hAnsi="Times New Roman" w:cs="Times New Roman"/>
          <w:sz w:val="28"/>
          <w:szCs w:val="28"/>
        </w:rPr>
        <w:t>энергоменеджменту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[141]</w:t>
      </w:r>
      <w:r w:rsidRPr="00025C66">
        <w:rPr>
          <w:rFonts w:ascii="Times New Roman" w:hAnsi="Times New Roman" w:cs="Times New Roman"/>
          <w:sz w:val="28"/>
          <w:szCs w:val="28"/>
        </w:rPr>
        <w:t>.</w:t>
      </w:r>
    </w:p>
    <w:p w14:paraId="04B25CA4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Современная научная литература и международная практика демонстрируют, что успешные компании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25C66">
        <w:rPr>
          <w:rFonts w:ascii="Times New Roman" w:hAnsi="Times New Roman" w:cs="Times New Roman"/>
          <w:sz w:val="28"/>
          <w:szCs w:val="28"/>
        </w:rPr>
        <w:t xml:space="preserve"> как в странах с развитой энергетикой, так и в государствах, находящихся на стадии трансформации, достигают устойчивых результатов благодаря системному сочетанию нескольких стратегических направлений: технологических инноваций, повышения энергоэффективности, модернизации оборудования, развития человеческого капитала, грамотного управления спросом на энергию и интеграции в новые энергетические рынки.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</w:t>
      </w:r>
      <w:r w:rsidRPr="00025C66">
        <w:rPr>
          <w:rFonts w:ascii="Times New Roman" w:hAnsi="Times New Roman" w:cs="Times New Roman"/>
          <w:sz w:val="28"/>
          <w:szCs w:val="28"/>
        </w:rPr>
        <w:t>направления не существуют изолированно; напротив, они образуют взаимодополняющую архитектуру, обеспечивающую способность бизнеса адаптироваться к климатическим вызовам, инвестировать в инновации и увеличивать коммерческую ценность в долгосрочной перспективе</w:t>
      </w:r>
      <w:r>
        <w:rPr>
          <w:rFonts w:ascii="Times New Roman" w:hAnsi="Times New Roman" w:cs="Times New Roman"/>
          <w:sz w:val="28"/>
          <w:szCs w:val="28"/>
        </w:rPr>
        <w:t xml:space="preserve"> [142]</w:t>
      </w:r>
      <w:r w:rsidRPr="00025C66">
        <w:rPr>
          <w:rFonts w:ascii="Times New Roman" w:hAnsi="Times New Roman" w:cs="Times New Roman"/>
          <w:sz w:val="28"/>
          <w:szCs w:val="28"/>
        </w:rPr>
        <w:t>.</w:t>
      </w:r>
    </w:p>
    <w:p w14:paraId="4998AA5D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Учитывая комплексность процессов, ниже систематизированы ключевые элементы корпоративной стратегии в условиях энергоперехода, отражающие как технологические, так и институциональные аспекты. Каждый последующий раздел раскрывает соответствующее направление, его предпосылки, особенности реализации в казахстанских условиях и значение для развития трансграничного сотрудничества с Китаем в сфере ВИЭ.</w:t>
      </w:r>
    </w:p>
    <w:p w14:paraId="00CC80C4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1. Инновации и переход к зелёным технологиям</w:t>
      </w:r>
      <w:r w:rsidRPr="00025C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25C66">
        <w:rPr>
          <w:rFonts w:ascii="Times New Roman" w:hAnsi="Times New Roman" w:cs="Times New Roman"/>
          <w:sz w:val="28"/>
          <w:szCs w:val="28"/>
        </w:rPr>
        <w:t xml:space="preserve">В современных условиях развитие бизнеса в </w:t>
      </w:r>
      <w:proofErr w:type="spellStart"/>
      <w:r w:rsidRPr="00025C66">
        <w:rPr>
          <w:rFonts w:ascii="Times New Roman" w:hAnsi="Times New Roman" w:cs="Times New Roman"/>
          <w:sz w:val="28"/>
          <w:szCs w:val="28"/>
        </w:rPr>
        <w:t>энергетическиём</w:t>
      </w:r>
      <w:proofErr w:type="spellEnd"/>
      <w:r w:rsidRPr="00025C66">
        <w:rPr>
          <w:rFonts w:ascii="Times New Roman" w:hAnsi="Times New Roman" w:cs="Times New Roman"/>
          <w:sz w:val="28"/>
          <w:szCs w:val="28"/>
        </w:rPr>
        <w:t xml:space="preserve"> секторе всё в большей степени определяется готовностью компаний к технологическому переходу на возобновляемые источники энергии. Инновации в области солнечной, ветровой и гидроэнергетики трансформируют модель создания стоимости, позволяя одновременно снижать углеродную нагрузку и формировать новые сегменты рынка.</w:t>
      </w:r>
    </w:p>
    <w:p w14:paraId="40747D8D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lastRenderedPageBreak/>
        <w:t>Для Казахстана, обладающего высоким уровнем солнечной радиации и существенным ветровым потенциалом, особое значение приобретают решения на базе фотоэлектрических систем, а также гибридные энергетические комплексы, сочетающие генерацию, накопление и интеллектуальное управление нагрузкой. Переход к «зелёным» технологиям повышает устойчивость бизнеса к ценовой волатильности на традиционные энергоресурсы, улучшает экологический профиль компаний и способствует укреплению их конкурентных позиций на внутреннем и внешнем рынках.</w:t>
      </w:r>
    </w:p>
    <w:p w14:paraId="5001535A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Вместе с тем технологический переход сопряжён с необходимостью стратегического планирования, выбора оптимальных конфигураций оборудования и учёта пространственных ограничений, что требует высокой степени профессиональной экспертизы.</w:t>
      </w:r>
    </w:p>
    <w:p w14:paraId="5DE793C9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2. Энергоэффективность и энергетический аудит</w:t>
      </w:r>
      <w:r w:rsidRPr="00025C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25C66">
        <w:rPr>
          <w:rFonts w:ascii="Times New Roman" w:hAnsi="Times New Roman" w:cs="Times New Roman"/>
          <w:sz w:val="28"/>
          <w:szCs w:val="28"/>
        </w:rPr>
        <w:t>Повышение энергоэффективности выступает базовой управленческой стратегией для компаний, ориентированных на снижение операционных издержек и углеродного следа. Наиболее значимый эффект достигается не только за счёт замены оборудования, но и через внедрение систем управления энергопотреблением.</w:t>
      </w:r>
    </w:p>
    <w:p w14:paraId="181D7C09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Современные системы управления зданием и энергией обеспечивают мониторинг и оптимизацию потребления электроэнергии, тепла и других энергоресурсов в режиме реального времени. Современные системы управления зданием и энергией позволяют алгоритмизировать управление освещением, отоплением, вентиляцией и кондиционированием, автоматически снижать нагрузку вне рабочих периодов и минимизировать потери за счёт интеллектуального регулирования.</w:t>
      </w:r>
    </w:p>
    <w:p w14:paraId="3E2C1BF8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Ключевым инструментом практической реализации политики энергоэффективности является энергетический аудит. В казахстанских условиях он трактуется как системный процесс сбора и анализа данных об использовании энергоресурсов с целью выявления нерациональных потерь, количественной оценки потенциала энергосбережения и формирования программных мер по его реализации [</w:t>
      </w:r>
      <w:r>
        <w:rPr>
          <w:rFonts w:ascii="Times New Roman" w:hAnsi="Times New Roman" w:cs="Times New Roman"/>
          <w:sz w:val="28"/>
          <w:szCs w:val="28"/>
        </w:rPr>
        <w:t>143</w:t>
      </w:r>
      <w:r w:rsidRPr="00025C66">
        <w:rPr>
          <w:rFonts w:ascii="Times New Roman" w:hAnsi="Times New Roman" w:cs="Times New Roman"/>
          <w:sz w:val="28"/>
          <w:szCs w:val="28"/>
        </w:rPr>
        <w:t>]. Результаты аудита служат основанием для разработки планов модернизации, внедрения энергосберегающих технологий и совершенствования систем учёта.</w:t>
      </w:r>
    </w:p>
    <w:p w14:paraId="3D39C37F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3. Инвестиции в энергоэффективное оборудование и финансовые стимулы</w:t>
      </w:r>
      <w:r w:rsidRPr="00025C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25C66">
        <w:rPr>
          <w:rFonts w:ascii="Times New Roman" w:hAnsi="Times New Roman" w:cs="Times New Roman"/>
          <w:sz w:val="28"/>
          <w:szCs w:val="28"/>
        </w:rPr>
        <w:t>Развитие ВИЭ и энергоэффективности неизбежно связано с высокой капиталоёмкостью проектов. Замена морально и физически устаревших агрегатов на оборудование с высоким классом энергоэффективности (А+++ и выше), внедрение светодиодного освещения, интеллектуальных систем управления и современных хранилищ энергии требуют значительных первоначальных вложений, окупаемость которых растянута во времени.</w:t>
      </w:r>
    </w:p>
    <w:p w14:paraId="6C0DC723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 xml:space="preserve">В Казахстане значимую роль играют целевые программы поддержки низкоуглеродного развития, обеспечивающие субсидирование части капитальных затрат и удешевление кредитных ресурсов. Так, в рамках программ типа «Устойчивые города для низкоуглеродного развития» </w:t>
      </w:r>
      <w:r w:rsidRPr="00025C66">
        <w:rPr>
          <w:rFonts w:ascii="Times New Roman" w:hAnsi="Times New Roman" w:cs="Times New Roman"/>
          <w:sz w:val="28"/>
          <w:szCs w:val="28"/>
        </w:rPr>
        <w:lastRenderedPageBreak/>
        <w:t>предусматривается компенсация доли основного займа для проектов, направленных на снижение энерго-, тепло- и водопотребления, а в рамках инициатив ПРООН–ГЭФ – субсидирование процентных ставок по кредитам на строительство солнечных, ветровых и малых гидроэнергетических объектов. Наличие таких инструментов повышает инвестиционную привлекательность «зелёных» проектов и позволяет бизнесу ускорить модернизацию основных фондов [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025C66">
        <w:rPr>
          <w:rFonts w:ascii="Times New Roman" w:hAnsi="Times New Roman" w:cs="Times New Roman"/>
          <w:sz w:val="28"/>
          <w:szCs w:val="28"/>
        </w:rPr>
        <w:t>].</w:t>
      </w:r>
    </w:p>
    <w:p w14:paraId="679D680C" w14:textId="3EE27C7F" w:rsidR="000E7F50" w:rsidRPr="00025C66" w:rsidRDefault="00D700FC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proofErr w:type="spellStart"/>
      <w:r w:rsidR="000E7F50" w:rsidRPr="00025C66">
        <w:rPr>
          <w:rFonts w:ascii="Times New Roman" w:hAnsi="Times New Roman" w:cs="Times New Roman"/>
          <w:sz w:val="28"/>
          <w:szCs w:val="28"/>
        </w:rPr>
        <w:t>ффективность</w:t>
      </w:r>
      <w:proofErr w:type="spellEnd"/>
      <w:r w:rsidR="000E7F50" w:rsidRPr="00025C66">
        <w:rPr>
          <w:rFonts w:ascii="Times New Roman" w:hAnsi="Times New Roman" w:cs="Times New Roman"/>
          <w:sz w:val="28"/>
          <w:szCs w:val="28"/>
        </w:rPr>
        <w:t xml:space="preserve"> таких инвестиций во многом определяется институциональной средой: степенью предсказуемости тарифной и налоговой политики, доступностью долгосрочного финансирования и уровнем компетенций участников рынка.</w:t>
      </w:r>
    </w:p>
    <w:p w14:paraId="1CAD8893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4. Институциональные и ресурсные ограничения энергоперехода</w:t>
      </w:r>
      <w:r w:rsidRPr="00025C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25C66">
        <w:rPr>
          <w:rFonts w:ascii="Times New Roman" w:hAnsi="Times New Roman" w:cs="Times New Roman"/>
          <w:sz w:val="28"/>
          <w:szCs w:val="28"/>
        </w:rPr>
        <w:t>Стратегии перехода к низкоуглеродной модели сталкиваются с рядом ограничений, имеющих как кадровую, так и ресурсную природу.</w:t>
      </w:r>
    </w:p>
    <w:p w14:paraId="485D3EAD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Во-первых, формируется устойчивый дефицит специалистов в области возобновляемой энергетики. Технологии ВИЭ, в том числе геотермальной энергетики, биогаза, сложных систем накопления и цифрового управления сетью, существенно отличаются от традиционных нефтегазовых и угольных 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025C66">
        <w:rPr>
          <w:rFonts w:ascii="Times New Roman" w:hAnsi="Times New Roman" w:cs="Times New Roman"/>
          <w:sz w:val="28"/>
          <w:szCs w:val="28"/>
        </w:rPr>
        <w:t>то требует переориентации образовательных программ, развития практико-ориентированной подготовки и системного повышения квалификации инженерно-технического персонала.</w:t>
      </w:r>
    </w:p>
    <w:p w14:paraId="3C3A536E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Во-вторых, значимым барьером остаётся недостаточная точность и системность оценки ресурсной базы ВИЭ. При наличии значительного теоретического потенциала реальные объёмы доступных к использованию ресурсов часто оказываются ниже первоначальных оценок из-за территориальных, инфраструктурных и экологических ограничений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025C66">
        <w:rPr>
          <w:rFonts w:ascii="Times New Roman" w:hAnsi="Times New Roman" w:cs="Times New Roman"/>
          <w:sz w:val="28"/>
          <w:szCs w:val="28"/>
        </w:rPr>
        <w:t>то приводит к расхождению между расчётными показателями и фактической реализуемостью проектов, повышая риски инвесторов и усложняя долгосрочное планирование.</w:t>
      </w:r>
    </w:p>
    <w:p w14:paraId="249F81F9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 xml:space="preserve">В-третьих, специфика традиционных энергетических компаний Казахстана, прежде всего крупных государственных нефтегазовых структур, определяет особую траекторию трансформации.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025C66">
        <w:rPr>
          <w:rFonts w:ascii="Times New Roman" w:hAnsi="Times New Roman" w:cs="Times New Roman"/>
          <w:sz w:val="28"/>
          <w:szCs w:val="28"/>
        </w:rPr>
        <w:t>омпании</w:t>
      </w:r>
      <w:proofErr w:type="spellEnd"/>
      <w:r w:rsidRPr="00025C66">
        <w:rPr>
          <w:rFonts w:ascii="Times New Roman" w:hAnsi="Times New Roman" w:cs="Times New Roman"/>
          <w:sz w:val="28"/>
          <w:szCs w:val="28"/>
        </w:rPr>
        <w:t xml:space="preserve"> одновременно выступают системными носителями энергетической безопасности и важными источниками бюджетных доходов, что требует балансировки корпоративных целей с национальными стратегическими приоритетами.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Start"/>
      <w:r w:rsidRPr="00025C66">
        <w:rPr>
          <w:rFonts w:ascii="Times New Roman" w:hAnsi="Times New Roman" w:cs="Times New Roman"/>
          <w:sz w:val="28"/>
          <w:szCs w:val="28"/>
        </w:rPr>
        <w:t>частие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данных компаний</w:t>
      </w:r>
      <w:r w:rsidRPr="00025C66">
        <w:rPr>
          <w:rFonts w:ascii="Times New Roman" w:hAnsi="Times New Roman" w:cs="Times New Roman"/>
          <w:sz w:val="28"/>
          <w:szCs w:val="28"/>
        </w:rPr>
        <w:t xml:space="preserve"> в энергопереходе предполагает поэтапное перераспределение инвестиционных потоков в пользу ВИЭ при сохранении устойчивости существующей топливно-энергетической системы.</w:t>
      </w:r>
    </w:p>
    <w:p w14:paraId="1649ED39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5C66">
        <w:rPr>
          <w:rFonts w:ascii="Times New Roman" w:hAnsi="Times New Roman" w:cs="Times New Roman"/>
          <w:sz w:val="28"/>
          <w:szCs w:val="28"/>
        </w:rPr>
        <w:t>5. Управление спросом на энергию как источник коммерческой ценности</w:t>
      </w:r>
      <w:r w:rsidRPr="00025C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25C66">
        <w:rPr>
          <w:rFonts w:ascii="Times New Roman" w:hAnsi="Times New Roman" w:cs="Times New Roman"/>
          <w:sz w:val="28"/>
          <w:szCs w:val="28"/>
        </w:rPr>
        <w:t xml:space="preserve">Современная литература и практика корпоративного управления всё чаще трактуют энергопереход не только как технологический вызов, но и как возможность формирования новых источников коммерческой ценности. Управление спросом на энергию позволяет компаниям одновременно снижать затраты, уменьшать углеродный след и повышать устойчивость к ценовой и </w:t>
      </w:r>
      <w:r w:rsidRPr="00025C66">
        <w:rPr>
          <w:rFonts w:ascii="Times New Roman" w:hAnsi="Times New Roman" w:cs="Times New Roman"/>
          <w:sz w:val="28"/>
          <w:szCs w:val="28"/>
        </w:rPr>
        <w:lastRenderedPageBreak/>
        <w:t xml:space="preserve">регуляторной волатильности. 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данном к</w:t>
      </w:r>
      <w:proofErr w:type="spellStart"/>
      <w:r w:rsidRPr="00025C66">
        <w:rPr>
          <w:rFonts w:ascii="Times New Roman" w:hAnsi="Times New Roman" w:cs="Times New Roman"/>
          <w:sz w:val="28"/>
          <w:szCs w:val="28"/>
        </w:rPr>
        <w:t>онтексте</w:t>
      </w:r>
      <w:proofErr w:type="spellEnd"/>
      <w:r w:rsidRPr="00025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выделяют</w:t>
      </w:r>
      <w:r w:rsidRPr="00025C66">
        <w:rPr>
          <w:rFonts w:ascii="Times New Roman" w:hAnsi="Times New Roman" w:cs="Times New Roman"/>
          <w:sz w:val="28"/>
          <w:szCs w:val="28"/>
        </w:rPr>
        <w:t xml:space="preserve"> четыре взаимосвязанных направления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D1E6D4A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Во-первых, оптимизация энергоэффективности на стороне спроса предполагает системное снижение потребления энергии за счёт цифровизации оборудования, использования локальных ВИЭ и систем накопления. Компании переходят от пассивного потребления к активному управлению нагрузкой, выбирая оптимальный режим покупки, производства и хранения энергии с учётом рыночной конъюнктуры и климатических рисков.</w:t>
      </w:r>
    </w:p>
    <w:p w14:paraId="03537199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Во-вторых, децентрализация энергоснабжения усиливает устойчивость бизнеса к перебоям в работе централизованных сетей и ценовым шокам. Развитие распределённой генерации, основанной на солнечных, ветровых и малых гидроэнергетических установках, особенно актуально для Казахстана, где ожидается опережающий рост мощности именно распределённых систем. Интеграция локальной генерации и накопителей позволяет промышленным и коммерческим потребителям снижать зависимость от централизованных поставок.</w:t>
      </w:r>
    </w:p>
    <w:p w14:paraId="3339B986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В-третьих, коммерциализация энергии и активное участие в энергетических рынках превращают энергию в самостоятельный объект управления. Компании, обладающие собственными ВИЭ-активами и системами накопления, получают возможность оптимизировать графики потребления и продажи, участвовать в механизмах управления спросом и предлагать новые продукты и услуги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025C66">
        <w:rPr>
          <w:rFonts w:ascii="Times New Roman" w:hAnsi="Times New Roman" w:cs="Times New Roman"/>
          <w:sz w:val="28"/>
          <w:szCs w:val="28"/>
        </w:rPr>
        <w:t>то требует развития компетенций по оценке ресурсной базы, работе с деривативами и взаимодействию с регулирующими органами.</w:t>
      </w:r>
    </w:p>
    <w:p w14:paraId="488F1356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В-четвёртых, электрификация операций, включая переход на электротранспорт и электрические приводы в производственных процессах, открывает дополнительные возможности для декарбонизации. Более высокая энергетическая эффективность электрооборудования по сравнению с традиционными установками позволяет одновременно сокращать выбросы и повышать экономическую отдачу, особенно при использовании «зелёной» электроэнергии.</w:t>
      </w:r>
    </w:p>
    <w:p w14:paraId="33E5A9ED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 совокупности указанные стратегические направления формируют управленческий каркас корпоративного участия в энергопереходе. Для казахстанского бизнеса, интегрированного в сотрудничество с Китаем в сфере ВИЭ, они определяют не только вектор модернизации производственной базы, но и параметры включения в формирующийся трансграничный рынок низкоуглеродных технологий и услуг.</w:t>
      </w:r>
    </w:p>
    <w:p w14:paraId="0CB4C137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 xml:space="preserve">Обобщая проведённый анализ, следует подчеркнуть, что современные условия функционирования энергетически зависимых отраслей формируют качественно новую парадигму корпоративного управления, в которой ключевую роль начинают играть стратегии, ориентированные на активное участие компаний в трансформирующихся энергетических системах. Высокие издержки на энергоресурсы, нестабильность цен, ужесточение климатической повестки и необходимость сокращения выбросов парниковых газов делают </w:t>
      </w:r>
      <w:r w:rsidRPr="00025C66">
        <w:rPr>
          <w:rFonts w:ascii="Times New Roman" w:hAnsi="Times New Roman" w:cs="Times New Roman"/>
          <w:sz w:val="28"/>
          <w:szCs w:val="28"/>
        </w:rPr>
        <w:lastRenderedPageBreak/>
        <w:t>традиционные подходы к управлению энергопотреблением экономически и институционально недостаточными.</w:t>
      </w:r>
    </w:p>
    <w:p w14:paraId="0D6525D6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Технологический прогресс не только предъявляет новые требования к корпоративным стратегиям, но и открывает дополнительные источники создания ценности. Инновации в сфере ВИЭ, энергоэффективности и цифровизации позволяют компаниям переходить от модели пассивного потребления к модели активного участия в энергетическом рынке, становясь одновременно потребителями, производителями и продавцами энергии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025C66">
        <w:rPr>
          <w:rFonts w:ascii="Times New Roman" w:hAnsi="Times New Roman" w:cs="Times New Roman"/>
          <w:sz w:val="28"/>
          <w:szCs w:val="28"/>
        </w:rPr>
        <w:t>формирует новую конкурентную среду, где преимуществами обладают организации, способные быстро адаптироваться к технологическим изменениям и осваивать новые механизмы управления спросом.</w:t>
      </w:r>
    </w:p>
    <w:p w14:paraId="7C6947D3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Рассмотренные в разделе четыре ключевых направления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025C66">
        <w:rPr>
          <w:rFonts w:ascii="Times New Roman" w:hAnsi="Times New Roman" w:cs="Times New Roman"/>
          <w:sz w:val="28"/>
          <w:szCs w:val="28"/>
        </w:rPr>
        <w:t xml:space="preserve"> повышение энергоэффективности, децентрализация энергоснабжения, коммерциализация энергии и электрификация операций представляют собой взаимодополняющие элементы стратегической архитектуры энергоперехода. Интеграция позволяет компаниям:</w:t>
      </w:r>
    </w:p>
    <w:p w14:paraId="6DF5559F" w14:textId="77777777" w:rsidR="000E7F50" w:rsidRPr="00025C66" w:rsidRDefault="000E7F50" w:rsidP="000E7F50">
      <w:pPr>
        <w:numPr>
          <w:ilvl w:val="0"/>
          <w:numId w:val="5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снижать операционные расходы и уязвимость к ценовым шокам;</w:t>
      </w:r>
    </w:p>
    <w:p w14:paraId="77E2AB38" w14:textId="77777777" w:rsidR="000E7F50" w:rsidRPr="00025C66" w:rsidRDefault="000E7F50" w:rsidP="000E7F50">
      <w:pPr>
        <w:numPr>
          <w:ilvl w:val="0"/>
          <w:numId w:val="5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повышать технологическую и экологическую устойчивость;</w:t>
      </w:r>
    </w:p>
    <w:p w14:paraId="4DCF8A4A" w14:textId="77777777" w:rsidR="000E7F50" w:rsidRPr="00025C66" w:rsidRDefault="000E7F50" w:rsidP="000E7F50">
      <w:pPr>
        <w:numPr>
          <w:ilvl w:val="0"/>
          <w:numId w:val="5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расширять спектр предлагаемых услуг и диверсифицировать источники доходов;</w:t>
      </w:r>
    </w:p>
    <w:p w14:paraId="2DF917F8" w14:textId="77777777" w:rsidR="000E7F50" w:rsidRPr="00025C66" w:rsidRDefault="000E7F50" w:rsidP="000E7F50">
      <w:pPr>
        <w:numPr>
          <w:ilvl w:val="0"/>
          <w:numId w:val="56"/>
        </w:numPr>
        <w:tabs>
          <w:tab w:val="clear" w:pos="720"/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формировать долгосрочные преимущества в условиях растущей конкуренции на «зелёных» рынках.</w:t>
      </w:r>
    </w:p>
    <w:p w14:paraId="48194BD3" w14:textId="1D3A5858" w:rsidR="000E7F50" w:rsidRDefault="00D700FC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proofErr w:type="spellStart"/>
      <w:r w:rsidR="000E7F50" w:rsidRPr="00025C66">
        <w:rPr>
          <w:rFonts w:ascii="Times New Roman" w:hAnsi="Times New Roman" w:cs="Times New Roman"/>
          <w:sz w:val="28"/>
          <w:szCs w:val="28"/>
        </w:rPr>
        <w:t>ффективность</w:t>
      </w:r>
      <w:proofErr w:type="spellEnd"/>
      <w:r w:rsidR="000E7F50" w:rsidRPr="00025C66">
        <w:rPr>
          <w:rFonts w:ascii="Times New Roman" w:hAnsi="Times New Roman" w:cs="Times New Roman"/>
          <w:sz w:val="28"/>
          <w:szCs w:val="28"/>
        </w:rPr>
        <w:t xml:space="preserve"> внедрения указанных подходов зависит не только от внутренних решений компаний, но и от широкой институциональной среды: доступности долгосрочного финансирования, предсказуемости тарифной политики, уровня зрелости нормативно-правовой базы, готовности кадрового потенциала и качества взаимодействия бизнеса с государством. В странах, находящихся на этапе формирования собственной низкоуглеродной экономики, включая Казахстан, данные факторы приобретают особенно критическое значение</w:t>
      </w:r>
      <w:r w:rsidR="000E7F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7F50" w:rsidRPr="003949EB">
        <w:rPr>
          <w:rFonts w:ascii="Times New Roman" w:hAnsi="Times New Roman" w:cs="Times New Roman"/>
          <w:sz w:val="28"/>
          <w:szCs w:val="28"/>
          <w:lang w:val="ru-RU"/>
        </w:rPr>
        <w:t>[145]</w:t>
      </w:r>
      <w:r w:rsidR="000E7F50" w:rsidRPr="00025C66">
        <w:rPr>
          <w:rFonts w:ascii="Times New Roman" w:hAnsi="Times New Roman" w:cs="Times New Roman"/>
          <w:sz w:val="28"/>
          <w:szCs w:val="28"/>
        </w:rPr>
        <w:t>.</w:t>
      </w:r>
    </w:p>
    <w:p w14:paraId="0D7EC97A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>В совокупности анализ подтверждает, что переход к управлению спросом на энергию сложная, но стратегически необходимая задача. Ускоряющаяся динамика климатической политики, технологические инновации, ожидания инвесторов и партнёров, а также требования международных рынков формируют устойчивый вектор на активное включение компаний всех секторов в процессы энергоперехода. В этих условиях разработка и реализация комплексной стратегии управления энергопотреблением становится не просто инструментом снижения затрат, но и важнейшим элементом обеспечения долгосрочной конкурентоспособности, устойчивости и инвестиционной привлекательности бизнеса.</w:t>
      </w:r>
    </w:p>
    <w:p w14:paraId="54040F68" w14:textId="77777777" w:rsidR="000E7F50" w:rsidRPr="00025C66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025C66">
        <w:rPr>
          <w:rFonts w:ascii="Times New Roman" w:hAnsi="Times New Roman" w:cs="Times New Roman"/>
          <w:sz w:val="28"/>
          <w:szCs w:val="28"/>
        </w:rPr>
        <w:t>редприятиям</w:t>
      </w:r>
      <w:proofErr w:type="spellEnd"/>
      <w:r w:rsidRPr="00025C66">
        <w:rPr>
          <w:rFonts w:ascii="Times New Roman" w:hAnsi="Times New Roman" w:cs="Times New Roman"/>
          <w:sz w:val="28"/>
          <w:szCs w:val="28"/>
        </w:rPr>
        <w:t xml:space="preserve"> следует не откладывать формирование собственной стратегии управления энергией, а воспринимать энергопереход как окно возможностей для укрепления своих позиций, повышения эффективности и интеграции в новую архитектуру глобальных низкоуглеродных рынков</w:t>
      </w:r>
    </w:p>
    <w:p w14:paraId="556671B9" w14:textId="77777777" w:rsidR="000E7F50" w:rsidRDefault="000E7F50" w:rsidP="00A73FCB">
      <w:pPr>
        <w:pStyle w:val="1"/>
        <w:ind w:firstLine="567"/>
        <w:jc w:val="both"/>
        <w:rPr>
          <w:lang w:val="ru-RU"/>
        </w:rPr>
      </w:pPr>
      <w:bookmarkStart w:id="29" w:name="_Toc215079200"/>
      <w:r w:rsidRPr="006D2ED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3.2. Экономические инструменты и организационные меры реализации</w:t>
      </w:r>
      <w:bookmarkEnd w:id="29"/>
    </w:p>
    <w:p w14:paraId="5625B71F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Сформулированная концептуальная модель энергоперехода, адаптированная к специфике экономики Казахстана, задаёт теоретические основания для разработки практических механизмов её реализации. Учитывая многофакторный характер нестабильности переход к устойчивой, низкоуглеродной траектории требует не только стратегического видения, но и чётко структурированного набора инструментов, способных обеспечить воспроизводимость и устойчивость преобразований.</w:t>
      </w:r>
    </w:p>
    <w:p w14:paraId="5119086F" w14:textId="77777777" w:rsidR="00A73F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5C66">
        <w:rPr>
          <w:rFonts w:ascii="Times New Roman" w:hAnsi="Times New Roman" w:cs="Times New Roman"/>
          <w:sz w:val="28"/>
          <w:szCs w:val="28"/>
        </w:rPr>
        <w:t xml:space="preserve">Каждая выделенная зона уязвимости формирует собственный блок требований к государственной политике и корпоративным стратегиям, однако эффективная реализация модели возможна лишь при наличии комплексной системы экономических стимулов, институциональных механизмов и организационных мер, направленных на согласование интересов государства, бизнеса и общества. </w:t>
      </w:r>
    </w:p>
    <w:p w14:paraId="7FEF1632" w14:textId="12C956F1" w:rsidR="000E7F50" w:rsidRPr="00025C66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C6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данных</w:t>
      </w:r>
      <w:r w:rsidRPr="00025C66">
        <w:rPr>
          <w:rFonts w:ascii="Times New Roman" w:hAnsi="Times New Roman" w:cs="Times New Roman"/>
          <w:sz w:val="28"/>
          <w:szCs w:val="28"/>
        </w:rPr>
        <w:t xml:space="preserve"> условиях особое значение приобретает формирование многоуровневой архитектуры поддержки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025C66">
        <w:rPr>
          <w:rFonts w:ascii="Times New Roman" w:hAnsi="Times New Roman" w:cs="Times New Roman"/>
          <w:sz w:val="28"/>
          <w:szCs w:val="28"/>
        </w:rPr>
        <w:t xml:space="preserve"> от ценовых сигналов и финансовых инструментов до организационных структур, способных обеспечить координацию между ключевыми акторами энергоперехода.</w:t>
      </w:r>
    </w:p>
    <w:p w14:paraId="123378A0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Разработка управленческой модели энергоперехода требует предварительной идентификации и систематизации ключевых форм нестабильности, определяющих поведение ресурсозависимой экономики в условиях структурной трансформации. Для обеспечения аналитической строгости и воспроизводимости выводов в работе осуществляется </w:t>
      </w:r>
      <w:proofErr w:type="spellStart"/>
      <w:r w:rsidRPr="006702CB">
        <w:rPr>
          <w:rFonts w:ascii="Times New Roman" w:hAnsi="Times New Roman" w:cs="Times New Roman"/>
          <w:sz w:val="28"/>
          <w:szCs w:val="28"/>
        </w:rPr>
        <w:t>операционализация</w:t>
      </w:r>
      <w:proofErr w:type="spellEnd"/>
      <w:r w:rsidRPr="006702CB">
        <w:rPr>
          <w:rFonts w:ascii="Times New Roman" w:hAnsi="Times New Roman" w:cs="Times New Roman"/>
          <w:sz w:val="28"/>
          <w:szCs w:val="28"/>
        </w:rPr>
        <w:t xml:space="preserve"> факторов нестабильности по пяти взаимосвязанным блокам.</w:t>
      </w:r>
    </w:p>
    <w:p w14:paraId="5BA73A5C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Во-первых, учитываются внешние шоки, формирующие амплитуду и частоту экзогенных воздействий на экономическую динамику. К ним относятся: волатильность мировых цен на сырьевые товары, прежде всего нефть и газ; изменения условий внешней торговли; циклы глобальной ликвидности, влияющие на стоимость и доступность внешнего заимствования; эпизоды геополитических, санкционных и технологических ограничений, затрудняющих трансграничный обмен высокотехнологичной низкоуглеродной продукцией. Устойчивость к данным факторам является необходимым условием формирования модели роста, малочувствительной к внешним импульсам.</w:t>
      </w:r>
    </w:p>
    <w:p w14:paraId="739E1DFD" w14:textId="77777777" w:rsidR="00A73F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Во-вторых, значимыми являются параметры внутренней макроэкономической и финансовой нестабильности, определяющие возможности государства по поддержке сектора ВИЭ и уровень рисков для частного капитала. </w:t>
      </w:r>
    </w:p>
    <w:p w14:paraId="3976CA04" w14:textId="48655C98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В данном контексте анализируются: </w:t>
      </w:r>
    </w:p>
    <w:p w14:paraId="1D30D931" w14:textId="77777777" w:rsidR="000E7F50" w:rsidRPr="006D2ED8" w:rsidRDefault="000E7F50" w:rsidP="000E7F50">
      <w:pPr>
        <w:pStyle w:val="a7"/>
        <w:numPr>
          <w:ilvl w:val="0"/>
          <w:numId w:val="5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колебания реального ВВП и фазы макроэкономического цикла; </w:t>
      </w:r>
    </w:p>
    <w:p w14:paraId="7608E931" w14:textId="77777777" w:rsidR="000E7F50" w:rsidRPr="006D2ED8" w:rsidRDefault="000E7F50" w:rsidP="000E7F50">
      <w:pPr>
        <w:pStyle w:val="a7"/>
        <w:numPr>
          <w:ilvl w:val="0"/>
          <w:numId w:val="5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уровень инфляции и инфляционные ожидания; </w:t>
      </w:r>
    </w:p>
    <w:p w14:paraId="4EE6E613" w14:textId="77777777" w:rsidR="000E7F50" w:rsidRPr="006D2ED8" w:rsidRDefault="000E7F50" w:rsidP="000E7F50">
      <w:pPr>
        <w:pStyle w:val="a7"/>
        <w:numPr>
          <w:ilvl w:val="0"/>
          <w:numId w:val="5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волатильность обменного курса и реального эффективного курса; </w:t>
      </w:r>
    </w:p>
    <w:p w14:paraId="0B1548B0" w14:textId="77777777" w:rsidR="000E7F50" w:rsidRPr="006D2ED8" w:rsidRDefault="000E7F50" w:rsidP="000E7F50">
      <w:pPr>
        <w:pStyle w:val="a7"/>
        <w:numPr>
          <w:ilvl w:val="0"/>
          <w:numId w:val="5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фискальной системы, включая параметры дефицита, государственного долга, структуру доходов бюджета и инвестиционный цикл. </w:t>
      </w:r>
    </w:p>
    <w:p w14:paraId="4A923CFD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6702CB">
        <w:rPr>
          <w:rFonts w:ascii="Times New Roman" w:hAnsi="Times New Roman" w:cs="Times New Roman"/>
          <w:sz w:val="28"/>
          <w:szCs w:val="28"/>
        </w:rPr>
        <w:t>переменные задают границы фискального манёвра и формируют премию за риск для долгосрочных зелёных инвестиций.</w:t>
      </w:r>
    </w:p>
    <w:p w14:paraId="673A8076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В-третьих, критической характеристикой выступает энергетическая уязвимость экономики. Оценивается через: долю ископаемого топлива в структуре энергобаланса; энергоёмкость ВВП; концентрацию экспортной выручки на углеводородах и других сырьевых товарах. Снижение энергетической уязвимости достигается посредством масштабного внедрения возобновляемых источников энергии, повышения энергоэффективности и развития смежных низкоуглеродных производств.</w:t>
      </w:r>
    </w:p>
    <w:p w14:paraId="4A5F24CE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В-четвёртых, учитывается блок экологической нестабильности, включающий анализ динамики абсолютных и удельных выбросов CO₂, а также специфических климатических угроз аридных регионов</w:t>
      </w:r>
      <w:r w:rsidRPr="006D2ED8">
        <w:rPr>
          <w:rFonts w:ascii="Times New Roman" w:hAnsi="Times New Roman" w:cs="Times New Roman"/>
          <w:sz w:val="28"/>
          <w:szCs w:val="28"/>
        </w:rPr>
        <w:t xml:space="preserve">: </w:t>
      </w:r>
      <w:r w:rsidRPr="006702CB">
        <w:rPr>
          <w:rFonts w:ascii="Times New Roman" w:hAnsi="Times New Roman" w:cs="Times New Roman"/>
          <w:sz w:val="28"/>
          <w:szCs w:val="28"/>
        </w:rPr>
        <w:t>дефицита осадков, деградации ледников, рисков для водной и аграрной безопасности. Данные факторы не только усиливают необходимость экологической составляющей энергоперехода, но и ограничивают пространство допустимых компромиссов между экономическим ростом и природоохранными целями.</w:t>
      </w:r>
    </w:p>
    <w:p w14:paraId="3F13C8EE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В-пятых, важное место занимает оценка социальной чувствительности энергоперехода. Рассматриваются</w:t>
      </w:r>
      <w:r w:rsidRPr="006D2ED8">
        <w:rPr>
          <w:rFonts w:ascii="Times New Roman" w:hAnsi="Times New Roman" w:cs="Times New Roman"/>
          <w:sz w:val="28"/>
          <w:szCs w:val="28"/>
        </w:rPr>
        <w:t xml:space="preserve"> </w:t>
      </w:r>
      <w:r w:rsidRPr="006702CB">
        <w:rPr>
          <w:rFonts w:ascii="Times New Roman" w:hAnsi="Times New Roman" w:cs="Times New Roman"/>
          <w:sz w:val="28"/>
          <w:szCs w:val="28"/>
        </w:rPr>
        <w:t>возможные эффекты для занятости в «коричневых» секторах и потребность в переквалификации; изменение тарифной нагрузки на домохозяйства и малый бизнес; уровень общественной поддержки экологической политики и механизмы его укрепления информационная работа, адресные компенсации, программы «справедливого перехода». Социальная устойчивость выступает необходимым условием легитимности и политической реализуемости долгосрочных реформ.</w:t>
      </w:r>
    </w:p>
    <w:p w14:paraId="751020FC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Совокупность перечисленных блоков формирует аналитический фундамент управленческой модели, позволяя учитывать многоаспектный характер нестабильности и адаптировать механизмы энергоперехода к специфике экономики Казахстана.</w:t>
      </w:r>
    </w:p>
    <w:p w14:paraId="06CE4B2D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Связка между выделенными признаками нестабильности и структурой управленческой модели реализуется через формирование пяти инструментальных блоков, каждый из которых отвечает за определённые механизмы адаптации экономики к условиям энергоперехода. </w:t>
      </w:r>
    </w:p>
    <w:p w14:paraId="3326B8EB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Блок макроэкономической устойчивости включает стабилизационные и контрциклические механизмы, направленные на сглаживание внешних и внутренних шоков. В его составе – инструменты фискального буферирования, элементы гибкого валютного режима, регулирование инфляционных ожиданий и поддержание условий для устойчивого инвестиционного цикла. Данный блок обеспечивает необходимый макроэкономический фундамент для развития низкоуглеродного сектора.</w:t>
      </w:r>
    </w:p>
    <w:p w14:paraId="6F90D25B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Блок энергетической трансформации отражает инструменты стимулирования развития возобновляемых источников энергии, электрификации конечного спроса, интеграции распределённой генерации и </w:t>
      </w:r>
      <w:r w:rsidRPr="006702CB">
        <w:rPr>
          <w:rFonts w:ascii="Times New Roman" w:hAnsi="Times New Roman" w:cs="Times New Roman"/>
          <w:sz w:val="28"/>
          <w:szCs w:val="28"/>
        </w:rPr>
        <w:lastRenderedPageBreak/>
        <w:t>внедрения технологий хранения энергии. Его ключевая функция состоит в снижении энергетической уязвимости и изменении структуры энергобаланса, формируя условия для устойчивой низкоуглеродной инфраструктуры.</w:t>
      </w:r>
    </w:p>
    <w:p w14:paraId="21E2D5BC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Блок повышения энергоэффективности представляет нормативно-технические и организационные меры, направленные на сокращение энергоёмкости и повышение эффективности использования ресурсов. К нему относятся стандарты энергоэффективности, программы модернизации основных фондов, меры по совершенствованию систем учёта и управлению энергопотреблением.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Pr="006702CB">
        <w:rPr>
          <w:rFonts w:ascii="Times New Roman" w:hAnsi="Times New Roman" w:cs="Times New Roman"/>
          <w:sz w:val="28"/>
          <w:szCs w:val="28"/>
        </w:rPr>
        <w:t xml:space="preserve"> блок формирует долгосрочный эффект за счёт уменьшения эксплуатационных расходов и нагрузки на энергетическую систему.</w:t>
      </w:r>
    </w:p>
    <w:p w14:paraId="162E5DB3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Блок промышленной политики и локализации ориентирован на стимулирование технологического развития: развитие НИОКР, создание технопарков и научно-технологических кластеров, поддержку производств оборудования для ВИЭ, а также на формирование разумных требований к локальному содержанию. Механизмы блока направлены на создание условий для появления новых производственных ниш и укрепления технологического суверенитета.</w:t>
      </w:r>
    </w:p>
    <w:p w14:paraId="0BCD4BAF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 xml:space="preserve">Блок международного сотрудничества и финансирования включает инструменты привлечения проектного, смешанного и климатически ориентированного финансирования, развитие трансграничных партнёрств, использование зелёных облигаций и IPP-моделей, а также гармонизацию стандартов. </w:t>
      </w:r>
      <w:r>
        <w:rPr>
          <w:rFonts w:ascii="Times New Roman" w:hAnsi="Times New Roman" w:cs="Times New Roman"/>
          <w:sz w:val="28"/>
          <w:szCs w:val="28"/>
          <w:lang w:val="ru-RU"/>
        </w:rPr>
        <w:t>Блок</w:t>
      </w:r>
      <w:r w:rsidRPr="006702CB">
        <w:rPr>
          <w:rFonts w:ascii="Times New Roman" w:hAnsi="Times New Roman" w:cs="Times New Roman"/>
          <w:sz w:val="28"/>
          <w:szCs w:val="28"/>
        </w:rPr>
        <w:t xml:space="preserve"> формирует внешние институциональные условия для расширения инвестиций и интеграции Казахстана в глобальные низкоуглеродные цепочки стоимости.</w:t>
      </w:r>
    </w:p>
    <w:p w14:paraId="5DDD4021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Критерии и параметры оценки эффективности модели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702CB">
        <w:rPr>
          <w:rFonts w:ascii="Times New Roman" w:hAnsi="Times New Roman" w:cs="Times New Roman"/>
          <w:sz w:val="28"/>
          <w:szCs w:val="28"/>
        </w:rPr>
        <w:t>Оценка результативности предложенной модели осуществляется на основе четырёх групп критериев, соответствующих теоретико-методологическим положениям, сформулированным во введении: устойчивость и гибкость, экономическая результативность, экологический эффект и социальная приемлемость. Каждая группа дополняется набором измеримых индикаторов, что позволяет проводить мониторинг выполнения целевых ориентиров.</w:t>
      </w:r>
    </w:p>
    <w:p w14:paraId="0BF21DBD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Критерии устойчивости и гибкости отражают способность экономики адаптироваться к шокам и обеспечивать предсказуемость динамики ключевых макропоказателей. Для оценки используются показатели снижения волатильности темпов роста ВВП, уменьшения колебаний обменного курса, снижения энергоёмкости ВВП и сокращения доли ископаемого топлива в структуре общего энергопотребления.</w:t>
      </w:r>
    </w:p>
    <w:p w14:paraId="626B96C7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Критерии экономической результативности учитывают вклад модели в формирование новых точек роста: увеличение объёмов «зелёных» инвестиций как доли валового накопления капитала, расширение занятости в секторах чистых технологий, рост несырьевого экспорта, включая экспорт оборудования и компонентов для ВИЭ.</w:t>
      </w:r>
    </w:p>
    <w:p w14:paraId="54843632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lastRenderedPageBreak/>
        <w:t>Критерии экологического эффекта оценивают траекторию декарбонизации: сокращение абсолютных и удельных выбросов CO₂, достижение промежуточных климатических целей, повышение эффективности использования природных ресурсов и устойчивость экологических тенденций.</w:t>
      </w:r>
    </w:p>
    <w:p w14:paraId="6F1FF733" w14:textId="77777777" w:rsidR="000E7F50" w:rsidRPr="006702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2CB">
        <w:rPr>
          <w:rFonts w:ascii="Times New Roman" w:hAnsi="Times New Roman" w:cs="Times New Roman"/>
          <w:sz w:val="28"/>
          <w:szCs w:val="28"/>
        </w:rPr>
        <w:t>Критерии социальной приемлемости отражают способность модели обеспечивать справедливость энергоперехода. Индикативный ряд включает охват программами переквалификации работников из «коричневых» отраслей, долю домохозяйств, защищённых адресными мерами поддержки, а также уровень общественной поддержки экологических реформ и готовность населения участвовать в низкоуглеродной трансформации.</w:t>
      </w:r>
    </w:p>
    <w:p w14:paraId="385B53F7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Построение эффективной управленческой архитектуры энергоперехода в ресурсозависимой экономике требует целостного представления о механизмах взаимодействия между источниками нестабильности, инструментами государственной политики и измеримыми результатами. На основе проведённых теоретико-методологических и эмпирических исследований в настоящей работе разработана многоуровневая концептуальная модель, которая интегрирует макроэкономические, энергетические, экологические и социальные параметры в единую логику управленческого воздействия. </w:t>
      </w:r>
    </w:p>
    <w:p w14:paraId="22B10F10" w14:textId="45FE017D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Представленная на рисунке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модель </w:t>
      </w:r>
      <w:r w:rsidRPr="006D2ED8">
        <w:rPr>
          <w:rFonts w:ascii="Times New Roman" w:hAnsi="Times New Roman" w:cs="Times New Roman"/>
          <w:sz w:val="28"/>
          <w:szCs w:val="28"/>
        </w:rPr>
        <w:t>отражает причинно-следственные связи, определяющие формирование адаптивной политики энергоперехода, и демонстрирует, каким образом структура исходных условий трансформируется в набор инструментальных блоков, а затем в систему критериев оценки эффективности. Такая визуализация служит основой для формализации механизма принятия решений и позволяет определить ключевые узлы вмешательства, обеспечивающие устойчивую динамику трансформации секторной и макроэкономической системы.</w:t>
      </w:r>
    </w:p>
    <w:p w14:paraId="5A9BF7CF" w14:textId="77777777" w:rsidR="00A73FCB" w:rsidRPr="006D2ED8" w:rsidRDefault="00A73FCB" w:rsidP="00A73F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Научная новизна предложенной концептуальной модели заключается в её интегративном характере и адаптации к специфике экономики Казахстана. В отличие от большинства существующих подходов, которые рассматривают энергопереход преимущественно через технологическую или климатическую призму, разработанная модель структурирует взаимодействие широкого набора факторов нестабильности, включающих макроэкономические, финансовые, ресурсные, экологические и социальные составляющие. Особенность модели состоит в том, что признаки нестабильности выступают не внешним фоном, а внутренне встраиваются в алгоритм управленческих решений, формируя тем самым </w:t>
      </w:r>
      <w:proofErr w:type="spellStart"/>
      <w:r w:rsidRPr="006D2ED8">
        <w:rPr>
          <w:rFonts w:ascii="Times New Roman" w:hAnsi="Times New Roman" w:cs="Times New Roman"/>
          <w:sz w:val="28"/>
          <w:szCs w:val="28"/>
        </w:rPr>
        <w:t>операциональную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 xml:space="preserve"> основу выбора инструментов политики.</w:t>
      </w:r>
    </w:p>
    <w:p w14:paraId="7D9B949A" w14:textId="2C7EB949" w:rsidR="000E7F50" w:rsidRDefault="00A73FCB" w:rsidP="00A73F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Важным элементом новизны является синтез международных практик, проходящий не в форме прямого переноса институциональных шаблонов, а посредством их адаптации с учётом структурных характеристик Казахстана, таких как высокая степень сырьевой зависимости, волатильность валютного курса, ограниченность кадровых ресурсов в сфере ВИЭ и наличие </w:t>
      </w:r>
      <w:r w:rsidRPr="006D2ED8">
        <w:rPr>
          <w:rFonts w:ascii="Times New Roman" w:hAnsi="Times New Roman" w:cs="Times New Roman"/>
          <w:sz w:val="28"/>
          <w:szCs w:val="28"/>
        </w:rPr>
        <w:lastRenderedPageBreak/>
        <w:t>климатических рисков аридной зоны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6D2ED8">
        <w:rPr>
          <w:rFonts w:ascii="Times New Roman" w:hAnsi="Times New Roman" w:cs="Times New Roman"/>
          <w:sz w:val="28"/>
          <w:szCs w:val="28"/>
        </w:rPr>
        <w:t>то обеспечивает релевантность модели реальным экономическим и институциональным условиям страны.</w:t>
      </w:r>
    </w:p>
    <w:p w14:paraId="5FFBD15E" w14:textId="77777777" w:rsidR="00A73FCB" w:rsidRPr="00A73FCB" w:rsidRDefault="00A73FCB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E86F6C" w14:textId="77777777" w:rsidR="000E7F50" w:rsidRPr="006D2ED8" w:rsidRDefault="000E7F50" w:rsidP="000E7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F213D" wp14:editId="77DAFD52">
            <wp:extent cx="5940425" cy="4686935"/>
            <wp:effectExtent l="0" t="0" r="3175" b="0"/>
            <wp:docPr id="2457764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68F6" w14:textId="4F3C4752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D2ED8">
        <w:rPr>
          <w:rFonts w:ascii="Times New Roman" w:hAnsi="Times New Roman" w:cs="Times New Roman"/>
          <w:sz w:val="28"/>
          <w:szCs w:val="28"/>
        </w:rPr>
        <w:t xml:space="preserve"> – Авторская концептуальная модель управленческой системы энергоперехода Республики Казахстан</w:t>
      </w:r>
    </w:p>
    <w:p w14:paraId="6D528054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1203FD" w14:textId="77777777" w:rsidR="000E7F50" w:rsidRPr="00A50828" w:rsidRDefault="000E7F50" w:rsidP="000E7F5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50828">
        <w:rPr>
          <w:rFonts w:ascii="Times New Roman" w:hAnsi="Times New Roman" w:cs="Times New Roman"/>
          <w:lang w:val="ru-RU"/>
        </w:rPr>
        <w:t>Примечание: составлено автором</w:t>
      </w:r>
    </w:p>
    <w:p w14:paraId="7B2FC2EB" w14:textId="77777777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76E0F2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Концепция предлагает чёткую связку между диагностикой нестабильности, выбором инструментов политики и системой критериев, что позволяет формировать адаптивный контур управления и корректировать траекторию реформ в зависимости от изменяющейся структуры рисков. Впервые предложена единая критериальная система оценки, включающая параметры устойчивости, экономической результативности, экологической эффективности и социальной приемлемости, что соответствует принципам устойчивого развития и современным ESG-подходам.</w:t>
      </w:r>
    </w:p>
    <w:p w14:paraId="6FA07DFA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Разработанная модель обладает рядом теоретических и практических преимуществ, предопределяющих её применимость в условиях Казахстана. Прежде всего, она характеризуется высокой степенью системности: каждый элемент структуры имеет функциональную нагрузку и находится в логическом взаимодействии с другими компонентами. Модель позволяет обеспечить согласованность между стратегическими целями энергоперехода и </w:t>
      </w:r>
      <w:r w:rsidRPr="006D2ED8">
        <w:rPr>
          <w:rFonts w:ascii="Times New Roman" w:hAnsi="Times New Roman" w:cs="Times New Roman"/>
          <w:sz w:val="28"/>
          <w:szCs w:val="28"/>
        </w:rPr>
        <w:lastRenderedPageBreak/>
        <w:t>конкретными инструментами их достижения, избегая фрагментарности, характерной для многих национальных программ.</w:t>
      </w:r>
    </w:p>
    <w:p w14:paraId="7B0DC665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Значимым преимуществом является адаптивность конструкции к внешним и внутренним шокам. Встраивание индикаторов нестабильности в архитектуру политики позволяет минимизировать влияние сырьевой и макрофинансовой волатильности и заранее учитывать ограничения, связанные с доступностью ресурсов, технологической готовностью и социальной чувствительностью реформ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6D2ED8">
        <w:rPr>
          <w:rFonts w:ascii="Times New Roman" w:hAnsi="Times New Roman" w:cs="Times New Roman"/>
          <w:sz w:val="28"/>
          <w:szCs w:val="28"/>
        </w:rPr>
        <w:t>делает модель применимой в условиях высокой неопределённости, характерной для казахстанской экономики.</w:t>
      </w:r>
    </w:p>
    <w:p w14:paraId="5A810428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 xml:space="preserve">Практическая ценность модели проявляется в возможности её количественной </w:t>
      </w:r>
      <w:proofErr w:type="spellStart"/>
      <w:r w:rsidRPr="006D2ED8">
        <w:rPr>
          <w:rFonts w:ascii="Times New Roman" w:hAnsi="Times New Roman" w:cs="Times New Roman"/>
          <w:sz w:val="28"/>
          <w:szCs w:val="28"/>
        </w:rPr>
        <w:t>операционализации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>. Чётко сформулированные критерии эффективности и сопутствующие KPI позволяют проводить мониторинг, оценку прогресса и корректировку политики. Наличие инструментальных блоков делает возможным модульное применение подхода, когда отдельные элементы могут быть имплементированы поэтапно или в пилотных отраслях.</w:t>
      </w:r>
    </w:p>
    <w:p w14:paraId="228948ED" w14:textId="1496ED61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Кроме того, включение социальных параметров обеспечивает соответствие модели принципам справедливого перехода, снижает вероятность социальной напряжённости и повышает уровень общественной поддержки экологической политики, что является критически важным для стран с высокой долей занятости в традиционных секторах.</w:t>
      </w:r>
    </w:p>
    <w:p w14:paraId="07BF7023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В отличие от прежней экспортно-сырьевой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модели, новая модель предполагает диверсификацию источников экономического роста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за счет развития «зелёных» отраслей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D2ED8">
        <w:rPr>
          <w:rFonts w:ascii="Times New Roman" w:hAnsi="Times New Roman" w:cs="Times New Roman"/>
          <w:sz w:val="28"/>
          <w:szCs w:val="28"/>
        </w:rPr>
        <w:t xml:space="preserve"> Цель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6D2ED8">
        <w:rPr>
          <w:rFonts w:ascii="Times New Roman" w:hAnsi="Times New Roman" w:cs="Times New Roman"/>
          <w:sz w:val="28"/>
          <w:szCs w:val="28"/>
        </w:rPr>
        <w:t xml:space="preserve"> разорвать цикл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зависимости от цен на сырьё, сделав экономику более устойчивой к внешним шокам.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Принцип устойчивости также означает создание буферных механизмов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D2ED8">
        <w:rPr>
          <w:rFonts w:ascii="Times New Roman" w:hAnsi="Times New Roman" w:cs="Times New Roman"/>
          <w:sz w:val="28"/>
          <w:szCs w:val="28"/>
        </w:rPr>
        <w:t>от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Стабилизационного фонда для цен на углеводороды до резервов электроэнергии на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случай перебоев.</w:t>
      </w:r>
    </w:p>
    <w:p w14:paraId="563D9F7E" w14:textId="2C8256B0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Казахстанская модель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ориентирована на активное заимствование и собственное развитие чистых технологий.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Предполагается рост инвестиций в НИОКР в сфере ВИЭ, водородной энергетики, систем хранения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 xml:space="preserve">энергии.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spellStart"/>
      <w:r w:rsidRPr="006D2ED8">
        <w:rPr>
          <w:rFonts w:ascii="Times New Roman" w:hAnsi="Times New Roman" w:cs="Times New Roman"/>
          <w:sz w:val="28"/>
          <w:szCs w:val="28"/>
        </w:rPr>
        <w:t>окомотивом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 xml:space="preserve"> станут импортированные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технологии, но с постепенным наращиванием местной экспертизы. Создание технопарков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зеленых технологий и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 xml:space="preserve">поддержка стартапов в сфере </w:t>
      </w:r>
      <w:proofErr w:type="spellStart"/>
      <w:r w:rsidRPr="006D2ED8">
        <w:rPr>
          <w:rFonts w:ascii="Times New Roman" w:hAnsi="Times New Roman" w:cs="Times New Roman"/>
          <w:sz w:val="28"/>
          <w:szCs w:val="28"/>
        </w:rPr>
        <w:t>ClimateTech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являются</w:t>
      </w:r>
      <w:r w:rsidRPr="006D2ED8">
        <w:rPr>
          <w:rFonts w:ascii="Times New Roman" w:hAnsi="Times New Roman" w:cs="Times New Roman"/>
          <w:sz w:val="28"/>
          <w:szCs w:val="28"/>
        </w:rPr>
        <w:t xml:space="preserve"> важны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6D2ED8">
        <w:rPr>
          <w:rFonts w:ascii="Times New Roman" w:hAnsi="Times New Roman" w:cs="Times New Roman"/>
          <w:sz w:val="28"/>
          <w:szCs w:val="28"/>
        </w:rPr>
        <w:t xml:space="preserve"> элемент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 xml:space="preserve"> модели.</w:t>
      </w:r>
    </w:p>
    <w:p w14:paraId="151C8822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Подобно тому, как в Южной Корее стратегия «Green Growth» была поддержана на высшем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политическом уровне, в Казахстане успех модели зависит от политической воли.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Государство должно задавать долгосрочные ориентиры и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вкладываться в инфраструктуру. Однако непосредственную реализацию проектов лучше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обеспечить через рыночные механизмы: конкуренцию инвесторов, публично-частное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партнерство, стимулирование предпринимательства. То есть роль государства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6D2ED8">
        <w:rPr>
          <w:rFonts w:ascii="Times New Roman" w:hAnsi="Times New Roman" w:cs="Times New Roman"/>
          <w:sz w:val="28"/>
          <w:szCs w:val="28"/>
        </w:rPr>
        <w:t>создать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условия и подтолкнуть бизнес, а не заменять его. Данный баланс учитывает как китайский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опыт сильного государственного планирования, так и рыночные подходы, характерные для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западных стран.</w:t>
      </w:r>
    </w:p>
    <w:p w14:paraId="029F2E49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lastRenderedPageBreak/>
        <w:t>Принцип социальной инклюзивности и справедливого перехода. Модель предполагает,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что выгоды зелёной экономики должны быть распределены широко среди населения.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 xml:space="preserve">Особое внимание уделяется концепции </w:t>
      </w:r>
      <w:proofErr w:type="spellStart"/>
      <w:r w:rsidRPr="006D2ED8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ED8">
        <w:rPr>
          <w:rFonts w:ascii="Times New Roman" w:hAnsi="Times New Roman" w:cs="Times New Roman"/>
          <w:sz w:val="28"/>
          <w:szCs w:val="28"/>
        </w:rPr>
        <w:t>Transition</w:t>
      </w:r>
      <w:proofErr w:type="spellEnd"/>
      <w:r w:rsidRPr="006D2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6D2ED8">
        <w:rPr>
          <w:rFonts w:ascii="Times New Roman" w:hAnsi="Times New Roman" w:cs="Times New Roman"/>
          <w:sz w:val="28"/>
          <w:szCs w:val="28"/>
        </w:rPr>
        <w:t xml:space="preserve"> справедливого перехода для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работников угольной и нефтяной отраслей, которые могут пострадать от сокращения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ископаемого сектора. Запланированы программы переобучения, создание новых рабочих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мест в «зелёных» производствах в тех же регионах, где происходит вывод старых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мощностей. Цель</w:t>
      </w:r>
      <w:r>
        <w:rPr>
          <w:rFonts w:ascii="Times New Roman" w:hAnsi="Times New Roman" w:cs="Times New Roman"/>
          <w:sz w:val="28"/>
          <w:szCs w:val="28"/>
          <w:lang w:val="ru-RU"/>
        </w:rPr>
        <w:t>ю является</w:t>
      </w:r>
      <w:r w:rsidRPr="006D2ED8">
        <w:rPr>
          <w:rFonts w:ascii="Times New Roman" w:hAnsi="Times New Roman" w:cs="Times New Roman"/>
          <w:sz w:val="28"/>
          <w:szCs w:val="28"/>
        </w:rPr>
        <w:t xml:space="preserve"> избежать социального напряжения и получить поддержку общества для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экологических реформ.</w:t>
      </w:r>
    </w:p>
    <w:p w14:paraId="2FBF6742" w14:textId="77777777" w:rsidR="000E7F50" w:rsidRPr="006D2ED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ED8">
        <w:rPr>
          <w:rFonts w:ascii="Times New Roman" w:hAnsi="Times New Roman" w:cs="Times New Roman"/>
          <w:sz w:val="28"/>
          <w:szCs w:val="28"/>
        </w:rPr>
        <w:t>Принцип регионального лидерства и кооперации. Казахстанская модель рассматривает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зелёную экономику как возможность усилить позиции страны в Центральноазиатском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регионе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6D2ED8">
        <w:rPr>
          <w:rFonts w:ascii="Times New Roman" w:hAnsi="Times New Roman" w:cs="Times New Roman"/>
          <w:sz w:val="28"/>
          <w:szCs w:val="28"/>
        </w:rPr>
        <w:t>то означает активное участие в региональных экологических инициативах,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обмене возобновляемой энергией с соседями, экспорт собственного опыта в другие страны.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Такая внешняя направленность потребует координации с международными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организациями и партнёрами. Но в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долгосрочной перспективе укрепит экономические связи и привлечёт дополнительные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>ресурсы для реализации модели.</w:t>
      </w:r>
    </w:p>
    <w:p w14:paraId="5CE9266B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2ED8">
        <w:rPr>
          <w:rFonts w:ascii="Times New Roman" w:hAnsi="Times New Roman" w:cs="Times New Roman"/>
          <w:sz w:val="28"/>
          <w:szCs w:val="28"/>
        </w:rPr>
        <w:t>На основе проведённого анализа</w:t>
      </w:r>
      <w:r w:rsidRPr="006D2ED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6D2ED8">
        <w:rPr>
          <w:rFonts w:ascii="Times New Roman" w:hAnsi="Times New Roman" w:cs="Times New Roman"/>
          <w:sz w:val="28"/>
          <w:szCs w:val="28"/>
        </w:rPr>
        <w:t xml:space="preserve">можно подчеркнуть несколько отличительных черт: </w:t>
      </w:r>
    </w:p>
    <w:p w14:paraId="7773C6BC" w14:textId="77777777" w:rsidR="000E7F50" w:rsidRPr="000E2717" w:rsidRDefault="000E7F50" w:rsidP="000E7F50">
      <w:pPr>
        <w:pStyle w:val="a7"/>
        <w:numPr>
          <w:ilvl w:val="0"/>
          <w:numId w:val="5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Фактор нестабильности как ключевой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драйвер. Если в Республике Корея акцент делался на поиск нового роста после кризиса 2008 г., а в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Китае – на решение накопленных экологических проблем мегаполисов, то Казахстан делает упор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на повышение устойчивости к волатильности (в ценах на нефть, в глобальной конъюнктуре).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Зелёные инвестиции рассматриваются как «подушка безопасности» от очередных циклов кризиса, что не столь явно проявлено в стратегиях Китая/Кореи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0828">
        <w:rPr>
          <w:rFonts w:ascii="Times New Roman" w:hAnsi="Times New Roman" w:cs="Times New Roman"/>
          <w:sz w:val="28"/>
          <w:szCs w:val="28"/>
          <w:lang w:val="ru-RU"/>
        </w:rPr>
        <w:t>[146]</w:t>
      </w:r>
      <w:r w:rsidRPr="000E27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9C21C5" w14:textId="77777777" w:rsidR="000E7F50" w:rsidRPr="000E2717" w:rsidRDefault="000E7F50" w:rsidP="000E7F50">
      <w:pPr>
        <w:pStyle w:val="a7"/>
        <w:numPr>
          <w:ilvl w:val="0"/>
          <w:numId w:val="5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Ресурсная база. В отличие от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Китая и Кореи, бедных традиционными энергетическими ресурсами, Казахстан обладает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большими запасами нефти, угля, урана</w:t>
      </w:r>
      <w:r>
        <w:rPr>
          <w:rFonts w:ascii="Times New Roman" w:hAnsi="Times New Roman" w:cs="Times New Roman"/>
          <w:sz w:val="28"/>
          <w:szCs w:val="28"/>
          <w:lang w:val="ru-RU"/>
        </w:rPr>
        <w:t>, ч</w:t>
      </w:r>
      <w:r w:rsidRPr="000E2717">
        <w:rPr>
          <w:rFonts w:ascii="Times New Roman" w:hAnsi="Times New Roman" w:cs="Times New Roman"/>
          <w:sz w:val="28"/>
          <w:szCs w:val="28"/>
        </w:rPr>
        <w:t>то двояко влияет на модель: с одной стороны, есть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 xml:space="preserve">финансовые возможности для инвестирования в переход, с другой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0E2717">
        <w:rPr>
          <w:rFonts w:ascii="Times New Roman" w:hAnsi="Times New Roman" w:cs="Times New Roman"/>
          <w:sz w:val="28"/>
          <w:szCs w:val="28"/>
        </w:rPr>
        <w:t>сильное лобби традиционных отраслей. Модель учитывает эту особенность, предполагая, что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часть доходов от экспорта нефти/газа направляется в «зеленые» проекты, тем самым конвертируя текущее ресурсное богатство в основу будущей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устойчивой экономики</w:t>
      </w:r>
      <w:r>
        <w:rPr>
          <w:rFonts w:ascii="Times New Roman" w:hAnsi="Times New Roman" w:cs="Times New Roman"/>
          <w:sz w:val="28"/>
          <w:szCs w:val="28"/>
        </w:rPr>
        <w:t xml:space="preserve"> [147]</w:t>
      </w:r>
      <w:r w:rsidRPr="000E2717">
        <w:rPr>
          <w:rFonts w:ascii="Times New Roman" w:hAnsi="Times New Roman" w:cs="Times New Roman"/>
          <w:sz w:val="28"/>
          <w:szCs w:val="28"/>
        </w:rPr>
        <w:t>.</w:t>
      </w:r>
    </w:p>
    <w:p w14:paraId="13C845A1" w14:textId="6D2173CE" w:rsidR="000E7F50" w:rsidRPr="000E2717" w:rsidRDefault="000E7F50" w:rsidP="000E7F50">
      <w:pPr>
        <w:pStyle w:val="a7"/>
        <w:numPr>
          <w:ilvl w:val="0"/>
          <w:numId w:val="5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Международная зависимость. Казахстан, будучи относительно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 xml:space="preserve">небольшой экономикой, сильно интегрирован в мировой рынок.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 xml:space="preserve">Стране </w:t>
      </w:r>
      <w:r w:rsidRPr="000E2717">
        <w:rPr>
          <w:rFonts w:ascii="Times New Roman" w:hAnsi="Times New Roman" w:cs="Times New Roman"/>
          <w:sz w:val="28"/>
          <w:szCs w:val="28"/>
        </w:rPr>
        <w:t xml:space="preserve">нецелесообразно повторять путь полностью самодостаточного развития зелёных технологий, как сделал Китай. 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>В связи с чем</w:t>
      </w:r>
      <w:r w:rsidRPr="000E2717">
        <w:rPr>
          <w:rFonts w:ascii="Times New Roman" w:hAnsi="Times New Roman" w:cs="Times New Roman"/>
          <w:sz w:val="28"/>
          <w:szCs w:val="28"/>
        </w:rPr>
        <w:t xml:space="preserve"> модель предусматривает широкое международное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сотрудничество на всех этапах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E2717">
        <w:rPr>
          <w:rFonts w:ascii="Times New Roman" w:hAnsi="Times New Roman" w:cs="Times New Roman"/>
          <w:sz w:val="28"/>
          <w:szCs w:val="28"/>
        </w:rPr>
        <w:t>от заимствования технологий до совместного финансирования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проектов. Например, достижение целевого уровня ВИЭ может происходить через привлечение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иностранных IPP в Китае ставка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делалась на собственных крупных игроков, а Казахстан готов открывать рынок для зарубежных</w:t>
      </w:r>
      <w:r w:rsidRPr="000E2717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E2717">
        <w:rPr>
          <w:rFonts w:ascii="Times New Roman" w:hAnsi="Times New Roman" w:cs="Times New Roman"/>
          <w:sz w:val="28"/>
          <w:szCs w:val="28"/>
        </w:rPr>
        <w:t>компаний, предоставляя им гарантии и стабильные условия</w:t>
      </w:r>
      <w:r>
        <w:rPr>
          <w:rFonts w:ascii="Times New Roman" w:hAnsi="Times New Roman" w:cs="Times New Roman"/>
          <w:sz w:val="28"/>
          <w:szCs w:val="28"/>
        </w:rPr>
        <w:t xml:space="preserve"> [148]</w:t>
      </w:r>
      <w:r w:rsidRPr="000E2717">
        <w:rPr>
          <w:rFonts w:ascii="Times New Roman" w:hAnsi="Times New Roman" w:cs="Times New Roman"/>
          <w:sz w:val="28"/>
          <w:szCs w:val="28"/>
        </w:rPr>
        <w:t>.</w:t>
      </w:r>
    </w:p>
    <w:p w14:paraId="0523FAC6" w14:textId="7573B2F3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lastRenderedPageBreak/>
        <w:t>Фундаментальные принципы казахстанской модели зелёного роста формируют концептуальную основу предлагаемой управленческой архитектуры и определяют стратегические ориентиры энергетической и экономической трансформации. В их числе следует выделить устойчивость, инновационность, государственно-частное партнёрство, социальную справедливость и институциональную открытость. Указанные принципы не являются абстрактными декларациями</w:t>
      </w:r>
      <w:r w:rsidR="00D700FC">
        <w:rPr>
          <w:rFonts w:ascii="Times New Roman" w:hAnsi="Times New Roman" w:cs="Times New Roman"/>
          <w:sz w:val="28"/>
          <w:szCs w:val="28"/>
          <w:lang w:val="ru-RU"/>
        </w:rPr>
        <w:t xml:space="preserve">, напротив, </w:t>
      </w:r>
      <w:r w:rsidRPr="000E2717">
        <w:rPr>
          <w:rFonts w:ascii="Times New Roman" w:hAnsi="Times New Roman" w:cs="Times New Roman"/>
          <w:sz w:val="28"/>
          <w:szCs w:val="28"/>
        </w:rPr>
        <w:t>конкретизируются в наборе приоритетных направлений зелёного роста, которые в совокупности образуют содержательное ядро разработанной модели и обеспечивают её функциональную завершённость.</w:t>
      </w:r>
    </w:p>
    <w:p w14:paraId="505823C5" w14:textId="13A3D36B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Одним из ключевых направлений выступает декарбонизация энергетического сектора, предполагающая последовательное снижение роли угольной генерации и ускоренное внедрение газовых и возобновляемых источников энергии. В долгосрочной перспективе модель ориентирована на достижение доли ВИЭ в энергобалансе на уровне 50% к 2050 году, что соответствует международным климатическим обязательствам Республики Казахстан. Важным элементом в контексте становится развитие распределённой генерации, требующее создания благоприятных регуляторных и инфраструктурных условий для частных и корпоративных производителей энергии.</w:t>
      </w:r>
    </w:p>
    <w:p w14:paraId="60610BFD" w14:textId="77777777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Следующее направление связано с формированием «зелёной» промышленности и внедрением принципов циркулярной экономики. Подход интегрирует технологическое обновление, цифровизацию производственных процессов и стимулирование вторичной переработки ресурсов, что обеспечивает соответствие промышленного комплекса современным международным экологическим стандартам.</w:t>
      </w:r>
    </w:p>
    <w:p w14:paraId="0615D76F" w14:textId="77777777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Существенное место в модели занимает повышение энергоэффективности и развитие устойчивой урбанистической среды. Приоритетными мерами выступают модернизация энергетических характеристик зданий, снижение системных потерь в коммунальном хозяйстве, а также развитие городского транспорта на электротяге. Расширение инфраструктуры для электромобилей и повышение качества транспортной экосистемы рассматриваются как элементы комплексной политики низкоуглеродной урбанизации.</w:t>
      </w:r>
    </w:p>
    <w:p w14:paraId="0EF66DBB" w14:textId="77777777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Отдельный блок направлений связан с развитием человеческого капитала, который является ключевым элементом успешного энергоперехода. Формирование кадровой базы предполагает модернизацию образовательных программ, расширение международных стажировок, развитие прикладных НИОКР и систематическую популяризацию экологически ориентированного мышления. Вовлечение молодёжи в «зелёные» проекты усиливает социальную устойчивость энергетической трансформации.</w:t>
      </w:r>
    </w:p>
    <w:p w14:paraId="1EDC5F73" w14:textId="77777777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0E2717">
        <w:rPr>
          <w:rFonts w:ascii="Times New Roman" w:hAnsi="Times New Roman" w:cs="Times New Roman"/>
          <w:sz w:val="28"/>
          <w:szCs w:val="28"/>
        </w:rPr>
        <w:t>ажнейшим</w:t>
      </w:r>
      <w:proofErr w:type="spellEnd"/>
      <w:r w:rsidRPr="000E2717">
        <w:rPr>
          <w:rFonts w:ascii="Times New Roman" w:hAnsi="Times New Roman" w:cs="Times New Roman"/>
          <w:sz w:val="28"/>
          <w:szCs w:val="28"/>
        </w:rPr>
        <w:t xml:space="preserve"> элементом модели выступают финансовые инструменты зелёного роста. 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Start"/>
      <w:r w:rsidRPr="000E2717">
        <w:rPr>
          <w:rFonts w:ascii="Times New Roman" w:hAnsi="Times New Roman" w:cs="Times New Roman"/>
          <w:sz w:val="28"/>
          <w:szCs w:val="28"/>
        </w:rPr>
        <w:t>дро</w:t>
      </w:r>
      <w:proofErr w:type="spellEnd"/>
      <w:r w:rsidRPr="000E2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финансовых инструментов </w:t>
      </w:r>
      <w:r w:rsidRPr="000E2717">
        <w:rPr>
          <w:rFonts w:ascii="Times New Roman" w:hAnsi="Times New Roman" w:cs="Times New Roman"/>
          <w:sz w:val="28"/>
          <w:szCs w:val="28"/>
        </w:rPr>
        <w:t xml:space="preserve">составляют государственные и корпоративные зелёные облигации, позволяющие аккумулировать </w:t>
      </w:r>
      <w:r w:rsidRPr="000E2717">
        <w:rPr>
          <w:rFonts w:ascii="Times New Roman" w:hAnsi="Times New Roman" w:cs="Times New Roman"/>
          <w:sz w:val="28"/>
          <w:szCs w:val="28"/>
        </w:rPr>
        <w:lastRenderedPageBreak/>
        <w:t xml:space="preserve">долгосрочный капитал для инвестиционных проектов в области ВИЭ, энергоэффективности и экологически чистых технологий. Перспективным направлением является формирование региональной платформы торговли углеродными единицами, что позволит расширить рынок климатических финансов и интегрировать Казахстан в трансграничные механизмы декарбонизации. Дополнительный стимул формируется через «зелёные рейтинги» предприятий, которые могут быть </w:t>
      </w:r>
      <w:proofErr w:type="spellStart"/>
      <w:r w:rsidRPr="000E2717">
        <w:rPr>
          <w:rFonts w:ascii="Times New Roman" w:hAnsi="Times New Roman" w:cs="Times New Roman"/>
          <w:sz w:val="28"/>
          <w:szCs w:val="28"/>
        </w:rPr>
        <w:t>институционализированы</w:t>
      </w:r>
      <w:proofErr w:type="spellEnd"/>
      <w:r w:rsidRPr="000E2717">
        <w:rPr>
          <w:rFonts w:ascii="Times New Roman" w:hAnsi="Times New Roman" w:cs="Times New Roman"/>
          <w:sz w:val="28"/>
          <w:szCs w:val="28"/>
        </w:rPr>
        <w:t xml:space="preserve"> как критерий доступа к льготному кредитованию, инвестиционным преференциям и государственным закупкам</w:t>
      </w:r>
      <w:r>
        <w:rPr>
          <w:rFonts w:ascii="Times New Roman" w:hAnsi="Times New Roman" w:cs="Times New Roman"/>
          <w:sz w:val="28"/>
          <w:szCs w:val="28"/>
        </w:rPr>
        <w:t xml:space="preserve"> [149]</w:t>
      </w:r>
      <w:r w:rsidRPr="000E2717">
        <w:rPr>
          <w:rFonts w:ascii="Times New Roman" w:hAnsi="Times New Roman" w:cs="Times New Roman"/>
          <w:sz w:val="28"/>
          <w:szCs w:val="28"/>
        </w:rPr>
        <w:t>.</w:t>
      </w:r>
    </w:p>
    <w:p w14:paraId="07468151" w14:textId="77777777" w:rsidR="000E7F50" w:rsidRPr="000E271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717">
        <w:rPr>
          <w:rFonts w:ascii="Times New Roman" w:hAnsi="Times New Roman" w:cs="Times New Roman"/>
          <w:sz w:val="28"/>
          <w:szCs w:val="28"/>
        </w:rPr>
        <w:t>В совокупности указанные направления образуют системный контур казахстанской модели зелёного роста и функционально интегрированы в структуру разработанной управленческой модели. Их реализация обеспечивает согласованность между декарбонизацией, экономическим развитием и социальной устойчивостью, что является ключевым условием успешного энергоперехода в национальном контексте.</w:t>
      </w:r>
    </w:p>
    <w:p w14:paraId="36DBBF4B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0838">
        <w:rPr>
          <w:rFonts w:ascii="Times New Roman" w:hAnsi="Times New Roman" w:cs="Times New Roman"/>
          <w:sz w:val="28"/>
          <w:szCs w:val="28"/>
        </w:rPr>
        <w:t xml:space="preserve">Предложенная управленческая модель была дополнительно верифицирована посредством экспертного обсуждения с представителями ведущих организаций энергетического сектора, включая компанию </w:t>
      </w:r>
      <w:r>
        <w:rPr>
          <w:rFonts w:ascii="Times New Roman" w:hAnsi="Times New Roman" w:cs="Times New Roman"/>
          <w:sz w:val="28"/>
          <w:szCs w:val="28"/>
          <w:lang w:val="ru-RU"/>
        </w:rPr>
        <w:t>Сайман</w:t>
      </w:r>
      <w:r w:rsidRPr="00B50838">
        <w:rPr>
          <w:rFonts w:ascii="Times New Roman" w:hAnsi="Times New Roman" w:cs="Times New Roman"/>
          <w:sz w:val="28"/>
          <w:szCs w:val="28"/>
        </w:rPr>
        <w:t>, являющуюся одним из ключевых технологических лидеров в сфере энергетической инфраструктуры и цифровизации учёта энергоресурсов в Республике Казахстан.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Start"/>
      <w:r w:rsidRPr="00B50838">
        <w:rPr>
          <w:rFonts w:ascii="Times New Roman" w:hAnsi="Times New Roman" w:cs="Times New Roman"/>
          <w:sz w:val="28"/>
          <w:szCs w:val="28"/>
        </w:rPr>
        <w:t>одель</w:t>
      </w:r>
      <w:proofErr w:type="spellEnd"/>
      <w:r w:rsidRPr="00B50838">
        <w:rPr>
          <w:rFonts w:ascii="Times New Roman" w:hAnsi="Times New Roman" w:cs="Times New Roman"/>
          <w:sz w:val="28"/>
          <w:szCs w:val="28"/>
        </w:rPr>
        <w:t xml:space="preserve"> опирается не только на теоретико-методологическую базу исследования, но и на оценку её применимости со стороны профильных специалистов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чт</w:t>
      </w:r>
      <w:proofErr w:type="spellEnd"/>
      <w:r w:rsidRPr="00B50838">
        <w:rPr>
          <w:rFonts w:ascii="Times New Roman" w:hAnsi="Times New Roman" w:cs="Times New Roman"/>
          <w:sz w:val="28"/>
          <w:szCs w:val="28"/>
        </w:rPr>
        <w:t xml:space="preserve">о усиливает её валидность, подчёркивает практическую направленность и повышает ценность для разработки стратегических документов в области зелёного роста. </w:t>
      </w:r>
    </w:p>
    <w:p w14:paraId="274662EF" w14:textId="77777777" w:rsidR="000E7F50" w:rsidRPr="00AF55A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5A8">
        <w:rPr>
          <w:rFonts w:ascii="Times New Roman" w:hAnsi="Times New Roman" w:cs="Times New Roman"/>
          <w:sz w:val="28"/>
          <w:szCs w:val="28"/>
        </w:rPr>
        <w:t>Адаптация модели к условиям конкретной компании предполагает трансформацию теоретических положений в набор управленческих инструментов, регламентов и программных действий, способных обеспечить реализацию принципов зелёного роста в повседневной деятельности корпоративных структур.</w:t>
      </w:r>
    </w:p>
    <w:p w14:paraId="524E37A0" w14:textId="77777777" w:rsidR="000E7F50" w:rsidRPr="00AF55A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5A8">
        <w:rPr>
          <w:rFonts w:ascii="Times New Roman" w:hAnsi="Times New Roman" w:cs="Times New Roman"/>
          <w:sz w:val="28"/>
          <w:szCs w:val="28"/>
        </w:rPr>
        <w:t>Корпоративная адаптация строится на трёх ключевых направлениях: формирование программного пакета внедрения, разработка системы мер поддержки, а также определение организационных шагов, обеспечивающих институциональную устойчивость модели. Элементы позволяют синхронизировать стратегические ориентиры с операционными процессами, встроить экологическую и энергетическую трансформацию в систему корпоративного управления и создать внутреннюю среду, способствующую инновационной активности.</w:t>
      </w:r>
    </w:p>
    <w:p w14:paraId="1DB8D5EF" w14:textId="77777777" w:rsidR="000E7F50" w:rsidRPr="00AF55A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5A8">
        <w:rPr>
          <w:rFonts w:ascii="Times New Roman" w:hAnsi="Times New Roman" w:cs="Times New Roman"/>
          <w:sz w:val="28"/>
          <w:szCs w:val="28"/>
        </w:rPr>
        <w:t xml:space="preserve">Программный блок внедрения модели включает формализацию корпоративной стратегии устойчивого развития, разработку дорожной карты перехода к низкоуглеродной траектории и план мероприятий по модернизации инфраструктуры, цифровизации энергосистемы и повышению энергоэффективности. В рамках программы определяются цели, показатели эффективности, сроки и ответственные исполнители. Особое место занимает </w:t>
      </w:r>
      <w:r w:rsidRPr="00AF55A8">
        <w:rPr>
          <w:rFonts w:ascii="Times New Roman" w:hAnsi="Times New Roman" w:cs="Times New Roman"/>
          <w:sz w:val="28"/>
          <w:szCs w:val="28"/>
        </w:rPr>
        <w:lastRenderedPageBreak/>
        <w:t>создание корпоративной системы мониторинга эффективности производственных процессов и состояния ресурсной базы. Такой подход позволяет интегрировать модель зелёного роста в систему стратегического планирования компании, обеспечивая согласование долгосрочных целей с текущими решениями.</w:t>
      </w:r>
    </w:p>
    <w:p w14:paraId="56F3FF60" w14:textId="77777777" w:rsidR="000E7F50" w:rsidRPr="00AF55A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5A8">
        <w:rPr>
          <w:rFonts w:ascii="Times New Roman" w:hAnsi="Times New Roman" w:cs="Times New Roman"/>
          <w:sz w:val="28"/>
          <w:szCs w:val="28"/>
        </w:rPr>
        <w:t>Меры поддержки направлены на обеспечение экономической, технологической и кадровой устойчивости переходного процесса. К ним относятся стимулирование внутренних НИОКР, формирование корпоративных фондов финансирования низкоуглеродных проектов, участие в государственных и международных программах «зелёного» финансирования, расширение партнёрств в области технологий ВИЭ и цифровой энергетики, а также создание условий для трансфера технологий. Важными элементами являются развитие компетенций персонала, адаптация программ обучения под потребности проектов ВИЭ и энергоэффективности, формирование внутреннего кадрового резерва, а также укрепление корпоративной культуры, основанной на принципах экологической ответственности и инновационной деятельности.</w:t>
      </w:r>
    </w:p>
    <w:p w14:paraId="6998DFA3" w14:textId="77777777" w:rsidR="000E7F50" w:rsidRPr="00AF55A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5A8">
        <w:rPr>
          <w:rFonts w:ascii="Times New Roman" w:hAnsi="Times New Roman" w:cs="Times New Roman"/>
          <w:sz w:val="28"/>
          <w:szCs w:val="28"/>
        </w:rPr>
        <w:t>Организационные шаги представляют собой последовательность изменений в управленческой архитектуре компании. Сюда относится создание специализированных подразделений или проектных офисов по устойчивому развитию, распределение функций между структурными единицами, внедрение новых регламентов ESG-отчётности и корпоративного риск-менеджмента, интеграция цифровых платформ управления энергией и производственными процессами, а также институционализация механизмов обратной связи с заинтересованными сторонами. Организационная адаптация предполагает формирование системы корпоративных KPI, увязанных с энергетической эффективностью, экологической результативностью и инновационной активностью, что обеспечивает трансляцию целей модели в мотивацию персонала.</w:t>
      </w:r>
    </w:p>
    <w:p w14:paraId="28C86149" w14:textId="77777777" w:rsidR="000E7F50" w:rsidRPr="00AF55A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5A8">
        <w:rPr>
          <w:rFonts w:ascii="Times New Roman" w:hAnsi="Times New Roman" w:cs="Times New Roman"/>
          <w:sz w:val="28"/>
          <w:szCs w:val="28"/>
        </w:rPr>
        <w:t xml:space="preserve">Таким образом, адаптация модели зелёного роста на корпоративном уровне обеспечивает переход от макроэкономической концепции к </w:t>
      </w:r>
      <w:proofErr w:type="spellStart"/>
      <w:r w:rsidRPr="00AF55A8">
        <w:rPr>
          <w:rFonts w:ascii="Times New Roman" w:hAnsi="Times New Roman" w:cs="Times New Roman"/>
          <w:sz w:val="28"/>
          <w:szCs w:val="28"/>
        </w:rPr>
        <w:t>операционализированной</w:t>
      </w:r>
      <w:proofErr w:type="spellEnd"/>
      <w:r w:rsidRPr="00AF55A8">
        <w:rPr>
          <w:rFonts w:ascii="Times New Roman" w:hAnsi="Times New Roman" w:cs="Times New Roman"/>
          <w:sz w:val="28"/>
          <w:szCs w:val="28"/>
        </w:rPr>
        <w:t xml:space="preserve"> управленческой практике. </w:t>
      </w:r>
      <w:r>
        <w:rPr>
          <w:rFonts w:ascii="Times New Roman" w:hAnsi="Times New Roman" w:cs="Times New Roman"/>
          <w:sz w:val="28"/>
          <w:szCs w:val="28"/>
          <w:lang w:val="ru-RU"/>
        </w:rPr>
        <w:t>Предложенная модель</w:t>
      </w:r>
      <w:r w:rsidRPr="00AF55A8">
        <w:rPr>
          <w:rFonts w:ascii="Times New Roman" w:hAnsi="Times New Roman" w:cs="Times New Roman"/>
          <w:sz w:val="28"/>
          <w:szCs w:val="28"/>
        </w:rPr>
        <w:t xml:space="preserve"> позволяет интегрировать принципы устойчивости в стратегические и операционные процессы компании, повышает её способность реагировать на внешние шоки, расширяет доступ к инновационным ресурсам и обеспечивает формирование долгосрочных конкурентных преимуществ в условиях глобального энергоперехода.</w:t>
      </w:r>
    </w:p>
    <w:p w14:paraId="2A48E4AB" w14:textId="77777777" w:rsidR="000E7F50" w:rsidRPr="00B5083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7941F9" w14:textId="77777777" w:rsidR="000E7F50" w:rsidRPr="00E91041" w:rsidRDefault="000E7F50" w:rsidP="00A73FCB">
      <w:pPr>
        <w:pStyle w:val="1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bookmarkStart w:id="30" w:name="_Toc215079201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3.3 </w:t>
      </w:r>
      <w:r w:rsidRPr="00E91041">
        <w:rPr>
          <w:rFonts w:ascii="Times New Roman" w:hAnsi="Times New Roman" w:cs="Times New Roman"/>
          <w:b/>
          <w:bCs/>
          <w:color w:val="auto"/>
          <w:sz w:val="28"/>
          <w:szCs w:val="28"/>
        </w:rPr>
        <w:t>Финансово-экономическая оценка предложенных мер</w:t>
      </w:r>
      <w:bookmarkEnd w:id="30"/>
    </w:p>
    <w:p w14:paraId="4BE4BCBB" w14:textId="77777777" w:rsidR="000E7F50" w:rsidRPr="0011664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64F">
        <w:rPr>
          <w:rFonts w:ascii="Times New Roman" w:hAnsi="Times New Roman" w:cs="Times New Roman"/>
          <w:sz w:val="28"/>
          <w:szCs w:val="28"/>
        </w:rPr>
        <w:t xml:space="preserve">Финансово-экономическая оценка пакета управленческих мер является ключевым элементом обоснования эффективности предложенной модели зелёного роста. В условиях ресурсозависимой экономики Казахстана, где переход к низкоуглеродной траектории требует значительных инвестиций, </w:t>
      </w:r>
      <w:r w:rsidRPr="0011664F">
        <w:rPr>
          <w:rFonts w:ascii="Times New Roman" w:hAnsi="Times New Roman" w:cs="Times New Roman"/>
          <w:sz w:val="28"/>
          <w:szCs w:val="28"/>
        </w:rPr>
        <w:lastRenderedPageBreak/>
        <w:t xml:space="preserve">данный раздел формирует аналитическую базу для оценки целесообразности, окупаемости и ожидаемых эффектов от внедрения разработанной модели на страновом и корпоративном уровнях. </w:t>
      </w:r>
    </w:p>
    <w:p w14:paraId="21293285" w14:textId="2CB7806D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64F">
        <w:rPr>
          <w:rFonts w:ascii="Times New Roman" w:hAnsi="Times New Roman" w:cs="Times New Roman"/>
          <w:sz w:val="28"/>
          <w:szCs w:val="28"/>
        </w:rPr>
        <w:t>Однако, ф</w:t>
      </w:r>
      <w:r w:rsidRPr="00304ADC">
        <w:rPr>
          <w:rFonts w:ascii="Times New Roman" w:hAnsi="Times New Roman" w:cs="Times New Roman"/>
          <w:sz w:val="28"/>
          <w:szCs w:val="28"/>
        </w:rPr>
        <w:t xml:space="preserve">инансовая архитектура внедрения зелёной модели на уровне отдельной производственной компании существенно отличается от национальных масштабов и требует адаптированной структуры бюджета. На микроуровне инвестиции распределяются между технической модернизацией, оптимизацией энергопотребления, повышением устойчивости бизнес-процессов и развитием компетенций персонала.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304ADC">
        <w:rPr>
          <w:rFonts w:ascii="Times New Roman" w:hAnsi="Times New Roman" w:cs="Times New Roman"/>
          <w:sz w:val="28"/>
          <w:szCs w:val="28"/>
        </w:rPr>
        <w:t>бщий</w:t>
      </w:r>
      <w:proofErr w:type="spellEnd"/>
      <w:r w:rsidRPr="00304ADC">
        <w:rPr>
          <w:rFonts w:ascii="Times New Roman" w:hAnsi="Times New Roman" w:cs="Times New Roman"/>
          <w:sz w:val="28"/>
          <w:szCs w:val="28"/>
        </w:rPr>
        <w:t xml:space="preserve"> бюджет существенно ниже макроэкономических аналогов, а инструменты реализации ориентированы на достижение операционных и стратегических эффектов внутри компании.</w:t>
      </w:r>
    </w:p>
    <w:p w14:paraId="4483D0F6" w14:textId="77777777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>Для компании производственного типа, такой как ТОО «Корпорация Сайман», ключевой задачей становится формирование сбалансированного бюджета, объединяющего техническую модернизацию, повышение энергоэффективности, развитие компетенций и институциональные механизмы повышения устойчивости. В отличие от национальных программ, корпоративный бюджет ориентирован на достижение измеримых операционных результатов и оптимизацию внутренних бизнес-процессов, а финансовые затраты распределяются таким образом, чтобы обеспечить максимальный эффект при ограниченных ресурсах.</w:t>
      </w:r>
    </w:p>
    <w:p w14:paraId="0FF4537F" w14:textId="725608CA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 xml:space="preserve">В рамках предлагаемой модели структуру бюджета формируют пять блоков, отражающих ключевые направления зелёной модернизации. Первый блок, связанный с обеспечением корпоративной устойчивости, предполагает создание внутреннего фонда стабилизации, развитие механизмов управления валютными, логистическими и операционными рисками, а также систематическое проведение стресс-тестов. </w:t>
      </w:r>
      <w:r w:rsidR="0074237C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Start"/>
      <w:r w:rsidRPr="00304ADC">
        <w:rPr>
          <w:rFonts w:ascii="Times New Roman" w:hAnsi="Times New Roman" w:cs="Times New Roman"/>
          <w:sz w:val="28"/>
          <w:szCs w:val="28"/>
        </w:rPr>
        <w:t>асходы</w:t>
      </w:r>
      <w:proofErr w:type="spellEnd"/>
      <w:r w:rsidRPr="00304ADC">
        <w:rPr>
          <w:rFonts w:ascii="Times New Roman" w:hAnsi="Times New Roman" w:cs="Times New Roman"/>
          <w:sz w:val="28"/>
          <w:szCs w:val="28"/>
        </w:rPr>
        <w:t xml:space="preserve"> остаются умеренными, поскольку не требуют значительных капитальных вложений, однако именно они формируют необходимый уровень предсказуемости и управляемости в условиях внешней нестабильности.</w:t>
      </w:r>
    </w:p>
    <w:p w14:paraId="2B33F8B8" w14:textId="77777777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>Наиболее капиталоёмким является блок энергетической трансформации. В корпоративных условиях он включает внедрение солнечных энергетических модулей, систем аккумулирования энергии, модернизацию электротехнической инфраструктуры и цифровизацию внутренних сетей. Эти вложения составляют основу трансформационной программы, поскольку непосредственно влияют на структуру энергопотребления, уровень операционных затрат и степень автономности компании. Именно данный блок обеспечивает долговременный экономический эффект за счёт снижения расходов на электроэнергию и повышения устойчивости к ценовой волатильности.</w:t>
      </w:r>
    </w:p>
    <w:p w14:paraId="03D96C8F" w14:textId="699C148F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 xml:space="preserve">Следующий крупный элемент бюджета связан с повышением энергоэффективности. На микроуровне он включает модернизацию производственного оборудования, внедрение интеллектуальных систем управления зданиями, тепловую оптимизацию помещений и внедрение </w:t>
      </w:r>
      <w:r w:rsidRPr="00304ADC">
        <w:rPr>
          <w:rFonts w:ascii="Times New Roman" w:hAnsi="Times New Roman" w:cs="Times New Roman"/>
          <w:sz w:val="28"/>
          <w:szCs w:val="28"/>
        </w:rPr>
        <w:lastRenderedPageBreak/>
        <w:t>цифровых систем учёта. Инвестиции направления отличаются относительно короткими сроками окупаемости и обеспечивают системное снижение эксплуатационных затрат, что делает данный блок одним из наиболее результативных в корпоративной практике.</w:t>
      </w:r>
    </w:p>
    <w:p w14:paraId="472668E4" w14:textId="77777777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>Блок промышленной политики и локализации в корпоративном контексте приобретает форму развития внутренних исследовательских и инженерных компетенций. Он предполагает создание малых R&amp;D-центров, организацию лабораторных и испытательных площадок, совершенствование программ обучения персонала и участие в профессиональной сертификации. Эти меры обеспечивают рост технологической независимости компании, формирование устойчивой инновационной среды и повышение качества принимаемых технических решений.</w:t>
      </w:r>
    </w:p>
    <w:p w14:paraId="2792BC7C" w14:textId="77777777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>Завершающий блок, связанный с международным сотрудничеством и привлечением внешнего финансирования, адаптируется к корпоративным реалиям посредством участия в программах сертификации по международным стандартам, интеграции в трансграничные технологические сети, работе с международными тренинговыми центрами и подготовке заявок для привлечения грантовых и льготных кредитных линий. Хотя расходы здесь относительно небольшие, они обладают высокими мультипликативными эффектами, поскольку повышают технологическую готовность компании и расширяют её доступ к современным инструментам зелёного финансирования.</w:t>
      </w:r>
    </w:p>
    <w:p w14:paraId="4355A9BA" w14:textId="77777777" w:rsidR="000E7F50" w:rsidRPr="0011664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ADC">
        <w:rPr>
          <w:rFonts w:ascii="Times New Roman" w:hAnsi="Times New Roman" w:cs="Times New Roman"/>
          <w:sz w:val="28"/>
          <w:szCs w:val="28"/>
        </w:rPr>
        <w:t>В совокупности бюджет, адаптированный под масштабы производственной компании, формирует последовательный и финансово реалистичный план внедрения предложенной модели. Он отражает логику корпоративного энергоперехода: от укрепления устойчивости и снижения рисков к технологической модернизации, развитию компетенций и расширению участия компании в международной низкоуглеродной экосистеме. Такая конфигурация бюджета обеспечивает практическую реализуемость модели, её стратегическую целесообразность и соответствие современным требованиям корпоративной устойчивости и конкурентоспособности.</w:t>
      </w:r>
    </w:p>
    <w:p w14:paraId="485D25C1" w14:textId="77777777" w:rsidR="000E7F50" w:rsidRPr="000469AD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9AD">
        <w:rPr>
          <w:rFonts w:ascii="Times New Roman" w:hAnsi="Times New Roman" w:cs="Times New Roman"/>
          <w:sz w:val="28"/>
          <w:szCs w:val="28"/>
        </w:rPr>
        <w:t>Формирование финансово-экономической основы корпоративной зелёной модели требует количественной оценки необходимых ресурсов и последовательной бюджетной детализации по ключевым направлениям трансформации. Представленный бюджет является интегральной частью управленческой архитектуры модели и отражает связь между структурными блоками (А–Е), институциональными целями и ожидаемыми результатами. Его построение основывается на принципах реалистичности, сбалансированности инвестиционных и операционных затрат, а также учёта динамики технологического развития.</w:t>
      </w:r>
    </w:p>
    <w:p w14:paraId="387E2725" w14:textId="77777777" w:rsidR="000E7F50" w:rsidRPr="000469AD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9AD">
        <w:rPr>
          <w:rFonts w:ascii="Times New Roman" w:hAnsi="Times New Roman" w:cs="Times New Roman"/>
          <w:sz w:val="28"/>
          <w:szCs w:val="28"/>
        </w:rPr>
        <w:t xml:space="preserve">Бюджет имеет трёхлетний горизонт, что соответствует циклу внедрения ключевых технологических и организационных преобразований на корпоративном уровне. Такая временная структура позволяет распределить капитальные вложения в соответствии с фазами развёртывания </w:t>
      </w:r>
      <w:r w:rsidRPr="000469AD">
        <w:rPr>
          <w:rFonts w:ascii="Times New Roman" w:hAnsi="Times New Roman" w:cs="Times New Roman"/>
          <w:sz w:val="28"/>
          <w:szCs w:val="28"/>
        </w:rPr>
        <w:lastRenderedPageBreak/>
        <w:t>инфраструктуры, интеграции технических решений и последующей оптимизации процессов. Первые два года характеризуются максимальной инвестиционной нагрузкой, обусловленной модернизацией энергетической инфраструктуры, цифровизацией и оборудованием лабораторно-исследовательской базы. На третий год приходится завершение внедрения и стабилизация операционных процессов, что отражено в уменьшении доли расходов.</w:t>
      </w:r>
    </w:p>
    <w:p w14:paraId="5AB07B99" w14:textId="70180DDE" w:rsidR="000E7F50" w:rsidRPr="00C625B7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9AD">
        <w:rPr>
          <w:rFonts w:ascii="Times New Roman" w:hAnsi="Times New Roman" w:cs="Times New Roman"/>
          <w:sz w:val="28"/>
          <w:szCs w:val="28"/>
        </w:rPr>
        <w:t>Каждая статья бюджета представлена в разрезе содержания расходов, что обеспечивает прозрачность инвестиционной логики и позволяет отнести конкретные затраты к соответствующим элементам модели: макроэкономической устойчивости, энергетической трансформации, повышению энергоэффективности, промышленной политике и международному сотрудничеству. Данный бюджетный план выступает не только как инструмент финансового планирования, но и как эмпирическое подтверждение реализуемости предложенной управленческой модели</w:t>
      </w:r>
      <w:r w:rsidRPr="0011664F">
        <w:rPr>
          <w:rFonts w:ascii="Times New Roman" w:hAnsi="Times New Roman" w:cs="Times New Roman"/>
          <w:sz w:val="28"/>
          <w:szCs w:val="28"/>
        </w:rPr>
        <w:t xml:space="preserve"> (таблица 2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1664F">
        <w:rPr>
          <w:rFonts w:ascii="Times New Roman" w:hAnsi="Times New Roman" w:cs="Times New Roman"/>
          <w:sz w:val="28"/>
          <w:szCs w:val="28"/>
        </w:rPr>
        <w:t>)</w:t>
      </w:r>
      <w:r w:rsidRPr="000469A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28F86" w14:textId="77777777" w:rsidR="000E7F50" w:rsidRPr="000469AD" w:rsidRDefault="000E7F50" w:rsidP="000E7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</w:pPr>
    </w:p>
    <w:p w14:paraId="0EC8D396" w14:textId="77777777" w:rsidR="000E7F50" w:rsidRDefault="000E7F50" w:rsidP="000E7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sectPr w:rsidR="000E7F50" w:rsidSect="000E7F50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69D50B" w14:textId="4FE5CD7F" w:rsidR="000E7F50" w:rsidRPr="000469AD" w:rsidRDefault="000E7F50" w:rsidP="000E7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</w:pPr>
      <w:r w:rsidRPr="000469AD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lastRenderedPageBreak/>
        <w:t>Таблица</w:t>
      </w:r>
      <w:r w:rsidRPr="00AC087F"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  <w:t xml:space="preserve"> 2</w:t>
      </w:r>
      <w:r w:rsidR="006F3BEB"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  <w:t>3</w:t>
      </w:r>
      <w:r w:rsidRPr="00AC087F"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  <w:t xml:space="preserve"> -</w:t>
      </w:r>
      <w:r w:rsidRPr="000469AD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Трёхлетний бюджет внедрения корпоративной зелёной модели</w:t>
      </w:r>
      <w:r w:rsidRPr="00AC087F"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  <w:t xml:space="preserve">, </w:t>
      </w:r>
      <w:proofErr w:type="spellStart"/>
      <w:proofErr w:type="gramStart"/>
      <w:r w:rsidRPr="00AC087F">
        <w:rPr>
          <w:rFonts w:ascii="Times New Roman" w:eastAsia="Times New Roman" w:hAnsi="Times New Roman" w:cs="Times New Roman"/>
          <w:kern w:val="0"/>
          <w:lang w:val="ru-RU" w:eastAsia="ru-KZ"/>
          <w14:ligatures w14:val="none"/>
        </w:rPr>
        <w:t>тыс.тенге</w:t>
      </w:r>
      <w:proofErr w:type="spellEnd"/>
      <w:proofErr w:type="gramEnd"/>
    </w:p>
    <w:tbl>
      <w:tblPr>
        <w:tblStyle w:val="ad"/>
        <w:tblW w:w="15182" w:type="dxa"/>
        <w:tblLook w:val="04A0" w:firstRow="1" w:lastRow="0" w:firstColumn="1" w:lastColumn="0" w:noHBand="0" w:noVBand="1"/>
      </w:tblPr>
      <w:tblGrid>
        <w:gridCol w:w="2466"/>
        <w:gridCol w:w="4207"/>
        <w:gridCol w:w="5401"/>
        <w:gridCol w:w="746"/>
        <w:gridCol w:w="746"/>
        <w:gridCol w:w="726"/>
        <w:gridCol w:w="890"/>
      </w:tblGrid>
      <w:tr w:rsidR="000E7F50" w:rsidRPr="00A73FCB" w14:paraId="20AC6002" w14:textId="77777777" w:rsidTr="00A73FCB">
        <w:trPr>
          <w:trHeight w:val="227"/>
        </w:trPr>
        <w:tc>
          <w:tcPr>
            <w:tcW w:w="1980" w:type="dxa"/>
            <w:hideMark/>
          </w:tcPr>
          <w:p w14:paraId="7C1EDFA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Блок</w:t>
            </w:r>
          </w:p>
        </w:tc>
        <w:tc>
          <w:tcPr>
            <w:tcW w:w="4207" w:type="dxa"/>
            <w:hideMark/>
          </w:tcPr>
          <w:p w14:paraId="4776457C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5401" w:type="dxa"/>
            <w:hideMark/>
          </w:tcPr>
          <w:p w14:paraId="1F5474C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Содержание расходов</w:t>
            </w:r>
          </w:p>
        </w:tc>
        <w:tc>
          <w:tcPr>
            <w:tcW w:w="0" w:type="auto"/>
            <w:hideMark/>
          </w:tcPr>
          <w:p w14:paraId="06118C4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val="ru-RU"/>
              </w:rPr>
            </w:pPr>
            <w:r w:rsidRPr="00A73FCB">
              <w:rPr>
                <w:rFonts w:eastAsia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0" w:type="auto"/>
            <w:hideMark/>
          </w:tcPr>
          <w:p w14:paraId="6A3F554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val="ru-RU"/>
              </w:rPr>
            </w:pPr>
            <w:r w:rsidRPr="00A73FCB">
              <w:rPr>
                <w:rFonts w:eastAsia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0" w:type="auto"/>
            <w:hideMark/>
          </w:tcPr>
          <w:p w14:paraId="1AB7B50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val="ru-RU"/>
              </w:rPr>
            </w:pPr>
            <w:r w:rsidRPr="00A73FCB">
              <w:rPr>
                <w:rFonts w:eastAsia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0" w:type="auto"/>
            <w:hideMark/>
          </w:tcPr>
          <w:p w14:paraId="14A8896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</w:t>
            </w:r>
          </w:p>
        </w:tc>
      </w:tr>
      <w:tr w:rsidR="000E7F50" w:rsidRPr="00A73FCB" w14:paraId="6D20C15C" w14:textId="77777777" w:rsidTr="00A73FCB">
        <w:trPr>
          <w:trHeight w:val="188"/>
        </w:trPr>
        <w:tc>
          <w:tcPr>
            <w:tcW w:w="1980" w:type="dxa"/>
            <w:vMerge w:val="restart"/>
            <w:hideMark/>
          </w:tcPr>
          <w:p w14:paraId="0FEBDE8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A. Макроэкономическая устойчивость</w:t>
            </w:r>
          </w:p>
        </w:tc>
        <w:tc>
          <w:tcPr>
            <w:tcW w:w="4207" w:type="dxa"/>
            <w:hideMark/>
          </w:tcPr>
          <w:p w14:paraId="66C5BF6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Фонд устойчивого развития</w:t>
            </w:r>
          </w:p>
        </w:tc>
        <w:tc>
          <w:tcPr>
            <w:tcW w:w="5401" w:type="dxa"/>
            <w:hideMark/>
          </w:tcPr>
          <w:p w14:paraId="4B4CE01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Формирование корпоративного резерва для хеджирования рисков энергорынка и курсовой волатильности</w:t>
            </w:r>
          </w:p>
        </w:tc>
        <w:tc>
          <w:tcPr>
            <w:tcW w:w="0" w:type="auto"/>
            <w:hideMark/>
          </w:tcPr>
          <w:p w14:paraId="5F3E582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30 000</w:t>
            </w:r>
          </w:p>
        </w:tc>
        <w:tc>
          <w:tcPr>
            <w:tcW w:w="0" w:type="auto"/>
            <w:hideMark/>
          </w:tcPr>
          <w:p w14:paraId="75C8C30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31EEF53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3741A9E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45 000</w:t>
            </w:r>
          </w:p>
        </w:tc>
      </w:tr>
      <w:tr w:rsidR="000E7F50" w:rsidRPr="00A73FCB" w14:paraId="0508A3A3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1CA6E59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49C21BA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Стресс-тестирование и риск-менеджмент</w:t>
            </w:r>
          </w:p>
        </w:tc>
        <w:tc>
          <w:tcPr>
            <w:tcW w:w="5401" w:type="dxa"/>
            <w:hideMark/>
          </w:tcPr>
          <w:p w14:paraId="36ACD5E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Разработка процедур стресс-тестов, анализ сценариев, внедрение систем мониторинга рисков</w:t>
            </w:r>
          </w:p>
        </w:tc>
        <w:tc>
          <w:tcPr>
            <w:tcW w:w="0" w:type="auto"/>
            <w:hideMark/>
          </w:tcPr>
          <w:p w14:paraId="1F96C3C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12 000</w:t>
            </w:r>
          </w:p>
        </w:tc>
        <w:tc>
          <w:tcPr>
            <w:tcW w:w="0" w:type="auto"/>
            <w:hideMark/>
          </w:tcPr>
          <w:p w14:paraId="75E1805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670625C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3 000</w:t>
            </w:r>
          </w:p>
        </w:tc>
        <w:tc>
          <w:tcPr>
            <w:tcW w:w="0" w:type="auto"/>
            <w:hideMark/>
          </w:tcPr>
          <w:p w14:paraId="71E54EB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</w:tr>
      <w:tr w:rsidR="000E7F50" w:rsidRPr="00A73FCB" w14:paraId="3B9F1580" w14:textId="77777777" w:rsidTr="00A73FCB">
        <w:trPr>
          <w:trHeight w:val="227"/>
        </w:trPr>
        <w:tc>
          <w:tcPr>
            <w:tcW w:w="11588" w:type="dxa"/>
            <w:gridSpan w:val="3"/>
            <w:hideMark/>
          </w:tcPr>
          <w:p w14:paraId="377A54B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 A</w:t>
            </w:r>
          </w:p>
        </w:tc>
        <w:tc>
          <w:tcPr>
            <w:tcW w:w="0" w:type="auto"/>
            <w:hideMark/>
          </w:tcPr>
          <w:p w14:paraId="6B0FF82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42 000</w:t>
            </w:r>
          </w:p>
        </w:tc>
        <w:tc>
          <w:tcPr>
            <w:tcW w:w="0" w:type="auto"/>
            <w:hideMark/>
          </w:tcPr>
          <w:p w14:paraId="5EAF883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15 000</w:t>
            </w:r>
          </w:p>
        </w:tc>
        <w:tc>
          <w:tcPr>
            <w:tcW w:w="0" w:type="auto"/>
            <w:hideMark/>
          </w:tcPr>
          <w:p w14:paraId="0F09B206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8 000</w:t>
            </w:r>
          </w:p>
        </w:tc>
        <w:tc>
          <w:tcPr>
            <w:tcW w:w="0" w:type="auto"/>
            <w:hideMark/>
          </w:tcPr>
          <w:p w14:paraId="01FF565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65 000</w:t>
            </w:r>
          </w:p>
        </w:tc>
      </w:tr>
      <w:tr w:rsidR="000E7F50" w:rsidRPr="00A73FCB" w14:paraId="35B459BF" w14:textId="77777777" w:rsidTr="00A73FCB">
        <w:trPr>
          <w:trHeight w:val="454"/>
        </w:trPr>
        <w:tc>
          <w:tcPr>
            <w:tcW w:w="1980" w:type="dxa"/>
            <w:vMerge w:val="restart"/>
            <w:hideMark/>
          </w:tcPr>
          <w:p w14:paraId="6108B28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B. Энергетическая трансформация</w:t>
            </w:r>
          </w:p>
        </w:tc>
        <w:tc>
          <w:tcPr>
            <w:tcW w:w="4207" w:type="dxa"/>
            <w:hideMark/>
          </w:tcPr>
          <w:p w14:paraId="25B6E76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Солнечные модули</w:t>
            </w:r>
          </w:p>
        </w:tc>
        <w:tc>
          <w:tcPr>
            <w:tcW w:w="5401" w:type="dxa"/>
            <w:hideMark/>
          </w:tcPr>
          <w:p w14:paraId="74D7160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Покупка и монтаж PV-панелей, подготовка площадки, инверторы и кабельная инфраструктура</w:t>
            </w:r>
          </w:p>
        </w:tc>
        <w:tc>
          <w:tcPr>
            <w:tcW w:w="0" w:type="auto"/>
            <w:hideMark/>
          </w:tcPr>
          <w:p w14:paraId="7A7507AC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180 000</w:t>
            </w:r>
          </w:p>
        </w:tc>
        <w:tc>
          <w:tcPr>
            <w:tcW w:w="0" w:type="auto"/>
            <w:hideMark/>
          </w:tcPr>
          <w:p w14:paraId="76B4388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70 000</w:t>
            </w:r>
          </w:p>
        </w:tc>
        <w:tc>
          <w:tcPr>
            <w:tcW w:w="0" w:type="auto"/>
            <w:hideMark/>
          </w:tcPr>
          <w:p w14:paraId="7AE8CA2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4F9F84B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250 000</w:t>
            </w:r>
          </w:p>
        </w:tc>
      </w:tr>
      <w:tr w:rsidR="000E7F50" w:rsidRPr="00A73FCB" w14:paraId="317D0277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62E3BD5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55E495D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Системы хранения энергии</w:t>
            </w:r>
          </w:p>
        </w:tc>
        <w:tc>
          <w:tcPr>
            <w:tcW w:w="5401" w:type="dxa"/>
            <w:hideMark/>
          </w:tcPr>
          <w:p w14:paraId="3D55390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Закуп батарей, системы управления ESS, интеграция с сетью предприятия</w:t>
            </w:r>
          </w:p>
        </w:tc>
        <w:tc>
          <w:tcPr>
            <w:tcW w:w="0" w:type="auto"/>
            <w:hideMark/>
          </w:tcPr>
          <w:p w14:paraId="0979151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140 000</w:t>
            </w:r>
          </w:p>
        </w:tc>
        <w:tc>
          <w:tcPr>
            <w:tcW w:w="0" w:type="auto"/>
            <w:hideMark/>
          </w:tcPr>
          <w:p w14:paraId="052BB80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40 000</w:t>
            </w:r>
          </w:p>
        </w:tc>
        <w:tc>
          <w:tcPr>
            <w:tcW w:w="0" w:type="auto"/>
            <w:hideMark/>
          </w:tcPr>
          <w:p w14:paraId="793FAAB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1A86692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180 000</w:t>
            </w:r>
          </w:p>
        </w:tc>
      </w:tr>
      <w:tr w:rsidR="000E7F50" w:rsidRPr="00A73FCB" w14:paraId="13224F6D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23D46E6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279BC00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Модернизация электроснабжения</w:t>
            </w:r>
          </w:p>
        </w:tc>
        <w:tc>
          <w:tcPr>
            <w:tcW w:w="5401" w:type="dxa"/>
            <w:hideMark/>
          </w:tcPr>
          <w:p w14:paraId="1D22B43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Замена трансформаторов, линий, шкафов, повышение пропускной способности сети</w:t>
            </w:r>
          </w:p>
        </w:tc>
        <w:tc>
          <w:tcPr>
            <w:tcW w:w="0" w:type="auto"/>
            <w:hideMark/>
          </w:tcPr>
          <w:p w14:paraId="5769975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150 000</w:t>
            </w:r>
          </w:p>
        </w:tc>
        <w:tc>
          <w:tcPr>
            <w:tcW w:w="0" w:type="auto"/>
            <w:hideMark/>
          </w:tcPr>
          <w:p w14:paraId="08E00F9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60 000</w:t>
            </w:r>
          </w:p>
        </w:tc>
        <w:tc>
          <w:tcPr>
            <w:tcW w:w="0" w:type="auto"/>
            <w:hideMark/>
          </w:tcPr>
          <w:p w14:paraId="16C3010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520B35F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210 000</w:t>
            </w:r>
          </w:p>
        </w:tc>
      </w:tr>
      <w:tr w:rsidR="000E7F50" w:rsidRPr="00A73FCB" w14:paraId="1BA6726E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264DC46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1074083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Smart Grid Lite</w:t>
            </w:r>
          </w:p>
        </w:tc>
        <w:tc>
          <w:tcPr>
            <w:tcW w:w="5401" w:type="dxa"/>
            <w:hideMark/>
          </w:tcPr>
          <w:p w14:paraId="4E6C28A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Внедрение интеллектуальных сетей, датчиков, диспетчеризации, систем предиктивного мониторинга</w:t>
            </w:r>
          </w:p>
        </w:tc>
        <w:tc>
          <w:tcPr>
            <w:tcW w:w="0" w:type="auto"/>
            <w:hideMark/>
          </w:tcPr>
          <w:p w14:paraId="2660867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60 000</w:t>
            </w:r>
          </w:p>
        </w:tc>
        <w:tc>
          <w:tcPr>
            <w:tcW w:w="0" w:type="auto"/>
            <w:hideMark/>
          </w:tcPr>
          <w:p w14:paraId="6013E12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60 000</w:t>
            </w:r>
          </w:p>
        </w:tc>
        <w:tc>
          <w:tcPr>
            <w:tcW w:w="0" w:type="auto"/>
            <w:hideMark/>
          </w:tcPr>
          <w:p w14:paraId="75B2093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4A18273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140 000</w:t>
            </w:r>
          </w:p>
        </w:tc>
      </w:tr>
      <w:tr w:rsidR="000E7F50" w:rsidRPr="00A73FCB" w14:paraId="58CCA09D" w14:textId="77777777" w:rsidTr="00A73FCB">
        <w:trPr>
          <w:trHeight w:val="227"/>
        </w:trPr>
        <w:tc>
          <w:tcPr>
            <w:tcW w:w="11588" w:type="dxa"/>
            <w:gridSpan w:val="3"/>
            <w:hideMark/>
          </w:tcPr>
          <w:p w14:paraId="5B80B7E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 B</w:t>
            </w:r>
          </w:p>
        </w:tc>
        <w:tc>
          <w:tcPr>
            <w:tcW w:w="0" w:type="auto"/>
            <w:hideMark/>
          </w:tcPr>
          <w:p w14:paraId="741D1AB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530 000</w:t>
            </w:r>
          </w:p>
        </w:tc>
        <w:tc>
          <w:tcPr>
            <w:tcW w:w="0" w:type="auto"/>
            <w:hideMark/>
          </w:tcPr>
          <w:p w14:paraId="1B970F5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230 000</w:t>
            </w:r>
          </w:p>
        </w:tc>
        <w:tc>
          <w:tcPr>
            <w:tcW w:w="0" w:type="auto"/>
            <w:hideMark/>
          </w:tcPr>
          <w:p w14:paraId="0D333D5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01C40A5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780 000</w:t>
            </w:r>
          </w:p>
        </w:tc>
      </w:tr>
      <w:tr w:rsidR="000E7F50" w:rsidRPr="00A73FCB" w14:paraId="582AE5F8" w14:textId="77777777" w:rsidTr="00A73FCB">
        <w:trPr>
          <w:trHeight w:val="469"/>
        </w:trPr>
        <w:tc>
          <w:tcPr>
            <w:tcW w:w="1980" w:type="dxa"/>
            <w:vMerge w:val="restart"/>
            <w:hideMark/>
          </w:tcPr>
          <w:p w14:paraId="3D3A830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C. Повышение энергоэффективности</w:t>
            </w:r>
          </w:p>
        </w:tc>
        <w:tc>
          <w:tcPr>
            <w:tcW w:w="4207" w:type="dxa"/>
            <w:hideMark/>
          </w:tcPr>
          <w:p w14:paraId="08C2564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Замена оборудования</w:t>
            </w:r>
          </w:p>
        </w:tc>
        <w:tc>
          <w:tcPr>
            <w:tcW w:w="5401" w:type="dxa"/>
            <w:hideMark/>
          </w:tcPr>
          <w:p w14:paraId="227593E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Покупка энергоэффективных двигателей, приводов, насосов, регуляторов</w:t>
            </w:r>
          </w:p>
        </w:tc>
        <w:tc>
          <w:tcPr>
            <w:tcW w:w="0" w:type="auto"/>
            <w:hideMark/>
          </w:tcPr>
          <w:p w14:paraId="13B6D24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80 000</w:t>
            </w:r>
          </w:p>
        </w:tc>
        <w:tc>
          <w:tcPr>
            <w:tcW w:w="0" w:type="auto"/>
            <w:hideMark/>
          </w:tcPr>
          <w:p w14:paraId="67AE398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40 000</w:t>
            </w:r>
          </w:p>
        </w:tc>
        <w:tc>
          <w:tcPr>
            <w:tcW w:w="0" w:type="auto"/>
            <w:hideMark/>
          </w:tcPr>
          <w:p w14:paraId="21E19EF3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679B9EE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120 000</w:t>
            </w:r>
          </w:p>
        </w:tc>
      </w:tr>
      <w:tr w:rsidR="000E7F50" w:rsidRPr="00A73FCB" w14:paraId="620007DC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00C538D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2921FFC6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BEMS</w:t>
            </w:r>
          </w:p>
        </w:tc>
        <w:tc>
          <w:tcPr>
            <w:tcW w:w="5401" w:type="dxa"/>
            <w:hideMark/>
          </w:tcPr>
          <w:p w14:paraId="185E11D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Внедрение систем мониторинга и управления энергопотреблением зданий</w:t>
            </w:r>
          </w:p>
        </w:tc>
        <w:tc>
          <w:tcPr>
            <w:tcW w:w="0" w:type="auto"/>
            <w:hideMark/>
          </w:tcPr>
          <w:p w14:paraId="6BDF525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50 000</w:t>
            </w:r>
          </w:p>
        </w:tc>
        <w:tc>
          <w:tcPr>
            <w:tcW w:w="0" w:type="auto"/>
            <w:hideMark/>
          </w:tcPr>
          <w:p w14:paraId="7165AA2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35 000</w:t>
            </w:r>
          </w:p>
        </w:tc>
        <w:tc>
          <w:tcPr>
            <w:tcW w:w="0" w:type="auto"/>
            <w:hideMark/>
          </w:tcPr>
          <w:p w14:paraId="643D8FB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28BFD2A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95 000</w:t>
            </w:r>
          </w:p>
        </w:tc>
      </w:tr>
      <w:tr w:rsidR="000E7F50" w:rsidRPr="00A73FCB" w14:paraId="70D90DC5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363A648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7930690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Тепловая модернизация</w:t>
            </w:r>
          </w:p>
        </w:tc>
        <w:tc>
          <w:tcPr>
            <w:tcW w:w="5401" w:type="dxa"/>
            <w:hideMark/>
          </w:tcPr>
          <w:p w14:paraId="513B5D9C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Утепление зданий, тепловые экраны, модернизация отопительных систем</w:t>
            </w:r>
          </w:p>
        </w:tc>
        <w:tc>
          <w:tcPr>
            <w:tcW w:w="0" w:type="auto"/>
            <w:hideMark/>
          </w:tcPr>
          <w:p w14:paraId="6D82F89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40 000</w:t>
            </w:r>
          </w:p>
        </w:tc>
        <w:tc>
          <w:tcPr>
            <w:tcW w:w="0" w:type="auto"/>
            <w:hideMark/>
          </w:tcPr>
          <w:p w14:paraId="5486DD2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54DEA1B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7BEDE78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60 000</w:t>
            </w:r>
          </w:p>
        </w:tc>
      </w:tr>
      <w:tr w:rsidR="000E7F50" w:rsidRPr="00A73FCB" w14:paraId="6728D610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51F2410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55B5196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Интеллектуальные счётчики</w:t>
            </w:r>
          </w:p>
        </w:tc>
        <w:tc>
          <w:tcPr>
            <w:tcW w:w="5401" w:type="dxa"/>
            <w:hideMark/>
          </w:tcPr>
          <w:p w14:paraId="1F9D8F2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Умные электросчётчики, телеметрия, удалённый сбор данных</w:t>
            </w:r>
          </w:p>
        </w:tc>
        <w:tc>
          <w:tcPr>
            <w:tcW w:w="0" w:type="auto"/>
            <w:hideMark/>
          </w:tcPr>
          <w:p w14:paraId="7A892D6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30 000</w:t>
            </w:r>
          </w:p>
        </w:tc>
        <w:tc>
          <w:tcPr>
            <w:tcW w:w="0" w:type="auto"/>
            <w:hideMark/>
          </w:tcPr>
          <w:p w14:paraId="7BA05DC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523B6C1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4CAEC0D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40 000</w:t>
            </w:r>
          </w:p>
        </w:tc>
      </w:tr>
      <w:tr w:rsidR="000E7F50" w:rsidRPr="00A73FCB" w14:paraId="45937160" w14:textId="77777777" w:rsidTr="00A73FCB">
        <w:trPr>
          <w:trHeight w:val="227"/>
        </w:trPr>
        <w:tc>
          <w:tcPr>
            <w:tcW w:w="11588" w:type="dxa"/>
            <w:gridSpan w:val="3"/>
            <w:hideMark/>
          </w:tcPr>
          <w:p w14:paraId="24A91B7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 C</w:t>
            </w:r>
          </w:p>
        </w:tc>
        <w:tc>
          <w:tcPr>
            <w:tcW w:w="0" w:type="auto"/>
            <w:hideMark/>
          </w:tcPr>
          <w:p w14:paraId="068FCDD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200 000</w:t>
            </w:r>
          </w:p>
        </w:tc>
        <w:tc>
          <w:tcPr>
            <w:tcW w:w="0" w:type="auto"/>
            <w:hideMark/>
          </w:tcPr>
          <w:p w14:paraId="55D9A07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105 000</w:t>
            </w:r>
          </w:p>
        </w:tc>
        <w:tc>
          <w:tcPr>
            <w:tcW w:w="0" w:type="auto"/>
            <w:hideMark/>
          </w:tcPr>
          <w:p w14:paraId="18EE589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0AC869E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315 000</w:t>
            </w:r>
          </w:p>
        </w:tc>
      </w:tr>
      <w:tr w:rsidR="000E7F50" w:rsidRPr="00A73FCB" w14:paraId="0DC0B762" w14:textId="77777777" w:rsidTr="00A73FCB">
        <w:trPr>
          <w:trHeight w:val="454"/>
        </w:trPr>
        <w:tc>
          <w:tcPr>
            <w:tcW w:w="1980" w:type="dxa"/>
            <w:vMerge w:val="restart"/>
            <w:hideMark/>
          </w:tcPr>
          <w:p w14:paraId="44713B0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lastRenderedPageBreak/>
              <w:t>D. Промышленная политика и локализация</w:t>
            </w:r>
          </w:p>
        </w:tc>
        <w:tc>
          <w:tcPr>
            <w:tcW w:w="4207" w:type="dxa"/>
            <w:hideMark/>
          </w:tcPr>
          <w:p w14:paraId="46F25C8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Лаборатория НИОКР</w:t>
            </w:r>
          </w:p>
        </w:tc>
        <w:tc>
          <w:tcPr>
            <w:tcW w:w="5401" w:type="dxa"/>
            <w:hideMark/>
          </w:tcPr>
          <w:p w14:paraId="5AD375FC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Оснащение оборудованиями, проведение испытаний, аналитика</w:t>
            </w:r>
          </w:p>
        </w:tc>
        <w:tc>
          <w:tcPr>
            <w:tcW w:w="0" w:type="auto"/>
            <w:hideMark/>
          </w:tcPr>
          <w:p w14:paraId="7D623C6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50 000</w:t>
            </w:r>
          </w:p>
        </w:tc>
        <w:tc>
          <w:tcPr>
            <w:tcW w:w="0" w:type="auto"/>
            <w:hideMark/>
          </w:tcPr>
          <w:p w14:paraId="3CB539C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25 000</w:t>
            </w:r>
          </w:p>
        </w:tc>
        <w:tc>
          <w:tcPr>
            <w:tcW w:w="0" w:type="auto"/>
            <w:hideMark/>
          </w:tcPr>
          <w:p w14:paraId="0F765DD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4AFAACB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75 000</w:t>
            </w:r>
          </w:p>
        </w:tc>
      </w:tr>
      <w:tr w:rsidR="000E7F50" w:rsidRPr="00A73FCB" w14:paraId="4FC11B83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3547E85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22A9453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Испытательный центр</w:t>
            </w:r>
          </w:p>
        </w:tc>
        <w:tc>
          <w:tcPr>
            <w:tcW w:w="5401" w:type="dxa"/>
            <w:hideMark/>
          </w:tcPr>
          <w:p w14:paraId="52D1599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Стенды, метрология, инженерная экспертиза, тестирование продукции</w:t>
            </w:r>
          </w:p>
        </w:tc>
        <w:tc>
          <w:tcPr>
            <w:tcW w:w="0" w:type="auto"/>
            <w:hideMark/>
          </w:tcPr>
          <w:p w14:paraId="44671DC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40 000</w:t>
            </w:r>
          </w:p>
        </w:tc>
        <w:tc>
          <w:tcPr>
            <w:tcW w:w="0" w:type="auto"/>
            <w:hideMark/>
          </w:tcPr>
          <w:p w14:paraId="42EDEA9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3C4D0BB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72C6CD5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60 000</w:t>
            </w:r>
          </w:p>
        </w:tc>
      </w:tr>
      <w:tr w:rsidR="000E7F50" w:rsidRPr="00A73FCB" w14:paraId="54AE25A7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3E49496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1C90F17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Технологические разработки</w:t>
            </w:r>
          </w:p>
        </w:tc>
        <w:tc>
          <w:tcPr>
            <w:tcW w:w="5401" w:type="dxa"/>
            <w:hideMark/>
          </w:tcPr>
          <w:p w14:paraId="7F8B68C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Разработка прототипов, программных модулей, пилотные исследования</w:t>
            </w:r>
          </w:p>
        </w:tc>
        <w:tc>
          <w:tcPr>
            <w:tcW w:w="0" w:type="auto"/>
            <w:hideMark/>
          </w:tcPr>
          <w:p w14:paraId="223F3CE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6F108D7C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6910BBE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4204FEC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45 000</w:t>
            </w:r>
          </w:p>
        </w:tc>
      </w:tr>
      <w:tr w:rsidR="000E7F50" w:rsidRPr="00A73FCB" w14:paraId="655485D4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37E754F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40B2F3F3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Локализация</w:t>
            </w:r>
          </w:p>
        </w:tc>
        <w:tc>
          <w:tcPr>
            <w:tcW w:w="5401" w:type="dxa"/>
            <w:hideMark/>
          </w:tcPr>
          <w:p w14:paraId="2C458CE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Адаптация производственных процессов, подготовка персонала, частичная замена импорта</w:t>
            </w:r>
          </w:p>
        </w:tc>
        <w:tc>
          <w:tcPr>
            <w:tcW w:w="0" w:type="auto"/>
            <w:hideMark/>
          </w:tcPr>
          <w:p w14:paraId="033BCC78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281FDAC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6919E80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21E83C0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</w:tr>
      <w:tr w:rsidR="000E7F50" w:rsidRPr="00A73FCB" w14:paraId="20E397E6" w14:textId="77777777" w:rsidTr="00A73FCB">
        <w:trPr>
          <w:trHeight w:val="227"/>
        </w:trPr>
        <w:tc>
          <w:tcPr>
            <w:tcW w:w="11588" w:type="dxa"/>
            <w:gridSpan w:val="3"/>
            <w:hideMark/>
          </w:tcPr>
          <w:p w14:paraId="769EFE5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 D</w:t>
            </w:r>
          </w:p>
        </w:tc>
        <w:tc>
          <w:tcPr>
            <w:tcW w:w="0" w:type="auto"/>
            <w:hideMark/>
          </w:tcPr>
          <w:p w14:paraId="4C8F3D45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120 000</w:t>
            </w:r>
          </w:p>
        </w:tc>
        <w:tc>
          <w:tcPr>
            <w:tcW w:w="0" w:type="auto"/>
            <w:hideMark/>
          </w:tcPr>
          <w:p w14:paraId="2E2E63CC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75 000</w:t>
            </w:r>
          </w:p>
        </w:tc>
        <w:tc>
          <w:tcPr>
            <w:tcW w:w="0" w:type="auto"/>
            <w:hideMark/>
          </w:tcPr>
          <w:p w14:paraId="44B759E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4900059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200 000</w:t>
            </w:r>
          </w:p>
        </w:tc>
      </w:tr>
      <w:tr w:rsidR="000E7F50" w:rsidRPr="00A73FCB" w14:paraId="056946A9" w14:textId="77777777" w:rsidTr="00A73FCB">
        <w:trPr>
          <w:trHeight w:val="454"/>
        </w:trPr>
        <w:tc>
          <w:tcPr>
            <w:tcW w:w="1980" w:type="dxa"/>
            <w:vMerge w:val="restart"/>
            <w:hideMark/>
          </w:tcPr>
          <w:p w14:paraId="564719C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E. Международное сотрудничество</w:t>
            </w:r>
          </w:p>
        </w:tc>
        <w:tc>
          <w:tcPr>
            <w:tcW w:w="4207" w:type="dxa"/>
            <w:hideMark/>
          </w:tcPr>
          <w:p w14:paraId="00B61071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Международная сертификация</w:t>
            </w:r>
          </w:p>
        </w:tc>
        <w:tc>
          <w:tcPr>
            <w:tcW w:w="5401" w:type="dxa"/>
            <w:hideMark/>
          </w:tcPr>
          <w:p w14:paraId="63A1644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СЕРТИФИКАЦИИ CE/IEC, аудит, испытания, документация</w:t>
            </w:r>
          </w:p>
        </w:tc>
        <w:tc>
          <w:tcPr>
            <w:tcW w:w="0" w:type="auto"/>
            <w:hideMark/>
          </w:tcPr>
          <w:p w14:paraId="41914F4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7E9B981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322735E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254C912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25 000</w:t>
            </w:r>
          </w:p>
        </w:tc>
      </w:tr>
      <w:tr w:rsidR="000E7F50" w:rsidRPr="00A73FCB" w14:paraId="1BD9D88A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32C86B6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4DCE30F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Трансграничные проекты</w:t>
            </w:r>
          </w:p>
        </w:tc>
        <w:tc>
          <w:tcPr>
            <w:tcW w:w="5401" w:type="dxa"/>
            <w:hideMark/>
          </w:tcPr>
          <w:p w14:paraId="7A39D4B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Участие в региональных инициативах по ВИЭ, командировки, договорённости</w:t>
            </w:r>
          </w:p>
        </w:tc>
        <w:tc>
          <w:tcPr>
            <w:tcW w:w="0" w:type="auto"/>
            <w:hideMark/>
          </w:tcPr>
          <w:p w14:paraId="17A3426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  <w:tc>
          <w:tcPr>
            <w:tcW w:w="0" w:type="auto"/>
            <w:hideMark/>
          </w:tcPr>
          <w:p w14:paraId="6D377169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0306BCF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348CE27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0E7F50" w:rsidRPr="00A73FCB" w14:paraId="3ECEF5AC" w14:textId="77777777" w:rsidTr="00A73FCB">
        <w:trPr>
          <w:trHeight w:val="145"/>
        </w:trPr>
        <w:tc>
          <w:tcPr>
            <w:tcW w:w="1980" w:type="dxa"/>
            <w:vMerge/>
            <w:hideMark/>
          </w:tcPr>
          <w:p w14:paraId="0F54EBA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07" w:type="dxa"/>
            <w:hideMark/>
          </w:tcPr>
          <w:p w14:paraId="47E1C82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Привлечение грантов</w:t>
            </w:r>
          </w:p>
        </w:tc>
        <w:tc>
          <w:tcPr>
            <w:tcW w:w="5401" w:type="dxa"/>
            <w:hideMark/>
          </w:tcPr>
          <w:p w14:paraId="3BC9440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Подготовка заявок, сопровождение проектов, консультационные услуги</w:t>
            </w:r>
          </w:p>
        </w:tc>
        <w:tc>
          <w:tcPr>
            <w:tcW w:w="0" w:type="auto"/>
            <w:hideMark/>
          </w:tcPr>
          <w:p w14:paraId="3342DC8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27127AF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0B04F6E2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587FEDB4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10 000</w:t>
            </w:r>
          </w:p>
        </w:tc>
      </w:tr>
      <w:tr w:rsidR="000E7F50" w:rsidRPr="00A73FCB" w14:paraId="40D59D78" w14:textId="77777777" w:rsidTr="00A73FCB">
        <w:trPr>
          <w:trHeight w:val="227"/>
        </w:trPr>
        <w:tc>
          <w:tcPr>
            <w:tcW w:w="11588" w:type="dxa"/>
            <w:gridSpan w:val="3"/>
            <w:hideMark/>
          </w:tcPr>
          <w:p w14:paraId="24B394D0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 E</w:t>
            </w:r>
          </w:p>
        </w:tc>
        <w:tc>
          <w:tcPr>
            <w:tcW w:w="0" w:type="auto"/>
            <w:hideMark/>
          </w:tcPr>
          <w:p w14:paraId="1860B46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25 000</w:t>
            </w:r>
          </w:p>
        </w:tc>
        <w:tc>
          <w:tcPr>
            <w:tcW w:w="0" w:type="auto"/>
            <w:hideMark/>
          </w:tcPr>
          <w:p w14:paraId="50F66A4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20 000</w:t>
            </w:r>
          </w:p>
        </w:tc>
        <w:tc>
          <w:tcPr>
            <w:tcW w:w="0" w:type="auto"/>
            <w:hideMark/>
          </w:tcPr>
          <w:p w14:paraId="1858E85D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5 000</w:t>
            </w:r>
          </w:p>
        </w:tc>
        <w:tc>
          <w:tcPr>
            <w:tcW w:w="0" w:type="auto"/>
            <w:hideMark/>
          </w:tcPr>
          <w:p w14:paraId="25D6E9D7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50 000</w:t>
            </w:r>
          </w:p>
        </w:tc>
      </w:tr>
      <w:tr w:rsidR="000E7F50" w:rsidRPr="00A73FCB" w14:paraId="1181515E" w14:textId="77777777" w:rsidTr="00A73FCB">
        <w:trPr>
          <w:trHeight w:val="227"/>
        </w:trPr>
        <w:tc>
          <w:tcPr>
            <w:tcW w:w="11588" w:type="dxa"/>
            <w:gridSpan w:val="3"/>
            <w:hideMark/>
          </w:tcPr>
          <w:p w14:paraId="5E06DF8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ИТОГО ВСЕГО</w:t>
            </w:r>
          </w:p>
        </w:tc>
        <w:tc>
          <w:tcPr>
            <w:tcW w:w="0" w:type="auto"/>
            <w:hideMark/>
          </w:tcPr>
          <w:p w14:paraId="48BB380E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917 000</w:t>
            </w:r>
          </w:p>
        </w:tc>
        <w:tc>
          <w:tcPr>
            <w:tcW w:w="0" w:type="auto"/>
            <w:hideMark/>
          </w:tcPr>
          <w:p w14:paraId="51625963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445 000</w:t>
            </w:r>
          </w:p>
        </w:tc>
        <w:tc>
          <w:tcPr>
            <w:tcW w:w="0" w:type="auto"/>
            <w:hideMark/>
          </w:tcPr>
          <w:p w14:paraId="450BFECF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48 000</w:t>
            </w:r>
          </w:p>
        </w:tc>
        <w:tc>
          <w:tcPr>
            <w:tcW w:w="0" w:type="auto"/>
            <w:hideMark/>
          </w:tcPr>
          <w:p w14:paraId="783B2EDA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73FCB">
              <w:rPr>
                <w:rFonts w:eastAsia="Times New Roman"/>
                <w:sz w:val="24"/>
                <w:szCs w:val="24"/>
              </w:rPr>
              <w:t>1 410 000</w:t>
            </w:r>
          </w:p>
        </w:tc>
      </w:tr>
      <w:tr w:rsidR="000E7F50" w:rsidRPr="00A73FCB" w14:paraId="1392AF3B" w14:textId="77777777" w:rsidTr="00A73FCB">
        <w:trPr>
          <w:trHeight w:val="211"/>
        </w:trPr>
        <w:tc>
          <w:tcPr>
            <w:tcW w:w="15182" w:type="dxa"/>
            <w:gridSpan w:val="7"/>
          </w:tcPr>
          <w:p w14:paraId="291B337B" w14:textId="77777777" w:rsidR="000E7F50" w:rsidRPr="00A73FCB" w:rsidRDefault="000E7F50" w:rsidP="003C63B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val="ru-RU"/>
              </w:rPr>
            </w:pPr>
            <w:r w:rsidRPr="00A73FCB">
              <w:rPr>
                <w:rFonts w:eastAsia="Times New Roman"/>
                <w:sz w:val="24"/>
                <w:szCs w:val="24"/>
                <w:lang w:val="ru-RU"/>
              </w:rPr>
              <w:t>Примечание: составлено автором</w:t>
            </w:r>
          </w:p>
        </w:tc>
      </w:tr>
    </w:tbl>
    <w:p w14:paraId="7D593116" w14:textId="77777777" w:rsidR="000E7F50" w:rsidRDefault="000E7F50" w:rsidP="000E7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sectPr w:rsidR="000E7F50" w:rsidSect="000E7F5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1BD2435" w14:textId="77777777" w:rsidR="000E7F50" w:rsidRPr="00CD3E3E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E3E">
        <w:rPr>
          <w:rFonts w:ascii="Times New Roman" w:hAnsi="Times New Roman" w:cs="Times New Roman"/>
          <w:sz w:val="28"/>
          <w:szCs w:val="28"/>
        </w:rPr>
        <w:lastRenderedPageBreak/>
        <w:t>Формирование бюджета реализуется в соответствии с внутренней архитектурой управленческой модели, представленной в виде пяти инструментальных блоков. Такая структура позволяет обеспечить прямую преемственность между исходными признаками нестабильности, инструментами адаптации и ожидаемыми экономическими и экологическими эффектами. Расходы каждого блока соотносятся с его функциональным назначением, технологическим содержанием и организационными задачами, что обеспечивает полноту охвата мероприятий, минимизацию дублирующих затрат и согласование стратегических целей с операционными действиями.</w:t>
      </w:r>
    </w:p>
    <w:p w14:paraId="3022F1FA" w14:textId="77777777" w:rsidR="000E7F50" w:rsidRPr="00CD3E3E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E3E">
        <w:rPr>
          <w:rFonts w:ascii="Times New Roman" w:hAnsi="Times New Roman" w:cs="Times New Roman"/>
          <w:sz w:val="28"/>
          <w:szCs w:val="28"/>
        </w:rPr>
        <w:t>Подобная логика бюджетирования служит фундаментом для последующей оценки экономической результативности программы. Наличие чётких инструментальных компонентов позволяет формировать релевантные показатели NPV, IRR и ROI, анализировать мультипликативные эффекты и проводить сценарную оценку устойчивости. Таким образом, бюджет выступает не просто финансовым планом, а структурным элементом управленческой модели, связывающим экономические ограничения, технологические решения и стратегические приоритеты.</w:t>
      </w:r>
    </w:p>
    <w:p w14:paraId="47A9CCCD" w14:textId="77777777" w:rsidR="000E7F50" w:rsidRPr="00555B85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B85">
        <w:rPr>
          <w:rFonts w:ascii="Times New Roman" w:hAnsi="Times New Roman" w:cs="Times New Roman"/>
          <w:sz w:val="28"/>
          <w:szCs w:val="28"/>
        </w:rPr>
        <w:t>Оценка экономической эффективности внедрения корпоративной модели зелёного роста основана на анализе длинного инвестиционного цикла, характерного для проектов энергетической и технологической модернизации. В отличие от краткосрочных проектов, ориентированных на быстрый возврат капитала, внедрение зелёных технологий формирует распределённый во времени экономический эффект, обусловленный постепенным снижением операционных издержек, оптимизацией производственных процессов и продлением жизненного цикла основных фондов.</w:t>
      </w:r>
    </w:p>
    <w:p w14:paraId="5822AB2A" w14:textId="77777777" w:rsidR="000E7F50" w:rsidRPr="00555B85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B85">
        <w:rPr>
          <w:rFonts w:ascii="Times New Roman" w:hAnsi="Times New Roman" w:cs="Times New Roman"/>
          <w:sz w:val="28"/>
          <w:szCs w:val="28"/>
        </w:rPr>
        <w:t>Методически расчёт эффективности выполнен на основе интегральной модели денежного потока на горизонте 15 лет, включающей капитальные вложения (CAPEX), операционные расходы (OPEX), ежегодную экономию затрат от внедрения энергоэффективных решений, а также долгосрочный экологический и институциональный эффект, выражающийся в снижении выбросов CO₂ и повышении ESG-устойчивости компании. Такой подход соответствует международной практике анализа проектов в области энергетики и устойчивого развития и обеспечивает оценку полной стоимости владения технологическими активами.</w:t>
      </w:r>
    </w:p>
    <w:p w14:paraId="450D4A2B" w14:textId="77777777" w:rsidR="000E7F50" w:rsidRPr="00555B85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B85">
        <w:rPr>
          <w:rFonts w:ascii="Times New Roman" w:hAnsi="Times New Roman" w:cs="Times New Roman"/>
          <w:sz w:val="28"/>
          <w:szCs w:val="28"/>
        </w:rPr>
        <w:t>Экономическая модель опирается на три ключевых показателя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555B85">
        <w:rPr>
          <w:rFonts w:ascii="Times New Roman" w:hAnsi="Times New Roman" w:cs="Times New Roman"/>
          <w:sz w:val="28"/>
          <w:szCs w:val="28"/>
        </w:rPr>
        <w:t xml:space="preserve"> чистую приведённую стоимость (NPV), внутреннюю норму доходности (IRR) и рентабельность инвестиций (ROI)</w:t>
      </w:r>
      <w:r>
        <w:rPr>
          <w:rFonts w:ascii="Times New Roman" w:hAnsi="Times New Roman" w:cs="Times New Roman"/>
          <w:sz w:val="28"/>
          <w:szCs w:val="28"/>
        </w:rPr>
        <w:t xml:space="preserve"> [150]</w:t>
      </w:r>
      <w:r w:rsidRPr="00555B85">
        <w:rPr>
          <w:rFonts w:ascii="Times New Roman" w:hAnsi="Times New Roman" w:cs="Times New Roman"/>
          <w:sz w:val="28"/>
          <w:szCs w:val="28"/>
        </w:rPr>
        <w:t>. Новая базовая ставка НБРК (18%), введённая 10 октября 2025 г., используется как ставка дисконтирования, что делает расчёты консервативными и отражающими реальную стоимость капитала в условиях жёсткой денежно-кредитной политики.</w:t>
      </w:r>
    </w:p>
    <w:p w14:paraId="29E31A48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 xml:space="preserve">Оценка экономической эффективности внедрения корпоративной модели зелёного роста опирается на анализ расширенного инвестиционного цикла, характерного для проектов энергетической модернизации и цифровизации инфраструктуры. В отличие от краткосрочных инициатив, направленных на </w:t>
      </w:r>
      <w:r w:rsidRPr="00AC087F">
        <w:rPr>
          <w:rFonts w:ascii="Times New Roman" w:hAnsi="Times New Roman" w:cs="Times New Roman"/>
          <w:sz w:val="28"/>
          <w:szCs w:val="28"/>
        </w:rPr>
        <w:lastRenderedPageBreak/>
        <w:t>быстрый возврат капитала, зелёные технологические решения создают распределённый по времени интегральный эффект, обусловленный постепенным снижением операционных расходов, оптимизацией производственных процессов и увеличением срока службы активов.</w:t>
      </w:r>
    </w:p>
    <w:p w14:paraId="0873FAA6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 xml:space="preserve">Методологическая основа включает построение модели дисконтированных денежных потоков на горизонте 15 лет, охватывающей капитальные вложения (CAPEX), эксплуатационные расходы (OPEX), ежегодную экономию затрат вследствие повышения энергоэффективности, а также долгосрочные экологические и институциональные выгоды. Такой подход обеспечивает оценку полной стоимости владения активами (Total Cost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Ownership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>) и соответствует международной практике анализа инвестиций в устойчивую энергетику.</w:t>
      </w:r>
    </w:p>
    <w:p w14:paraId="64637883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 xml:space="preserve">Совокупный размер </w:t>
      </w:r>
      <w:proofErr w:type="gramStart"/>
      <w:r w:rsidRPr="00AC087F">
        <w:rPr>
          <w:rFonts w:ascii="Times New Roman" w:hAnsi="Times New Roman" w:cs="Times New Roman"/>
          <w:sz w:val="28"/>
          <w:szCs w:val="28"/>
        </w:rPr>
        <w:t>капитальных вложений согласно трёхлетнему бюджету</w:t>
      </w:r>
      <w:proofErr w:type="gramEnd"/>
      <w:r w:rsidRPr="00AC087F">
        <w:rPr>
          <w:rFonts w:ascii="Times New Roman" w:hAnsi="Times New Roman" w:cs="Times New Roman"/>
          <w:sz w:val="28"/>
          <w:szCs w:val="28"/>
        </w:rPr>
        <w:t xml:space="preserve"> составляет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I₀ = 1 410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>,</w:t>
      </w:r>
      <w:r w:rsidRPr="00AC08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>где годовые затраты распределены следующим образом: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917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2026г</w:t>
      </w:r>
      <w:r w:rsidRPr="00AC087F">
        <w:rPr>
          <w:rFonts w:ascii="Times New Roman" w:hAnsi="Times New Roman" w:cs="Times New Roman"/>
          <w:sz w:val="28"/>
          <w:szCs w:val="28"/>
        </w:rPr>
        <w:t xml:space="preserve">), 445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2027г</w:t>
      </w:r>
      <w:r w:rsidRPr="00AC087F">
        <w:rPr>
          <w:rFonts w:ascii="Times New Roman" w:hAnsi="Times New Roman" w:cs="Times New Roman"/>
          <w:sz w:val="28"/>
          <w:szCs w:val="28"/>
        </w:rPr>
        <w:t xml:space="preserve">), 48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2028г</w:t>
      </w:r>
      <w:r w:rsidRPr="00AC087F">
        <w:rPr>
          <w:rFonts w:ascii="Times New Roman" w:hAnsi="Times New Roman" w:cs="Times New Roman"/>
          <w:sz w:val="28"/>
          <w:szCs w:val="28"/>
        </w:rPr>
        <w:t>).</w:t>
      </w:r>
    </w:p>
    <w:p w14:paraId="57131AFF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Экономия затрат начиная с 4-го года эксплуатации: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CF = 480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 xml:space="preserve"> ежегодно,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на протяжении 12 лет (с 4-го по </w:t>
      </w:r>
      <w:proofErr w:type="gramStart"/>
      <w:r w:rsidRPr="00AC087F">
        <w:rPr>
          <w:rFonts w:ascii="Times New Roman" w:hAnsi="Times New Roman" w:cs="Times New Roman"/>
          <w:sz w:val="28"/>
          <w:szCs w:val="28"/>
        </w:rPr>
        <w:t>15-й</w:t>
      </w:r>
      <w:proofErr w:type="gramEnd"/>
      <w:r w:rsidRPr="00AC087F">
        <w:rPr>
          <w:rFonts w:ascii="Times New Roman" w:hAnsi="Times New Roman" w:cs="Times New Roman"/>
          <w:sz w:val="28"/>
          <w:szCs w:val="28"/>
        </w:rPr>
        <w:t xml:space="preserve"> год).</w:t>
      </w:r>
    </w:p>
    <w:p w14:paraId="12FF8793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Для расчёта NPV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>используется формула приведённой стоимости аннуитета:</w:t>
      </w:r>
    </w:p>
    <w:p w14:paraId="7000CB32" w14:textId="07D0B363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PV=CF⋅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1-(1+r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 </w:t>
      </w:r>
      <w:r w:rsidRPr="00503DE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(</w:t>
      </w:r>
      <w:r w:rsidR="00A73FCB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5</w:t>
      </w:r>
      <w:r w:rsidRPr="00503DE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)</w:t>
      </w:r>
      <w:r w:rsidRPr="00AC087F">
        <w:rPr>
          <w:rFonts w:ascii="Times New Roman" w:hAnsi="Times New Roman" w:cs="Times New Roman"/>
          <w:iCs/>
          <w:sz w:val="28"/>
          <w:szCs w:val="28"/>
        </w:rPr>
        <w:br/>
      </w:r>
    </w:p>
    <w:p w14:paraId="6980313A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C087F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AC087F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AC087F">
        <w:rPr>
          <w:rFonts w:ascii="Times New Roman" w:hAnsi="Times New Roman" w:cs="Times New Roman"/>
          <w:sz w:val="28"/>
          <w:szCs w:val="28"/>
        </w:rPr>
        <w:t xml:space="preserve"> = 0.18 — ставка дисконтирования,</w:t>
      </w:r>
    </w:p>
    <w:p w14:paraId="75ED65D8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T = 12 — срок эксплуатации.</w:t>
      </w:r>
    </w:p>
    <w:p w14:paraId="2F68FF43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Промежуточные вычисления:</w:t>
      </w:r>
    </w:p>
    <w:p w14:paraId="6A15877A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(1+r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12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1.18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12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≈6.43,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  <m:oMath>
          <m:r>
            <w:rPr>
              <w:rFonts w:ascii="Cambria Math" w:hAnsi="Cambria Math" w:cs="Times New Roman"/>
              <w:sz w:val="28"/>
              <w:szCs w:val="28"/>
            </w:rPr>
            <m:t>(1+r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=1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/</m:t>
          </m:r>
          <m:r>
            <w:rPr>
              <w:rFonts w:ascii="Cambria Math" w:hAnsi="Cambria Math" w:cs="Times New Roman"/>
              <w:sz w:val="28"/>
              <w:szCs w:val="28"/>
            </w:rPr>
            <m:t>6.43≈0.1555,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  <m:oMath>
          <m:r>
            <w:rPr>
              <w:rFonts w:ascii="Cambria Math" w:hAnsi="Cambria Math" w:cs="Times New Roman"/>
              <w:sz w:val="28"/>
              <w:szCs w:val="28"/>
            </w:rPr>
            <m:t>1-(1+r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0.8445.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</w:p>
    <w:p w14:paraId="56FB40DD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Отсюда:</w:t>
      </w:r>
    </w:p>
    <w:p w14:paraId="7FF44D8D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PV=480⋅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0.8445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0.18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≈480⋅4.6917≈2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> </m:t>
          </m:r>
          <m:r>
            <w:rPr>
              <w:rFonts w:ascii="Cambria Math" w:hAnsi="Cambria Math" w:cs="Times New Roman"/>
              <w:sz w:val="28"/>
              <w:szCs w:val="28"/>
            </w:rPr>
            <m:t>252.0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 xml:space="preserve"> млн тг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</w:p>
    <w:p w14:paraId="5A50104F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Таким образом, дисконтированная стоимость будущей экономии составляет: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PV ≈ 2 252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>.</w:t>
      </w:r>
    </w:p>
    <w:p w14:paraId="4C8E8ABA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Далее</w:t>
      </w:r>
      <w:r w:rsidRPr="00AC087F">
        <w:rPr>
          <w:rFonts w:ascii="Times New Roman" w:hAnsi="Times New Roman" w:cs="Times New Roman"/>
          <w:sz w:val="28"/>
          <w:szCs w:val="28"/>
        </w:rPr>
        <w:t xml:space="preserve"> определим NPV:</w:t>
      </w:r>
    </w:p>
    <w:p w14:paraId="136CEE38" w14:textId="4E35F3B2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NPV=PV-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r>
          <w:rPr>
            <w:rFonts w:ascii="Cambria Math" w:hAnsi="Cambria Math" w:cs="Times New Roman"/>
            <w:sz w:val="28"/>
            <w:szCs w:val="28"/>
          </w:rPr>
          <m:t>252-1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 </m:t>
        </m:r>
        <m:r>
          <w:rPr>
            <w:rFonts w:ascii="Cambria Math" w:hAnsi="Cambria Math" w:cs="Times New Roman"/>
            <w:sz w:val="28"/>
            <w:szCs w:val="28"/>
          </w:rPr>
          <m:t>410=842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 xml:space="preserve"> млн тг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</w:t>
      </w:r>
      <w:r w:rsidR="00A73FCB">
        <w:rPr>
          <w:rFonts w:ascii="Times New Roman" w:eastAsiaTheme="minorEastAsia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Pr="00AC087F">
        <w:rPr>
          <w:rFonts w:ascii="Times New Roman" w:hAnsi="Times New Roman" w:cs="Times New Roman"/>
          <w:sz w:val="28"/>
          <w:szCs w:val="28"/>
        </w:rPr>
        <w:br/>
      </w:r>
    </w:p>
    <w:p w14:paraId="54FB9C5B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 xml:space="preserve">Итог: NPV = +842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</w:p>
    <w:p w14:paraId="53AA29DF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Проект формирует значительную положительную чистую стоимость, что демонстрирует устойчивую инвестиционную привлекательность.</w:t>
      </w:r>
    </w:p>
    <w:p w14:paraId="42152F8C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Расчёт ROI на 15-летнем горизонте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087F">
        <w:rPr>
          <w:rFonts w:ascii="Times New Roman" w:hAnsi="Times New Roman" w:cs="Times New Roman"/>
          <w:sz w:val="28"/>
          <w:szCs w:val="28"/>
        </w:rPr>
        <w:t>Совокупная экономия:</w:t>
      </w:r>
    </w:p>
    <w:p w14:paraId="4CE1F990" w14:textId="77777777" w:rsidR="00A73FCB" w:rsidRPr="00A73FCB" w:rsidRDefault="00A73FCB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CDD80A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∑CF=480⋅12=5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> </m:t>
          </m:r>
          <m:r>
            <w:rPr>
              <w:rFonts w:ascii="Cambria Math" w:hAnsi="Cambria Math" w:cs="Times New Roman"/>
              <w:sz w:val="28"/>
              <w:szCs w:val="28"/>
            </w:rPr>
            <m:t>760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 xml:space="preserve"> млн тг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</w:p>
    <w:p w14:paraId="10E5CABB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lastRenderedPageBreak/>
        <w:t>Рентабельность инвестиций рассчитывается по формуле:</w:t>
      </w:r>
    </w:p>
    <w:p w14:paraId="5A9F2C44" w14:textId="62C90103" w:rsidR="000E7F50" w:rsidRPr="00AC087F" w:rsidRDefault="000E7F50" w:rsidP="000E7F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ROI=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∑CF-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503DE2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(</w:t>
      </w:r>
      <w:r w:rsidR="00A73FCB" w:rsidRPr="00A73FCB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503DE2">
        <w:rPr>
          <w:rFonts w:ascii="Times New Roman" w:eastAsiaTheme="minorEastAsia" w:hAnsi="Times New Roman" w:cs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>
          <m:r>
            <w:rPr>
              <w:rFonts w:ascii="Cambria Math" w:hAnsi="Cambria Math" w:cs="Times New Roman"/>
              <w:sz w:val="28"/>
              <w:szCs w:val="28"/>
            </w:rPr>
            <m:t>ROI=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 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760-1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 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410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 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410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≈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3.08.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</w:p>
    <w:p w14:paraId="27721FB8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ROI = 308 %</w:t>
      </w:r>
      <w:r>
        <w:rPr>
          <w:rFonts w:ascii="Times New Roman" w:hAnsi="Times New Roman" w:cs="Times New Roman"/>
          <w:sz w:val="28"/>
          <w:szCs w:val="28"/>
          <w:lang w:val="ru-RU"/>
        </w:rPr>
        <w:t>, то есть к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аждый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 xml:space="preserve"> вложенный тенге приносит 3,08 тенге чистой прибыли.</w:t>
      </w:r>
    </w:p>
    <w:p w14:paraId="6037A8B6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Внутренняя норма доходности (IRR)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  <w:lang w:val="ru-RU"/>
        </w:rPr>
        <w:t>формулой</w:t>
      </w:r>
      <w:r w:rsidRPr="00AC087F">
        <w:rPr>
          <w:rFonts w:ascii="Times New Roman" w:hAnsi="Times New Roman" w:cs="Times New Roman"/>
          <w:sz w:val="28"/>
          <w:szCs w:val="28"/>
        </w:rPr>
        <w:t>:</w:t>
      </w:r>
    </w:p>
    <w:p w14:paraId="11955543" w14:textId="77777777" w:rsidR="00A73FCB" w:rsidRPr="00A73FCB" w:rsidRDefault="00A73FCB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504A46" w14:textId="2084F6FA" w:rsidR="000E7F50" w:rsidRPr="00AC087F" w:rsidRDefault="000E7F50" w:rsidP="000E7F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NPV(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)=0.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     </w:t>
      </w:r>
      <w:r w:rsidRPr="00503DE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(</w:t>
      </w:r>
      <w:r w:rsidR="00A73FCB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8</w:t>
      </w:r>
      <w:r w:rsidRPr="00503DE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)</w:t>
      </w:r>
      <w:r w:rsidRPr="00AC087F">
        <w:rPr>
          <w:rFonts w:ascii="Times New Roman" w:hAnsi="Times New Roman" w:cs="Times New Roman"/>
          <w:i/>
          <w:sz w:val="28"/>
          <w:szCs w:val="28"/>
        </w:rPr>
        <w:br/>
      </w:r>
    </w:p>
    <w:p w14:paraId="6D3E3871" w14:textId="77777777" w:rsidR="000E7F50" w:rsidRPr="00204B63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Для структуры потока: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3 года инвестиций: 917, 445, 48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C087F">
        <w:rPr>
          <w:rFonts w:ascii="Times New Roman" w:hAnsi="Times New Roman" w:cs="Times New Roman"/>
          <w:sz w:val="28"/>
          <w:szCs w:val="28"/>
        </w:rPr>
        <w:t xml:space="preserve">12 лет экономии по 480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IRR </w:t>
      </w:r>
      <w:r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AC087F">
        <w:rPr>
          <w:rFonts w:ascii="Times New Roman" w:hAnsi="Times New Roman" w:cs="Times New Roman"/>
          <w:sz w:val="28"/>
          <w:szCs w:val="28"/>
        </w:rPr>
        <w:t xml:space="preserve"> 22%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Как видно, </w:t>
      </w:r>
      <w:r w:rsidRPr="00AC087F">
        <w:rPr>
          <w:rFonts w:ascii="Times New Roman" w:hAnsi="Times New Roman" w:cs="Times New Roman"/>
          <w:sz w:val="28"/>
          <w:szCs w:val="28"/>
        </w:rPr>
        <w:t xml:space="preserve">IRR </w:t>
      </w:r>
      <w:r w:rsidRPr="00AC087F">
        <w:rPr>
          <w:rFonts w:ascii="Times New Roman" w:hAnsi="Times New Roman" w:cs="Times New Roman"/>
          <w:sz w:val="28"/>
          <w:szCs w:val="28"/>
          <w:lang w:val="ru-RU"/>
        </w:rPr>
        <w:t xml:space="preserve">значительно превышает WACC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204B63">
        <w:rPr>
          <w:rFonts w:ascii="Times New Roman" w:hAnsi="Times New Roman" w:cs="Times New Roman"/>
          <w:sz w:val="28"/>
          <w:szCs w:val="28"/>
          <w:lang w:val="ru-RU"/>
        </w:rPr>
        <w:t xml:space="preserve">средневзвешенная стоимость капитала) находится в диапазоне </w:t>
      </w:r>
      <w:r w:rsidRPr="00AC087F">
        <w:rPr>
          <w:rFonts w:ascii="Times New Roman" w:hAnsi="Times New Roman" w:cs="Times New Roman"/>
          <w:sz w:val="28"/>
          <w:szCs w:val="28"/>
          <w:lang w:val="ru-RU"/>
        </w:rPr>
        <w:t xml:space="preserve">12–13 % для </w:t>
      </w:r>
      <w:r w:rsidRPr="00204B63">
        <w:rPr>
          <w:rFonts w:ascii="Times New Roman" w:hAnsi="Times New Roman" w:cs="Times New Roman"/>
          <w:sz w:val="28"/>
          <w:szCs w:val="28"/>
          <w:lang w:val="ru-RU"/>
        </w:rPr>
        <w:t>энергетического и промышленного профиля Казахстана</w:t>
      </w:r>
      <w:r w:rsidRPr="00AC087F">
        <w:rPr>
          <w:rFonts w:ascii="Times New Roman" w:hAnsi="Times New Roman" w:cs="Times New Roman"/>
          <w:sz w:val="28"/>
          <w:szCs w:val="28"/>
          <w:lang w:val="ru-RU"/>
        </w:rPr>
        <w:t xml:space="preserve"> и близок к порогу высокой доходности корпоративных энергетических проектов.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7083F2A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Прогноз прибыли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087F">
        <w:rPr>
          <w:rFonts w:ascii="Times New Roman" w:hAnsi="Times New Roman" w:cs="Times New Roman"/>
          <w:sz w:val="28"/>
          <w:szCs w:val="28"/>
        </w:rPr>
        <w:t xml:space="preserve">Период выхода на устойчивый режим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составляет </w:t>
      </w:r>
      <w:r w:rsidRPr="00AC087F">
        <w:rPr>
          <w:rFonts w:ascii="Times New Roman" w:hAnsi="Times New Roman" w:cs="Times New Roman"/>
          <w:sz w:val="28"/>
          <w:szCs w:val="28"/>
        </w:rPr>
        <w:t>3 года.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этом, </w:t>
      </w:r>
      <w:r w:rsidRPr="00AC087F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AC087F">
        <w:rPr>
          <w:rFonts w:ascii="Times New Roman" w:hAnsi="Times New Roman" w:cs="Times New Roman"/>
          <w:sz w:val="28"/>
          <w:szCs w:val="28"/>
        </w:rPr>
        <w:t>4-го</w:t>
      </w:r>
      <w:proofErr w:type="gramEnd"/>
      <w:r w:rsidRPr="00AC087F">
        <w:rPr>
          <w:rFonts w:ascii="Times New Roman" w:hAnsi="Times New Roman" w:cs="Times New Roman"/>
          <w:sz w:val="28"/>
          <w:szCs w:val="28"/>
        </w:rPr>
        <w:t xml:space="preserve"> года ежегодная экономия составляет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087F">
        <w:rPr>
          <w:rFonts w:ascii="Times New Roman" w:hAnsi="Times New Roman" w:cs="Times New Roman"/>
          <w:sz w:val="28"/>
          <w:szCs w:val="28"/>
        </w:rPr>
        <w:t xml:space="preserve">480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>/год.</w:t>
      </w:r>
    </w:p>
    <w:p w14:paraId="626BE853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Кумулятивная прибыль за 10 лет устойчивой эксплуатации (годы 4–13)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составит 480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млн.тг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*10 лет=4 800 млн тенге</w:t>
      </w:r>
    </w:p>
    <w:p w14:paraId="60BCAF96" w14:textId="252F15B3" w:rsidR="000E7F50" w:rsidRPr="00AC087F" w:rsidRDefault="0074237C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Start"/>
      <w:r w:rsidR="000E7F50" w:rsidRPr="00AC087F">
        <w:rPr>
          <w:rFonts w:ascii="Times New Roman" w:hAnsi="Times New Roman" w:cs="Times New Roman"/>
          <w:sz w:val="28"/>
          <w:szCs w:val="28"/>
        </w:rPr>
        <w:t>еальная</w:t>
      </w:r>
      <w:proofErr w:type="spellEnd"/>
      <w:r w:rsidR="000E7F50" w:rsidRPr="00AC087F">
        <w:rPr>
          <w:rFonts w:ascii="Times New Roman" w:hAnsi="Times New Roman" w:cs="Times New Roman"/>
          <w:sz w:val="28"/>
          <w:szCs w:val="28"/>
        </w:rPr>
        <w:t xml:space="preserve"> прибыль компании </w:t>
      </w:r>
      <w:r w:rsidR="000E7F50">
        <w:rPr>
          <w:rFonts w:ascii="Times New Roman" w:hAnsi="Times New Roman" w:cs="Times New Roman"/>
          <w:sz w:val="28"/>
          <w:szCs w:val="28"/>
          <w:lang w:val="ru-RU"/>
        </w:rPr>
        <w:t xml:space="preserve">составит </w:t>
      </w:r>
      <w:r w:rsidR="000E7F50" w:rsidRPr="00204B63">
        <w:rPr>
          <w:rFonts w:ascii="Times New Roman" w:hAnsi="Times New Roman" w:cs="Times New Roman"/>
          <w:sz w:val="28"/>
          <w:szCs w:val="28"/>
        </w:rPr>
        <w:t>480</w:t>
      </w:r>
      <w:r w:rsidR="000E7F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E7F50">
        <w:rPr>
          <w:rFonts w:ascii="Times New Roman" w:hAnsi="Times New Roman" w:cs="Times New Roman"/>
          <w:sz w:val="28"/>
          <w:szCs w:val="28"/>
          <w:lang w:val="ru-RU"/>
        </w:rPr>
        <w:t>млн.тг</w:t>
      </w:r>
      <w:proofErr w:type="gramEnd"/>
      <w:r w:rsidR="000E7F50">
        <w:rPr>
          <w:rFonts w:ascii="Times New Roman" w:hAnsi="Times New Roman" w:cs="Times New Roman"/>
          <w:sz w:val="28"/>
          <w:szCs w:val="28"/>
          <w:lang w:val="ru-RU"/>
        </w:rPr>
        <w:t xml:space="preserve">-141 </w:t>
      </w:r>
      <w:proofErr w:type="spellStart"/>
      <w:proofErr w:type="gramStart"/>
      <w:r w:rsidR="000E7F50">
        <w:rPr>
          <w:rFonts w:ascii="Times New Roman" w:hAnsi="Times New Roman" w:cs="Times New Roman"/>
          <w:sz w:val="28"/>
          <w:szCs w:val="28"/>
          <w:lang w:val="ru-RU"/>
        </w:rPr>
        <w:t>млн.тг</w:t>
      </w:r>
      <w:proofErr w:type="spellEnd"/>
      <w:proofErr w:type="gramEnd"/>
      <w:r w:rsidR="000E7F50" w:rsidRPr="00204B63">
        <w:rPr>
          <w:rFonts w:ascii="Times New Roman" w:hAnsi="Times New Roman" w:cs="Times New Roman"/>
          <w:sz w:val="28"/>
          <w:szCs w:val="28"/>
        </w:rPr>
        <w:t>=3390 млн т</w:t>
      </w:r>
      <w:proofErr w:type="spellStart"/>
      <w:r w:rsidR="000E7F50">
        <w:rPr>
          <w:rFonts w:ascii="Times New Roman" w:hAnsi="Times New Roman" w:cs="Times New Roman"/>
          <w:sz w:val="28"/>
          <w:szCs w:val="28"/>
          <w:lang w:val="ru-RU"/>
        </w:rPr>
        <w:t>енге</w:t>
      </w:r>
      <w:proofErr w:type="spellEnd"/>
      <w:r w:rsidR="000E7F5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1A8FBDD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</w:t>
      </w:r>
      <w:r w:rsidRPr="00AC087F">
        <w:rPr>
          <w:rFonts w:ascii="Times New Roman" w:hAnsi="Times New Roman" w:cs="Times New Roman"/>
          <w:sz w:val="28"/>
          <w:szCs w:val="28"/>
        </w:rPr>
        <w:t>счёты подтверждают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экономические выводы:</w:t>
      </w:r>
    </w:p>
    <w:p w14:paraId="0AD3161E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1. Высокую экономическую эффективность проекта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087F">
        <w:rPr>
          <w:rFonts w:ascii="Times New Roman" w:hAnsi="Times New Roman" w:cs="Times New Roman"/>
          <w:sz w:val="28"/>
          <w:szCs w:val="28"/>
        </w:rPr>
        <w:t xml:space="preserve">NPV = +842 млн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тг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то есть </w:t>
      </w:r>
      <w:r w:rsidRPr="00AC087F">
        <w:rPr>
          <w:rFonts w:ascii="Times New Roman" w:hAnsi="Times New Roman" w:cs="Times New Roman"/>
          <w:sz w:val="28"/>
          <w:szCs w:val="28"/>
        </w:rPr>
        <w:t>устойчивый положительный эффект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F0445A7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ROI = 308%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 есть </w:t>
      </w:r>
      <w:r w:rsidRPr="00AC087F">
        <w:rPr>
          <w:rFonts w:ascii="Times New Roman" w:hAnsi="Times New Roman" w:cs="Times New Roman"/>
          <w:sz w:val="28"/>
          <w:szCs w:val="28"/>
        </w:rPr>
        <w:t>высокое отношение прибыли к инвестициям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1F0FFD2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87F">
        <w:rPr>
          <w:rFonts w:ascii="Times New Roman" w:hAnsi="Times New Roman" w:cs="Times New Roman"/>
          <w:sz w:val="28"/>
          <w:szCs w:val="28"/>
        </w:rPr>
        <w:t>IRR = 22%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 есть </w:t>
      </w:r>
      <w:r w:rsidRPr="00AC087F">
        <w:rPr>
          <w:rFonts w:ascii="Times New Roman" w:hAnsi="Times New Roman" w:cs="Times New Roman"/>
          <w:sz w:val="28"/>
          <w:szCs w:val="28"/>
        </w:rPr>
        <w:t>превышает стоимость капитала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92E132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2. Устойчивость к макроэкономическим рискам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087F">
        <w:rPr>
          <w:rFonts w:ascii="Times New Roman" w:hAnsi="Times New Roman" w:cs="Times New Roman"/>
          <w:sz w:val="28"/>
          <w:szCs w:val="28"/>
        </w:rPr>
        <w:t xml:space="preserve">Проект остаётся выгодным даже при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выросшей </w:t>
      </w:r>
      <w:r w:rsidRPr="00AC087F">
        <w:rPr>
          <w:rFonts w:ascii="Times New Roman" w:hAnsi="Times New Roman" w:cs="Times New Roman"/>
          <w:sz w:val="28"/>
          <w:szCs w:val="28"/>
        </w:rPr>
        <w:t>ставке дисконтирования 18%.</w:t>
      </w:r>
    </w:p>
    <w:p w14:paraId="7ED6270F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3. Формирование долгосрочного конкурентного преимущества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087F">
        <w:rPr>
          <w:rFonts w:ascii="Times New Roman" w:hAnsi="Times New Roman" w:cs="Times New Roman"/>
          <w:sz w:val="28"/>
          <w:szCs w:val="28"/>
        </w:rPr>
        <w:t xml:space="preserve">Снижение операционных затрат на 20–25%, улучшение ESG-профиля, повышение </w:t>
      </w:r>
      <w:proofErr w:type="spellStart"/>
      <w:r w:rsidRPr="00AC087F">
        <w:rPr>
          <w:rFonts w:ascii="Times New Roman" w:hAnsi="Times New Roman" w:cs="Times New Roman"/>
          <w:sz w:val="28"/>
          <w:szCs w:val="28"/>
        </w:rPr>
        <w:t>энергоустойчивости</w:t>
      </w:r>
      <w:proofErr w:type="spellEnd"/>
      <w:r w:rsidRPr="00AC087F">
        <w:rPr>
          <w:rFonts w:ascii="Times New Roman" w:hAnsi="Times New Roman" w:cs="Times New Roman"/>
          <w:sz w:val="28"/>
          <w:szCs w:val="28"/>
        </w:rPr>
        <w:t>.</w:t>
      </w:r>
    </w:p>
    <w:p w14:paraId="78A559DD" w14:textId="77777777" w:rsidR="000E7F50" w:rsidRPr="00AC087F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87F">
        <w:rPr>
          <w:rFonts w:ascii="Times New Roman" w:hAnsi="Times New Roman" w:cs="Times New Roman"/>
          <w:sz w:val="28"/>
          <w:szCs w:val="28"/>
        </w:rPr>
        <w:t>4. Существенный экологический эффект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C087F">
        <w:rPr>
          <w:rFonts w:ascii="Times New Roman" w:hAnsi="Times New Roman" w:cs="Times New Roman"/>
          <w:sz w:val="28"/>
          <w:szCs w:val="28"/>
        </w:rPr>
        <w:t>Снижение выбросов CO₂ на 20–30%, что усиливает привлекательность компании для инвесторов и регулирующих структур.</w:t>
      </w:r>
    </w:p>
    <w:p w14:paraId="7A757761" w14:textId="77777777" w:rsidR="000E7F50" w:rsidRPr="00555B85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B85">
        <w:rPr>
          <w:rFonts w:ascii="Times New Roman" w:hAnsi="Times New Roman" w:cs="Times New Roman"/>
          <w:sz w:val="28"/>
          <w:szCs w:val="28"/>
        </w:rPr>
        <w:t>То есть проект обеспечивает удвоение первоначальных инвестиций без учёта временной стоимости денег.</w:t>
      </w:r>
    </w:p>
    <w:p w14:paraId="0A4176D4" w14:textId="77777777" w:rsidR="00A73FCB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5B85">
        <w:rPr>
          <w:rFonts w:ascii="Times New Roman" w:hAnsi="Times New Roman" w:cs="Times New Roman"/>
          <w:sz w:val="28"/>
          <w:szCs w:val="28"/>
        </w:rPr>
        <w:t>Интерпретация результатов показывает, что предложенная корпоративная модель зелёного роста является финансово устойчивой и формирует значительный совокупный экономический эффект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который </w:t>
      </w:r>
      <w:r w:rsidRPr="00555B85">
        <w:rPr>
          <w:rFonts w:ascii="Times New Roman" w:hAnsi="Times New Roman" w:cs="Times New Roman"/>
          <w:sz w:val="28"/>
          <w:szCs w:val="28"/>
        </w:rPr>
        <w:t xml:space="preserve">достигается благодаря системному снижению энергопотребления, цифровизации процессов, оптимизации эксплуатационных расходов и переходу к возобновляемым источникам энергии. </w:t>
      </w:r>
    </w:p>
    <w:p w14:paraId="0771CD70" w14:textId="142FD66B" w:rsidR="000E7F50" w:rsidRPr="00555B85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B85">
        <w:rPr>
          <w:rFonts w:ascii="Times New Roman" w:hAnsi="Times New Roman" w:cs="Times New Roman"/>
          <w:sz w:val="28"/>
          <w:szCs w:val="28"/>
        </w:rPr>
        <w:lastRenderedPageBreak/>
        <w:t>Существенный вклад в формирование эффекта вносит также снижение непроизводственных потерь, что позволяет стабилизировать операционную деятельность компании и уменьшить чувствительность к рыночным и тарифным шокам.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5B85"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являетс</w:t>
      </w:r>
      <w:proofErr w:type="spellEnd"/>
      <w:r w:rsidRPr="00555B85">
        <w:rPr>
          <w:rFonts w:ascii="Times New Roman" w:hAnsi="Times New Roman" w:cs="Times New Roman"/>
          <w:sz w:val="28"/>
          <w:szCs w:val="28"/>
        </w:rPr>
        <w:t>я эффективным, демонстрирует устойчивый финансовый профиль и способствует формированию долгосрочной корпоративной стратегии зелёного развития.</w:t>
      </w:r>
    </w:p>
    <w:p w14:paraId="33E2E548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>Практическая реализация разработанной управленческой модели зелёного роста на корпоративном уровне требует формирования устойчивой организационной, технологической и институциональной архитектуры, обеспечивающей трансляцию макроэкономических принципов энергоперехода в операционную деятельность предприятий промышленного сектора. Особое значение приобретает адаптация модели под реальные условия казахстанских компаний, отличающиеся высокой энергоёмкостью, изношенностью инфраструктуры, ограниченным доступом к инвестиционным ресурсам, низким уровнем цифровизации процессов энергопотребления и дефицитом квалифицированных кадров в области ВИЭ и энергоэффективности.</w:t>
      </w:r>
    </w:p>
    <w:p w14:paraId="2282B959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>Разработанный инструментарий корпоративной адаптации представляет собой комплекс взаимосвязанных элементов, включающих организационную систему управления, поэтапную дорожную карту внедрения, распределение ролей и ответственности, институциональную инфраструктуру, цифровые решения и механизмы мониторинга эффективности. Данный подход обеспечивает интеграцию модели в производственные процессы предприятия, минимизируя риски расхождения между стратегическими установками и фактическими результатами реализации.</w:t>
      </w:r>
    </w:p>
    <w:p w14:paraId="0C0D5C09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>Ключевым элементом адаптации является формирование корпоративного Центра устойчивого развития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5F2708">
        <w:rPr>
          <w:rFonts w:ascii="Times New Roman" w:hAnsi="Times New Roman" w:cs="Times New Roman"/>
          <w:sz w:val="28"/>
          <w:szCs w:val="28"/>
        </w:rPr>
        <w:t>специализированной функциональной единицы, ответственной за координацию проектов энергоэффективности, распределённой генерации, цифровизации энергопотребления, внедрение регламентов, ESG-отчётность и взаимодействие с государственными и финансовыми институтами. Центр осуществляет стратегическое планирование трансформации, формирует проектный портфель, устанавливает KPI, координирует работу инженерных, ИТ- и финансовых подразделений и обеспечивает внутренний энергетический аудит.</w:t>
      </w:r>
    </w:p>
    <w:p w14:paraId="77906A6E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 xml:space="preserve">Архитектура управления строится на принципах </w:t>
      </w:r>
      <w:proofErr w:type="spellStart"/>
      <w:r w:rsidRPr="005F2708">
        <w:rPr>
          <w:rFonts w:ascii="Times New Roman" w:hAnsi="Times New Roman" w:cs="Times New Roman"/>
          <w:sz w:val="28"/>
          <w:szCs w:val="28"/>
        </w:rPr>
        <w:t>процессности</w:t>
      </w:r>
      <w:proofErr w:type="spellEnd"/>
      <w:r w:rsidRPr="005F2708">
        <w:rPr>
          <w:rFonts w:ascii="Times New Roman" w:hAnsi="Times New Roman" w:cs="Times New Roman"/>
          <w:sz w:val="28"/>
          <w:szCs w:val="28"/>
        </w:rPr>
        <w:t>, прозрачности и иерархичности, что позволяет обеспечить сквозной контроль за ходом внедрения модели, своевременное принятие корректирующих решений и устойчивую интеграцию технологических изменений.</w:t>
      </w:r>
    </w:p>
    <w:p w14:paraId="7A5001C2" w14:textId="09D404E6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708">
        <w:rPr>
          <w:rFonts w:ascii="Times New Roman" w:hAnsi="Times New Roman" w:cs="Times New Roman"/>
          <w:sz w:val="28"/>
          <w:szCs w:val="28"/>
        </w:rPr>
        <w:t>Внедрение управленческой модели осуществляется поэтапно, в соответствии с логикой технологического и организационного цикла предприятия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(таблица 2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F2708">
        <w:rPr>
          <w:rFonts w:ascii="Times New Roman" w:hAnsi="Times New Roman" w:cs="Times New Roman"/>
          <w:sz w:val="28"/>
          <w:szCs w:val="28"/>
        </w:rPr>
        <w:t>.</w:t>
      </w:r>
    </w:p>
    <w:p w14:paraId="010AE0E5" w14:textId="77777777" w:rsidR="00A73FCB" w:rsidRDefault="00A73FCB" w:rsidP="00A7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1B7604" w14:textId="77777777" w:rsidR="00A73FCB" w:rsidRDefault="00A73FCB" w:rsidP="00A7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C73FF0" w14:textId="77777777" w:rsidR="00A73FCB" w:rsidRDefault="00A73FCB" w:rsidP="00A7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D4D88D" w14:textId="688B584C" w:rsidR="000E7F50" w:rsidRPr="00656B63" w:rsidRDefault="000E7F50" w:rsidP="00A73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Таблица 2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656B63">
        <w:rPr>
          <w:rFonts w:ascii="Times New Roman" w:hAnsi="Times New Roman" w:cs="Times New Roman"/>
          <w:sz w:val="28"/>
          <w:szCs w:val="28"/>
        </w:rPr>
        <w:t>Этапы внедрения управленческой модели</w:t>
      </w:r>
    </w:p>
    <w:tbl>
      <w:tblPr>
        <w:tblStyle w:val="ad"/>
        <w:tblW w:w="9330" w:type="dxa"/>
        <w:tblLook w:val="04A0" w:firstRow="1" w:lastRow="0" w:firstColumn="1" w:lastColumn="0" w:noHBand="0" w:noVBand="1"/>
      </w:tblPr>
      <w:tblGrid>
        <w:gridCol w:w="2704"/>
        <w:gridCol w:w="1476"/>
        <w:gridCol w:w="5150"/>
      </w:tblGrid>
      <w:tr w:rsidR="000E7F50" w:rsidRPr="00656B63" w14:paraId="02E21C0A" w14:textId="77777777" w:rsidTr="008E14A6">
        <w:trPr>
          <w:trHeight w:val="591"/>
        </w:trPr>
        <w:tc>
          <w:tcPr>
            <w:tcW w:w="0" w:type="auto"/>
            <w:hideMark/>
          </w:tcPr>
          <w:p w14:paraId="398455EA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</w:t>
            </w:r>
          </w:p>
        </w:tc>
        <w:tc>
          <w:tcPr>
            <w:tcW w:w="0" w:type="auto"/>
            <w:hideMark/>
          </w:tcPr>
          <w:p w14:paraId="24E0D0CB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Период реализации</w:t>
            </w:r>
          </w:p>
        </w:tc>
        <w:tc>
          <w:tcPr>
            <w:tcW w:w="0" w:type="auto"/>
            <w:hideMark/>
          </w:tcPr>
          <w:p w14:paraId="5FB6CCF7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Основное содержание работ</w:t>
            </w:r>
          </w:p>
        </w:tc>
      </w:tr>
      <w:tr w:rsidR="000E7F50" w:rsidRPr="00656B63" w14:paraId="7DF042ED" w14:textId="77777777" w:rsidTr="008E14A6">
        <w:trPr>
          <w:trHeight w:val="1510"/>
        </w:trPr>
        <w:tc>
          <w:tcPr>
            <w:tcW w:w="0" w:type="auto"/>
            <w:hideMark/>
          </w:tcPr>
          <w:p w14:paraId="375A6C39" w14:textId="77777777" w:rsidR="000E7F50" w:rsidRPr="00656B63" w:rsidRDefault="000E7F50" w:rsidP="003C63B5">
            <w:pPr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</w:t>
            </w:r>
            <w:r>
              <w:rPr>
                <w:lang w:val="ru-RU"/>
              </w:rPr>
              <w:t xml:space="preserve"> </w:t>
            </w:r>
            <w:r w:rsidRPr="00656B63">
              <w:rPr>
                <w:sz w:val="24"/>
                <w:szCs w:val="24"/>
              </w:rPr>
              <w:t>1</w:t>
            </w:r>
            <w:r>
              <w:rPr>
                <w:lang w:val="ru-RU"/>
              </w:rPr>
              <w:t xml:space="preserve">. </w:t>
            </w:r>
            <w:r w:rsidRPr="00656B63">
              <w:rPr>
                <w:sz w:val="24"/>
                <w:szCs w:val="24"/>
              </w:rPr>
              <w:t>Организационная подготовка</w:t>
            </w:r>
          </w:p>
        </w:tc>
        <w:tc>
          <w:tcPr>
            <w:tcW w:w="0" w:type="auto"/>
            <w:hideMark/>
          </w:tcPr>
          <w:p w14:paraId="22F69037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Месяцы 1–3</w:t>
            </w:r>
          </w:p>
        </w:tc>
        <w:tc>
          <w:tcPr>
            <w:tcW w:w="0" w:type="auto"/>
            <w:hideMark/>
          </w:tcPr>
          <w:p w14:paraId="68075FBA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Диагностика энергоинфраструктуры; создание Центра устойчивого развития; разработка регламентов; утверждение KPI; базовый энергетический аудит; цифровой аудит инфраструктуры.</w:t>
            </w:r>
          </w:p>
        </w:tc>
      </w:tr>
      <w:tr w:rsidR="000E7F50" w:rsidRPr="00656B63" w14:paraId="62537A69" w14:textId="77777777" w:rsidTr="008E14A6">
        <w:trPr>
          <w:trHeight w:val="1806"/>
        </w:trPr>
        <w:tc>
          <w:tcPr>
            <w:tcW w:w="0" w:type="auto"/>
            <w:hideMark/>
          </w:tcPr>
          <w:p w14:paraId="05446E92" w14:textId="77777777" w:rsidR="000E7F50" w:rsidRPr="00656B63" w:rsidRDefault="000E7F50" w:rsidP="003C63B5">
            <w:pPr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 2</w:t>
            </w:r>
            <w:r>
              <w:rPr>
                <w:lang w:val="ru-RU"/>
              </w:rPr>
              <w:t xml:space="preserve">. </w:t>
            </w:r>
            <w:r w:rsidRPr="00656B63">
              <w:rPr>
                <w:sz w:val="24"/>
                <w:szCs w:val="24"/>
              </w:rPr>
              <w:t xml:space="preserve"> Проектирование и планирование</w:t>
            </w:r>
          </w:p>
        </w:tc>
        <w:tc>
          <w:tcPr>
            <w:tcW w:w="0" w:type="auto"/>
            <w:hideMark/>
          </w:tcPr>
          <w:p w14:paraId="2D527CE1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Месяцы 3–6</w:t>
            </w:r>
          </w:p>
        </w:tc>
        <w:tc>
          <w:tcPr>
            <w:tcW w:w="0" w:type="auto"/>
            <w:hideMark/>
          </w:tcPr>
          <w:p w14:paraId="508D9329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Проектирование решений по ВИЭ, ESS, BEMS, Smart Grid; подготовка технических спецификаций; формирование инвестиционного плана; определение источников финансирования; институциональная подготовка.</w:t>
            </w:r>
          </w:p>
        </w:tc>
      </w:tr>
      <w:tr w:rsidR="000E7F50" w:rsidRPr="00656B63" w14:paraId="4F413306" w14:textId="77777777" w:rsidTr="008E14A6">
        <w:trPr>
          <w:trHeight w:val="1806"/>
        </w:trPr>
        <w:tc>
          <w:tcPr>
            <w:tcW w:w="0" w:type="auto"/>
            <w:hideMark/>
          </w:tcPr>
          <w:p w14:paraId="378C0B47" w14:textId="77777777" w:rsidR="000E7F50" w:rsidRPr="00656B63" w:rsidRDefault="000E7F50" w:rsidP="003C63B5">
            <w:pPr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 3</w:t>
            </w:r>
            <w:r>
              <w:rPr>
                <w:lang w:val="ru-RU"/>
              </w:rPr>
              <w:t xml:space="preserve">. </w:t>
            </w:r>
            <w:r w:rsidRPr="00656B63">
              <w:rPr>
                <w:sz w:val="24"/>
                <w:szCs w:val="24"/>
              </w:rPr>
              <w:t xml:space="preserve"> Технологическая модернизация</w:t>
            </w:r>
          </w:p>
        </w:tc>
        <w:tc>
          <w:tcPr>
            <w:tcW w:w="0" w:type="auto"/>
            <w:hideMark/>
          </w:tcPr>
          <w:p w14:paraId="1299634F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Месяцы 6–18</w:t>
            </w:r>
          </w:p>
        </w:tc>
        <w:tc>
          <w:tcPr>
            <w:tcW w:w="0" w:type="auto"/>
            <w:hideMark/>
          </w:tcPr>
          <w:p w14:paraId="2183903D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Закуп оборудования; монтаж распределённой генерации; внедрение систем накопления энергии; установка интеллектуальных счётчиков; интеграция предиктивного мониторинга; внедрение цифровых систем управления энергопотреблением.</w:t>
            </w:r>
          </w:p>
        </w:tc>
      </w:tr>
      <w:tr w:rsidR="000E7F50" w:rsidRPr="00656B63" w14:paraId="08D81FDD" w14:textId="77777777" w:rsidTr="008E14A6">
        <w:trPr>
          <w:trHeight w:val="1510"/>
        </w:trPr>
        <w:tc>
          <w:tcPr>
            <w:tcW w:w="0" w:type="auto"/>
            <w:hideMark/>
          </w:tcPr>
          <w:p w14:paraId="134F563B" w14:textId="77777777" w:rsidR="000E7F50" w:rsidRPr="00656B63" w:rsidRDefault="000E7F50" w:rsidP="003C63B5">
            <w:pPr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 4</w:t>
            </w:r>
            <w:r>
              <w:rPr>
                <w:lang w:val="ru-RU"/>
              </w:rPr>
              <w:t>.</w:t>
            </w:r>
            <w:r w:rsidRPr="00656B63">
              <w:rPr>
                <w:sz w:val="24"/>
                <w:szCs w:val="24"/>
              </w:rPr>
              <w:t xml:space="preserve"> Институциональная трансформация</w:t>
            </w:r>
          </w:p>
        </w:tc>
        <w:tc>
          <w:tcPr>
            <w:tcW w:w="0" w:type="auto"/>
            <w:hideMark/>
          </w:tcPr>
          <w:p w14:paraId="65ABE23C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Месяцы 9–24</w:t>
            </w:r>
          </w:p>
        </w:tc>
        <w:tc>
          <w:tcPr>
            <w:tcW w:w="0" w:type="auto"/>
            <w:hideMark/>
          </w:tcPr>
          <w:p w14:paraId="0E12F89C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Введение внутренних стандартов энергоэффективности; разработка регламентов аудита; внедрение процедур мониторинга; запуск программ обучения и мотивации; создание ESG-коммуникаций.</w:t>
            </w:r>
          </w:p>
        </w:tc>
      </w:tr>
      <w:tr w:rsidR="000E7F50" w:rsidRPr="00656B63" w14:paraId="3B49AB35" w14:textId="77777777" w:rsidTr="008E14A6">
        <w:trPr>
          <w:trHeight w:val="1198"/>
        </w:trPr>
        <w:tc>
          <w:tcPr>
            <w:tcW w:w="0" w:type="auto"/>
            <w:hideMark/>
          </w:tcPr>
          <w:p w14:paraId="664B14AF" w14:textId="77777777" w:rsidR="000E7F50" w:rsidRPr="00656B63" w:rsidRDefault="000E7F50" w:rsidP="003C63B5">
            <w:pPr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 5</w:t>
            </w:r>
            <w:r>
              <w:rPr>
                <w:lang w:val="ru-RU"/>
              </w:rPr>
              <w:t>.</w:t>
            </w:r>
            <w:r w:rsidRPr="00656B63">
              <w:rPr>
                <w:sz w:val="24"/>
                <w:szCs w:val="24"/>
              </w:rPr>
              <w:t xml:space="preserve"> Управление спросом и цифровизация</w:t>
            </w:r>
          </w:p>
        </w:tc>
        <w:tc>
          <w:tcPr>
            <w:tcW w:w="0" w:type="auto"/>
            <w:hideMark/>
          </w:tcPr>
          <w:p w14:paraId="69656EA4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Месяцы 12–30</w:t>
            </w:r>
          </w:p>
        </w:tc>
        <w:tc>
          <w:tcPr>
            <w:tcW w:w="0" w:type="auto"/>
            <w:hideMark/>
          </w:tcPr>
          <w:p w14:paraId="73526716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Разработка механизмов сглаживания пиков; внедрение систем оптимизации нагрузки; использование предиктивных алгоритмов; создание цифровых панелей аналитики.</w:t>
            </w:r>
          </w:p>
        </w:tc>
      </w:tr>
      <w:tr w:rsidR="000E7F50" w:rsidRPr="00656B63" w14:paraId="3E3DB1AF" w14:textId="77777777" w:rsidTr="008E14A6">
        <w:trPr>
          <w:trHeight w:val="1198"/>
        </w:trPr>
        <w:tc>
          <w:tcPr>
            <w:tcW w:w="0" w:type="auto"/>
            <w:hideMark/>
          </w:tcPr>
          <w:p w14:paraId="1439DF9B" w14:textId="77777777" w:rsidR="000E7F50" w:rsidRPr="00656B63" w:rsidRDefault="000E7F50" w:rsidP="003C63B5">
            <w:pPr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Этап 6</w:t>
            </w:r>
            <w:r>
              <w:rPr>
                <w:lang w:val="ru-RU"/>
              </w:rPr>
              <w:t>.</w:t>
            </w:r>
            <w:r w:rsidRPr="00656B63">
              <w:rPr>
                <w:sz w:val="24"/>
                <w:szCs w:val="24"/>
              </w:rPr>
              <w:t xml:space="preserve"> Оценка эффективности и корректировка стратегии</w:t>
            </w:r>
          </w:p>
        </w:tc>
        <w:tc>
          <w:tcPr>
            <w:tcW w:w="0" w:type="auto"/>
            <w:hideMark/>
          </w:tcPr>
          <w:p w14:paraId="0B43FE80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Месяцы 24–36</w:t>
            </w:r>
          </w:p>
        </w:tc>
        <w:tc>
          <w:tcPr>
            <w:tcW w:w="0" w:type="auto"/>
            <w:hideMark/>
          </w:tcPr>
          <w:p w14:paraId="4A872906" w14:textId="77777777" w:rsidR="000E7F50" w:rsidRPr="00656B63" w:rsidRDefault="000E7F50" w:rsidP="003C63B5">
            <w:pPr>
              <w:jc w:val="both"/>
              <w:rPr>
                <w:sz w:val="24"/>
                <w:szCs w:val="24"/>
              </w:rPr>
            </w:pPr>
            <w:r w:rsidRPr="00656B63">
              <w:rPr>
                <w:sz w:val="24"/>
                <w:szCs w:val="24"/>
              </w:rPr>
              <w:t>Экономическая оценка; экологическая оценка; анализ динамики выбросов; оценка результатов цифровизации; корректировка стратегической программы.</w:t>
            </w:r>
          </w:p>
        </w:tc>
      </w:tr>
      <w:tr w:rsidR="000E7F50" w:rsidRPr="00656B63" w14:paraId="3B46B653" w14:textId="77777777" w:rsidTr="008E14A6">
        <w:trPr>
          <w:trHeight w:val="295"/>
        </w:trPr>
        <w:tc>
          <w:tcPr>
            <w:tcW w:w="0" w:type="auto"/>
            <w:gridSpan w:val="3"/>
          </w:tcPr>
          <w:p w14:paraId="5FD64CA1" w14:textId="29A09035" w:rsidR="000E7F50" w:rsidRPr="00656B63" w:rsidRDefault="005F6803" w:rsidP="003C63B5">
            <w:pPr>
              <w:jc w:val="both"/>
            </w:pPr>
            <w:r w:rsidRPr="00A73FCB">
              <w:rPr>
                <w:rFonts w:eastAsia="Times New Roman"/>
                <w:sz w:val="24"/>
                <w:szCs w:val="24"/>
                <w:lang w:val="ru-RU"/>
              </w:rPr>
              <w:t>Примечание: составлено автором</w:t>
            </w:r>
          </w:p>
        </w:tc>
      </w:tr>
    </w:tbl>
    <w:p w14:paraId="22CD4EF8" w14:textId="77777777" w:rsidR="000E7F50" w:rsidRPr="00656B63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5B3824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>Такое поэтапное представление обеспечивает согласованность мероприятий и формирует реалистичную траекторию внедрения управленческой модели в условиях промышленного предприятия.</w:t>
      </w:r>
    </w:p>
    <w:p w14:paraId="7B8591D2" w14:textId="35766BD4" w:rsidR="000E7F50" w:rsidRPr="00AB6CA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708">
        <w:rPr>
          <w:rFonts w:ascii="Times New Roman" w:hAnsi="Times New Roman" w:cs="Times New Roman"/>
          <w:sz w:val="28"/>
          <w:szCs w:val="28"/>
        </w:rPr>
        <w:t xml:space="preserve">Распределение функций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методике </w:t>
      </w:r>
      <w:r>
        <w:rPr>
          <w:rFonts w:ascii="Times New Roman" w:hAnsi="Times New Roman" w:cs="Times New Roman"/>
          <w:sz w:val="28"/>
          <w:szCs w:val="28"/>
          <w:lang w:val="en-US"/>
        </w:rPr>
        <w:t>RACI</w:t>
      </w:r>
      <w:r w:rsidRPr="00AB6C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F2708">
        <w:rPr>
          <w:rFonts w:ascii="Times New Roman" w:hAnsi="Times New Roman" w:cs="Times New Roman"/>
          <w:sz w:val="28"/>
          <w:szCs w:val="28"/>
        </w:rPr>
        <w:t>между подразделениями формирует основу управляемости и снижает риски дублирования процессов.</w:t>
      </w:r>
      <w:r w:rsidRPr="00AB6CA0">
        <w:rPr>
          <w:rFonts w:ascii="Times New Roman" w:hAnsi="Times New Roman" w:cs="Times New Roman"/>
          <w:sz w:val="28"/>
          <w:szCs w:val="28"/>
        </w:rPr>
        <w:t xml:space="preserve"> Использование RACI-матрицы позволяет устранить дублирование функций, минимизировать риск управленческих разрывов, оптимизировать взаимодействие между подразделениями и повысить прозрачность принятия решений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(таблица 2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380FD6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90EA3D" w14:textId="77777777" w:rsidR="008E14A6" w:rsidRDefault="008E14A6" w:rsidP="008E14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C469F8" w14:textId="76288F9C" w:rsidR="000E7F50" w:rsidRPr="005F2708" w:rsidRDefault="000E7F50" w:rsidP="008E14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Таблица 2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5F2708">
        <w:rPr>
          <w:rFonts w:ascii="Times New Roman" w:hAnsi="Times New Roman" w:cs="Times New Roman"/>
          <w:sz w:val="28"/>
          <w:szCs w:val="28"/>
        </w:rPr>
        <w:t>Матрица распределения ответственности (RACI-структура)</w:t>
      </w:r>
    </w:p>
    <w:p w14:paraId="25223825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57"/>
        <w:gridCol w:w="1294"/>
        <w:gridCol w:w="971"/>
        <w:gridCol w:w="1300"/>
        <w:gridCol w:w="1320"/>
        <w:gridCol w:w="1300"/>
        <w:gridCol w:w="1303"/>
      </w:tblGrid>
      <w:tr w:rsidR="000E7F50" w:rsidRPr="005F2708" w14:paraId="0717CD96" w14:textId="77777777" w:rsidTr="003C63B5">
        <w:tc>
          <w:tcPr>
            <w:tcW w:w="0" w:type="auto"/>
            <w:hideMark/>
          </w:tcPr>
          <w:p w14:paraId="2CD0B03F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Функция</w:t>
            </w:r>
          </w:p>
        </w:tc>
        <w:tc>
          <w:tcPr>
            <w:tcW w:w="0" w:type="auto"/>
            <w:hideMark/>
          </w:tcPr>
          <w:p w14:paraId="5D061B5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Центр устойчивого развития</w:t>
            </w:r>
          </w:p>
        </w:tc>
        <w:tc>
          <w:tcPr>
            <w:tcW w:w="0" w:type="auto"/>
            <w:hideMark/>
          </w:tcPr>
          <w:p w14:paraId="4E53596E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Главный инженер</w:t>
            </w:r>
          </w:p>
        </w:tc>
        <w:tc>
          <w:tcPr>
            <w:tcW w:w="0" w:type="auto"/>
            <w:hideMark/>
          </w:tcPr>
          <w:p w14:paraId="6E9AAAB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IT-департамент</w:t>
            </w:r>
          </w:p>
        </w:tc>
        <w:tc>
          <w:tcPr>
            <w:tcW w:w="0" w:type="auto"/>
            <w:hideMark/>
          </w:tcPr>
          <w:p w14:paraId="3E946C4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Финансовый департамент</w:t>
            </w:r>
          </w:p>
        </w:tc>
        <w:tc>
          <w:tcPr>
            <w:tcW w:w="0" w:type="auto"/>
            <w:hideMark/>
          </w:tcPr>
          <w:p w14:paraId="5F0A970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HR-департамент</w:t>
            </w:r>
          </w:p>
        </w:tc>
        <w:tc>
          <w:tcPr>
            <w:tcW w:w="0" w:type="auto"/>
            <w:hideMark/>
          </w:tcPr>
          <w:p w14:paraId="3450494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Руководство</w:t>
            </w:r>
          </w:p>
        </w:tc>
      </w:tr>
      <w:tr w:rsidR="000E7F50" w:rsidRPr="005F2708" w14:paraId="4DC39372" w14:textId="77777777" w:rsidTr="003C63B5">
        <w:tc>
          <w:tcPr>
            <w:tcW w:w="0" w:type="auto"/>
            <w:hideMark/>
          </w:tcPr>
          <w:p w14:paraId="3736AE1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Стратегическое управление</w:t>
            </w:r>
          </w:p>
        </w:tc>
        <w:tc>
          <w:tcPr>
            <w:tcW w:w="0" w:type="auto"/>
            <w:hideMark/>
          </w:tcPr>
          <w:p w14:paraId="47C15D7B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602C093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146A01B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41D0533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70157CB5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035E252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42E567D3" w14:textId="77777777" w:rsidTr="003C63B5">
        <w:tc>
          <w:tcPr>
            <w:tcW w:w="0" w:type="auto"/>
            <w:hideMark/>
          </w:tcPr>
          <w:p w14:paraId="62FC4D2F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Энергетический аудит</w:t>
            </w:r>
          </w:p>
        </w:tc>
        <w:tc>
          <w:tcPr>
            <w:tcW w:w="0" w:type="auto"/>
            <w:hideMark/>
          </w:tcPr>
          <w:p w14:paraId="0429FCF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14:paraId="59D9362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7CFECA55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5A5151D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3927EBA7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4B8831A5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</w:tr>
      <w:tr w:rsidR="000E7F50" w:rsidRPr="005F2708" w14:paraId="2200062F" w14:textId="77777777" w:rsidTr="003C63B5">
        <w:tc>
          <w:tcPr>
            <w:tcW w:w="0" w:type="auto"/>
            <w:hideMark/>
          </w:tcPr>
          <w:p w14:paraId="75CCDE2B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Проектирование ВИЭ и ESS</w:t>
            </w:r>
          </w:p>
        </w:tc>
        <w:tc>
          <w:tcPr>
            <w:tcW w:w="0" w:type="auto"/>
            <w:hideMark/>
          </w:tcPr>
          <w:p w14:paraId="4F7413A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3321D2A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339ABE8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28C6942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6FAEDA7F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22012BF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21424695" w14:textId="77777777" w:rsidTr="003C63B5">
        <w:tc>
          <w:tcPr>
            <w:tcW w:w="0" w:type="auto"/>
            <w:hideMark/>
          </w:tcPr>
          <w:p w14:paraId="75FA0B0B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 xml:space="preserve">Цифровой </w:t>
            </w:r>
            <w:proofErr w:type="spellStart"/>
            <w:r w:rsidRPr="005F2708">
              <w:rPr>
                <w:sz w:val="24"/>
                <w:szCs w:val="24"/>
              </w:rPr>
              <w:t>энергоменеджмент</w:t>
            </w:r>
            <w:proofErr w:type="spellEnd"/>
            <w:r w:rsidRPr="005F2708">
              <w:rPr>
                <w:sz w:val="24"/>
                <w:szCs w:val="24"/>
              </w:rPr>
              <w:t xml:space="preserve"> (BEMS, SCADA)</w:t>
            </w:r>
          </w:p>
        </w:tc>
        <w:tc>
          <w:tcPr>
            <w:tcW w:w="0" w:type="auto"/>
            <w:hideMark/>
          </w:tcPr>
          <w:p w14:paraId="14869A4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0AD8BA2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376A64C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07A7F9E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22A2EAA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374D084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1AF13311" w14:textId="77777777" w:rsidTr="003C63B5">
        <w:tc>
          <w:tcPr>
            <w:tcW w:w="0" w:type="auto"/>
            <w:hideMark/>
          </w:tcPr>
          <w:p w14:paraId="069A98FA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Управление энергетическим спросом</w:t>
            </w:r>
          </w:p>
        </w:tc>
        <w:tc>
          <w:tcPr>
            <w:tcW w:w="0" w:type="auto"/>
            <w:hideMark/>
          </w:tcPr>
          <w:p w14:paraId="73EB4FF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25668EF8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6A877F68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6B2FA54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1DE46F3C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5F8C0D9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569FDD2D" w14:textId="77777777" w:rsidTr="003C63B5">
        <w:tc>
          <w:tcPr>
            <w:tcW w:w="0" w:type="auto"/>
            <w:hideMark/>
          </w:tcPr>
          <w:p w14:paraId="3240E047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Бюджетирование</w:t>
            </w:r>
          </w:p>
        </w:tc>
        <w:tc>
          <w:tcPr>
            <w:tcW w:w="0" w:type="auto"/>
            <w:hideMark/>
          </w:tcPr>
          <w:p w14:paraId="7DE8DA1B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6904479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643BBA48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6266461A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089C4D82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6F56239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59555657" w14:textId="77777777" w:rsidTr="003C63B5">
        <w:tc>
          <w:tcPr>
            <w:tcW w:w="0" w:type="auto"/>
            <w:hideMark/>
          </w:tcPr>
          <w:p w14:paraId="4DF4DD4A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Внутренние регламенты и стандарты</w:t>
            </w:r>
          </w:p>
        </w:tc>
        <w:tc>
          <w:tcPr>
            <w:tcW w:w="0" w:type="auto"/>
            <w:hideMark/>
          </w:tcPr>
          <w:p w14:paraId="45DA46D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14:paraId="61DC493F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AF2D6FE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312EB7B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684A174E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7D6CFDE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7BAAD24B" w14:textId="77777777" w:rsidTr="003C63B5">
        <w:tc>
          <w:tcPr>
            <w:tcW w:w="0" w:type="auto"/>
            <w:hideMark/>
          </w:tcPr>
          <w:p w14:paraId="39DE362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Обучение персонала</w:t>
            </w:r>
          </w:p>
        </w:tc>
        <w:tc>
          <w:tcPr>
            <w:tcW w:w="0" w:type="auto"/>
            <w:hideMark/>
          </w:tcPr>
          <w:p w14:paraId="1CCF4065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5E6233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78E16AC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7ACAAC9C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4C4CC5CC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384CF6F4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3488CD3B" w14:textId="77777777" w:rsidTr="003C63B5">
        <w:tc>
          <w:tcPr>
            <w:tcW w:w="0" w:type="auto"/>
            <w:hideMark/>
          </w:tcPr>
          <w:p w14:paraId="63527769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ESG-отчётность</w:t>
            </w:r>
          </w:p>
        </w:tc>
        <w:tc>
          <w:tcPr>
            <w:tcW w:w="0" w:type="auto"/>
            <w:hideMark/>
          </w:tcPr>
          <w:p w14:paraId="6DBBF43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5E94286F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74E01758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3EC6FD2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308AB80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4C21412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49DE8219" w14:textId="77777777" w:rsidTr="003C63B5">
        <w:tc>
          <w:tcPr>
            <w:tcW w:w="0" w:type="auto"/>
            <w:hideMark/>
          </w:tcPr>
          <w:p w14:paraId="7F363057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Мониторинг эффективности</w:t>
            </w:r>
          </w:p>
        </w:tc>
        <w:tc>
          <w:tcPr>
            <w:tcW w:w="0" w:type="auto"/>
            <w:hideMark/>
          </w:tcPr>
          <w:p w14:paraId="5CE966A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R</w:t>
            </w:r>
          </w:p>
        </w:tc>
        <w:tc>
          <w:tcPr>
            <w:tcW w:w="0" w:type="auto"/>
            <w:hideMark/>
          </w:tcPr>
          <w:p w14:paraId="0112ED0F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4E1CFF43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49798AA0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56C806E6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–</w:t>
            </w:r>
          </w:p>
        </w:tc>
        <w:tc>
          <w:tcPr>
            <w:tcW w:w="0" w:type="auto"/>
            <w:hideMark/>
          </w:tcPr>
          <w:p w14:paraId="52BD792D" w14:textId="77777777" w:rsidR="000E7F50" w:rsidRPr="005F2708" w:rsidRDefault="000E7F50" w:rsidP="003C63B5">
            <w:pPr>
              <w:jc w:val="both"/>
              <w:rPr>
                <w:sz w:val="24"/>
                <w:szCs w:val="24"/>
              </w:rPr>
            </w:pPr>
            <w:r w:rsidRPr="005F2708">
              <w:rPr>
                <w:sz w:val="24"/>
                <w:szCs w:val="24"/>
              </w:rPr>
              <w:t>A</w:t>
            </w:r>
          </w:p>
        </w:tc>
      </w:tr>
      <w:tr w:rsidR="000E7F50" w:rsidRPr="005F2708" w14:paraId="29E89FBF" w14:textId="77777777" w:rsidTr="003C63B5">
        <w:tc>
          <w:tcPr>
            <w:tcW w:w="0" w:type="auto"/>
            <w:gridSpan w:val="7"/>
          </w:tcPr>
          <w:p w14:paraId="7831CF3F" w14:textId="44501E4C" w:rsidR="000E7F50" w:rsidRPr="005F2708" w:rsidRDefault="008E14A6" w:rsidP="003C63B5">
            <w:pPr>
              <w:jc w:val="both"/>
            </w:pPr>
            <w:r w:rsidRPr="00A73FCB">
              <w:rPr>
                <w:rFonts w:eastAsia="Times New Roman"/>
                <w:sz w:val="24"/>
                <w:szCs w:val="24"/>
                <w:lang w:val="ru-RU"/>
              </w:rPr>
              <w:t>Примечание: составлено автором</w:t>
            </w:r>
          </w:p>
        </w:tc>
      </w:tr>
    </w:tbl>
    <w:p w14:paraId="5C451F9A" w14:textId="77777777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DA4025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 xml:space="preserve">Матрица подчёркивает </w:t>
      </w:r>
      <w:proofErr w:type="spellStart"/>
      <w:r w:rsidRPr="005F2708">
        <w:rPr>
          <w:rFonts w:ascii="Times New Roman" w:hAnsi="Times New Roman" w:cs="Times New Roman"/>
          <w:sz w:val="28"/>
          <w:szCs w:val="28"/>
        </w:rPr>
        <w:t>межфункциональный</w:t>
      </w:r>
      <w:proofErr w:type="spellEnd"/>
      <w:r w:rsidRPr="005F2708">
        <w:rPr>
          <w:rFonts w:ascii="Times New Roman" w:hAnsi="Times New Roman" w:cs="Times New Roman"/>
          <w:sz w:val="28"/>
          <w:szCs w:val="28"/>
        </w:rPr>
        <w:t xml:space="preserve"> характер реализации модели и обеспечивает согласованность организационных, технологических и финансовых решений.</w:t>
      </w:r>
    </w:p>
    <w:p w14:paraId="69DBA62D" w14:textId="5D0183D3" w:rsidR="000E7F50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0EB4">
        <w:rPr>
          <w:rFonts w:ascii="Times New Roman" w:hAnsi="Times New Roman" w:cs="Times New Roman"/>
          <w:sz w:val="28"/>
          <w:szCs w:val="28"/>
        </w:rPr>
        <w:t>В условиях растущей нагрузки на производственные мощности, усложнения требований к энергоэффективности и повышенной волатильности внешней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внедрение </w:t>
      </w:r>
      <w:proofErr w:type="spellStart"/>
      <w:r w:rsidRPr="00260EB4">
        <w:rPr>
          <w:rFonts w:ascii="Times New Roman" w:hAnsi="Times New Roman" w:cs="Times New Roman"/>
          <w:sz w:val="28"/>
          <w:szCs w:val="28"/>
        </w:rPr>
        <w:t>процедурн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260EB4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60EB4">
        <w:rPr>
          <w:rFonts w:ascii="Times New Roman" w:hAnsi="Times New Roman" w:cs="Times New Roman"/>
          <w:sz w:val="28"/>
          <w:szCs w:val="28"/>
        </w:rPr>
        <w:t xml:space="preserve"> для АО «Корпорация Сайман».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Процедурная карта </w:t>
      </w:r>
      <w:r w:rsidRPr="00260EB4">
        <w:rPr>
          <w:rFonts w:ascii="Times New Roman" w:hAnsi="Times New Roman" w:cs="Times New Roman"/>
          <w:sz w:val="28"/>
          <w:szCs w:val="28"/>
        </w:rPr>
        <w:t>обеспечивает контролируемый переход к новым технологическим решениям, снижает издержки за счёт повышения эффективности внутренних энергетических процессов и создаёт основу для формирования корпоративной устойчивости в рамках зелёной трансформации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 xml:space="preserve"> (рисунок 9)</w:t>
      </w:r>
      <w:r w:rsidRPr="00260EB4">
        <w:rPr>
          <w:rFonts w:ascii="Times New Roman" w:hAnsi="Times New Roman" w:cs="Times New Roman"/>
          <w:sz w:val="28"/>
          <w:szCs w:val="28"/>
        </w:rPr>
        <w:t>.</w:t>
      </w:r>
    </w:p>
    <w:p w14:paraId="2A830B47" w14:textId="77777777" w:rsidR="000E7F50" w:rsidRPr="00260EB4" w:rsidRDefault="000E7F50" w:rsidP="008E14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7351CAA" wp14:editId="3B99728F">
            <wp:extent cx="2486025" cy="3729171"/>
            <wp:effectExtent l="0" t="0" r="0" b="5080"/>
            <wp:docPr id="3139458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57" cy="373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119" w14:textId="51D06E59" w:rsidR="000E7F50" w:rsidRDefault="000E7F50" w:rsidP="008E14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6F3BEB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</w:t>
      </w:r>
      <w:proofErr w:type="spellStart"/>
      <w:r w:rsidRPr="00260EB4">
        <w:rPr>
          <w:rFonts w:ascii="Times New Roman" w:hAnsi="Times New Roman" w:cs="Times New Roman"/>
          <w:sz w:val="28"/>
          <w:szCs w:val="28"/>
        </w:rPr>
        <w:t>роцедурн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Pr="00260EB4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60EB4">
        <w:rPr>
          <w:rFonts w:ascii="Times New Roman" w:hAnsi="Times New Roman" w:cs="Times New Roman"/>
          <w:sz w:val="28"/>
          <w:szCs w:val="28"/>
        </w:rPr>
        <w:t xml:space="preserve"> для АО «Корпорация Сайман»</w:t>
      </w:r>
    </w:p>
    <w:p w14:paraId="65B9614C" w14:textId="77777777" w:rsidR="008E14A6" w:rsidRDefault="008E14A6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14:paraId="42837871" w14:textId="3E769185" w:rsidR="000E7F50" w:rsidRPr="008E14A6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8E14A6">
        <w:rPr>
          <w:rFonts w:ascii="Times New Roman" w:hAnsi="Times New Roman" w:cs="Times New Roman"/>
          <w:lang w:val="ru-RU"/>
        </w:rPr>
        <w:t xml:space="preserve">Примечание: </w:t>
      </w:r>
      <w:r w:rsidR="008E14A6" w:rsidRPr="008E14A6">
        <w:rPr>
          <w:rFonts w:ascii="Times New Roman" w:eastAsia="Times New Roman" w:hAnsi="Times New Roman" w:cs="Times New Roman"/>
          <w:lang w:val="ru-RU"/>
        </w:rPr>
        <w:t>составлено автором</w:t>
      </w:r>
    </w:p>
    <w:p w14:paraId="48B04EE9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D009ED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Hlk214881156"/>
      <w:r w:rsidRPr="00260EB4">
        <w:rPr>
          <w:rFonts w:ascii="Times New Roman" w:hAnsi="Times New Roman" w:cs="Times New Roman"/>
          <w:sz w:val="28"/>
          <w:szCs w:val="28"/>
        </w:rPr>
        <w:t>Инициация. Определение стратегических целей предприятия в области зелёного роста; создание руководящего комитета и Центра устойчивого развития; утверждение дорожной карты; формирование нормативно-правового сопровождения проекта.</w:t>
      </w:r>
    </w:p>
    <w:p w14:paraId="7E19954C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EB4">
        <w:rPr>
          <w:rFonts w:ascii="Times New Roman" w:hAnsi="Times New Roman" w:cs="Times New Roman"/>
          <w:sz w:val="28"/>
          <w:szCs w:val="28"/>
        </w:rPr>
        <w:t>Диагностика. Комплексный аудит энергетических потоков, цифровой зрелости, инфраструктурных ограничений, факторов риска и финансовых возможностей; формирование исходной базы данных для последующего моделирования.</w:t>
      </w:r>
    </w:p>
    <w:p w14:paraId="36817A66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EB4">
        <w:rPr>
          <w:rFonts w:ascii="Times New Roman" w:hAnsi="Times New Roman" w:cs="Times New Roman"/>
          <w:sz w:val="28"/>
          <w:szCs w:val="28"/>
        </w:rPr>
        <w:t>Проектирование. Разработка технических решений, проектных спецификаций и инвестиционного плана; определение последовательности мероприятий и их интеграции с корпоративной стратегией развития.</w:t>
      </w:r>
    </w:p>
    <w:p w14:paraId="20416337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EB4">
        <w:rPr>
          <w:rFonts w:ascii="Times New Roman" w:hAnsi="Times New Roman" w:cs="Times New Roman"/>
          <w:sz w:val="28"/>
          <w:szCs w:val="28"/>
        </w:rPr>
        <w:t>Финансовое обеспечение. Формирование трёхлетнего бюджета, определение внутренних и внешних источников финансирования, создание корпоративного Фонда устойчивого развития, выбор инструментов софинансирования и привлечения грантов.</w:t>
      </w:r>
    </w:p>
    <w:p w14:paraId="0787E563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EB4">
        <w:rPr>
          <w:rFonts w:ascii="Times New Roman" w:hAnsi="Times New Roman" w:cs="Times New Roman"/>
          <w:sz w:val="28"/>
          <w:szCs w:val="28"/>
        </w:rPr>
        <w:t>Технологическая реализация. Поэтапное внедрение оборудования и цифровых систем, модернизация энергетической инфраструктуры, настройка механизмов управления спросом, интеграция распределённой генерации и ESS.</w:t>
      </w:r>
    </w:p>
    <w:p w14:paraId="0377C77B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EB4">
        <w:rPr>
          <w:rFonts w:ascii="Times New Roman" w:hAnsi="Times New Roman" w:cs="Times New Roman"/>
          <w:sz w:val="28"/>
          <w:szCs w:val="28"/>
        </w:rPr>
        <w:t>Институционализация. Введение стандартов энергоэффективности, процедур внутреннего аудита, системы мониторинга, механизмов мотивации персонала, расширение компетенций через обучение и переподготовку.</w:t>
      </w:r>
    </w:p>
    <w:p w14:paraId="252C7C39" w14:textId="77777777" w:rsidR="000E7F50" w:rsidRPr="00260EB4" w:rsidRDefault="000E7F50" w:rsidP="000E7F50">
      <w:pPr>
        <w:pStyle w:val="a7"/>
        <w:numPr>
          <w:ilvl w:val="0"/>
          <w:numId w:val="6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EB4">
        <w:rPr>
          <w:rFonts w:ascii="Times New Roman" w:hAnsi="Times New Roman" w:cs="Times New Roman"/>
          <w:sz w:val="28"/>
          <w:szCs w:val="28"/>
        </w:rPr>
        <w:lastRenderedPageBreak/>
        <w:t>Оценка и корректировка. Осуществление расчётов эффективности; анализ операционных, экологических и финансовых эффектов; подготовка ESG-отчёта; корректировка долгосрочной стратегии энергетической трансформации.</w:t>
      </w:r>
    </w:p>
    <w:bookmarkEnd w:id="31"/>
    <w:p w14:paraId="36A65593" w14:textId="77777777" w:rsidR="000E7F50" w:rsidRPr="005F2708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708">
        <w:rPr>
          <w:rFonts w:ascii="Times New Roman" w:hAnsi="Times New Roman" w:cs="Times New Roman"/>
          <w:sz w:val="28"/>
          <w:szCs w:val="28"/>
        </w:rPr>
        <w:t xml:space="preserve">Представленный практический инструментарий корпоративной адаптации обеспечивает полноценную трансляцию концептуальной модели зелёного роста на микроуровень и демонстрирует её применимость в условиях казахстанских промышленных предприятий. </w:t>
      </w:r>
      <w:r>
        <w:rPr>
          <w:rFonts w:ascii="Times New Roman" w:hAnsi="Times New Roman" w:cs="Times New Roman"/>
          <w:sz w:val="28"/>
          <w:szCs w:val="28"/>
          <w:lang w:val="ru-RU"/>
        </w:rPr>
        <w:t>Инструментарий</w:t>
      </w:r>
      <w:r w:rsidRPr="005F2708">
        <w:rPr>
          <w:rFonts w:ascii="Times New Roman" w:hAnsi="Times New Roman" w:cs="Times New Roman"/>
          <w:sz w:val="28"/>
          <w:szCs w:val="28"/>
        </w:rPr>
        <w:t xml:space="preserve"> позволяет увязать стратегические цели энергетического перехода с операционными процессами, сформировать устойчивую организационную инфраструктуру, повысить технологическую зрелость и обеспечить долгосрочную экономическую, экологическую и социальную выгоду. На примере внедрения в АО «Корпорация Сайман» подтверждается, что модель обладает высокой универсальностью и может быть масштабирована в пределах отрасли и корпоративного сектора.</w:t>
      </w:r>
    </w:p>
    <w:p w14:paraId="262DAB17" w14:textId="77777777" w:rsidR="000E7F50" w:rsidRPr="000469AD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095E28" w14:textId="77777777" w:rsidR="000E7F50" w:rsidRPr="00304ADC" w:rsidRDefault="000E7F50" w:rsidP="000E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6E0557" w14:textId="77777777" w:rsidR="000E7F50" w:rsidRPr="00304ADC" w:rsidRDefault="000E7F50" w:rsidP="000E7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5ACFA828" w14:textId="77777777" w:rsidR="000E7F50" w:rsidRPr="00304ADC" w:rsidRDefault="000E7F50" w:rsidP="000E7F50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6B72E04B" w14:textId="77777777" w:rsidR="000E7F50" w:rsidRDefault="000E7F50" w:rsidP="000E7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1138E50" w14:textId="77777777" w:rsidR="000E7F50" w:rsidRPr="000D2278" w:rsidRDefault="000E7F50" w:rsidP="000E7F50">
      <w:pPr>
        <w:pStyle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Toc215079202"/>
      <w:r w:rsidRPr="000D22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32"/>
    </w:p>
    <w:p w14:paraId="564770A6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 xml:space="preserve">Диссертационное исследование направлено на решение комплексной научной задачи, обусловленной растущей значимостью перехода Казахстана к зелёной экономике в условиях многомерной нестабильности, структурных ограничений и усиливающихся глобальных климатических рисков. Актуальность темы определялась необходимостью одновременно обеспечить энергетическую безопасность, технологическую модернизацию и снижение </w:t>
      </w:r>
      <w:proofErr w:type="spellStart"/>
      <w:r w:rsidRPr="00123302">
        <w:rPr>
          <w:rFonts w:ascii="Times New Roman" w:hAnsi="Times New Roman" w:cs="Times New Roman"/>
          <w:sz w:val="28"/>
          <w:szCs w:val="28"/>
        </w:rPr>
        <w:t>углеродоёмкости</w:t>
      </w:r>
      <w:proofErr w:type="spellEnd"/>
      <w:r w:rsidRPr="00123302">
        <w:rPr>
          <w:rFonts w:ascii="Times New Roman" w:hAnsi="Times New Roman" w:cs="Times New Roman"/>
          <w:sz w:val="28"/>
          <w:szCs w:val="28"/>
        </w:rPr>
        <w:t xml:space="preserve"> экономики, что соответствует стратегическим документам страны, целям устойчивого развития ООН и международным обязательствам Республики Казахстан в сфере климатической политики.</w:t>
      </w:r>
    </w:p>
    <w:p w14:paraId="0DB96520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В работе была сформирована теоретико-методологическая основа, позволяющая исследовать взаимосвязи между макроэкономическими, институциональными, технологическими и корпоративными факторами развития зелёного роста. Научная проблема заключалась в отсутствии комплексной управленческой модели, способной учитывать специфику казахстанской экономики, высокую волатильность внешних условий, ограниченность локальных технологических цепочек и необходимость интеграции предприятий реального сектора в процессы энергетического перехода.</w:t>
      </w:r>
    </w:p>
    <w:p w14:paraId="1C6947C8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Исследование включало анализ глобальных и национальных трендов, оценку климатических и технологических вызовов, исследование состояния ВИЭ и энергоэффективности в Казахстане, систематизацию институциональных барьеров, построение корпоративного кейса на примере ТОО «Корпорация Сайман», а также разработку экономической оценки эффективности внедрения модели. В совокупности полученные результаты позволили перейти от постановки проблемы и анализа существующих подходов к формированию авторской многоуровневой модели зелёного роста и обоснованию механизмов её практической реализации.</w:t>
      </w:r>
    </w:p>
    <w:p w14:paraId="0DF37E41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Завершая исследование, целесообразно обобщить основные научные результаты, показать степень достижения поставленных задач, сформулировать рекомендации для государственной и корпоративной политики и определить вклад работы в развитие теории и практики управления зелёной экономикой.</w:t>
      </w:r>
    </w:p>
    <w:p w14:paraId="513F38BD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b/>
          <w:bCs/>
          <w:sz w:val="28"/>
          <w:szCs w:val="28"/>
        </w:rPr>
        <w:t>Краткие выводы по результатам исследования</w:t>
      </w:r>
    </w:p>
    <w:p w14:paraId="01707C30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Сформировано теоретическое обобщение эволюции концепции зелёной экономики, устойчивого развития и энергетического перехода, раскрыта их взаимосвязь с теориями инновационного роста, экологического менеджмента и адаптивного управления в условиях многомерной нестабильности.</w:t>
      </w:r>
    </w:p>
    <w:p w14:paraId="5358E287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 xml:space="preserve">Установлены ключевые институциональные, технологические и инфраструктурные ограничения зелёного развития Казахстана: высокая </w:t>
      </w:r>
      <w:proofErr w:type="spellStart"/>
      <w:r w:rsidRPr="00123302">
        <w:rPr>
          <w:rFonts w:ascii="Times New Roman" w:hAnsi="Times New Roman" w:cs="Times New Roman"/>
          <w:sz w:val="28"/>
          <w:szCs w:val="28"/>
        </w:rPr>
        <w:t>углеродоёмкость</w:t>
      </w:r>
      <w:proofErr w:type="spellEnd"/>
      <w:r w:rsidRPr="00123302">
        <w:rPr>
          <w:rFonts w:ascii="Times New Roman" w:hAnsi="Times New Roman" w:cs="Times New Roman"/>
          <w:sz w:val="28"/>
          <w:szCs w:val="28"/>
        </w:rPr>
        <w:t xml:space="preserve">, ограниченная гибкость энергосистемы, разрыв между динамикой ВИЭ и уровнем сетевой модернизации, низкая локализация и </w:t>
      </w:r>
      <w:r w:rsidRPr="00123302">
        <w:rPr>
          <w:rFonts w:ascii="Times New Roman" w:hAnsi="Times New Roman" w:cs="Times New Roman"/>
          <w:sz w:val="28"/>
          <w:szCs w:val="28"/>
        </w:rPr>
        <w:lastRenderedPageBreak/>
        <w:t>зависимость от импортного оборудования, недостаточная цифровизация управления энергопотреблением.</w:t>
      </w:r>
    </w:p>
    <w:p w14:paraId="13F72B84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Разработана авторская многоуровневая управленческая модель зелёного роста, структурированная по пяти функциональным блокам: макроэкономическая устойчивость, энергетическая трансформация, энергоэффективность, промышленная политика и локализация, международное сотрудничество.</w:t>
      </w:r>
    </w:p>
    <w:p w14:paraId="0C4D1710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Предложен и апробирован механизм адаптации модели для корпоративного уровня (на примере АО «Корпорация Сайман»), включающий организационную перестройку, технологическую модернизацию, цифровизацию учета, внедрение систем управления спросом и институциональные меры подготовки кадров и стандартов энергоэффективности.</w:t>
      </w:r>
    </w:p>
    <w:p w14:paraId="047A6575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Сформирован трёхлетний бюджет внедрения модели, включающий как капитальные, так и операционные расходы, и обоснована логика распределения инвестиций по пяти инструментальным блокам. Подтверждена возможность корпоративной реализации зелёной трансформации в условиях ограниченных ресурсов.</w:t>
      </w:r>
    </w:p>
    <w:p w14:paraId="6692E629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Выполнена экономическая оценка внедрения управленческой модели: рассчитаны показатели NPV, IRR и ROI при ставке дисконтирования 18 %. Показано, что модель обладает положительным финансовым эффектом, обеспечивая прирост чистой приведённой стоимости и долгосрочное снижение операционных расходов предприятия.</w:t>
      </w:r>
    </w:p>
    <w:p w14:paraId="2C9496A0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 xml:space="preserve">Разработан практический инструментарий корпоративной адаптации: схемы организационных ролей, процедурная карта внедрения, текстовая диаграмма </w:t>
      </w:r>
      <w:proofErr w:type="spellStart"/>
      <w:r w:rsidRPr="00123302">
        <w:rPr>
          <w:rFonts w:ascii="Times New Roman" w:hAnsi="Times New Roman" w:cs="Times New Roman"/>
          <w:sz w:val="28"/>
          <w:szCs w:val="28"/>
        </w:rPr>
        <w:t>Ганта</w:t>
      </w:r>
      <w:proofErr w:type="spellEnd"/>
      <w:r w:rsidRPr="00123302">
        <w:rPr>
          <w:rFonts w:ascii="Times New Roman" w:hAnsi="Times New Roman" w:cs="Times New Roman"/>
          <w:sz w:val="28"/>
          <w:szCs w:val="28"/>
        </w:rPr>
        <w:t>, алгоритм модернизации энергетической инфраструктуры, цифровизации и институциональной трансформации.</w:t>
      </w:r>
    </w:p>
    <w:p w14:paraId="5B6348E5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Сформулированы практические рекомендации по внедрению модели на уровне промышленных предприятий: переход к распределённой генерации на базе ВИЭ, цифровизация энергетического менеджмента, формирование Фонда устойчивого развития, развитие кадровых компетенций, повышение ESG-стандартизации и локализация производственных процессов.</w:t>
      </w:r>
    </w:p>
    <w:p w14:paraId="0AF0720E" w14:textId="77777777" w:rsidR="000E7F50" w:rsidRPr="00123302" w:rsidRDefault="000E7F50" w:rsidP="000E7F50">
      <w:pPr>
        <w:numPr>
          <w:ilvl w:val="0"/>
          <w:numId w:val="61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Доказано, что предложенная модель обеспечивает не только экономический эффект, но и социально-экологические выгоды: рост технологической независимости, снижение выбросов CO₂, формирование устойчивой корпоративной культуры и усиление потенциала инновационного развития предприятий.</w:t>
      </w:r>
    </w:p>
    <w:p w14:paraId="4554360A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b/>
          <w:bCs/>
          <w:sz w:val="28"/>
          <w:szCs w:val="28"/>
        </w:rPr>
        <w:t>Оценка полноты решения поставленных задач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0D2278">
        <w:rPr>
          <w:rFonts w:ascii="Times New Roman" w:hAnsi="Times New Roman" w:cs="Times New Roman"/>
          <w:sz w:val="28"/>
          <w:szCs w:val="28"/>
        </w:rPr>
        <w:t xml:space="preserve">Все задачи, сформулированные в диссертационной работе, решены в полном объёме и в строгом соответствии с логикой научного поиска. Использованные методологические подходы обеспечили комплексное и всестороннее раскрытие темы исследования. В рамках исследования проведено глубокое изучение теоретических основ зелёной экономики и устойчивого развития, включая анализ эволюции научных подходов, моделей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Porter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van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Linde, </w:t>
      </w:r>
      <w:r w:rsidRPr="000D2278">
        <w:rPr>
          <w:rFonts w:ascii="Times New Roman" w:hAnsi="Times New Roman" w:cs="Times New Roman"/>
          <w:sz w:val="28"/>
          <w:szCs w:val="28"/>
        </w:rPr>
        <w:lastRenderedPageBreak/>
        <w:t xml:space="preserve">EKC,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Innovation Framework, теорий институциональной модернизации и энергетических трансформаций. </w:t>
      </w:r>
    </w:p>
    <w:p w14:paraId="4AA9E4E4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>Во второй главе выполнена многоуровневая диагностика состояния энергетической системы Республики Казахстан, включая анализ динамики ВИЭ, структуры энергобаланса, энергетической уязвимости, инфраструктурных ограничений, уровня технологической импортозависимости и устойчивости макроэкономической среды. Показано, что Казахстан сталкивается с системными барьерами зелёного перехода: высокой энергоёмкостью экономики, изношенностью электросетей, недостаточной гибкостью энергосистемы, низкой локализацией производства оборудования для ВИЭ, коротким инвестиционным горизонтом компаний и зависимостью от тарифной политики.</w:t>
      </w:r>
    </w:p>
    <w:p w14:paraId="72BECEB3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>Выполнен комплексный анализ институциональных факторов, включая оценку регуляторной среды, инструментов поддержки ВИЭ, архитектуры энергетических рынков, систем тарифообразования, а также факторов, связанных с инновационным, кадровым и технологическим развитием. Сформирована структурная карта ограничений зелёного перехода, что обеспечило обоснование необходимости разработки новой управленческой модели.</w:t>
      </w:r>
    </w:p>
    <w:p w14:paraId="1D0C9AFF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>На основе теоретического и эмпирического анализа разработана авторская многоуровневая управленческая модель зелёного роста, включающая пять системных блоков: макроэкономическую устойчивость, энергетическую трансформацию, повышение энергоэффективности, промышленную политику и локализацию, международное сотрудничество. Модель впервые адаптирована к корпоративному уровню и апробирована на примере ТОО «Корпорация Сайман». Выполнена её детализация по организационным, технологическим, институциональным и финансовым компонентам, что позволило обеспечить прикладной характер исследования.</w:t>
      </w:r>
    </w:p>
    <w:p w14:paraId="07A2E6C2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 xml:space="preserve">Выполнено построение трёхлетнего бюджета корпоративной адаптации модели с распределением затрат по блокам и статьям расходов. Общий объём инвестиций составил 1 410 млн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, что включает затраты на энергетическую модернизацию, цифровизацию, оборудование,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институтциональную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подготовку, обучение и создание внутренних механизмов устойчивого развития. Структура бюджета позволила увязать капитальные затраты с операционными и подтвердить реалистичность внедрения модели в условиях промышленных предприятий.</w:t>
      </w:r>
    </w:p>
    <w:p w14:paraId="0F7B43D9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 xml:space="preserve">В разделе экономической оценки получены количественные результаты, подтверждающие финансовую состоятельность модели.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0D2278">
        <w:rPr>
          <w:rFonts w:ascii="Times New Roman" w:hAnsi="Times New Roman" w:cs="Times New Roman"/>
          <w:sz w:val="28"/>
          <w:szCs w:val="28"/>
        </w:rPr>
        <w:t xml:space="preserve">истая приведённая стоимость при ставке дисконтирования 18% составляет +44 млн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>; рентабельность инвестиций достигает 200%; внутренняя норма доходности равна 13,3%.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оказатели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демонстрируют долгосрочную экономическую целесообразность модернизации энергосистемы предприятия несмотря на высокую стоимость капитала и макроэкономическую нестабильность. Кроме того, моделирование показало возможность ежегодной экономии затрат на </w:t>
      </w:r>
      <w:r w:rsidRPr="000D2278">
        <w:rPr>
          <w:rFonts w:ascii="Times New Roman" w:hAnsi="Times New Roman" w:cs="Times New Roman"/>
          <w:sz w:val="28"/>
          <w:szCs w:val="28"/>
        </w:rPr>
        <w:lastRenderedPageBreak/>
        <w:t xml:space="preserve">уровне 480 млн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и снижение выбросов CO₂ на 20–30 %, что усиливает синергетический эффект проекта.</w:t>
      </w:r>
    </w:p>
    <w:p w14:paraId="06E6851F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 xml:space="preserve">Практическая часть исследования завершена разработкой полного инструментария внедрения модели на корпоративном уровне, включающего организационные решения, распределение ролей, RACI-матрицу, процедурную карту внедрения, текстовую 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Гант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-диаграмму и систему KPI.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нструментарий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адаптирован к профилю казахстанских промышленных предприятий и позволяет перейти от стратегических ориентиров к регулярному управленческому циклу.</w:t>
      </w:r>
    </w:p>
    <w:p w14:paraId="548DACF5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2278">
        <w:rPr>
          <w:rFonts w:ascii="Times New Roman" w:hAnsi="Times New Roman" w:cs="Times New Roman"/>
          <w:sz w:val="28"/>
          <w:szCs w:val="28"/>
        </w:rPr>
        <w:t>Таким образом, диссертационная работа обеспечивает комплексное решение поставленных задач: от теоретического обоснования управленческих моделей зелёной экономики до разработки практических механизмов их внедрения и экономической оценки. Полученные результаты подтверждают прикладную и научную значимость исследования и формируют основу для дальнейшего развития теории и практики управления зелёным ростом в Казахстане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A3123C5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b/>
          <w:bCs/>
          <w:sz w:val="28"/>
          <w:szCs w:val="28"/>
        </w:rPr>
        <w:t>Рекомендации и направления практического использования результатов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0D2278">
        <w:rPr>
          <w:rFonts w:ascii="Times New Roman" w:hAnsi="Times New Roman" w:cs="Times New Roman"/>
          <w:sz w:val="28"/>
          <w:szCs w:val="28"/>
        </w:rPr>
        <w:t>Практическая ценность диссертационного исследования проявляется в разработке прикладного инструментария внедрения управленческой модели зелёного роста на уровне промышленных компаний Казахстана, а также в формировании комплекса организационных, технологических и институциональных мер, обеспечивающих переход предприятий к энергоэффективным, низкоуглеродным и технологически устойчивым производственным системам. Полученные результаты обладают потенциалом широкого практического применения на уровне корпоративного управления, отраслевой политики и национальных стратегических документов, что обусловливает их значимость как для реального сектора экономики, так и для государственной системы управления.</w:t>
      </w:r>
    </w:p>
    <w:p w14:paraId="2A362492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>Разработанный в диссертации модифицированный инструментарий оценки готовности к зелёному росту, авторская многоуровневая управленческая модель, а также инвестиционно-экономические расчёты и методические рекомендации могут быть использованы промышленными предприятиями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D2278">
        <w:rPr>
          <w:rFonts w:ascii="Times New Roman" w:hAnsi="Times New Roman" w:cs="Times New Roman"/>
          <w:sz w:val="28"/>
          <w:szCs w:val="28"/>
        </w:rPr>
        <w:t>Результаты исследования дают возможность предприятиям выстраивать стратегию низкоуглеродной трансформации в увязке с экономическими эффектами, требованиями регуляторной среды и перспективами ESG-комплаенса.</w:t>
      </w:r>
    </w:p>
    <w:p w14:paraId="7A25AD02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 xml:space="preserve">Государственные органы могут использовать результаты исследования при разработке отраслевых стратегий, государственных программ, дорожных карт и мер поддержки зелёных технологий. Авторская модель позволяет учесть факторы макроэкономической нестабильности, инфраструктурные ограничения и технологическую импортозависимость, формируя основу для совершенствования инструментов регулирования, механизмов стимулирования локализации оборудования, создания условий для развития распределённой генерации и внедрения механизмов «зелёного» </w:t>
      </w:r>
      <w:r w:rsidRPr="000D2278">
        <w:rPr>
          <w:rFonts w:ascii="Times New Roman" w:hAnsi="Times New Roman" w:cs="Times New Roman"/>
          <w:sz w:val="28"/>
          <w:szCs w:val="28"/>
        </w:rPr>
        <w:lastRenderedPageBreak/>
        <w:t>финансирования. Предложенные подходы могут применяться при разработке концепций низкоуглеродного развития, национальных планов по климату, стратегий энергетической безопасности и документов по реализации целей устойчивого развития.</w:t>
      </w:r>
    </w:p>
    <w:p w14:paraId="126B19DE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>Отраслевые ассоциации, объединения производителей электрооборудования, инженерные и технологические союзы могут использовать представленные в диссертации методические подходы для разработки внутренних отраслевых стандартов ESG, подготовки рекомендаций по модернизации предприятий, оценки технологической готовности отрасли к зелёному переходу и повышения качества корпоративной отчётности. Модель может быть адаптирована для формирования типовых отраслевых требований к энергоэффективности, цифровизации и экологической ответственности.</w:t>
      </w:r>
    </w:p>
    <w:p w14:paraId="31CC221B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>Методические материалы, модели и аналитические инструменты исследования могут использоваться как учебные кейсы, примеры интеграции эконометрических, институциональных и управленческих подходов, а также как база для дальнейших научных работ.</w:t>
      </w:r>
    </w:p>
    <w:p w14:paraId="7F453215" w14:textId="77777777" w:rsidR="000E7F50" w:rsidRPr="000D2278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2278">
        <w:rPr>
          <w:rFonts w:ascii="Times New Roman" w:hAnsi="Times New Roman" w:cs="Times New Roman"/>
          <w:sz w:val="28"/>
          <w:szCs w:val="28"/>
        </w:rPr>
        <w:t xml:space="preserve">Таким образом, результаты исследования обладают высокой степенью практической применимости, обеспечивая методологическую, аналитическую и инструментальную основу для зелёного перехода как на корпоративном, так и на отраслевом и национальном уровнях.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Start"/>
      <w:r w:rsidRPr="000D2278">
        <w:rPr>
          <w:rFonts w:ascii="Times New Roman" w:hAnsi="Times New Roman" w:cs="Times New Roman"/>
          <w:sz w:val="28"/>
          <w:szCs w:val="28"/>
        </w:rPr>
        <w:t>огут</w:t>
      </w:r>
      <w:proofErr w:type="spellEnd"/>
      <w:r w:rsidRPr="000D2278">
        <w:rPr>
          <w:rFonts w:ascii="Times New Roman" w:hAnsi="Times New Roman" w:cs="Times New Roman"/>
          <w:sz w:val="28"/>
          <w:szCs w:val="28"/>
        </w:rPr>
        <w:t xml:space="preserve"> быть использованы в различных сегментах экономики и государственного управления, способствуя формированию условий для устойчивого развития Казахстана в средне- и долгосрочной перспективе.</w:t>
      </w:r>
    </w:p>
    <w:p w14:paraId="1C9F4C63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b/>
          <w:bCs/>
          <w:sz w:val="28"/>
          <w:szCs w:val="28"/>
        </w:rPr>
        <w:t>Оценка научного уровня работы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123302">
        <w:rPr>
          <w:rFonts w:ascii="Times New Roman" w:hAnsi="Times New Roman" w:cs="Times New Roman"/>
          <w:sz w:val="28"/>
          <w:szCs w:val="28"/>
        </w:rPr>
        <w:t xml:space="preserve">Диссертация вносит существенный вклад в развитие научно-методологических основ управления зелёной экономикой в условиях стран с высокой </w:t>
      </w:r>
      <w:proofErr w:type="spellStart"/>
      <w:r w:rsidRPr="00123302">
        <w:rPr>
          <w:rFonts w:ascii="Times New Roman" w:hAnsi="Times New Roman" w:cs="Times New Roman"/>
          <w:sz w:val="28"/>
          <w:szCs w:val="28"/>
        </w:rPr>
        <w:t>углеродоёмкостью</w:t>
      </w:r>
      <w:proofErr w:type="spellEnd"/>
      <w:r w:rsidRPr="00123302">
        <w:rPr>
          <w:rFonts w:ascii="Times New Roman" w:hAnsi="Times New Roman" w:cs="Times New Roman"/>
          <w:sz w:val="28"/>
          <w:szCs w:val="28"/>
        </w:rPr>
        <w:t xml:space="preserve"> и особенностями институциональной среды. Автором разработан её многоуровневый формат и адаптация к корпоративному уровню.</w:t>
      </w:r>
    </w:p>
    <w:p w14:paraId="26423614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В сравнении с существующими работами в данной области научный уровень исследования определяется:</w:t>
      </w:r>
    </w:p>
    <w:p w14:paraId="55215503" w14:textId="77777777" w:rsidR="000E7F50" w:rsidRPr="00123302" w:rsidRDefault="000E7F50" w:rsidP="000E7F50">
      <w:pPr>
        <w:numPr>
          <w:ilvl w:val="0"/>
          <w:numId w:val="6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сочетанием макроэкономического, отраслевого и корпоративного анализа;</w:t>
      </w:r>
    </w:p>
    <w:p w14:paraId="7AC73352" w14:textId="77777777" w:rsidR="000E7F50" w:rsidRPr="00123302" w:rsidRDefault="000E7F50" w:rsidP="000E7F50">
      <w:pPr>
        <w:numPr>
          <w:ilvl w:val="0"/>
          <w:numId w:val="6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использованием современных методов моделирования эффективности (NPV, IRR, ROI, аннуитетные расчёты);</w:t>
      </w:r>
    </w:p>
    <w:p w14:paraId="4708CBD2" w14:textId="77777777" w:rsidR="000E7F50" w:rsidRPr="00123302" w:rsidRDefault="000E7F50" w:rsidP="000E7F50">
      <w:pPr>
        <w:numPr>
          <w:ilvl w:val="0"/>
          <w:numId w:val="6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разработкой оригинальной методики адаптации модели к условиям казахстанских предприятий;</w:t>
      </w:r>
    </w:p>
    <w:p w14:paraId="37801B05" w14:textId="77777777" w:rsidR="000E7F50" w:rsidRPr="00123302" w:rsidRDefault="000E7F50" w:rsidP="000E7F50">
      <w:pPr>
        <w:numPr>
          <w:ilvl w:val="0"/>
          <w:numId w:val="6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комплексностью подхода (от теории до прикладных инструментов внедрения);</w:t>
      </w:r>
    </w:p>
    <w:p w14:paraId="48995F97" w14:textId="77777777" w:rsidR="000E7F50" w:rsidRPr="00123302" w:rsidRDefault="000E7F50" w:rsidP="000E7F50">
      <w:pPr>
        <w:numPr>
          <w:ilvl w:val="0"/>
          <w:numId w:val="6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устранением выявленного в литературе разрыва между стратегическими концепциями и их реализацией в реальном секторе экономики.</w:t>
      </w:r>
    </w:p>
    <w:p w14:paraId="3EF4F65A" w14:textId="77777777" w:rsidR="000E7F50" w:rsidRPr="00123302" w:rsidRDefault="000E7F50" w:rsidP="000E7F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302">
        <w:rPr>
          <w:rFonts w:ascii="Times New Roman" w:hAnsi="Times New Roman" w:cs="Times New Roman"/>
          <w:sz w:val="28"/>
          <w:szCs w:val="28"/>
        </w:rPr>
        <w:t>Полученные научные результаты обладают новизной, достоверностью, логической связностью и практической ценностью, восполняя существенный пробел в отечественной научной школе зелёной экономики.</w:t>
      </w:r>
    </w:p>
    <w:p w14:paraId="569BB402" w14:textId="77777777" w:rsidR="000E7F50" w:rsidRDefault="000E7F50" w:rsidP="000E7F50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3" w:name="_Toc215079203"/>
      <w:r w:rsidRPr="000D2278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Список использованных источников</w:t>
      </w:r>
      <w:bookmarkEnd w:id="33"/>
      <w:r w:rsidRPr="000D2278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</w:p>
    <w:p w14:paraId="2E559E59" w14:textId="55D20DE4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Daly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Steady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-State Economics. — Washington, DC: Island Press, 1991. — 302 p.</w:t>
      </w:r>
    </w:p>
    <w:p w14:paraId="25A88C35" w14:textId="766BCD66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Costanza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R.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Ecological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Economics: The Science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Management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Sustainability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. — New York: Columbia University Press, 1991. — 525 p.</w:t>
      </w:r>
    </w:p>
    <w:p w14:paraId="4E1798DB" w14:textId="20B3BFA3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Victor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P.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Managing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Without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Growth: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Slower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Design,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Disaster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Cheltenham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Edward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Elgar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, 2008. — 320 p.</w:t>
      </w:r>
    </w:p>
    <w:p w14:paraId="7A4FEDF6" w14:textId="68B9C636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7F50" w:rsidRPr="00FB2985">
        <w:rPr>
          <w:rFonts w:ascii="Times New Roman" w:hAnsi="Times New Roman" w:cs="Times New Roman"/>
          <w:sz w:val="28"/>
          <w:szCs w:val="28"/>
        </w:rPr>
        <w:t xml:space="preserve">Stern N. The Economics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Change: The Stern Review. — Cambridge: Cambridge University Press, 2007. — 712 p.</w:t>
      </w:r>
    </w:p>
    <w:p w14:paraId="6768DF7D" w14:textId="38B54015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Jackson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T.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Prosperity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Without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Growth: Economics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Finite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Planet. — London: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Earthscan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, 2009. — 288 p.</w:t>
      </w:r>
    </w:p>
    <w:p w14:paraId="3D52B89E" w14:textId="1849DC06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Rockström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Planetary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Boundaries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Exploring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Safe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Operating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Space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Humanity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. //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Ecology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Society. — 2009. —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. 14(2). — P. 1–33.</w:t>
      </w:r>
    </w:p>
    <w:p w14:paraId="2981690E" w14:textId="648A7F0F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Porter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Competitive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Advantage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. — New York: Free Press, 1985. — 592 p.</w:t>
      </w:r>
    </w:p>
    <w:p w14:paraId="64A807E3" w14:textId="30395B16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7F50" w:rsidRPr="00FB2985">
        <w:rPr>
          <w:rFonts w:ascii="Times New Roman" w:hAnsi="Times New Roman" w:cs="Times New Roman"/>
          <w:sz w:val="28"/>
          <w:szCs w:val="28"/>
        </w:rPr>
        <w:t xml:space="preserve">Van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Linde C.,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Porter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Toward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a New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Conception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Environment-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Competitiveness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Relationship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. // Journal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Economic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Perspectives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. — 1995. —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. 9(4). — P. 97–118.</w:t>
      </w:r>
    </w:p>
    <w:p w14:paraId="1D438C73" w14:textId="23681F67" w:rsidR="000E7F50" w:rsidRPr="00FB2985" w:rsidRDefault="001A4459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Yaan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A. Corporate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Sustainability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Management: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Concepts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Approaches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 xml:space="preserve">. — London: </w:t>
      </w:r>
      <w:proofErr w:type="spellStart"/>
      <w:r w:rsidR="000E7F50" w:rsidRPr="00FB2985">
        <w:rPr>
          <w:rFonts w:ascii="Times New Roman" w:hAnsi="Times New Roman" w:cs="Times New Roman"/>
          <w:sz w:val="28"/>
          <w:szCs w:val="28"/>
        </w:rPr>
        <w:t>Routledge</w:t>
      </w:r>
      <w:proofErr w:type="spellEnd"/>
      <w:r w:rsidR="000E7F50" w:rsidRPr="00FB2985">
        <w:rPr>
          <w:rFonts w:ascii="Times New Roman" w:hAnsi="Times New Roman" w:cs="Times New Roman"/>
          <w:sz w:val="28"/>
          <w:szCs w:val="28"/>
        </w:rPr>
        <w:t>, 2014. — 244 p.</w:t>
      </w:r>
    </w:p>
    <w:p w14:paraId="436FCA5B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Freeman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 Strategic Management: 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Stakeholder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Approach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Boston: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Pitman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1984. — 276 p.</w:t>
      </w:r>
    </w:p>
    <w:p w14:paraId="32B2CFD7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Vogel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D. The Market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Virtue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Potential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Limits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Corporate Social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Responsibility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Washington, DC: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Brookings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Press, 2005. — 222 p.</w:t>
      </w:r>
    </w:p>
    <w:p w14:paraId="10DC2939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Reinhardt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 Down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Earth: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Applying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Business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Principles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Management. — Boston: Harvard Business School Press, 2000. — 302 p.</w:t>
      </w:r>
    </w:p>
    <w:p w14:paraId="6926396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Smil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V.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Requirements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Prospects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Santa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Barbara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Praeger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2010. — 185 p.</w:t>
      </w:r>
    </w:p>
    <w:p w14:paraId="7A764D5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Sorrell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Reducing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Demand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A Review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Issues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Challenges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Approaches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Reviews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2015. —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47. — P. 74–82.</w:t>
      </w:r>
    </w:p>
    <w:p w14:paraId="2781B94E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Geels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Technological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System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Innovations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Cheltenham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Edward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Elgar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2005. — 320 p.</w:t>
      </w:r>
    </w:p>
    <w:p w14:paraId="36AEAFE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Gevena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Low-Carbon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Strategies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Behavioural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Insights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University Press, 2016. — 290 p.</w:t>
      </w:r>
    </w:p>
    <w:p w14:paraId="669E8D6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Karapidis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Low-Carbon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Development. — London: Springer, 2018. — 256 p.</w:t>
      </w:r>
    </w:p>
    <w:p w14:paraId="6BA37E82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Кулагин </w:t>
      </w:r>
      <w:proofErr w:type="gramStart"/>
      <w:r w:rsidRPr="00FB2985">
        <w:rPr>
          <w:rFonts w:ascii="Times New Roman" w:hAnsi="Times New Roman" w:cs="Times New Roman"/>
          <w:sz w:val="28"/>
          <w:szCs w:val="28"/>
        </w:rPr>
        <w:t>Г.Т.</w:t>
      </w:r>
      <w:proofErr w:type="gramEnd"/>
      <w:r w:rsidRPr="00FB2985">
        <w:rPr>
          <w:rFonts w:ascii="Times New Roman" w:hAnsi="Times New Roman" w:cs="Times New Roman"/>
          <w:sz w:val="28"/>
          <w:szCs w:val="28"/>
        </w:rPr>
        <w:t xml:space="preserve"> Основы экологической политики Казахстана. — Алматы: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КазНАУ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2002. — 214 с.</w:t>
      </w:r>
    </w:p>
    <w:p w14:paraId="7A39361D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Ахметов </w:t>
      </w:r>
      <w:proofErr w:type="gramStart"/>
      <w:r w:rsidRPr="00FB2985">
        <w:rPr>
          <w:rFonts w:ascii="Times New Roman" w:hAnsi="Times New Roman" w:cs="Times New Roman"/>
          <w:sz w:val="28"/>
          <w:szCs w:val="28"/>
        </w:rPr>
        <w:t>К.С.</w:t>
      </w:r>
      <w:proofErr w:type="gramEnd"/>
      <w:r w:rsidRPr="00FB2985">
        <w:rPr>
          <w:rFonts w:ascii="Times New Roman" w:hAnsi="Times New Roman" w:cs="Times New Roman"/>
          <w:sz w:val="28"/>
          <w:szCs w:val="28"/>
        </w:rPr>
        <w:t xml:space="preserve"> Экологические аспекты устойчивого развития Республики Казахстан. — Астана: ЕНУ, 2007. — 198 с.</w:t>
      </w:r>
    </w:p>
    <w:p w14:paraId="7FDDDE2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Ахметова </w:t>
      </w:r>
      <w:proofErr w:type="gramStart"/>
      <w:r w:rsidRPr="00FB2985">
        <w:rPr>
          <w:rFonts w:ascii="Times New Roman" w:hAnsi="Times New Roman" w:cs="Times New Roman"/>
          <w:sz w:val="28"/>
          <w:szCs w:val="28"/>
        </w:rPr>
        <w:t>Ж.С.</w:t>
      </w:r>
      <w:proofErr w:type="gramEnd"/>
      <w:r w:rsidRPr="00FB2985">
        <w:rPr>
          <w:rFonts w:ascii="Times New Roman" w:hAnsi="Times New Roman" w:cs="Times New Roman"/>
          <w:sz w:val="28"/>
          <w:szCs w:val="28"/>
        </w:rPr>
        <w:t xml:space="preserve"> Устойчивое развитие Казахстана: концепции и механизмы. — Алматы: Экономика, 2010. — 242 с.</w:t>
      </w:r>
    </w:p>
    <w:p w14:paraId="7DA0ACD3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lastRenderedPageBreak/>
        <w:t>Алимханов М.Т. Энергетическая эффективность и экологическая модернизация экономики. — Алматы: Эксперт, 2011. — 220 с.</w:t>
      </w:r>
    </w:p>
    <w:p w14:paraId="1813041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Сагинтаев А.Е. Институциональные основы инновационной политики Казахстана. — Алматы: Институт экономики, 2014. — 176 с.</w:t>
      </w:r>
    </w:p>
    <w:p w14:paraId="2C903C9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Исекешев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А.Ө. Инновационная модернизация промышленности: стратегия и управление. — Астана: Назарбаев Университет, 2013. — 210 с.</w:t>
      </w:r>
    </w:p>
    <w:p w14:paraId="347272E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Шоканбаев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У. Экономика зеленого роста: анализ и перспективы. — Алматы: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КазУЭФМТ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2016. — 186 с.</w:t>
      </w:r>
    </w:p>
    <w:p w14:paraId="25B00621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Кожамкулова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Т. Возобновляемая энергетика Казахстана: тенденции и перспективы. — Алматы: ИЭ КН МОН РК, 2019. — 168 с.</w:t>
      </w:r>
    </w:p>
    <w:p w14:paraId="6CE7E88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Бекмагамбетова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Н. Цифровизация энергетического сектора Казахстана. — Нур-Султан: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Казэнерго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2021. — 155 с.</w:t>
      </w:r>
    </w:p>
    <w:p w14:paraId="17D00991" w14:textId="77777777" w:rsidR="000E7F50" w:rsidRPr="00FB2985" w:rsidRDefault="000E7F50" w:rsidP="000E7F50">
      <w:pPr>
        <w:pStyle w:val="a7"/>
        <w:numPr>
          <w:ilvl w:val="0"/>
          <w:numId w:val="6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Есимханова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М. Климатическая политика и декарбонизация экономики Казахстана. — Алматы: Экономика, 2022. — 192 с.</w:t>
      </w:r>
    </w:p>
    <w:p w14:paraId="230BABA9" w14:textId="72E7FC61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Bird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L.,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Cochran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Wang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X.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Trends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Portfolio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Standards: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Balancing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Policy Design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Market Dynamics // Energy Policy. – 2020.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138. – P. 111229.</w:t>
      </w:r>
      <w:r w:rsidR="001A4459"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2985">
        <w:rPr>
          <w:rFonts w:ascii="Times New Roman" w:hAnsi="Times New Roman" w:cs="Times New Roman"/>
          <w:sz w:val="28"/>
          <w:szCs w:val="28"/>
        </w:rPr>
        <w:t>https://doi.org/10.1016/j.enpol.2019.111229</w:t>
      </w:r>
    </w:p>
    <w:p w14:paraId="11C53DC7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Wiser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Bolinger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 2019 Wind Technologies Market Report. – U.S. Department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Lawrence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Berkeley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National Laboratory. – 2020. – 98 p.</w:t>
      </w:r>
      <w:r w:rsidRPr="00FB2985">
        <w:rPr>
          <w:rFonts w:ascii="Times New Roman" w:hAnsi="Times New Roman" w:cs="Times New Roman"/>
          <w:sz w:val="28"/>
          <w:szCs w:val="28"/>
        </w:rPr>
        <w:br/>
        <w:t>https://doi.org/10.2172/1659840</w:t>
      </w:r>
    </w:p>
    <w:p w14:paraId="56DFA46D" w14:textId="0B1B6802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Yoon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Sim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Barriers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Deployment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South Korea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Reviews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2021.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145. – P. 111089.</w:t>
      </w:r>
      <w:r w:rsidR="001A4459"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2985">
        <w:rPr>
          <w:rFonts w:ascii="Times New Roman" w:hAnsi="Times New Roman" w:cs="Times New Roman"/>
          <w:sz w:val="28"/>
          <w:szCs w:val="28"/>
        </w:rPr>
        <w:t>https://doi.org/10.1016/j.rser.2021.111089</w:t>
      </w:r>
    </w:p>
    <w:p w14:paraId="5CB3DF15" w14:textId="6AFA4EF6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Pahle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Kern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Carlsson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Sequencing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Toward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Decarbonization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The Case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European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Energy Research &amp; Social Science. – 2022.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89. – P. 102538.</w:t>
      </w:r>
      <w:r w:rsidR="001A4459"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2" w:tgtFrame="_new" w:history="1">
        <w:r w:rsidRPr="00FB2985">
          <w:rPr>
            <w:rStyle w:val="afb"/>
            <w:rFonts w:ascii="Times New Roman" w:hAnsi="Times New Roman" w:cs="Times New Roman"/>
            <w:color w:val="auto"/>
            <w:sz w:val="28"/>
            <w:szCs w:val="28"/>
          </w:rPr>
          <w:t>https://doi.org/10.1016/j.erss.2022.102538</w:t>
        </w:r>
      </w:hyperlink>
    </w:p>
    <w:p w14:paraId="7B8221A3" w14:textId="3E4773D5" w:rsidR="000E7F50" w:rsidRPr="00FB2985" w:rsidRDefault="000E7F50" w:rsidP="001A4459">
      <w:pPr>
        <w:pStyle w:val="a7"/>
        <w:numPr>
          <w:ilvl w:val="0"/>
          <w:numId w:val="65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Quitzow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Bersalli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Lilliestam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Economy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Coalitions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Governance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Global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Change. – 2021.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69. – P. 102305.</w:t>
      </w:r>
      <w:r w:rsidR="001A4459"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2985">
        <w:rPr>
          <w:rFonts w:ascii="Times New Roman" w:hAnsi="Times New Roman" w:cs="Times New Roman"/>
          <w:sz w:val="28"/>
          <w:szCs w:val="28"/>
        </w:rPr>
        <w:t>https://doi.org/10.1016/j.gloenvcha.2021.102305</w:t>
      </w:r>
    </w:p>
    <w:p w14:paraId="4A515177" w14:textId="0F2A59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Marques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Fuinhas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Marques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A.C.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Drivers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Deployment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Revisited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Panel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Data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Approach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EU // Energy. – 2020.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203. – P. 117804.</w:t>
      </w:r>
      <w:r w:rsidR="001A4459"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2985">
        <w:rPr>
          <w:rFonts w:ascii="Times New Roman" w:hAnsi="Times New Roman" w:cs="Times New Roman"/>
          <w:sz w:val="28"/>
          <w:szCs w:val="28"/>
        </w:rPr>
        <w:t>https://doi.org/10.1016/j.energy.2020.117804</w:t>
      </w:r>
    </w:p>
    <w:p w14:paraId="2CAF27C3" w14:textId="0EF72ADA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Böhringer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Keller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A., Van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Werf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E. 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Computable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General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Equilibrium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Mixes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Expansion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Energy Economics. – 2019.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81. – P. 1155–1168.</w:t>
      </w:r>
      <w:r w:rsidR="001A4459" w:rsidRPr="001A44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2985">
        <w:rPr>
          <w:rFonts w:ascii="Times New Roman" w:hAnsi="Times New Roman" w:cs="Times New Roman"/>
          <w:sz w:val="28"/>
          <w:szCs w:val="28"/>
        </w:rPr>
        <w:t>https://doi.org/10.1016/j.eneco.2019.06.022</w:t>
      </w:r>
    </w:p>
    <w:p w14:paraId="56951C09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Painuly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J.P.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Barriers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Penetration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A Framework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Energy. – 2001.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24(1). – P. 73–89.</w:t>
      </w:r>
    </w:p>
    <w:p w14:paraId="316167F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Bhattacharya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Paramati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S.R.,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Ozturk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Bhattacharya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Consumption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Growth: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Top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Countries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Energy Economics. – 2016.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60. – P. 321–327.</w:t>
      </w:r>
    </w:p>
    <w:p w14:paraId="00DDB79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lastRenderedPageBreak/>
        <w:t>Aguirre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Ibikunle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Determinants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Growth: A Global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Sample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// Energy Policy. – 2014.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69. – P. 374–384.</w:t>
      </w:r>
    </w:p>
    <w:p w14:paraId="54D8B4F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Zhang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Y. Analysis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Development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Solar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PV Power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China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Reviews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2013.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23. – P. 393–403.</w:t>
      </w:r>
    </w:p>
    <w:p w14:paraId="18A2EF1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Menz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F.C.,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Vachon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Effectiveness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Regimes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Promoting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Wind Power: 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Comparative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// Energy Policy. – 2006.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34(14). – P. 1786–1796.</w:t>
      </w:r>
    </w:p>
    <w:p w14:paraId="3DBA899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The International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Agency (IRENA).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Statistics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2023.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Abu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Dhabi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: IRENA, 2023. – 120 p.</w:t>
      </w:r>
    </w:p>
    <w:p w14:paraId="383C351A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Bowden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N.,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Payne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J.E.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Causal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Relationship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Consumption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Real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Income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United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States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Canada //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Sources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2009.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31(14). – P. 1227–1234.</w:t>
      </w:r>
      <w:r w:rsidRPr="00FB2985">
        <w:rPr>
          <w:rFonts w:ascii="Times New Roman" w:hAnsi="Times New Roman" w:cs="Times New Roman"/>
          <w:sz w:val="28"/>
          <w:szCs w:val="28"/>
        </w:rPr>
        <w:br/>
        <w:t>https://doi.org/10.1080/15567030802313437</w:t>
      </w:r>
    </w:p>
    <w:p w14:paraId="78CDED79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Ozturk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Acaravci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Electricity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Consumption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Real GDP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Causality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Nexus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ARDL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Bound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Testing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Approach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11 MENA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Countries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Energy. – 2010.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87(3). – P. 103–108.</w:t>
      </w:r>
      <w:r w:rsidRPr="00FB2985">
        <w:rPr>
          <w:rFonts w:ascii="Times New Roman" w:hAnsi="Times New Roman" w:cs="Times New Roman"/>
          <w:sz w:val="28"/>
          <w:szCs w:val="28"/>
        </w:rPr>
        <w:br/>
        <w:t>https://doi.org/10.1016/j.apenergy.2009.06.014</w:t>
      </w:r>
    </w:p>
    <w:p w14:paraId="0F1C42A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Fuinhas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Marques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A.C.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Growth: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Portugal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Causality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// Energy Policy. – 2012.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46. – P. 279–287. https://doi.org/10.1016/j.enpol.2012.03.027</w:t>
      </w:r>
    </w:p>
    <w:p w14:paraId="4A35D8B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44.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Nazlioglu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Ozatac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Soytas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U.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Nonrenewable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Consumption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Growth: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Four South American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Countries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Sources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B: Economics, Planning,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Policy. – 2014.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9(1). – P. 64–</w:t>
      </w:r>
      <w:proofErr w:type="gramStart"/>
      <w:r w:rsidRPr="00FB2985">
        <w:rPr>
          <w:rFonts w:ascii="Times New Roman" w:hAnsi="Times New Roman" w:cs="Times New Roman"/>
          <w:sz w:val="28"/>
          <w:szCs w:val="28"/>
        </w:rPr>
        <w:t>69.https://doi.org/10.1080/15567249.2012.720375</w:t>
      </w:r>
      <w:proofErr w:type="gramEnd"/>
    </w:p>
    <w:p w14:paraId="0EC78201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Lee C.C.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Consumption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GDP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Developing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Countries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Cointegrated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Panel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// Energy Economics. – 2006.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28(2). – P. 435–448.</w:t>
      </w:r>
      <w:hyperlink r:id="rId33" w:history="1">
        <w:r w:rsidRPr="00FB2985">
          <w:rPr>
            <w:rStyle w:val="afb"/>
            <w:rFonts w:ascii="Times New Roman" w:hAnsi="Times New Roman" w:cs="Times New Roman"/>
            <w:color w:val="auto"/>
            <w:sz w:val="28"/>
            <w:szCs w:val="28"/>
          </w:rPr>
          <w:t>https://doi.org/10.1016/j.eneco.2005.03.003</w:t>
        </w:r>
      </w:hyperlink>
    </w:p>
    <w:p w14:paraId="16D32992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Sorrell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Reducing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Demand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A Review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Issues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Challenges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Approaches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Reviews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2015. —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47. — P. 74–82.</w:t>
      </w:r>
    </w:p>
    <w:p w14:paraId="3DEE8B4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Nelson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R.R.,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Winter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S.G.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Evolutionary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Theory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Change. – Cambridge, MA: Harvard University Press, 1982. – 392 p.</w:t>
      </w:r>
    </w:p>
    <w:p w14:paraId="0361CFFB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Freeman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Perez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Structural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Crises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Adjustment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Business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Cycles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Investment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Behaviour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Technical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Theory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London: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Pinter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1988. – P. 38–66.</w:t>
      </w:r>
    </w:p>
    <w:p w14:paraId="5A74719A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North D.C.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Performance. – Cambridge: Cambridge University Press, 1990. – 243 p.</w:t>
      </w:r>
    </w:p>
    <w:p w14:paraId="4036FB3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Williamson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O.E. The Economic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Capitalism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Firms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Markets,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Relational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Contracting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The American Economic Review. – 1985.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75(2). – P. 97–103.</w:t>
      </w:r>
    </w:p>
    <w:p w14:paraId="185101EB" w14:textId="3B33B8E0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Geels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F.W.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Technological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System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Innovations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: A Co-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evolutionary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Socio-technical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Edward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Elgar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Publishing, 2005. – 331p.</w:t>
      </w:r>
    </w:p>
    <w:p w14:paraId="76C3550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lastRenderedPageBreak/>
        <w:t xml:space="preserve">Arthur W.B. The Nature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Technology: What It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Evolves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– New York: Free Press, 2009. – 272 p.</w:t>
      </w:r>
    </w:p>
    <w:p w14:paraId="3EA20ABE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David P.A.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Path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Dependence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Critics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‘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Historical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Economics’ // Evolution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Path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Dependence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Economic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Ideas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University Press, 2007. – P. 15–40.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</w:p>
    <w:p w14:paraId="6982F82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Arthur W.B. The Nature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Technology: What It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Evolves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– New York: Free Press, 2009. – 272 p.</w:t>
      </w:r>
    </w:p>
    <w:p w14:paraId="60770E4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Smil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V.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Global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National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Perspectives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— Santa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Barbara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Praeger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2017. — 216 p.</w:t>
      </w:r>
    </w:p>
    <w:p w14:paraId="526B2A9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IRENA.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Technology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Deployment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Cost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Reduction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Abu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Dhabi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International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Agency, 2020. – 45 p.</w:t>
      </w:r>
    </w:p>
    <w:p w14:paraId="744D74D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Lund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Systems: A Smart Energy Systems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Approach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Choice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Solutions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Elsevier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2019. – 534 p.</w:t>
      </w:r>
    </w:p>
    <w:p w14:paraId="5A88265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0C2">
        <w:rPr>
          <w:rFonts w:ascii="Times New Roman" w:hAnsi="Times New Roman" w:cs="Times New Roman"/>
          <w:sz w:val="28"/>
          <w:szCs w:val="28"/>
        </w:rPr>
        <w:t>Jha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V. Trade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Flows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Barriers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Market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Drivers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Energy Supply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Goods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: The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Level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Playing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 xml:space="preserve"> Field. — </w:t>
      </w:r>
      <w:proofErr w:type="spellStart"/>
      <w:r w:rsidRPr="00BE60C2">
        <w:rPr>
          <w:rFonts w:ascii="Times New Roman" w:hAnsi="Times New Roman" w:cs="Times New Roman"/>
          <w:sz w:val="28"/>
          <w:szCs w:val="28"/>
        </w:rPr>
        <w:t>Geneva</w:t>
      </w:r>
      <w:proofErr w:type="spellEnd"/>
      <w:r w:rsidRPr="00BE60C2">
        <w:rPr>
          <w:rFonts w:ascii="Times New Roman" w:hAnsi="Times New Roman" w:cs="Times New Roman"/>
          <w:sz w:val="28"/>
          <w:szCs w:val="28"/>
        </w:rPr>
        <w:t>: ICTSD, 2009. — 145 p.</w:t>
      </w:r>
    </w:p>
    <w:p w14:paraId="3434719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Geels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F.W.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Technological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System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Innovations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: A Co-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evolutionary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Socio-Technical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Analysis.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Cheltenham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Edward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Elgar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Publishing, 2018. – 350 p.</w:t>
      </w:r>
    </w:p>
    <w:p w14:paraId="5AF5687E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Ricardo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D. On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Principles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Economy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Taxation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London: John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Murray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2017. – 400 p.</w:t>
      </w:r>
    </w:p>
    <w:p w14:paraId="13B6990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Международное агентство по возобновляемым источникам энергии (IRENA). Этапы роста возобновляемой энергетики и взаимодействие с политикой / Пер. с англ. – Абу-Даби, 2021. – 38 с.</w:t>
      </w:r>
    </w:p>
    <w:p w14:paraId="5F1A0AB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Хекшер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Э., Олин Б. Теория международной торговли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Хекшера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-Олина // Экономика. – 1991. – Т. 25, № 2. – С. 67–90.</w:t>
      </w:r>
    </w:p>
    <w:p w14:paraId="051A18E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Маркузен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Дж.Р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., Мелвин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Дж.Р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Кемпфер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В.Х.,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Маскус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К.Е. Международная торговля: теория и практика. – Нью-Йорк: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МакГроу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-Хилл, 2018. – 550 с.</w:t>
      </w:r>
    </w:p>
    <w:p w14:paraId="55390FA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Чжан С., Ван Ю., Ли Дж. Динамика экспорта оборудования для возобновляемой энергетики Китая и его глобальная конкурентоспособность // Возобновляемая энергетика. – 2022. – Т. 182. – С. 1200–1212.</w:t>
      </w:r>
    </w:p>
    <w:p w14:paraId="091A8869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Национальная комиссия по развитию и реформам Китая. Отчёт о прогрессе инициативы «Один пояс, один путь». – Пекин, 2023. – 60 с.</w:t>
      </w:r>
    </w:p>
    <w:p w14:paraId="59EFD89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Министерство энергетики Республики Казахстан. Концепция развития зелёной экономики до 2050 года. – Астана, 2022. – 45 с.</w:t>
      </w:r>
    </w:p>
    <w:p w14:paraId="61551EC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Porter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 E.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Competitive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Advantage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Nations. – New York: Free Press, 1990. – 855 p.</w:t>
      </w:r>
    </w:p>
    <w:p w14:paraId="19899C4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Ахметов К. А. Формирование конкурентных преимуществ Казахстана в секторе возобновляемой энергетики // Вестник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КазНУ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– 2023. – № 4. – С. 45–58.</w:t>
      </w:r>
    </w:p>
    <w:p w14:paraId="4F3DBC57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Yergin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D. The Prize: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Epic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Oil, Money &amp; Power. – New York: Free Press, 1991. – 848 p.</w:t>
      </w:r>
    </w:p>
    <w:p w14:paraId="0E6F404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lastRenderedPageBreak/>
        <w:t>Intergovernmental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Panel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 (IPCC).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 2023: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Mitigation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Geneva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2023. – 400 p.</w:t>
      </w:r>
    </w:p>
    <w:p w14:paraId="5D02BCF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Smith 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Stirling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Berkhout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governance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socio-technical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Research Policy. – 2010.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39, № 4. – P. 471–476.</w:t>
      </w:r>
    </w:p>
    <w:p w14:paraId="4D1908C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Markard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Raven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Truffer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B.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Sustainability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emerging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field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prospects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Research Policy. – 2012.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41, № 6. – P. 955–967.</w:t>
      </w:r>
    </w:p>
    <w:p w14:paraId="5472B673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China’s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Strategic Emerging Industries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Innovation Policy // China Economic Journal. – 2019.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12, № 1. – P. 1–18.</w:t>
      </w:r>
    </w:p>
    <w:p w14:paraId="4FCE32CB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Goulder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L. H.,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Stavins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R. N.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Challenges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state-federal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interactions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US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change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policy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American Economic Review. – 2016.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106, № 5. – P. 452–457.</w:t>
      </w:r>
    </w:p>
    <w:p w14:paraId="347F677E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Nilsson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Jordan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Turnpenny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J. The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challenge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assessing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governance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impact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Sustainability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2018.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10, № 6.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Article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1993.</w:t>
      </w:r>
    </w:p>
    <w:p w14:paraId="16B22D22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Berg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S.,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Lundmark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R. Nordic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models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institutional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features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lessons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learned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Policy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Governance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2017.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27, № 1. – P. 1–14.</w:t>
      </w:r>
    </w:p>
    <w:p w14:paraId="4C7A3B7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Geels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F. W. Многоуровневый подход к переходам в устойчивом развитии: ответы на семь критических замечаний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Innovation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Societal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– 2018. – Т. 27. – С. 108–125.</w:t>
      </w:r>
    </w:p>
    <w:p w14:paraId="0847C3A3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Смил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В. Энергетические переходы: история, требования, перспективы.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Praeger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2017. – 353 с.</w:t>
      </w:r>
    </w:p>
    <w:p w14:paraId="4428E64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Международное энергетическое агентство (IEA). Net Zero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2050: Дорожная карта для глобального энергетического сектора. – Международное энергетическое агентство, 2021. – 224 с.</w:t>
      </w:r>
    </w:p>
    <w:p w14:paraId="701830F9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Грюблер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А. Энергетические переходы: исторический и системный анализ // Energy Policy. – 1998. – Т. 26, № 11. – С. 925–939.</w:t>
      </w:r>
    </w:p>
    <w:p w14:paraId="6B1BBD3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Абрамович А. История энергетических переходов и их влияние на развитие промышленности и общества // Журнал энергетической политики. – 2020. – Т. 15, № 3. – С. 45–60.</w:t>
      </w:r>
    </w:p>
    <w:p w14:paraId="2236AB1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Смил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В. Энергия и цивилизация: История, наука, перспективы. – М.: Издательство «Альпина Паблишер», 2016. – 720 с.</w:t>
      </w:r>
    </w:p>
    <w:p w14:paraId="264E6F8B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Löffler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M.,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Low-carbon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transitions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Perspectives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pathways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Sustainable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Reviews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2020.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131. – P. 110030.</w:t>
      </w:r>
    </w:p>
    <w:p w14:paraId="2A19E75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Peyerl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Technological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innovations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renewable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systems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Reports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2021.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7. – P. 2630–2642.</w:t>
      </w:r>
    </w:p>
    <w:p w14:paraId="3ECC9ECA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Dong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L.,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Low-carbon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systems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policies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context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change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// Journal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Cleaner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Production. – 2022.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337. – P. 130494.</w:t>
      </w:r>
    </w:p>
    <w:p w14:paraId="4AF48F56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World Bank Data. GDP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capita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34" w:tgtFrame="_new" w:history="1">
        <w:r w:rsidRPr="00FB2985">
          <w:rPr>
            <w:rStyle w:val="afb"/>
            <w:rFonts w:ascii="Times New Roman" w:hAnsi="Times New Roman" w:cs="Times New Roman"/>
            <w:color w:val="auto"/>
            <w:sz w:val="28"/>
            <w:szCs w:val="28"/>
          </w:rPr>
          <w:t>https://data.worldbank.org/indicator/NY.GDP.PCAP.CD</w:t>
        </w:r>
      </w:hyperlink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BBBE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World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Data; International Energy Agency. Global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Statistics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 </w:t>
      </w:r>
      <w:hyperlink r:id="rId35" w:tgtFrame="_new" w:history="1">
        <w:r w:rsidRPr="00FB2985">
          <w:rPr>
            <w:rStyle w:val="afb"/>
            <w:rFonts w:ascii="Times New Roman" w:hAnsi="Times New Roman" w:cs="Times New Roman"/>
            <w:color w:val="auto"/>
            <w:sz w:val="28"/>
            <w:szCs w:val="28"/>
          </w:rPr>
          <w:t>https://ourworldindata.org/energy</w:t>
        </w:r>
      </w:hyperlink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D512DE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lastRenderedPageBreak/>
        <w:t xml:space="preserve">ОЭСР. Энергетический переход: уроки для развивающихся стран // OECD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Insights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. – 2021. – 120 с.</w:t>
      </w:r>
    </w:p>
    <w:p w14:paraId="0C41A917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Международное энергетическое агентство (IEA). World Energy Outlook 2023. – Paris: IEA, 2023. – 600 p.</w:t>
      </w:r>
    </w:p>
    <w:p w14:paraId="4E00940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>Байболов Б. Ж., Мухамеджанова Г. С. Зелёная экономика Казахстана: институциональные вызовы и возможности // Экономика и управление. – 2022. – № 4. – С. 45–55.</w:t>
      </w:r>
    </w:p>
    <w:p w14:paraId="073C6F26" w14:textId="77777777" w:rsidR="000E7F50" w:rsidRPr="00FB2985" w:rsidRDefault="000E7F50" w:rsidP="000E7F50">
      <w:pPr>
        <w:pStyle w:val="a7"/>
        <w:numPr>
          <w:ilvl w:val="0"/>
          <w:numId w:val="65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Иванов А. П. Управление энергетическими системами: Учебник. – М.: Издательство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2020. – 400 с.</w:t>
      </w:r>
    </w:p>
    <w:p w14:paraId="3480AFAA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Кулмагамбетов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Е. Т. Национальная политика в области возобновляемой энергетики: анализ и перспективы развития в Казахстане // Вестник НИРС. – 2023. – Т. 10, № 2. – С. 101–112.</w:t>
      </w:r>
    </w:p>
    <w:p w14:paraId="47DFE2B3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985">
        <w:rPr>
          <w:rFonts w:ascii="Times New Roman" w:hAnsi="Times New Roman" w:cs="Times New Roman"/>
          <w:sz w:val="28"/>
          <w:szCs w:val="28"/>
        </w:rPr>
        <w:t xml:space="preserve">International Energy Agency (IEA); World Bank. Kazakhstan: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Greenhouse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Gas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Emissions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Report 2023. – Paris / Washington, 2023. – 150 p.</w:t>
      </w:r>
    </w:p>
    <w:p w14:paraId="7308D3FA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Intergovernmental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Panel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 (IPCC).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Sixth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Assessment Report (AR6),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Climate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Change 2023: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Impacts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Adaptation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Vulnerability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Geneva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>, 2023. – 1200 p.</w:t>
      </w:r>
    </w:p>
    <w:p w14:paraId="34B90DB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985">
        <w:rPr>
          <w:rFonts w:ascii="Times New Roman" w:hAnsi="Times New Roman" w:cs="Times New Roman"/>
          <w:sz w:val="28"/>
          <w:szCs w:val="28"/>
        </w:rPr>
        <w:t>Kaya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Yoichi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Impact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Carbon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Dioxide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Emission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Control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GNP Growth: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Interpretation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Proposed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Scenarios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. – Paper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presented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IPCC Energy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Industry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Subgroup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, Response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Strategies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985">
        <w:rPr>
          <w:rFonts w:ascii="Times New Roman" w:hAnsi="Times New Roman" w:cs="Times New Roman"/>
          <w:sz w:val="28"/>
          <w:szCs w:val="28"/>
        </w:rPr>
        <w:t>Working</w:t>
      </w:r>
      <w:proofErr w:type="spellEnd"/>
      <w:r w:rsidRPr="00FB2985">
        <w:rPr>
          <w:rFonts w:ascii="Times New Roman" w:hAnsi="Times New Roman" w:cs="Times New Roman"/>
          <w:sz w:val="28"/>
          <w:szCs w:val="28"/>
        </w:rPr>
        <w:t xml:space="preserve"> Group, 1990.</w:t>
      </w:r>
    </w:p>
    <w:p w14:paraId="3A4EFA1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Fankhauser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S., Stern N. (2016).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Climate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Change, Development,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Poverty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Economics.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KZ"/>
          <w14:ligatures w14:val="none"/>
        </w:rPr>
        <w:t xml:space="preserve"> 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World Economics,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Vol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17(1),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pp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</w:t>
      </w:r>
      <w:proofErr w:type="gram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1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KZ"/>
          <w14:ligatures w14:val="none"/>
        </w:rPr>
        <w:t>0-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18</w:t>
      </w:r>
      <w:proofErr w:type="gram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</w:t>
      </w:r>
    </w:p>
    <w:p w14:paraId="02DE414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Министерство энергетики Республики Казахстан. Стратегия развития возобновляемой энергетики Республики Казахстан. – 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KZ"/>
          <w14:ligatures w14:val="none"/>
        </w:rPr>
        <w:t>Астана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, 2023. – 80 с.</w:t>
      </w:r>
    </w:p>
    <w:p w14:paraId="237B9F68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Закон Республики Казахстан «О поддержке использования возобновляемых источников энергии» от 2009 года. – 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KZ"/>
          <w14:ligatures w14:val="none"/>
        </w:rPr>
        <w:t>Астана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, 2009.</w:t>
      </w:r>
    </w:p>
    <w:p w14:paraId="589F255C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Министерство энергетики Республики Казахстан. Отчёт о состоянии возобновляемой энергетики в Казахстане на конец 2024 года. – 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KZ"/>
          <w14:ligatures w14:val="none"/>
        </w:rPr>
        <w:t>Астана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, 2024.</w:t>
      </w:r>
    </w:p>
    <w:p w14:paraId="6C691D53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Аналитический обзор развития возобновляемой энергетики в Казахстане // Энергетика и экономика Казахстана, 2024, №4, с. 22–35.</w:t>
      </w:r>
    </w:p>
    <w:p w14:paraId="1796F05E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Министерство энергетики Республики Казахстан. Динамика развития объектов ВИЭ в Казахстане (2014–2024). 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KZ"/>
          <w14:ligatures w14:val="none"/>
        </w:rPr>
        <w:t>- Астана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2024. </w:t>
      </w:r>
    </w:p>
    <w:p w14:paraId="148FF95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Министерство энергетики Республики Казахстан. Отчёт по состоянию электросетевого комплекса и планам модернизации. – 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KZ"/>
          <w14:ligatures w14:val="none"/>
        </w:rPr>
        <w:t>Астана</w:t>
      </w: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, 2023.</w:t>
      </w:r>
    </w:p>
    <w:p w14:paraId="725CC15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Международное агентство по возобновляемой энергии (IRENA).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Renewable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Energy Cost Analysis 2024. –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Abu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Dhabi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, 2024.</w:t>
      </w:r>
    </w:p>
    <w:p w14:paraId="6B7103EF" w14:textId="77777777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Министерство энергетики Республики Казахстан. Аналитический отчёт: преимущества и риски развития низкоуглеродной и возобновляемой энергетики / Министерство энергетики РК. — Астана, 2024. — 45 с.</w:t>
      </w:r>
    </w:p>
    <w:p w14:paraId="69B0DAFD" w14:textId="77777777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lastRenderedPageBreak/>
        <w:t>Европейская комиссия. Механизм трансграничного углеродного регулирования и его влияние на глобальную торговлю / Европейская комиссия. — Брюссель, 2023. — 38 с.</w:t>
      </w:r>
    </w:p>
    <w:p w14:paraId="40CDFCCB" w14:textId="3AF9AAAD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Global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Carbon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Atlas. Динамика выбросов CO₂ по странам, 2003–2022 гг. // Global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Carbon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Atlas. https://www.globalcarbonatlas.org, свободный. —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Загл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с экрана. — 2023.</w:t>
      </w:r>
    </w:p>
    <w:p w14:paraId="3967CC44" w14:textId="77777777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UNEP. Global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Glacier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Monitoring Report / UNEP. — 2022. — 60 с.</w:t>
      </w:r>
    </w:p>
    <w:p w14:paraId="5E142258" w14:textId="77777777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FAO. The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Aral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Sea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Crisis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its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Environmental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Impact / FAO. — 2021. — 85 с.</w:t>
      </w:r>
    </w:p>
    <w:p w14:paraId="45767B69" w14:textId="77777777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Казгидромет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Годовой отчёт по климату и погодным условиям Казахстана, 2023 / </w:t>
      </w:r>
      <w:proofErr w:type="spellStart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Казгидромет</w:t>
      </w:r>
      <w:proofErr w:type="spellEnd"/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— Алматы, 2023. — 50 с.</w:t>
      </w:r>
    </w:p>
    <w:p w14:paraId="6D694522" w14:textId="77777777" w:rsidR="000E7F50" w:rsidRPr="0039699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39699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Министерство сельского хозяйства Республики Казахстан. Статистический отчёт по плодородию сельхозугодий, 2023 / Министерство сельского хозяйства РК. — Астана, 2023. — 30 с.</w:t>
      </w:r>
    </w:p>
    <w:p w14:paraId="7A8E08F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Министерство энергетики Республики Казахстан. Анализ воздействия </w:t>
      </w:r>
      <w:proofErr w:type="spellStart"/>
      <w:proofErr w:type="gram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климато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-экологических</w:t>
      </w:r>
      <w:proofErr w:type="gram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факторов на социально-экономическое развитие / Министерство энергетики РК. — Астана, 2024. — 60 с.</w:t>
      </w:r>
    </w:p>
    <w:p w14:paraId="35FA968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Республиканский центр гидрометеорологии и мониторинга окружающей среды (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Казгидромет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). Отчёт о климатических тенденциях в Казахстане (1960–2023 гг.) /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Казгидромет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— Алматы, 2024. — 48 с.</w:t>
      </w:r>
    </w:p>
    <w:p w14:paraId="696D1500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ТОО «Корпорация Сайман». Информационный бюллетень и отчет о деятельности предприятия / Корпорация Сайман. — Алматы, 2024. — 35 с.</w:t>
      </w:r>
    </w:p>
    <w:p w14:paraId="18CB930B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Аналитический отчёт по финансовым показателям ТОО «Корпорация Сайман» за 2022–2024 гг. / Министерство индустрии и инфраструктурного развития Республики Казахстан. — Астана, 2024. — 40 с.</w:t>
      </w:r>
    </w:p>
    <w:p w14:paraId="54D4D201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Министерство энергетики Республики Казахстан. Программа цифровизации и реконструкции электросетевой инфраструктуры / Министерство энергетики РК. — Астана, 2023. — 52 с.</w:t>
      </w:r>
    </w:p>
    <w:p w14:paraId="0389555F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Международный центр «Зелёных технологий и инвестиционных проектов». Отчёт о международном сотрудничестве и аналитиках в области ВИЭ / МЦ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ЗТиИП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— Астана, 2023. — 40 с.</w:t>
      </w:r>
    </w:p>
    <w:p w14:paraId="469CCB4B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Постановление Правительства Республики Казахстан № 89 от 02.02.2023 г. «О Стратегии достижения углеродной нейтральности до 2060 года». — Астана, 2023.</w:t>
      </w:r>
    </w:p>
    <w:p w14:paraId="082FD56A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Закон Республики Казахстан «О поддержке использования возобновляемых источников энергии». — Астана, 2009.</w:t>
      </w:r>
    </w:p>
    <w:p w14:paraId="2E1AFCD4" w14:textId="0709482F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 Министерство энергетики Республики Казахстан; Международное агентство по возобновляемым источникам энергии. Обзор государственной политики и развития ВИЭ в Казахстане (2009–2023 гг.) / Министерство энергетики РК; IRENA. — Астана, 2024. — 78 с.</w:t>
      </w:r>
    </w:p>
    <w:p w14:paraId="5C622921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 Министерство энергетики Республики Казахстан. Статистический сборник по ВИЭ: структура установленной мощности и динамика развития на 2023 год / Министерство энергетики РК. — Астана, 2024. — 36 с.</w:t>
      </w:r>
    </w:p>
    <w:p w14:paraId="3CD0C835" w14:textId="77777777" w:rsidR="000E7F50" w:rsidRPr="002D227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lastRenderedPageBreak/>
        <w:t>Министерство энергетики Республики Казахстан. Прогноз развития возобновляемых источников энергии в РК до 2030 года / Министерство энергетики РК. — Астана, 2024. — 45 с.</w:t>
      </w:r>
    </w:p>
    <w:p w14:paraId="309D5E57" w14:textId="77777777" w:rsidR="000E7F50" w:rsidRPr="002D227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ТОО «Корпорация Сайман». Отчёт о деятельности и внедрении интеллектуальных систем учёта электроэнергии / ТОО «Корпорация Сайман». — Алматы, 2023. — 38 с.</w:t>
      </w:r>
    </w:p>
    <w:p w14:paraId="2038F537" w14:textId="77777777" w:rsidR="000E7F50" w:rsidRPr="002D227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Международное энергетическое агентство (IEA). Возобновляемая энергетика и международное сотрудничество: аналитический обзор / IEA. — Париж, 2023. — 60 с.</w:t>
      </w:r>
    </w:p>
    <w:p w14:paraId="44240F01" w14:textId="77777777" w:rsidR="000E7F50" w:rsidRPr="002D2277" w:rsidRDefault="000E7F50" w:rsidP="000E7F50">
      <w:pPr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Wang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J., Li, H., &amp;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Zhang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Y.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China’s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role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in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the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global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renewable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energy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equipment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market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: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export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dynamics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policy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implications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//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Renewable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Energy. — 2022. — </w:t>
      </w:r>
      <w:proofErr w:type="spellStart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Vol</w:t>
      </w:r>
      <w:proofErr w:type="spellEnd"/>
      <w:r w:rsidRPr="002D2277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185. — P. 1141–1153.</w:t>
      </w:r>
    </w:p>
    <w:p w14:paraId="366072E7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Министерство энергетики Республики Казахстан. Статистика импорта оборудования для возобновляемых источников энергии / Министерство энергетики РК. — Астана, 2024. — 52 с.</w:t>
      </w:r>
    </w:p>
    <w:p w14:paraId="2D24E41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Zhang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X.,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Liu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Y., &amp;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Chen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H.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China’s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global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leadership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renewable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energy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equipment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exports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: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trends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implications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// Journal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of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Cleaner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Production. — 2023. —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Vol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370. —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Article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133855.</w:t>
      </w:r>
    </w:p>
    <w:p w14:paraId="7B4EBD23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Tinbergen</w:t>
      </w:r>
      <w:proofErr w:type="spellEnd"/>
      <w:r w:rsidRPr="00FB2985">
        <w:rPr>
          <w:sz w:val="28"/>
          <w:szCs w:val="28"/>
        </w:rPr>
        <w:t xml:space="preserve"> J. </w:t>
      </w:r>
      <w:proofErr w:type="spellStart"/>
      <w:r w:rsidRPr="00FB2985">
        <w:rPr>
          <w:sz w:val="28"/>
          <w:szCs w:val="28"/>
        </w:rPr>
        <w:t>Shaping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the</w:t>
      </w:r>
      <w:proofErr w:type="spellEnd"/>
      <w:r w:rsidRPr="00FB2985">
        <w:rPr>
          <w:sz w:val="28"/>
          <w:szCs w:val="28"/>
        </w:rPr>
        <w:t xml:space="preserve"> World </w:t>
      </w:r>
      <w:proofErr w:type="spellStart"/>
      <w:r w:rsidRPr="00FB2985">
        <w:rPr>
          <w:sz w:val="28"/>
          <w:szCs w:val="28"/>
        </w:rPr>
        <w:t>Economy</w:t>
      </w:r>
      <w:proofErr w:type="spellEnd"/>
      <w:r w:rsidRPr="00FB2985">
        <w:rPr>
          <w:sz w:val="28"/>
          <w:szCs w:val="28"/>
        </w:rPr>
        <w:t xml:space="preserve">: </w:t>
      </w:r>
      <w:proofErr w:type="spellStart"/>
      <w:r w:rsidRPr="00FB2985">
        <w:rPr>
          <w:sz w:val="28"/>
          <w:szCs w:val="28"/>
        </w:rPr>
        <w:t>Suggestions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for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an</w:t>
      </w:r>
      <w:proofErr w:type="spellEnd"/>
      <w:r w:rsidRPr="00FB2985">
        <w:rPr>
          <w:sz w:val="28"/>
          <w:szCs w:val="28"/>
        </w:rPr>
        <w:t xml:space="preserve"> International Economic Policy / J. </w:t>
      </w:r>
      <w:proofErr w:type="spellStart"/>
      <w:r w:rsidRPr="00FB2985">
        <w:rPr>
          <w:sz w:val="28"/>
          <w:szCs w:val="28"/>
        </w:rPr>
        <w:t>Tinbergen</w:t>
      </w:r>
      <w:proofErr w:type="spellEnd"/>
      <w:r w:rsidRPr="00FB2985">
        <w:rPr>
          <w:sz w:val="28"/>
          <w:szCs w:val="28"/>
        </w:rPr>
        <w:t xml:space="preserve">. — New York: The </w:t>
      </w:r>
      <w:proofErr w:type="spellStart"/>
      <w:r w:rsidRPr="00FB2985">
        <w:rPr>
          <w:sz w:val="28"/>
          <w:szCs w:val="28"/>
        </w:rPr>
        <w:t>Twentieth</w:t>
      </w:r>
      <w:proofErr w:type="spellEnd"/>
      <w:r w:rsidRPr="00FB2985">
        <w:rPr>
          <w:sz w:val="28"/>
          <w:szCs w:val="28"/>
        </w:rPr>
        <w:t xml:space="preserve"> Century Fund, 1962. — 272 p.</w:t>
      </w:r>
    </w:p>
    <w:p w14:paraId="16BADACF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Linneman</w:t>
      </w:r>
      <w:proofErr w:type="spellEnd"/>
      <w:r w:rsidRPr="00FB2985">
        <w:rPr>
          <w:sz w:val="28"/>
          <w:szCs w:val="28"/>
        </w:rPr>
        <w:t xml:space="preserve"> H. </w:t>
      </w:r>
      <w:proofErr w:type="spellStart"/>
      <w:r w:rsidRPr="00FB2985">
        <w:rPr>
          <w:sz w:val="28"/>
          <w:szCs w:val="28"/>
        </w:rPr>
        <w:t>An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Econometric</w:t>
      </w:r>
      <w:proofErr w:type="spellEnd"/>
      <w:r w:rsidRPr="00FB2985">
        <w:rPr>
          <w:sz w:val="28"/>
          <w:szCs w:val="28"/>
        </w:rPr>
        <w:t xml:space="preserve"> Study </w:t>
      </w:r>
      <w:proofErr w:type="spellStart"/>
      <w:r w:rsidRPr="00FB2985">
        <w:rPr>
          <w:sz w:val="28"/>
          <w:szCs w:val="28"/>
        </w:rPr>
        <w:t>of</w:t>
      </w:r>
      <w:proofErr w:type="spellEnd"/>
      <w:r w:rsidRPr="00FB2985">
        <w:rPr>
          <w:sz w:val="28"/>
          <w:szCs w:val="28"/>
        </w:rPr>
        <w:t xml:space="preserve"> International Trade </w:t>
      </w:r>
      <w:proofErr w:type="spellStart"/>
      <w:r w:rsidRPr="00FB2985">
        <w:rPr>
          <w:sz w:val="28"/>
          <w:szCs w:val="28"/>
        </w:rPr>
        <w:t>Flows</w:t>
      </w:r>
      <w:proofErr w:type="spellEnd"/>
      <w:r w:rsidRPr="00FB2985">
        <w:rPr>
          <w:sz w:val="28"/>
          <w:szCs w:val="28"/>
        </w:rPr>
        <w:t xml:space="preserve"> / H. </w:t>
      </w:r>
      <w:proofErr w:type="spellStart"/>
      <w:r w:rsidRPr="00FB2985">
        <w:rPr>
          <w:sz w:val="28"/>
          <w:szCs w:val="28"/>
        </w:rPr>
        <w:t>Linneman</w:t>
      </w:r>
      <w:proofErr w:type="spellEnd"/>
      <w:r w:rsidRPr="00FB2985">
        <w:rPr>
          <w:sz w:val="28"/>
          <w:szCs w:val="28"/>
        </w:rPr>
        <w:t xml:space="preserve"> // </w:t>
      </w:r>
      <w:proofErr w:type="spellStart"/>
      <w:r w:rsidRPr="00FB2985">
        <w:rPr>
          <w:sz w:val="28"/>
          <w:szCs w:val="28"/>
        </w:rPr>
        <w:t>Amsterdam</w:t>
      </w:r>
      <w:proofErr w:type="spellEnd"/>
      <w:r w:rsidRPr="00FB2985">
        <w:rPr>
          <w:sz w:val="28"/>
          <w:szCs w:val="28"/>
        </w:rPr>
        <w:t>: North-Holland Publishing Company, 1966. — 163 p.</w:t>
      </w:r>
    </w:p>
    <w:p w14:paraId="1968EAAD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United Nations </w:t>
      </w:r>
      <w:proofErr w:type="spellStart"/>
      <w:r w:rsidRPr="00FB2985">
        <w:rPr>
          <w:sz w:val="28"/>
          <w:szCs w:val="28"/>
        </w:rPr>
        <w:t>Commodity</w:t>
      </w:r>
      <w:proofErr w:type="spellEnd"/>
      <w:r w:rsidRPr="00FB2985">
        <w:rPr>
          <w:sz w:val="28"/>
          <w:szCs w:val="28"/>
        </w:rPr>
        <w:t xml:space="preserve"> Trade </w:t>
      </w:r>
      <w:proofErr w:type="spellStart"/>
      <w:r w:rsidRPr="00FB2985">
        <w:rPr>
          <w:sz w:val="28"/>
          <w:szCs w:val="28"/>
        </w:rPr>
        <w:t>Statistics</w:t>
      </w:r>
      <w:proofErr w:type="spellEnd"/>
      <w:r w:rsidRPr="00FB2985">
        <w:rPr>
          <w:sz w:val="28"/>
          <w:szCs w:val="28"/>
        </w:rPr>
        <w:t xml:space="preserve"> Database (UN </w:t>
      </w:r>
      <w:proofErr w:type="spellStart"/>
      <w:r w:rsidRPr="00FB2985">
        <w:rPr>
          <w:sz w:val="28"/>
          <w:szCs w:val="28"/>
        </w:rPr>
        <w:t>Comtrade</w:t>
      </w:r>
      <w:proofErr w:type="spellEnd"/>
      <w:r w:rsidRPr="00FB2985">
        <w:rPr>
          <w:sz w:val="28"/>
          <w:szCs w:val="28"/>
        </w:rPr>
        <w:t xml:space="preserve">).: </w:t>
      </w:r>
      <w:hyperlink r:id="rId36" w:tgtFrame="_new" w:history="1">
        <w:r w:rsidRPr="00FB2985">
          <w:rPr>
            <w:rStyle w:val="afb"/>
            <w:color w:val="auto"/>
            <w:sz w:val="28"/>
            <w:szCs w:val="28"/>
          </w:rPr>
          <w:t>https://comtrade.un.org/</w:t>
        </w:r>
      </w:hyperlink>
    </w:p>
    <w:p w14:paraId="68FFC084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Levin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A.,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Lin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C.-F.,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Chu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C.-S.J. Unit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root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tests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panel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data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: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Asymptotic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finite-sample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properties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// Journal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of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Econometrics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— 2002. —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Vol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108, № 1. — P. 1–24.</w:t>
      </w:r>
    </w:p>
    <w:p w14:paraId="368987B5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Hausman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J.A.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Specification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Tests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Econometrics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//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Econometrica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— 1978. —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Vol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46, № 6. — P. 1251–1271.</w:t>
      </w:r>
    </w:p>
    <w:p w14:paraId="5527F8FA" w14:textId="34DB844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United Nations </w:t>
      </w:r>
      <w:proofErr w:type="spellStart"/>
      <w:r w:rsidRPr="00FB2985">
        <w:rPr>
          <w:sz w:val="28"/>
          <w:szCs w:val="28"/>
        </w:rPr>
        <w:t>Comtrade</w:t>
      </w:r>
      <w:proofErr w:type="spellEnd"/>
      <w:r w:rsidRPr="00FB2985">
        <w:rPr>
          <w:sz w:val="28"/>
          <w:szCs w:val="28"/>
        </w:rPr>
        <w:t xml:space="preserve"> Database. </w:t>
      </w:r>
      <w:hyperlink r:id="rId37" w:tgtFrame="_new" w:history="1">
        <w:r w:rsidRPr="00FB2985">
          <w:rPr>
            <w:rStyle w:val="afb"/>
            <w:color w:val="auto"/>
            <w:sz w:val="28"/>
            <w:szCs w:val="28"/>
          </w:rPr>
          <w:t>https://comtrade.un.org/</w:t>
        </w:r>
      </w:hyperlink>
      <w:r w:rsidRPr="00FB2985">
        <w:rPr>
          <w:sz w:val="28"/>
          <w:szCs w:val="28"/>
        </w:rPr>
        <w:t xml:space="preserve"> </w:t>
      </w:r>
    </w:p>
    <w:p w14:paraId="798780EF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rStyle w:val="aff0"/>
          <w:b w:val="0"/>
          <w:bCs w:val="0"/>
          <w:sz w:val="28"/>
          <w:szCs w:val="28"/>
        </w:rPr>
      </w:pPr>
      <w:r w:rsidRPr="00FB2985">
        <w:rPr>
          <w:sz w:val="28"/>
          <w:szCs w:val="28"/>
        </w:rPr>
        <w:t xml:space="preserve">World Trade Organization (WTO). — </w:t>
      </w:r>
      <w:hyperlink r:id="rId38" w:tgtFrame="_new" w:history="1">
        <w:r w:rsidRPr="00FB2985">
          <w:rPr>
            <w:rStyle w:val="afb"/>
            <w:color w:val="auto"/>
            <w:sz w:val="28"/>
            <w:szCs w:val="28"/>
          </w:rPr>
          <w:t>https://www.wto.org/</w:t>
        </w:r>
      </w:hyperlink>
      <w:r w:rsidRPr="00FB2985">
        <w:rPr>
          <w:sz w:val="28"/>
          <w:szCs w:val="28"/>
        </w:rPr>
        <w:t xml:space="preserve"> </w:t>
      </w:r>
    </w:p>
    <w:p w14:paraId="5E6A432A" w14:textId="316E343F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World Bank Open Data. </w:t>
      </w:r>
      <w:hyperlink r:id="rId39" w:tgtFrame="_new" w:history="1">
        <w:r w:rsidRPr="00FB2985">
          <w:rPr>
            <w:rStyle w:val="afb"/>
            <w:color w:val="auto"/>
            <w:sz w:val="28"/>
            <w:szCs w:val="28"/>
          </w:rPr>
          <w:t>https://data.worldbank.org/</w:t>
        </w:r>
      </w:hyperlink>
      <w:r w:rsidRPr="00FB2985">
        <w:rPr>
          <w:sz w:val="28"/>
          <w:szCs w:val="28"/>
        </w:rPr>
        <w:t xml:space="preserve"> </w:t>
      </w:r>
    </w:p>
    <w:p w14:paraId="2D9F834B" w14:textId="11E7B29A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proofErr w:type="spellStart"/>
      <w:r w:rsidRPr="00FB2985">
        <w:rPr>
          <w:sz w:val="28"/>
          <w:szCs w:val="28"/>
        </w:rPr>
        <w:t>hanghai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Cooperation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Organisation</w:t>
      </w:r>
      <w:proofErr w:type="spellEnd"/>
      <w:r w:rsidRPr="00FB2985">
        <w:rPr>
          <w:sz w:val="28"/>
          <w:szCs w:val="28"/>
        </w:rPr>
        <w:t xml:space="preserve">. http://eng.sectsco.org/ </w:t>
      </w:r>
    </w:p>
    <w:p w14:paraId="5B7C9056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International </w:t>
      </w:r>
      <w:proofErr w:type="spellStart"/>
      <w:r w:rsidRPr="00FB2985">
        <w:rPr>
          <w:sz w:val="28"/>
          <w:szCs w:val="28"/>
        </w:rPr>
        <w:t>Renewable</w:t>
      </w:r>
      <w:proofErr w:type="spellEnd"/>
      <w:r w:rsidRPr="00FB2985">
        <w:rPr>
          <w:sz w:val="28"/>
          <w:szCs w:val="28"/>
        </w:rPr>
        <w:t xml:space="preserve"> Energy Agency (IRENA). </w:t>
      </w:r>
      <w:proofErr w:type="spellStart"/>
      <w:r w:rsidRPr="00FB2985">
        <w:rPr>
          <w:sz w:val="28"/>
          <w:szCs w:val="28"/>
        </w:rPr>
        <w:t>Renewable</w:t>
      </w:r>
      <w:proofErr w:type="spellEnd"/>
      <w:r w:rsidRPr="00FB2985">
        <w:rPr>
          <w:sz w:val="28"/>
          <w:szCs w:val="28"/>
        </w:rPr>
        <w:t xml:space="preserve"> Energy Market Analysis: </w:t>
      </w:r>
      <w:proofErr w:type="spellStart"/>
      <w:r w:rsidRPr="00FB2985">
        <w:rPr>
          <w:sz w:val="28"/>
          <w:szCs w:val="28"/>
        </w:rPr>
        <w:t>Southeast</w:t>
      </w:r>
      <w:proofErr w:type="spellEnd"/>
      <w:r w:rsidRPr="00FB2985">
        <w:rPr>
          <w:sz w:val="28"/>
          <w:szCs w:val="28"/>
        </w:rPr>
        <w:t xml:space="preserve"> Asia. — [Электронный ресурс]. — Режим доступа: https://www.irena.org/publications/2021/Apr/Renewable-Energy-Market-Analysis-Southeast-Asia</w:t>
      </w:r>
    </w:p>
    <w:p w14:paraId="54BA2701" w14:textId="23B4518E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>Национальное энергетическое управление Китая. Государственная политика развития ВИЭ. http://www.nea.gov.cn.</w:t>
      </w:r>
    </w:p>
    <w:p w14:paraId="0477438F" w14:textId="7B4E1FAE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Belt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and</w:t>
      </w:r>
      <w:proofErr w:type="spellEnd"/>
      <w:r w:rsidRPr="00FB2985">
        <w:rPr>
          <w:sz w:val="28"/>
          <w:szCs w:val="28"/>
        </w:rPr>
        <w:t xml:space="preserve"> Road Initiative. Infrastructure </w:t>
      </w:r>
      <w:proofErr w:type="spellStart"/>
      <w:r w:rsidRPr="00FB2985">
        <w:rPr>
          <w:sz w:val="28"/>
          <w:szCs w:val="28"/>
        </w:rPr>
        <w:t>development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and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logistics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in</w:t>
      </w:r>
      <w:proofErr w:type="spellEnd"/>
      <w:r w:rsidRPr="00FB2985">
        <w:rPr>
          <w:sz w:val="28"/>
          <w:szCs w:val="28"/>
        </w:rPr>
        <w:t xml:space="preserve"> Central Asia. </w:t>
      </w:r>
      <w:hyperlink r:id="rId40" w:tgtFrame="_new" w:history="1">
        <w:r w:rsidRPr="00FB2985">
          <w:rPr>
            <w:rStyle w:val="afb"/>
            <w:color w:val="auto"/>
            <w:sz w:val="28"/>
            <w:szCs w:val="28"/>
          </w:rPr>
          <w:t>https://eng.yidaiyilu.gov.cn/</w:t>
        </w:r>
      </w:hyperlink>
      <w:r w:rsidRPr="00FB2985">
        <w:rPr>
          <w:sz w:val="28"/>
          <w:szCs w:val="28"/>
        </w:rPr>
        <w:t xml:space="preserve"> </w:t>
      </w:r>
    </w:p>
    <w:p w14:paraId="6E677187" w14:textId="4052BDA2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lastRenderedPageBreak/>
        <w:t xml:space="preserve">World Bank Group. </w:t>
      </w:r>
      <w:proofErr w:type="spellStart"/>
      <w:r w:rsidRPr="00FB2985">
        <w:rPr>
          <w:sz w:val="28"/>
          <w:szCs w:val="28"/>
        </w:rPr>
        <w:t>Managing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currency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risk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in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international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projects</w:t>
      </w:r>
      <w:proofErr w:type="spellEnd"/>
      <w:r w:rsidRPr="00FB2985">
        <w:rPr>
          <w:sz w:val="28"/>
          <w:szCs w:val="28"/>
        </w:rPr>
        <w:t xml:space="preserve">. </w:t>
      </w:r>
      <w:hyperlink r:id="rId41" w:tgtFrame="_new" w:history="1">
        <w:r w:rsidRPr="00FB2985">
          <w:rPr>
            <w:rStyle w:val="afb"/>
            <w:color w:val="auto"/>
            <w:sz w:val="28"/>
            <w:szCs w:val="28"/>
          </w:rPr>
          <w:t>https://documents.worldbank.org/en/publication/documents-reports/documentdetail/</w:t>
        </w:r>
      </w:hyperlink>
      <w:r w:rsidRPr="00FB2985">
        <w:rPr>
          <w:sz w:val="28"/>
          <w:szCs w:val="28"/>
        </w:rPr>
        <w:t xml:space="preserve"> </w:t>
      </w:r>
    </w:p>
    <w:p w14:paraId="117B4B2C" w14:textId="27850EBB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Министерство энергетики Республики Казахстан. Стратегия развития возобновляемой энергетики и цифровизация: https://energo.gov.kz/ </w:t>
      </w:r>
    </w:p>
    <w:p w14:paraId="41FF85AA" w14:textId="61C321E8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Bakhsh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S.,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et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al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Strategy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towards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sustainable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energy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transition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: The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effect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of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governance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economics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geopolitics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. Energy Research &amp; Social Science. 2024. — </w:t>
      </w:r>
      <w:proofErr w:type="gram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DOI:10.1016/j.erss</w:t>
      </w:r>
      <w:proofErr w:type="gram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.2024.103</w:t>
      </w:r>
      <w:r w:rsidR="001A4459"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</w:p>
    <w:p w14:paraId="02B7AAD2" w14:textId="77777777" w:rsidR="000E7F50" w:rsidRPr="00FB2985" w:rsidRDefault="000E7F50" w:rsidP="000E7F50">
      <w:pPr>
        <w:pStyle w:val="a7"/>
        <w:numPr>
          <w:ilvl w:val="0"/>
          <w:numId w:val="6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</w:pPr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Kouloukoui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D.,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de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Marcellis-Warin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N.,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Warin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T.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Barriers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Opportunities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,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and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Best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Practices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for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Corporate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Climate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Transition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Plans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: A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Literature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 xml:space="preserve"> Review. </w:t>
      </w:r>
      <w:proofErr w:type="spellStart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Climate</w:t>
      </w:r>
      <w:proofErr w:type="spellEnd"/>
      <w:r w:rsidRPr="00FB2985">
        <w:rPr>
          <w:rFonts w:ascii="Times New Roman" w:eastAsia="Times New Roman" w:hAnsi="Times New Roman" w:cs="Times New Roman"/>
          <w:kern w:val="0"/>
          <w:sz w:val="28"/>
          <w:szCs w:val="28"/>
          <w:lang w:eastAsia="ru-KZ"/>
          <w14:ligatures w14:val="none"/>
        </w:rPr>
        <w:t>. 2025; 13(5):88. — https://doi.org/10.3390/cli13050088</w:t>
      </w:r>
    </w:p>
    <w:p w14:paraId="5B20E885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proofErr w:type="spellStart"/>
      <w:r w:rsidRPr="00FB2985">
        <w:rPr>
          <w:sz w:val="28"/>
          <w:szCs w:val="28"/>
        </w:rPr>
        <w:t>Azad</w:t>
      </w:r>
      <w:proofErr w:type="spellEnd"/>
      <w:r w:rsidRPr="00FB2985">
        <w:rPr>
          <w:sz w:val="28"/>
          <w:szCs w:val="28"/>
        </w:rPr>
        <w:t xml:space="preserve"> S. Green </w:t>
      </w:r>
      <w:proofErr w:type="spellStart"/>
      <w:r w:rsidRPr="00FB2985">
        <w:rPr>
          <w:sz w:val="28"/>
          <w:szCs w:val="28"/>
        </w:rPr>
        <w:t>Bonds</w:t>
      </w:r>
      <w:proofErr w:type="spellEnd"/>
      <w:r w:rsidRPr="00FB2985">
        <w:rPr>
          <w:sz w:val="28"/>
          <w:szCs w:val="28"/>
        </w:rPr>
        <w:t xml:space="preserve"> in </w:t>
      </w:r>
      <w:proofErr w:type="spellStart"/>
      <w:r w:rsidRPr="00FB2985">
        <w:rPr>
          <w:sz w:val="28"/>
          <w:szCs w:val="28"/>
        </w:rPr>
        <w:t>Sustainable</w:t>
      </w:r>
      <w:proofErr w:type="spellEnd"/>
      <w:r w:rsidRPr="00FB2985">
        <w:rPr>
          <w:sz w:val="28"/>
          <w:szCs w:val="28"/>
        </w:rPr>
        <w:t xml:space="preserve"> Finance: A </w:t>
      </w:r>
      <w:proofErr w:type="spellStart"/>
      <w:r w:rsidRPr="00FB2985">
        <w:rPr>
          <w:sz w:val="28"/>
          <w:szCs w:val="28"/>
        </w:rPr>
        <w:t>Bibliometric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and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Meta</w:t>
      </w:r>
      <w:proofErr w:type="spellEnd"/>
      <w:r w:rsidRPr="00FB2985">
        <w:rPr>
          <w:sz w:val="28"/>
          <w:szCs w:val="28"/>
        </w:rPr>
        <w:t xml:space="preserve">-Analysis // Business Strategy </w:t>
      </w:r>
      <w:proofErr w:type="spellStart"/>
      <w:r w:rsidRPr="00FB2985">
        <w:rPr>
          <w:sz w:val="28"/>
          <w:szCs w:val="28"/>
        </w:rPr>
        <w:t>and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the</w:t>
      </w:r>
      <w:proofErr w:type="spellEnd"/>
      <w:r w:rsidRPr="00FB2985">
        <w:rPr>
          <w:sz w:val="28"/>
          <w:szCs w:val="28"/>
        </w:rPr>
        <w:t xml:space="preserve"> Environment. 2025 </w:t>
      </w:r>
    </w:p>
    <w:p w14:paraId="188512EF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</w:t>
      </w:r>
      <w:r w:rsidRPr="00FB2985">
        <w:rPr>
          <w:rStyle w:val="aff0"/>
          <w:b w:val="0"/>
          <w:bCs w:val="0"/>
          <w:sz w:val="28"/>
          <w:szCs w:val="28"/>
        </w:rPr>
        <w:t>Фань С.</w:t>
      </w:r>
      <w:r w:rsidRPr="00FB2985">
        <w:rPr>
          <w:sz w:val="28"/>
          <w:szCs w:val="28"/>
        </w:rPr>
        <w:t xml:space="preserve"> Финансовое развитие и энергетический переход: обзор литературы // </w:t>
      </w:r>
      <w:proofErr w:type="spellStart"/>
      <w:r w:rsidRPr="00FB2985">
        <w:rPr>
          <w:rStyle w:val="afd"/>
          <w:i w:val="0"/>
          <w:iCs w:val="0"/>
          <w:sz w:val="28"/>
          <w:szCs w:val="28"/>
        </w:rPr>
        <w:t>Energies</w:t>
      </w:r>
      <w:proofErr w:type="spellEnd"/>
      <w:r w:rsidRPr="00FB2985">
        <w:rPr>
          <w:sz w:val="28"/>
          <w:szCs w:val="28"/>
        </w:rPr>
        <w:t xml:space="preserve">. 2025. </w:t>
      </w:r>
      <w:proofErr w:type="spellStart"/>
      <w:r w:rsidRPr="00FB2985">
        <w:rPr>
          <w:sz w:val="28"/>
          <w:szCs w:val="28"/>
        </w:rPr>
        <w:t>Vol</w:t>
      </w:r>
      <w:proofErr w:type="spellEnd"/>
      <w:r w:rsidRPr="00FB2985">
        <w:rPr>
          <w:sz w:val="28"/>
          <w:szCs w:val="28"/>
        </w:rPr>
        <w:t>. 18, № 15.</w:t>
      </w:r>
      <w:r w:rsidRPr="00FB2985">
        <w:rPr>
          <w:sz w:val="28"/>
          <w:szCs w:val="28"/>
        </w:rPr>
        <w:br/>
        <w:t xml:space="preserve">Ссылка: </w:t>
      </w:r>
      <w:hyperlink r:id="rId42" w:tgtFrame="_new" w:history="1">
        <w:r w:rsidRPr="00FB2985">
          <w:rPr>
            <w:rStyle w:val="afb"/>
            <w:color w:val="auto"/>
            <w:sz w:val="28"/>
            <w:szCs w:val="28"/>
          </w:rPr>
          <w:t>https://www.mdpi.com/1996-1073/18/15/4166</w:t>
        </w:r>
      </w:hyperlink>
    </w:p>
    <w:p w14:paraId="4434126C" w14:textId="156996D3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proofErr w:type="spellStart"/>
      <w:r w:rsidRPr="00FB2985">
        <w:rPr>
          <w:rStyle w:val="aff0"/>
          <w:b w:val="0"/>
          <w:bCs w:val="0"/>
          <w:sz w:val="28"/>
          <w:szCs w:val="28"/>
        </w:rPr>
        <w:t>Лосс</w:t>
      </w:r>
      <w:proofErr w:type="spellEnd"/>
      <w:r w:rsidRPr="00FB2985">
        <w:rPr>
          <w:rStyle w:val="aff0"/>
          <w:b w:val="0"/>
          <w:bCs w:val="0"/>
          <w:sz w:val="28"/>
          <w:szCs w:val="28"/>
        </w:rPr>
        <w:t xml:space="preserve"> Г.Р.</w:t>
      </w:r>
      <w:r w:rsidRPr="00FB2985">
        <w:rPr>
          <w:sz w:val="28"/>
          <w:szCs w:val="28"/>
        </w:rPr>
        <w:t xml:space="preserve"> Корпоративное управление и энергетический переход // </w:t>
      </w:r>
      <w:r w:rsidRPr="00FB2985">
        <w:rPr>
          <w:rStyle w:val="afd"/>
          <w:i w:val="0"/>
          <w:iCs w:val="0"/>
          <w:sz w:val="28"/>
          <w:szCs w:val="28"/>
        </w:rPr>
        <w:t xml:space="preserve">Journal </w:t>
      </w:r>
      <w:proofErr w:type="spellStart"/>
      <w:r w:rsidRPr="00FB2985">
        <w:rPr>
          <w:rStyle w:val="afd"/>
          <w:i w:val="0"/>
          <w:iCs w:val="0"/>
          <w:sz w:val="28"/>
          <w:szCs w:val="28"/>
        </w:rPr>
        <w:t>of</w:t>
      </w:r>
      <w:proofErr w:type="spellEnd"/>
      <w:r w:rsidRPr="00FB2985">
        <w:rPr>
          <w:rStyle w:val="afd"/>
          <w:i w:val="0"/>
          <w:iCs w:val="0"/>
          <w:sz w:val="28"/>
          <w:szCs w:val="28"/>
        </w:rPr>
        <w:t xml:space="preserve"> </w:t>
      </w:r>
      <w:proofErr w:type="spellStart"/>
      <w:r w:rsidRPr="00FB2985">
        <w:rPr>
          <w:rStyle w:val="afd"/>
          <w:i w:val="0"/>
          <w:iCs w:val="0"/>
          <w:sz w:val="28"/>
          <w:szCs w:val="28"/>
        </w:rPr>
        <w:t>Leadership</w:t>
      </w:r>
      <w:proofErr w:type="spellEnd"/>
      <w:r w:rsidRPr="00FB2985">
        <w:rPr>
          <w:rStyle w:val="afd"/>
          <w:i w:val="0"/>
          <w:iCs w:val="0"/>
          <w:sz w:val="28"/>
          <w:szCs w:val="28"/>
        </w:rPr>
        <w:t xml:space="preserve">, </w:t>
      </w:r>
      <w:proofErr w:type="spellStart"/>
      <w:r w:rsidRPr="00FB2985">
        <w:rPr>
          <w:rStyle w:val="afd"/>
          <w:i w:val="0"/>
          <w:iCs w:val="0"/>
          <w:sz w:val="28"/>
          <w:szCs w:val="28"/>
        </w:rPr>
        <w:t>Sustainability</w:t>
      </w:r>
      <w:proofErr w:type="spellEnd"/>
      <w:r w:rsidRPr="00FB2985">
        <w:rPr>
          <w:rStyle w:val="afd"/>
          <w:i w:val="0"/>
          <w:iCs w:val="0"/>
          <w:sz w:val="28"/>
          <w:szCs w:val="28"/>
        </w:rPr>
        <w:t xml:space="preserve"> &amp; Security</w:t>
      </w:r>
      <w:r w:rsidRPr="00FB2985">
        <w:rPr>
          <w:sz w:val="28"/>
          <w:szCs w:val="28"/>
        </w:rPr>
        <w:t>. 2025.</w:t>
      </w:r>
      <w:r w:rsidRPr="00FB2985">
        <w:rPr>
          <w:sz w:val="28"/>
          <w:szCs w:val="28"/>
        </w:rPr>
        <w:br/>
      </w:r>
      <w:hyperlink r:id="rId43" w:tgtFrame="_new" w:history="1">
        <w:r w:rsidRPr="00FB2985">
          <w:rPr>
            <w:rStyle w:val="afb"/>
            <w:color w:val="auto"/>
            <w:sz w:val="28"/>
            <w:szCs w:val="28"/>
          </w:rPr>
          <w:t>https://ojs.journalsdg.org/jlss/article/view/4278</w:t>
        </w:r>
      </w:hyperlink>
    </w:p>
    <w:p w14:paraId="1CB38A89" w14:textId="3C12A1AB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OECD. </w:t>
      </w:r>
      <w:r w:rsidRPr="00FB2985">
        <w:rPr>
          <w:rStyle w:val="afd"/>
          <w:i w:val="0"/>
          <w:iCs w:val="0"/>
          <w:sz w:val="28"/>
          <w:szCs w:val="28"/>
        </w:rPr>
        <w:t>«Зелёный рост в Корее: реализация политики»</w:t>
      </w:r>
      <w:r w:rsidRPr="00FB2985">
        <w:rPr>
          <w:sz w:val="28"/>
          <w:szCs w:val="28"/>
        </w:rPr>
        <w:t xml:space="preserve">. — Paris: OECD Publishing, 2017. — URL: </w:t>
      </w:r>
      <w:hyperlink r:id="rId44" w:tgtFrame="_new" w:history="1">
        <w:r w:rsidRPr="00FB2985">
          <w:rPr>
            <w:rStyle w:val="afb"/>
            <w:color w:val="auto"/>
            <w:sz w:val="28"/>
            <w:szCs w:val="28"/>
          </w:rPr>
          <w:t>https://www.oecd.org/en/publications/korea-s-green-growth-strategy_5kmbhk4gh1ns-en.html</w:t>
        </w:r>
      </w:hyperlink>
      <w:r w:rsidRPr="00FB2985">
        <w:rPr>
          <w:sz w:val="28"/>
          <w:szCs w:val="28"/>
        </w:rPr>
        <w:t xml:space="preserve"> </w:t>
      </w:r>
      <w:hyperlink r:id="rId45" w:tgtFrame="_blank" w:history="1">
        <w:r w:rsidRPr="00FB2985">
          <w:rPr>
            <w:rStyle w:val="max-w-15ch"/>
            <w:sz w:val="28"/>
            <w:szCs w:val="28"/>
            <w:u w:val="single"/>
          </w:rPr>
          <w:t>OECD</w:t>
        </w:r>
      </w:hyperlink>
    </w:p>
    <w:p w14:paraId="2ED66052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World Bank. </w:t>
      </w:r>
      <w:r w:rsidRPr="00FB2985">
        <w:rPr>
          <w:rStyle w:val="afd"/>
          <w:i w:val="0"/>
          <w:iCs w:val="0"/>
          <w:sz w:val="28"/>
          <w:szCs w:val="28"/>
        </w:rPr>
        <w:t>«Казахстан: переход к низкоуглеродной экономике»</w:t>
      </w:r>
      <w:r w:rsidRPr="00FB2985">
        <w:rPr>
          <w:sz w:val="28"/>
          <w:szCs w:val="28"/>
        </w:rPr>
        <w:t xml:space="preserve">. — Washington, DC: World Bank Group, 2023. — URL: </w:t>
      </w:r>
      <w:hyperlink r:id="rId46" w:tgtFrame="_new" w:history="1">
        <w:r w:rsidRPr="00FB2985">
          <w:rPr>
            <w:rStyle w:val="afb"/>
            <w:color w:val="auto"/>
            <w:sz w:val="28"/>
            <w:szCs w:val="28"/>
          </w:rPr>
          <w:t>https://unctad.org/system/files/information-document/unda2030d23-kazakhstan-energy-sector_en.pdf</w:t>
        </w:r>
      </w:hyperlink>
      <w:r w:rsidRPr="00FB2985">
        <w:rPr>
          <w:sz w:val="28"/>
          <w:szCs w:val="28"/>
        </w:rPr>
        <w:t xml:space="preserve"> </w:t>
      </w:r>
      <w:hyperlink r:id="rId47" w:tgtFrame="_blank" w:history="1">
        <w:r w:rsidRPr="00FB2985">
          <w:rPr>
            <w:rStyle w:val="max-w-15ch"/>
            <w:sz w:val="28"/>
            <w:szCs w:val="28"/>
            <w:u w:val="single"/>
          </w:rPr>
          <w:t xml:space="preserve">UN Trade </w:t>
        </w:r>
        <w:proofErr w:type="spellStart"/>
        <w:r w:rsidRPr="00FB2985">
          <w:rPr>
            <w:rStyle w:val="max-w-15ch"/>
            <w:sz w:val="28"/>
            <w:szCs w:val="28"/>
            <w:u w:val="single"/>
          </w:rPr>
          <w:t>and</w:t>
        </w:r>
        <w:proofErr w:type="spellEnd"/>
        <w:r w:rsidRPr="00FB2985">
          <w:rPr>
            <w:rStyle w:val="max-w-15ch"/>
            <w:sz w:val="28"/>
            <w:szCs w:val="28"/>
            <w:u w:val="single"/>
          </w:rPr>
          <w:t xml:space="preserve"> Development (UNCTAD)</w:t>
        </w:r>
      </w:hyperlink>
    </w:p>
    <w:p w14:paraId="7139E641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IRENA. </w:t>
      </w:r>
      <w:r w:rsidRPr="00FB2985">
        <w:rPr>
          <w:rStyle w:val="afd"/>
          <w:i w:val="0"/>
          <w:iCs w:val="0"/>
          <w:sz w:val="28"/>
          <w:szCs w:val="28"/>
        </w:rPr>
        <w:t>«Перспективы возобновляемой энергетики в Китае»</w:t>
      </w:r>
      <w:r w:rsidRPr="00FB2985">
        <w:rPr>
          <w:sz w:val="28"/>
          <w:szCs w:val="28"/>
        </w:rPr>
        <w:t xml:space="preserve">. — </w:t>
      </w:r>
      <w:proofErr w:type="spellStart"/>
      <w:r w:rsidRPr="00FB2985">
        <w:rPr>
          <w:sz w:val="28"/>
          <w:szCs w:val="28"/>
        </w:rPr>
        <w:t>Abu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Dhabi</w:t>
      </w:r>
      <w:proofErr w:type="spellEnd"/>
      <w:r w:rsidRPr="00FB2985">
        <w:rPr>
          <w:sz w:val="28"/>
          <w:szCs w:val="28"/>
        </w:rPr>
        <w:t xml:space="preserve">: International </w:t>
      </w:r>
      <w:proofErr w:type="spellStart"/>
      <w:r w:rsidRPr="00FB2985">
        <w:rPr>
          <w:sz w:val="28"/>
          <w:szCs w:val="28"/>
        </w:rPr>
        <w:t>Renewable</w:t>
      </w:r>
      <w:proofErr w:type="spellEnd"/>
      <w:r w:rsidRPr="00FB2985">
        <w:rPr>
          <w:sz w:val="28"/>
          <w:szCs w:val="28"/>
        </w:rPr>
        <w:t xml:space="preserve"> Energy Agency, 2019. — URL: </w:t>
      </w:r>
      <w:hyperlink r:id="rId48" w:tgtFrame="_new" w:history="1">
        <w:r w:rsidRPr="00FB2985">
          <w:rPr>
            <w:rStyle w:val="afb"/>
            <w:color w:val="auto"/>
            <w:sz w:val="28"/>
            <w:szCs w:val="28"/>
          </w:rPr>
          <w:t>https://www.irena.org/-/media/Files/IRENA/Agency/Publication/2022/Jul/IRENA_China_Carbon_Neutral_2022.pdf</w:t>
        </w:r>
      </w:hyperlink>
      <w:r w:rsidRPr="00FB2985">
        <w:rPr>
          <w:sz w:val="28"/>
          <w:szCs w:val="28"/>
        </w:rPr>
        <w:t xml:space="preserve"> </w:t>
      </w:r>
      <w:hyperlink r:id="rId49" w:tgtFrame="_blank" w:history="1">
        <w:r w:rsidRPr="00FB2985">
          <w:rPr>
            <w:rStyle w:val="max-w-15ch"/>
            <w:sz w:val="28"/>
            <w:szCs w:val="28"/>
            <w:u w:val="single"/>
          </w:rPr>
          <w:t>IRENA</w:t>
        </w:r>
      </w:hyperlink>
    </w:p>
    <w:p w14:paraId="55433BDB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 UNEP. </w:t>
      </w:r>
      <w:r w:rsidRPr="00FB2985">
        <w:rPr>
          <w:rStyle w:val="afd"/>
          <w:i w:val="0"/>
          <w:iCs w:val="0"/>
          <w:sz w:val="28"/>
          <w:szCs w:val="28"/>
        </w:rPr>
        <w:t>«Зелёные финансы и инвестиции: развитие рынков устойчивого финансирования в странах с формирующейся экономикой»</w:t>
      </w:r>
      <w:r w:rsidRPr="00FB2985">
        <w:rPr>
          <w:sz w:val="28"/>
          <w:szCs w:val="28"/>
        </w:rPr>
        <w:t xml:space="preserve">. — </w:t>
      </w:r>
      <w:proofErr w:type="spellStart"/>
      <w:r w:rsidRPr="00FB2985">
        <w:rPr>
          <w:sz w:val="28"/>
          <w:szCs w:val="28"/>
        </w:rPr>
        <w:t>Nairobi</w:t>
      </w:r>
      <w:proofErr w:type="spellEnd"/>
      <w:r w:rsidRPr="00FB2985">
        <w:rPr>
          <w:sz w:val="28"/>
          <w:szCs w:val="28"/>
        </w:rPr>
        <w:t xml:space="preserve">: United Nations Environment </w:t>
      </w:r>
      <w:proofErr w:type="spellStart"/>
      <w:r w:rsidRPr="00FB2985">
        <w:rPr>
          <w:sz w:val="28"/>
          <w:szCs w:val="28"/>
        </w:rPr>
        <w:t>Programme</w:t>
      </w:r>
      <w:proofErr w:type="spellEnd"/>
      <w:r w:rsidRPr="00FB2985">
        <w:rPr>
          <w:sz w:val="28"/>
          <w:szCs w:val="28"/>
        </w:rPr>
        <w:t>, 2022.</w:t>
      </w:r>
    </w:p>
    <w:p w14:paraId="0F5C1E4C" w14:textId="77777777" w:rsidR="000E7F50" w:rsidRPr="00FB2985" w:rsidRDefault="000E7F50" w:rsidP="000E7F50">
      <w:pPr>
        <w:pStyle w:val="af9"/>
        <w:numPr>
          <w:ilvl w:val="0"/>
          <w:numId w:val="65"/>
        </w:numPr>
        <w:spacing w:after="0" w:line="240" w:lineRule="auto"/>
        <w:ind w:left="0" w:firstLine="567"/>
        <w:jc w:val="both"/>
        <w:rPr>
          <w:sz w:val="28"/>
          <w:szCs w:val="28"/>
        </w:rPr>
      </w:pPr>
      <w:r w:rsidRPr="00FB2985">
        <w:rPr>
          <w:sz w:val="28"/>
          <w:szCs w:val="28"/>
        </w:rPr>
        <w:t xml:space="preserve">Capital </w:t>
      </w:r>
      <w:proofErr w:type="spellStart"/>
      <w:r w:rsidRPr="00FB2985">
        <w:rPr>
          <w:sz w:val="28"/>
          <w:szCs w:val="28"/>
        </w:rPr>
        <w:t>Budgeting</w:t>
      </w:r>
      <w:proofErr w:type="spellEnd"/>
      <w:r w:rsidRPr="00FB2985">
        <w:rPr>
          <w:sz w:val="28"/>
          <w:szCs w:val="28"/>
        </w:rPr>
        <w:t xml:space="preserve">: Financial </w:t>
      </w:r>
      <w:proofErr w:type="spellStart"/>
      <w:r w:rsidRPr="00FB2985">
        <w:rPr>
          <w:sz w:val="28"/>
          <w:szCs w:val="28"/>
        </w:rPr>
        <w:t>Appraisal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of</w:t>
      </w:r>
      <w:proofErr w:type="spellEnd"/>
      <w:r w:rsidRPr="00FB2985">
        <w:rPr>
          <w:sz w:val="28"/>
          <w:szCs w:val="28"/>
        </w:rPr>
        <w:t xml:space="preserve"> Investment </w:t>
      </w:r>
      <w:proofErr w:type="spellStart"/>
      <w:r w:rsidRPr="00FB2985">
        <w:rPr>
          <w:sz w:val="28"/>
          <w:szCs w:val="28"/>
        </w:rPr>
        <w:t>Projects</w:t>
      </w:r>
      <w:proofErr w:type="spellEnd"/>
      <w:r w:rsidRPr="00FB2985">
        <w:rPr>
          <w:sz w:val="28"/>
          <w:szCs w:val="28"/>
        </w:rPr>
        <w:t xml:space="preserve"> / </w:t>
      </w:r>
      <w:proofErr w:type="spellStart"/>
      <w:r w:rsidRPr="00FB2985">
        <w:rPr>
          <w:sz w:val="28"/>
          <w:szCs w:val="28"/>
        </w:rPr>
        <w:t>Don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Dayananda</w:t>
      </w:r>
      <w:proofErr w:type="spellEnd"/>
      <w:r w:rsidRPr="00FB2985">
        <w:rPr>
          <w:sz w:val="28"/>
          <w:szCs w:val="28"/>
        </w:rPr>
        <w:t xml:space="preserve">, Richard </w:t>
      </w:r>
      <w:proofErr w:type="spellStart"/>
      <w:r w:rsidRPr="00FB2985">
        <w:rPr>
          <w:sz w:val="28"/>
          <w:szCs w:val="28"/>
        </w:rPr>
        <w:t>Irons</w:t>
      </w:r>
      <w:proofErr w:type="spellEnd"/>
      <w:r w:rsidRPr="00FB2985">
        <w:rPr>
          <w:sz w:val="28"/>
          <w:szCs w:val="28"/>
        </w:rPr>
        <w:t xml:space="preserve">, </w:t>
      </w:r>
      <w:proofErr w:type="spellStart"/>
      <w:r w:rsidRPr="00FB2985">
        <w:rPr>
          <w:sz w:val="28"/>
          <w:szCs w:val="28"/>
        </w:rPr>
        <w:t>Steve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Harrison</w:t>
      </w:r>
      <w:proofErr w:type="spellEnd"/>
      <w:r w:rsidRPr="00FB2985">
        <w:rPr>
          <w:sz w:val="28"/>
          <w:szCs w:val="28"/>
        </w:rPr>
        <w:t xml:space="preserve">, John </w:t>
      </w:r>
      <w:proofErr w:type="spellStart"/>
      <w:r w:rsidRPr="00FB2985">
        <w:rPr>
          <w:sz w:val="28"/>
          <w:szCs w:val="28"/>
        </w:rPr>
        <w:t>Herbohn</w:t>
      </w:r>
      <w:proofErr w:type="spellEnd"/>
      <w:r w:rsidRPr="00FB2985">
        <w:rPr>
          <w:sz w:val="28"/>
          <w:szCs w:val="28"/>
        </w:rPr>
        <w:t xml:space="preserve">, </w:t>
      </w:r>
      <w:proofErr w:type="spellStart"/>
      <w:r w:rsidRPr="00FB2985">
        <w:rPr>
          <w:sz w:val="28"/>
          <w:szCs w:val="28"/>
        </w:rPr>
        <w:t>Patrick</w:t>
      </w:r>
      <w:proofErr w:type="spellEnd"/>
      <w:r w:rsidRPr="00FB2985">
        <w:rPr>
          <w:sz w:val="28"/>
          <w:szCs w:val="28"/>
        </w:rPr>
        <w:t xml:space="preserve"> </w:t>
      </w:r>
      <w:proofErr w:type="spellStart"/>
      <w:r w:rsidRPr="00FB2985">
        <w:rPr>
          <w:sz w:val="28"/>
          <w:szCs w:val="28"/>
        </w:rPr>
        <w:t>Rowland</w:t>
      </w:r>
      <w:proofErr w:type="spellEnd"/>
      <w:r w:rsidRPr="00FB2985">
        <w:rPr>
          <w:sz w:val="28"/>
          <w:szCs w:val="28"/>
        </w:rPr>
        <w:t xml:space="preserve">. — Cambridge University Press, 2002. — 342 с. </w:t>
      </w:r>
    </w:p>
    <w:p w14:paraId="5C030600" w14:textId="77777777" w:rsidR="000E7F50" w:rsidRPr="009B1A0E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0A1745" w14:textId="77777777" w:rsidR="000E7F50" w:rsidRPr="00FB2985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2BBA23" w14:textId="77777777" w:rsidR="000E7F50" w:rsidRPr="00455526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90A529" w14:textId="77777777" w:rsidR="000E7F50" w:rsidRPr="006F3725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1CE492" w14:textId="77777777" w:rsidR="000E7F50" w:rsidRPr="00FB2985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79843E" w14:textId="06650524" w:rsidR="000E7F50" w:rsidRDefault="000E7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82FADC" w14:textId="5BD7C436" w:rsidR="000E7F50" w:rsidRDefault="000E7F50" w:rsidP="000E7F50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4" w:name="_Toc215079204"/>
      <w:r w:rsidRPr="000E7F50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Приложение А</w:t>
      </w:r>
      <w:bookmarkEnd w:id="34"/>
    </w:p>
    <w:p w14:paraId="1D5F3295" w14:textId="77777777" w:rsidR="001A6560" w:rsidRPr="007E1418" w:rsidRDefault="001A6560" w:rsidP="001A6560">
      <w:pPr>
        <w:rPr>
          <w:rFonts w:ascii="Times New Roman" w:hAnsi="Times New Roman" w:cs="Times New Roman"/>
          <w:lang w:val="ru-RU"/>
        </w:rPr>
      </w:pPr>
    </w:p>
    <w:p w14:paraId="3CA562B4" w14:textId="77777777" w:rsidR="001A6560" w:rsidRPr="007E1418" w:rsidRDefault="001A6560" w:rsidP="001A6560">
      <w:pPr>
        <w:rPr>
          <w:rFonts w:ascii="Times New Roman" w:hAnsi="Times New Roman" w:cs="Times New Roman"/>
          <w:b/>
          <w:bCs/>
        </w:rPr>
      </w:pPr>
      <w:r w:rsidRPr="007E1418">
        <w:rPr>
          <w:rFonts w:ascii="Times New Roman" w:hAnsi="Times New Roman" w:cs="Times New Roman"/>
          <w:b/>
          <w:bCs/>
        </w:rPr>
        <w:t>Результаты тестов стационарности (LLC)</w:t>
      </w:r>
    </w:p>
    <w:p w14:paraId="2FC869DC" w14:textId="67A64C40" w:rsidR="001A6560" w:rsidRPr="007E1418" w:rsidRDefault="001A6560" w:rsidP="001A6560">
      <w:pPr>
        <w:rPr>
          <w:rFonts w:ascii="Times New Roman" w:hAnsi="Times New Roman" w:cs="Times New Roman"/>
          <w:lang w:val="ru-RU"/>
        </w:rPr>
      </w:pPr>
    </w:p>
    <w:tbl>
      <w:tblPr>
        <w:tblW w:w="777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1530"/>
        <w:gridCol w:w="1245"/>
        <w:gridCol w:w="2869"/>
      </w:tblGrid>
      <w:tr w:rsidR="001A6560" w:rsidRPr="007E1418" w14:paraId="4940A5D6" w14:textId="77777777" w:rsidTr="007E1418">
        <w:trPr>
          <w:trHeight w:val="546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91E7ED" w14:textId="77777777" w:rsidR="001A6560" w:rsidRPr="007E1418" w:rsidRDefault="001A6560" w:rsidP="001A6560">
            <w:pPr>
              <w:rPr>
                <w:rFonts w:ascii="Times New Roman" w:hAnsi="Times New Roman" w:cs="Times New Roman"/>
                <w:b/>
                <w:bCs/>
              </w:rPr>
            </w:pPr>
            <w:r w:rsidRPr="007E1418">
              <w:rPr>
                <w:rFonts w:ascii="Times New Roman" w:hAnsi="Times New Roman" w:cs="Times New Roman"/>
                <w:b/>
                <w:bCs/>
              </w:rPr>
              <w:t>Переменная</w:t>
            </w:r>
          </w:p>
        </w:tc>
        <w:tc>
          <w:tcPr>
            <w:tcW w:w="0" w:type="auto"/>
            <w:vAlign w:val="center"/>
            <w:hideMark/>
          </w:tcPr>
          <w:p w14:paraId="167B421F" w14:textId="77777777" w:rsidR="001A6560" w:rsidRPr="007E1418" w:rsidRDefault="001A6560" w:rsidP="001A6560">
            <w:pPr>
              <w:rPr>
                <w:rFonts w:ascii="Times New Roman" w:hAnsi="Times New Roman" w:cs="Times New Roman"/>
                <w:b/>
                <w:bCs/>
              </w:rPr>
            </w:pPr>
            <w:r w:rsidRPr="007E1418">
              <w:rPr>
                <w:rFonts w:ascii="Times New Roman" w:hAnsi="Times New Roman" w:cs="Times New Roman"/>
                <w:b/>
                <w:bCs/>
              </w:rPr>
              <w:t>LLC-</w:t>
            </w:r>
            <w:proofErr w:type="spellStart"/>
            <w:r w:rsidRPr="007E1418">
              <w:rPr>
                <w:rFonts w:ascii="Times New Roman" w:hAnsi="Times New Roman" w:cs="Times New Roman"/>
                <w:b/>
                <w:bCs/>
              </w:rPr>
              <w:t>stat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A45CA2" w14:textId="77777777" w:rsidR="001A6560" w:rsidRPr="007E1418" w:rsidRDefault="001A6560" w:rsidP="001A6560">
            <w:pPr>
              <w:rPr>
                <w:rFonts w:ascii="Times New Roman" w:hAnsi="Times New Roman" w:cs="Times New Roman"/>
                <w:b/>
                <w:bCs/>
              </w:rPr>
            </w:pPr>
            <w:r w:rsidRPr="007E1418">
              <w:rPr>
                <w:rFonts w:ascii="Times New Roman" w:hAnsi="Times New Roman" w:cs="Times New Roman"/>
                <w:b/>
                <w:bCs/>
              </w:rPr>
              <w:t>p-</w:t>
            </w:r>
            <w:proofErr w:type="spellStart"/>
            <w:r w:rsidRPr="007E1418">
              <w:rPr>
                <w:rFonts w:ascii="Times New Roman" w:hAnsi="Times New Roman" w:cs="Times New Roman"/>
                <w:b/>
                <w:bCs/>
              </w:rPr>
              <w:t>value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825D42" w14:textId="77777777" w:rsidR="001A6560" w:rsidRPr="007E1418" w:rsidRDefault="001A6560" w:rsidP="001A6560">
            <w:pPr>
              <w:rPr>
                <w:rFonts w:ascii="Times New Roman" w:hAnsi="Times New Roman" w:cs="Times New Roman"/>
                <w:b/>
                <w:bCs/>
              </w:rPr>
            </w:pPr>
            <w:r w:rsidRPr="007E1418">
              <w:rPr>
                <w:rFonts w:ascii="Times New Roman" w:hAnsi="Times New Roman" w:cs="Times New Roman"/>
                <w:b/>
                <w:bCs/>
              </w:rPr>
              <w:t>Стационарность</w:t>
            </w:r>
          </w:p>
        </w:tc>
      </w:tr>
      <w:tr w:rsidR="001A6560" w:rsidRPr="007E1418" w14:paraId="598E3393" w14:textId="77777777" w:rsidTr="007E1418">
        <w:trPr>
          <w:trHeight w:val="546"/>
          <w:tblCellSpacing w:w="15" w:type="dxa"/>
        </w:trPr>
        <w:tc>
          <w:tcPr>
            <w:tcW w:w="0" w:type="auto"/>
            <w:vAlign w:val="center"/>
            <w:hideMark/>
          </w:tcPr>
          <w:p w14:paraId="5026DC0E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proofErr w:type="spellStart"/>
            <w:r w:rsidRPr="007E1418">
              <w:rPr>
                <w:rFonts w:ascii="Times New Roman" w:hAnsi="Times New Roman" w:cs="Times New Roman"/>
              </w:rPr>
              <w:t>LnEX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D4F2B4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–3.51</w:t>
            </w:r>
          </w:p>
        </w:tc>
        <w:tc>
          <w:tcPr>
            <w:tcW w:w="0" w:type="auto"/>
            <w:vAlign w:val="center"/>
            <w:hideMark/>
          </w:tcPr>
          <w:p w14:paraId="6D6FD9A0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76FCC13D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Стационарна</w:t>
            </w:r>
          </w:p>
        </w:tc>
      </w:tr>
      <w:tr w:rsidR="001A6560" w:rsidRPr="007E1418" w14:paraId="4568648F" w14:textId="77777777" w:rsidTr="007E1418">
        <w:trPr>
          <w:trHeight w:val="546"/>
          <w:tblCellSpacing w:w="15" w:type="dxa"/>
        </w:trPr>
        <w:tc>
          <w:tcPr>
            <w:tcW w:w="0" w:type="auto"/>
            <w:vAlign w:val="center"/>
            <w:hideMark/>
          </w:tcPr>
          <w:p w14:paraId="3F5D7654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proofErr w:type="spellStart"/>
            <w:r w:rsidRPr="007E1418">
              <w:rPr>
                <w:rFonts w:ascii="Times New Roman" w:hAnsi="Times New Roman" w:cs="Times New Roman"/>
              </w:rPr>
              <w:t>LnGDP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914BE1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–2.78</w:t>
            </w:r>
          </w:p>
        </w:tc>
        <w:tc>
          <w:tcPr>
            <w:tcW w:w="0" w:type="auto"/>
            <w:vAlign w:val="center"/>
            <w:hideMark/>
          </w:tcPr>
          <w:p w14:paraId="0418EF01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4B959B01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Стационарна</w:t>
            </w:r>
          </w:p>
        </w:tc>
      </w:tr>
      <w:tr w:rsidR="001A6560" w:rsidRPr="007E1418" w14:paraId="5C47F47B" w14:textId="77777777" w:rsidTr="007E1418">
        <w:trPr>
          <w:trHeight w:val="546"/>
          <w:tblCellSpacing w:w="15" w:type="dxa"/>
        </w:trPr>
        <w:tc>
          <w:tcPr>
            <w:tcW w:w="0" w:type="auto"/>
            <w:vAlign w:val="center"/>
            <w:hideMark/>
          </w:tcPr>
          <w:p w14:paraId="50E68AB4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proofErr w:type="spellStart"/>
            <w:r w:rsidRPr="007E1418">
              <w:rPr>
                <w:rFonts w:ascii="Times New Roman" w:hAnsi="Times New Roman" w:cs="Times New Roman"/>
              </w:rPr>
              <w:t>LnENPR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64038B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–4.21</w:t>
            </w:r>
          </w:p>
        </w:tc>
        <w:tc>
          <w:tcPr>
            <w:tcW w:w="0" w:type="auto"/>
            <w:vAlign w:val="center"/>
            <w:hideMark/>
          </w:tcPr>
          <w:p w14:paraId="12E8B168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03EAA852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Стационарна</w:t>
            </w:r>
          </w:p>
        </w:tc>
      </w:tr>
      <w:tr w:rsidR="001A6560" w:rsidRPr="007E1418" w14:paraId="2EA439EB" w14:textId="77777777" w:rsidTr="007E1418">
        <w:trPr>
          <w:trHeight w:val="546"/>
          <w:tblCellSpacing w:w="15" w:type="dxa"/>
        </w:trPr>
        <w:tc>
          <w:tcPr>
            <w:tcW w:w="0" w:type="auto"/>
            <w:vAlign w:val="center"/>
            <w:hideMark/>
          </w:tcPr>
          <w:p w14:paraId="4F7AF058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proofErr w:type="spellStart"/>
            <w:r w:rsidRPr="007E1418">
              <w:rPr>
                <w:rFonts w:ascii="Times New Roman" w:hAnsi="Times New Roman" w:cs="Times New Roman"/>
              </w:rPr>
              <w:t>LnFDI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A633BC2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–1.92</w:t>
            </w:r>
          </w:p>
        </w:tc>
        <w:tc>
          <w:tcPr>
            <w:tcW w:w="0" w:type="auto"/>
            <w:vAlign w:val="center"/>
            <w:hideMark/>
          </w:tcPr>
          <w:p w14:paraId="0BF84883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0.027</w:t>
            </w:r>
          </w:p>
        </w:tc>
        <w:tc>
          <w:tcPr>
            <w:tcW w:w="0" w:type="auto"/>
            <w:vAlign w:val="center"/>
            <w:hideMark/>
          </w:tcPr>
          <w:p w14:paraId="4F02848F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Стационарна</w:t>
            </w:r>
          </w:p>
        </w:tc>
      </w:tr>
      <w:tr w:rsidR="001A6560" w:rsidRPr="007E1418" w14:paraId="02A1FE4D" w14:textId="77777777" w:rsidTr="007E1418">
        <w:trPr>
          <w:trHeight w:val="546"/>
          <w:tblCellSpacing w:w="15" w:type="dxa"/>
        </w:trPr>
        <w:tc>
          <w:tcPr>
            <w:tcW w:w="0" w:type="auto"/>
            <w:vAlign w:val="center"/>
            <w:hideMark/>
          </w:tcPr>
          <w:p w14:paraId="6D4EA949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LnCO2</w:t>
            </w:r>
          </w:p>
        </w:tc>
        <w:tc>
          <w:tcPr>
            <w:tcW w:w="0" w:type="auto"/>
            <w:vAlign w:val="center"/>
            <w:hideMark/>
          </w:tcPr>
          <w:p w14:paraId="7DC14935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–3.04</w:t>
            </w:r>
          </w:p>
        </w:tc>
        <w:tc>
          <w:tcPr>
            <w:tcW w:w="0" w:type="auto"/>
            <w:vAlign w:val="center"/>
            <w:hideMark/>
          </w:tcPr>
          <w:p w14:paraId="7B226179" w14:textId="77777777" w:rsidR="001A6560" w:rsidRPr="007E1418" w:rsidRDefault="001A6560" w:rsidP="001A6560">
            <w:pPr>
              <w:rPr>
                <w:rFonts w:ascii="Times New Roman" w:hAnsi="Times New Roman" w:cs="Times New Roman"/>
              </w:rPr>
            </w:pPr>
            <w:r w:rsidRPr="007E1418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vAlign w:val="center"/>
            <w:hideMark/>
          </w:tcPr>
          <w:p w14:paraId="71025C76" w14:textId="134E6778" w:rsidR="001A6560" w:rsidRPr="007E1418" w:rsidRDefault="001A6560" w:rsidP="001A656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E1418">
              <w:rPr>
                <w:rFonts w:ascii="Times New Roman" w:hAnsi="Times New Roman" w:cs="Times New Roman"/>
              </w:rPr>
              <w:t>Стационарн</w:t>
            </w:r>
            <w:proofErr w:type="spellEnd"/>
            <w:r w:rsidR="007E1418" w:rsidRPr="007E1418">
              <w:rPr>
                <w:rFonts w:ascii="Times New Roman" w:hAnsi="Times New Roman" w:cs="Times New Roman"/>
                <w:lang w:val="ru-RU"/>
              </w:rPr>
              <w:t>а</w:t>
            </w:r>
          </w:p>
        </w:tc>
      </w:tr>
    </w:tbl>
    <w:p w14:paraId="4FF47474" w14:textId="77777777" w:rsidR="001A6560" w:rsidRPr="001A6560" w:rsidRDefault="001A6560" w:rsidP="001A6560">
      <w:pPr>
        <w:rPr>
          <w:lang w:val="ru-RU"/>
        </w:rPr>
      </w:pPr>
    </w:p>
    <w:p w14:paraId="33ADB362" w14:textId="77777777" w:rsidR="000E7F50" w:rsidRPr="006F3725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0D2F1C6" w14:textId="77777777" w:rsidR="000E7F50" w:rsidRPr="00FB2985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921C10" w14:textId="77777777" w:rsidR="000E7F50" w:rsidRPr="0088577A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B4B5CAA" w14:textId="77777777" w:rsidR="000E7F50" w:rsidRPr="00FB2985" w:rsidRDefault="000E7F50" w:rsidP="000E7F5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2ED135" w14:textId="77777777" w:rsidR="000E7F50" w:rsidRPr="00C625B7" w:rsidRDefault="000E7F50" w:rsidP="000E7F50"/>
    <w:p w14:paraId="4BDD1575" w14:textId="77777777" w:rsidR="00E14263" w:rsidRPr="00C65446" w:rsidRDefault="00E14263" w:rsidP="00C65446">
      <w:pPr>
        <w:spacing w:after="0" w:line="240" w:lineRule="auto"/>
        <w:ind w:firstLine="720"/>
        <w:jc w:val="both"/>
      </w:pPr>
    </w:p>
    <w:p w14:paraId="4DC42011" w14:textId="71C82896" w:rsidR="007E1418" w:rsidRDefault="007E1418">
      <w:r>
        <w:br w:type="page"/>
      </w:r>
    </w:p>
    <w:p w14:paraId="26C9ED91" w14:textId="6F5B6F11" w:rsidR="00C65446" w:rsidRDefault="007E1418" w:rsidP="007E141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E141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Приложение Б</w:t>
      </w:r>
    </w:p>
    <w:p w14:paraId="3AF8357E" w14:textId="044D7388" w:rsidR="007E1418" w:rsidRPr="007E1418" w:rsidRDefault="007E1418" w:rsidP="007E1418">
      <w:pPr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Панельный массив</w:t>
      </w:r>
    </w:p>
    <w:p w14:paraId="5F28EDA0" w14:textId="77777777" w:rsidR="007E1418" w:rsidRPr="007E1418" w:rsidRDefault="007E1418" w:rsidP="007E1418">
      <w:pPr>
        <w:rPr>
          <w:rFonts w:ascii="Times New Roman" w:hAnsi="Times New Roman" w:cs="Times New Roman"/>
          <w:lang w:val="ru-KZ"/>
        </w:rPr>
      </w:pPr>
      <w:r w:rsidRPr="007E1418">
        <w:rPr>
          <w:rFonts w:ascii="Segoe UI Emoji" w:hAnsi="Segoe UI Emoji" w:cs="Segoe UI Emoji"/>
          <w:lang w:val="ru-KZ"/>
        </w:rPr>
        <w:t>🇺🇿</w:t>
      </w:r>
      <w:r w:rsidRPr="007E1418">
        <w:rPr>
          <w:rFonts w:ascii="Times New Roman" w:hAnsi="Times New Roman" w:cs="Times New Roman"/>
          <w:lang w:val="ru-KZ"/>
        </w:rPr>
        <w:t xml:space="preserve"> Узбекистан (UZB)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540"/>
        <w:gridCol w:w="647"/>
        <w:gridCol w:w="807"/>
        <w:gridCol w:w="714"/>
        <w:gridCol w:w="941"/>
        <w:gridCol w:w="795"/>
      </w:tblGrid>
      <w:tr w:rsidR="007E1418" w:rsidRPr="007E1418" w14:paraId="28F7939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030FE9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32A3130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14:paraId="351D2A1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AE5741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LnGDP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A2D91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LnFDI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6E24A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LnENPR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8240A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LnCO2</w:t>
            </w:r>
          </w:p>
        </w:tc>
      </w:tr>
      <w:tr w:rsidR="007E1418" w:rsidRPr="007E1418" w14:paraId="6D78AF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E6264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6456650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14:paraId="616DA59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1.55</w:t>
            </w:r>
          </w:p>
        </w:tc>
        <w:tc>
          <w:tcPr>
            <w:tcW w:w="0" w:type="auto"/>
            <w:vAlign w:val="center"/>
            <w:hideMark/>
          </w:tcPr>
          <w:p w14:paraId="46765D9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7.40</w:t>
            </w:r>
          </w:p>
        </w:tc>
        <w:tc>
          <w:tcPr>
            <w:tcW w:w="0" w:type="auto"/>
            <w:vAlign w:val="center"/>
            <w:hideMark/>
          </w:tcPr>
          <w:p w14:paraId="45F1F5A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2.90</w:t>
            </w:r>
          </w:p>
        </w:tc>
        <w:tc>
          <w:tcPr>
            <w:tcW w:w="0" w:type="auto"/>
            <w:vAlign w:val="center"/>
            <w:hideMark/>
          </w:tcPr>
          <w:p w14:paraId="6E69C22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2.20</w:t>
            </w:r>
          </w:p>
        </w:tc>
        <w:tc>
          <w:tcPr>
            <w:tcW w:w="0" w:type="auto"/>
            <w:vAlign w:val="center"/>
            <w:hideMark/>
          </w:tcPr>
          <w:p w14:paraId="6A4B7FF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6.20</w:t>
            </w:r>
          </w:p>
        </w:tc>
      </w:tr>
      <w:tr w:rsidR="007E1418" w:rsidRPr="007E1418" w14:paraId="6EA15A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F73E6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2D210F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14:paraId="6865B33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1.56</w:t>
            </w:r>
          </w:p>
        </w:tc>
        <w:tc>
          <w:tcPr>
            <w:tcW w:w="0" w:type="auto"/>
            <w:vAlign w:val="center"/>
            <w:hideMark/>
          </w:tcPr>
          <w:p w14:paraId="2098C12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7.42</w:t>
            </w:r>
          </w:p>
        </w:tc>
        <w:tc>
          <w:tcPr>
            <w:tcW w:w="0" w:type="auto"/>
            <w:vAlign w:val="center"/>
            <w:hideMark/>
          </w:tcPr>
          <w:p w14:paraId="1F37119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2.92</w:t>
            </w:r>
          </w:p>
        </w:tc>
        <w:tc>
          <w:tcPr>
            <w:tcW w:w="0" w:type="auto"/>
            <w:vAlign w:val="center"/>
            <w:hideMark/>
          </w:tcPr>
          <w:p w14:paraId="1EABBE6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2.21</w:t>
            </w:r>
          </w:p>
        </w:tc>
        <w:tc>
          <w:tcPr>
            <w:tcW w:w="0" w:type="auto"/>
            <w:vAlign w:val="center"/>
            <w:hideMark/>
          </w:tcPr>
          <w:p w14:paraId="3DB5483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6.22</w:t>
            </w:r>
          </w:p>
        </w:tc>
      </w:tr>
      <w:tr w:rsidR="007E1418" w:rsidRPr="007E1418" w14:paraId="5FA567B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29045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239969A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14:paraId="4F7828C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1.58</w:t>
            </w:r>
          </w:p>
        </w:tc>
        <w:tc>
          <w:tcPr>
            <w:tcW w:w="0" w:type="auto"/>
            <w:vAlign w:val="center"/>
            <w:hideMark/>
          </w:tcPr>
          <w:p w14:paraId="4FC0473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7.45</w:t>
            </w:r>
          </w:p>
        </w:tc>
        <w:tc>
          <w:tcPr>
            <w:tcW w:w="0" w:type="auto"/>
            <w:vAlign w:val="center"/>
            <w:hideMark/>
          </w:tcPr>
          <w:p w14:paraId="1E78A6F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2.95</w:t>
            </w:r>
          </w:p>
        </w:tc>
        <w:tc>
          <w:tcPr>
            <w:tcW w:w="0" w:type="auto"/>
            <w:vAlign w:val="center"/>
            <w:hideMark/>
          </w:tcPr>
          <w:p w14:paraId="15A9AB4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2.22</w:t>
            </w:r>
          </w:p>
        </w:tc>
        <w:tc>
          <w:tcPr>
            <w:tcW w:w="0" w:type="auto"/>
            <w:vAlign w:val="center"/>
            <w:hideMark/>
          </w:tcPr>
          <w:p w14:paraId="291D2F1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6.23</w:t>
            </w:r>
          </w:p>
        </w:tc>
      </w:tr>
      <w:tr w:rsidR="007E1418" w:rsidRPr="007E1418" w14:paraId="5C17853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87CA5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5F69572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14:paraId="6742135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1.60</w:t>
            </w:r>
          </w:p>
        </w:tc>
        <w:tc>
          <w:tcPr>
            <w:tcW w:w="0" w:type="auto"/>
            <w:vAlign w:val="center"/>
            <w:hideMark/>
          </w:tcPr>
          <w:p w14:paraId="6CECE11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7.48</w:t>
            </w:r>
          </w:p>
        </w:tc>
        <w:tc>
          <w:tcPr>
            <w:tcW w:w="0" w:type="auto"/>
            <w:vAlign w:val="center"/>
            <w:hideMark/>
          </w:tcPr>
          <w:p w14:paraId="5683620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3.00</w:t>
            </w:r>
          </w:p>
        </w:tc>
        <w:tc>
          <w:tcPr>
            <w:tcW w:w="0" w:type="auto"/>
            <w:vAlign w:val="center"/>
            <w:hideMark/>
          </w:tcPr>
          <w:p w14:paraId="0954955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2.24</w:t>
            </w:r>
          </w:p>
        </w:tc>
        <w:tc>
          <w:tcPr>
            <w:tcW w:w="0" w:type="auto"/>
            <w:vAlign w:val="center"/>
            <w:hideMark/>
          </w:tcPr>
          <w:p w14:paraId="0CF2DD1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6.25</w:t>
            </w:r>
          </w:p>
        </w:tc>
      </w:tr>
      <w:tr w:rsidR="007E1418" w:rsidRPr="007E1418" w14:paraId="1BC401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E064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6B241C0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14:paraId="6353F58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1.63</w:t>
            </w:r>
          </w:p>
        </w:tc>
        <w:tc>
          <w:tcPr>
            <w:tcW w:w="0" w:type="auto"/>
            <w:vAlign w:val="center"/>
            <w:hideMark/>
          </w:tcPr>
          <w:p w14:paraId="26FF5D3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7.51</w:t>
            </w:r>
          </w:p>
        </w:tc>
        <w:tc>
          <w:tcPr>
            <w:tcW w:w="0" w:type="auto"/>
            <w:vAlign w:val="center"/>
            <w:hideMark/>
          </w:tcPr>
          <w:p w14:paraId="2DA7D5A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3.05</w:t>
            </w:r>
          </w:p>
        </w:tc>
        <w:tc>
          <w:tcPr>
            <w:tcW w:w="0" w:type="auto"/>
            <w:vAlign w:val="center"/>
            <w:hideMark/>
          </w:tcPr>
          <w:p w14:paraId="1ABC5D3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2.25</w:t>
            </w:r>
          </w:p>
        </w:tc>
        <w:tc>
          <w:tcPr>
            <w:tcW w:w="0" w:type="auto"/>
            <w:vAlign w:val="center"/>
            <w:hideMark/>
          </w:tcPr>
          <w:p w14:paraId="47517A0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6.27</w:t>
            </w:r>
          </w:p>
        </w:tc>
      </w:tr>
      <w:tr w:rsidR="007E1418" w:rsidRPr="007E1418" w14:paraId="016F336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9FE2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68185E5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14:paraId="09E8C5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1.67</w:t>
            </w:r>
          </w:p>
        </w:tc>
        <w:tc>
          <w:tcPr>
            <w:tcW w:w="0" w:type="auto"/>
            <w:vAlign w:val="center"/>
            <w:hideMark/>
          </w:tcPr>
          <w:p w14:paraId="41F6C71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7.54</w:t>
            </w:r>
          </w:p>
        </w:tc>
        <w:tc>
          <w:tcPr>
            <w:tcW w:w="0" w:type="auto"/>
            <w:vAlign w:val="center"/>
            <w:hideMark/>
          </w:tcPr>
          <w:p w14:paraId="3340989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3.10</w:t>
            </w:r>
          </w:p>
        </w:tc>
        <w:tc>
          <w:tcPr>
            <w:tcW w:w="0" w:type="auto"/>
            <w:vAlign w:val="center"/>
            <w:hideMark/>
          </w:tcPr>
          <w:p w14:paraId="502BC86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2.26</w:t>
            </w:r>
          </w:p>
        </w:tc>
        <w:tc>
          <w:tcPr>
            <w:tcW w:w="0" w:type="auto"/>
            <w:vAlign w:val="center"/>
            <w:hideMark/>
          </w:tcPr>
          <w:p w14:paraId="3AB3090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6.29</w:t>
            </w:r>
          </w:p>
        </w:tc>
      </w:tr>
      <w:tr w:rsidR="007E1418" w:rsidRPr="007E1418" w14:paraId="041E9A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14D88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14C39D8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14:paraId="2F7EBA9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1.70</w:t>
            </w:r>
          </w:p>
        </w:tc>
        <w:tc>
          <w:tcPr>
            <w:tcW w:w="0" w:type="auto"/>
            <w:vAlign w:val="center"/>
            <w:hideMark/>
          </w:tcPr>
          <w:p w14:paraId="2BC8143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7.58</w:t>
            </w:r>
          </w:p>
        </w:tc>
        <w:tc>
          <w:tcPr>
            <w:tcW w:w="0" w:type="auto"/>
            <w:vAlign w:val="center"/>
            <w:hideMark/>
          </w:tcPr>
          <w:p w14:paraId="35BB973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3.18</w:t>
            </w:r>
          </w:p>
        </w:tc>
        <w:tc>
          <w:tcPr>
            <w:tcW w:w="0" w:type="auto"/>
            <w:vAlign w:val="center"/>
            <w:hideMark/>
          </w:tcPr>
          <w:p w14:paraId="78A61C3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2.28</w:t>
            </w:r>
          </w:p>
        </w:tc>
        <w:tc>
          <w:tcPr>
            <w:tcW w:w="0" w:type="auto"/>
            <w:vAlign w:val="center"/>
            <w:hideMark/>
          </w:tcPr>
          <w:p w14:paraId="179682A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6.30</w:t>
            </w:r>
          </w:p>
        </w:tc>
      </w:tr>
      <w:tr w:rsidR="007E1418" w:rsidRPr="007E1418" w14:paraId="0ED088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269B4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551F814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34AE76A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1.74</w:t>
            </w:r>
          </w:p>
        </w:tc>
        <w:tc>
          <w:tcPr>
            <w:tcW w:w="0" w:type="auto"/>
            <w:vAlign w:val="center"/>
            <w:hideMark/>
          </w:tcPr>
          <w:p w14:paraId="2409B41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7.62</w:t>
            </w:r>
          </w:p>
        </w:tc>
        <w:tc>
          <w:tcPr>
            <w:tcW w:w="0" w:type="auto"/>
            <w:vAlign w:val="center"/>
            <w:hideMark/>
          </w:tcPr>
          <w:p w14:paraId="234D9EC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3.25</w:t>
            </w:r>
          </w:p>
        </w:tc>
        <w:tc>
          <w:tcPr>
            <w:tcW w:w="0" w:type="auto"/>
            <w:vAlign w:val="center"/>
            <w:hideMark/>
          </w:tcPr>
          <w:p w14:paraId="73D137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2.30</w:t>
            </w:r>
          </w:p>
        </w:tc>
        <w:tc>
          <w:tcPr>
            <w:tcW w:w="0" w:type="auto"/>
            <w:vAlign w:val="center"/>
            <w:hideMark/>
          </w:tcPr>
          <w:p w14:paraId="3C54731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6.32</w:t>
            </w:r>
          </w:p>
        </w:tc>
      </w:tr>
      <w:tr w:rsidR="007E1418" w:rsidRPr="007E1418" w14:paraId="0AE0D8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86C0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50F61DB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14:paraId="0CDDE99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1.75</w:t>
            </w:r>
          </w:p>
        </w:tc>
        <w:tc>
          <w:tcPr>
            <w:tcW w:w="0" w:type="auto"/>
            <w:vAlign w:val="center"/>
            <w:hideMark/>
          </w:tcPr>
          <w:p w14:paraId="38571A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7.65</w:t>
            </w:r>
          </w:p>
        </w:tc>
        <w:tc>
          <w:tcPr>
            <w:tcW w:w="0" w:type="auto"/>
            <w:vAlign w:val="center"/>
            <w:hideMark/>
          </w:tcPr>
          <w:p w14:paraId="00B2A97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3.28</w:t>
            </w:r>
          </w:p>
        </w:tc>
        <w:tc>
          <w:tcPr>
            <w:tcW w:w="0" w:type="auto"/>
            <w:vAlign w:val="center"/>
            <w:hideMark/>
          </w:tcPr>
          <w:p w14:paraId="611CCA8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2.31</w:t>
            </w:r>
          </w:p>
        </w:tc>
        <w:tc>
          <w:tcPr>
            <w:tcW w:w="0" w:type="auto"/>
            <w:vAlign w:val="center"/>
            <w:hideMark/>
          </w:tcPr>
          <w:p w14:paraId="28922D4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6.34</w:t>
            </w:r>
          </w:p>
        </w:tc>
      </w:tr>
      <w:tr w:rsidR="007E1418" w:rsidRPr="007E1418" w14:paraId="5637D0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D459E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6389C02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369E15F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1.74</w:t>
            </w:r>
          </w:p>
        </w:tc>
        <w:tc>
          <w:tcPr>
            <w:tcW w:w="0" w:type="auto"/>
            <w:vAlign w:val="center"/>
            <w:hideMark/>
          </w:tcPr>
          <w:p w14:paraId="69BCED6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7.63</w:t>
            </w:r>
          </w:p>
        </w:tc>
        <w:tc>
          <w:tcPr>
            <w:tcW w:w="0" w:type="auto"/>
            <w:vAlign w:val="center"/>
            <w:hideMark/>
          </w:tcPr>
          <w:p w14:paraId="0FED933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3.20</w:t>
            </w:r>
          </w:p>
        </w:tc>
        <w:tc>
          <w:tcPr>
            <w:tcW w:w="0" w:type="auto"/>
            <w:vAlign w:val="center"/>
            <w:hideMark/>
          </w:tcPr>
          <w:p w14:paraId="2835814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2.30</w:t>
            </w:r>
          </w:p>
        </w:tc>
        <w:tc>
          <w:tcPr>
            <w:tcW w:w="0" w:type="auto"/>
            <w:vAlign w:val="center"/>
            <w:hideMark/>
          </w:tcPr>
          <w:p w14:paraId="27ADEBB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6.33</w:t>
            </w:r>
          </w:p>
        </w:tc>
      </w:tr>
      <w:tr w:rsidR="007E1418" w:rsidRPr="007E1418" w14:paraId="1A441E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391C6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4803195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14:paraId="39EF355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1.78</w:t>
            </w:r>
          </w:p>
        </w:tc>
        <w:tc>
          <w:tcPr>
            <w:tcW w:w="0" w:type="auto"/>
            <w:vAlign w:val="center"/>
            <w:hideMark/>
          </w:tcPr>
          <w:p w14:paraId="28DDCF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7.68</w:t>
            </w:r>
          </w:p>
        </w:tc>
        <w:tc>
          <w:tcPr>
            <w:tcW w:w="0" w:type="auto"/>
            <w:vAlign w:val="center"/>
            <w:hideMark/>
          </w:tcPr>
          <w:p w14:paraId="607BAD1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3.22</w:t>
            </w:r>
          </w:p>
        </w:tc>
        <w:tc>
          <w:tcPr>
            <w:tcW w:w="0" w:type="auto"/>
            <w:vAlign w:val="center"/>
            <w:hideMark/>
          </w:tcPr>
          <w:p w14:paraId="03AC55D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2.31</w:t>
            </w:r>
          </w:p>
        </w:tc>
        <w:tc>
          <w:tcPr>
            <w:tcW w:w="0" w:type="auto"/>
            <w:vAlign w:val="center"/>
            <w:hideMark/>
          </w:tcPr>
          <w:p w14:paraId="05654CE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6.35</w:t>
            </w:r>
          </w:p>
        </w:tc>
      </w:tr>
      <w:tr w:rsidR="007E1418" w:rsidRPr="007E1418" w14:paraId="7A69A75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6592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1FD7C90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14:paraId="3446BA9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1.82</w:t>
            </w:r>
          </w:p>
        </w:tc>
        <w:tc>
          <w:tcPr>
            <w:tcW w:w="0" w:type="auto"/>
            <w:vAlign w:val="center"/>
            <w:hideMark/>
          </w:tcPr>
          <w:p w14:paraId="18706E6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7.73</w:t>
            </w:r>
          </w:p>
        </w:tc>
        <w:tc>
          <w:tcPr>
            <w:tcW w:w="0" w:type="auto"/>
            <w:vAlign w:val="center"/>
            <w:hideMark/>
          </w:tcPr>
          <w:p w14:paraId="2C470B9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3.30</w:t>
            </w:r>
          </w:p>
        </w:tc>
        <w:tc>
          <w:tcPr>
            <w:tcW w:w="0" w:type="auto"/>
            <w:vAlign w:val="center"/>
            <w:hideMark/>
          </w:tcPr>
          <w:p w14:paraId="3C94EBA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2.33</w:t>
            </w:r>
          </w:p>
        </w:tc>
        <w:tc>
          <w:tcPr>
            <w:tcW w:w="0" w:type="auto"/>
            <w:vAlign w:val="center"/>
            <w:hideMark/>
          </w:tcPr>
          <w:p w14:paraId="38218EA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6.37</w:t>
            </w:r>
          </w:p>
        </w:tc>
      </w:tr>
      <w:tr w:rsidR="007E1418" w:rsidRPr="007E1418" w14:paraId="6475711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5307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7361DF5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14:paraId="0CC1BB5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1.85</w:t>
            </w:r>
          </w:p>
        </w:tc>
        <w:tc>
          <w:tcPr>
            <w:tcW w:w="0" w:type="auto"/>
            <w:vAlign w:val="center"/>
            <w:hideMark/>
          </w:tcPr>
          <w:p w14:paraId="7F3D9F7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7.78</w:t>
            </w:r>
          </w:p>
        </w:tc>
        <w:tc>
          <w:tcPr>
            <w:tcW w:w="0" w:type="auto"/>
            <w:vAlign w:val="center"/>
            <w:hideMark/>
          </w:tcPr>
          <w:p w14:paraId="7A1ACF3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3.36</w:t>
            </w:r>
          </w:p>
        </w:tc>
        <w:tc>
          <w:tcPr>
            <w:tcW w:w="0" w:type="auto"/>
            <w:vAlign w:val="center"/>
            <w:hideMark/>
          </w:tcPr>
          <w:p w14:paraId="718DA76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2.34</w:t>
            </w:r>
          </w:p>
        </w:tc>
        <w:tc>
          <w:tcPr>
            <w:tcW w:w="0" w:type="auto"/>
            <w:vAlign w:val="center"/>
            <w:hideMark/>
          </w:tcPr>
          <w:p w14:paraId="625B526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6.40</w:t>
            </w:r>
          </w:p>
        </w:tc>
      </w:tr>
      <w:tr w:rsidR="007E1418" w:rsidRPr="007E1418" w14:paraId="3A316B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7F7AB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1D9444C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2013</w:t>
            </w:r>
          </w:p>
        </w:tc>
        <w:tc>
          <w:tcPr>
            <w:tcW w:w="0" w:type="auto"/>
            <w:vAlign w:val="center"/>
            <w:hideMark/>
          </w:tcPr>
          <w:p w14:paraId="5C2069C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1.88</w:t>
            </w:r>
          </w:p>
        </w:tc>
        <w:tc>
          <w:tcPr>
            <w:tcW w:w="0" w:type="auto"/>
            <w:vAlign w:val="center"/>
            <w:hideMark/>
          </w:tcPr>
          <w:p w14:paraId="6285DF9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7.82</w:t>
            </w:r>
          </w:p>
        </w:tc>
        <w:tc>
          <w:tcPr>
            <w:tcW w:w="0" w:type="auto"/>
            <w:vAlign w:val="center"/>
            <w:hideMark/>
          </w:tcPr>
          <w:p w14:paraId="44DE77F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3.40</w:t>
            </w:r>
          </w:p>
        </w:tc>
        <w:tc>
          <w:tcPr>
            <w:tcW w:w="0" w:type="auto"/>
            <w:vAlign w:val="center"/>
            <w:hideMark/>
          </w:tcPr>
          <w:p w14:paraId="25AD4B1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2.36</w:t>
            </w:r>
          </w:p>
        </w:tc>
        <w:tc>
          <w:tcPr>
            <w:tcW w:w="0" w:type="auto"/>
            <w:vAlign w:val="center"/>
            <w:hideMark/>
          </w:tcPr>
          <w:p w14:paraId="0425D38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6.42</w:t>
            </w:r>
          </w:p>
        </w:tc>
      </w:tr>
      <w:tr w:rsidR="007E1418" w:rsidRPr="007E1418" w14:paraId="48D54AD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01EF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063F229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3F1F131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1.90</w:t>
            </w:r>
          </w:p>
        </w:tc>
        <w:tc>
          <w:tcPr>
            <w:tcW w:w="0" w:type="auto"/>
            <w:vAlign w:val="center"/>
            <w:hideMark/>
          </w:tcPr>
          <w:p w14:paraId="262CF69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7.85</w:t>
            </w:r>
          </w:p>
        </w:tc>
        <w:tc>
          <w:tcPr>
            <w:tcW w:w="0" w:type="auto"/>
            <w:vAlign w:val="center"/>
            <w:hideMark/>
          </w:tcPr>
          <w:p w14:paraId="25FD858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3.38</w:t>
            </w:r>
          </w:p>
        </w:tc>
        <w:tc>
          <w:tcPr>
            <w:tcW w:w="0" w:type="auto"/>
            <w:vAlign w:val="center"/>
            <w:hideMark/>
          </w:tcPr>
          <w:p w14:paraId="09F96BF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2.37</w:t>
            </w:r>
          </w:p>
        </w:tc>
        <w:tc>
          <w:tcPr>
            <w:tcW w:w="0" w:type="auto"/>
            <w:vAlign w:val="center"/>
            <w:hideMark/>
          </w:tcPr>
          <w:p w14:paraId="40B05C6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6.43</w:t>
            </w:r>
          </w:p>
        </w:tc>
      </w:tr>
      <w:tr w:rsidR="007E1418" w:rsidRPr="007E1418" w14:paraId="6C08CA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A5AE4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241C3AF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14:paraId="6A0E75F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1.89</w:t>
            </w:r>
          </w:p>
        </w:tc>
        <w:tc>
          <w:tcPr>
            <w:tcW w:w="0" w:type="auto"/>
            <w:vAlign w:val="center"/>
            <w:hideMark/>
          </w:tcPr>
          <w:p w14:paraId="47D0379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7.84</w:t>
            </w:r>
          </w:p>
        </w:tc>
        <w:tc>
          <w:tcPr>
            <w:tcW w:w="0" w:type="auto"/>
            <w:vAlign w:val="center"/>
            <w:hideMark/>
          </w:tcPr>
          <w:p w14:paraId="19F21BF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3.34</w:t>
            </w:r>
          </w:p>
        </w:tc>
        <w:tc>
          <w:tcPr>
            <w:tcW w:w="0" w:type="auto"/>
            <w:vAlign w:val="center"/>
            <w:hideMark/>
          </w:tcPr>
          <w:p w14:paraId="782780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2.36</w:t>
            </w:r>
          </w:p>
        </w:tc>
        <w:tc>
          <w:tcPr>
            <w:tcW w:w="0" w:type="auto"/>
            <w:vAlign w:val="center"/>
            <w:hideMark/>
          </w:tcPr>
          <w:p w14:paraId="1E743B0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6.41</w:t>
            </w:r>
          </w:p>
        </w:tc>
      </w:tr>
      <w:tr w:rsidR="007E1418" w:rsidRPr="007E1418" w14:paraId="4D7BB6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3AD2D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73B6945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14:paraId="3E657D1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1.91</w:t>
            </w:r>
          </w:p>
        </w:tc>
        <w:tc>
          <w:tcPr>
            <w:tcW w:w="0" w:type="auto"/>
            <w:vAlign w:val="center"/>
            <w:hideMark/>
          </w:tcPr>
          <w:p w14:paraId="567D7B4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7.86</w:t>
            </w:r>
          </w:p>
        </w:tc>
        <w:tc>
          <w:tcPr>
            <w:tcW w:w="0" w:type="auto"/>
            <w:vAlign w:val="center"/>
            <w:hideMark/>
          </w:tcPr>
          <w:p w14:paraId="26F03AE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3.37</w:t>
            </w:r>
          </w:p>
        </w:tc>
        <w:tc>
          <w:tcPr>
            <w:tcW w:w="0" w:type="auto"/>
            <w:vAlign w:val="center"/>
            <w:hideMark/>
          </w:tcPr>
          <w:p w14:paraId="6910620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2.37</w:t>
            </w:r>
          </w:p>
        </w:tc>
        <w:tc>
          <w:tcPr>
            <w:tcW w:w="0" w:type="auto"/>
            <w:vAlign w:val="center"/>
            <w:hideMark/>
          </w:tcPr>
          <w:p w14:paraId="348E2DB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6.43</w:t>
            </w:r>
          </w:p>
        </w:tc>
      </w:tr>
      <w:tr w:rsidR="007E1418" w:rsidRPr="007E1418" w14:paraId="7810AC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0770E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1E83F28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46FB71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1.95</w:t>
            </w:r>
          </w:p>
        </w:tc>
        <w:tc>
          <w:tcPr>
            <w:tcW w:w="0" w:type="auto"/>
            <w:vAlign w:val="center"/>
            <w:hideMark/>
          </w:tcPr>
          <w:p w14:paraId="37324A5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7.90</w:t>
            </w:r>
          </w:p>
        </w:tc>
        <w:tc>
          <w:tcPr>
            <w:tcW w:w="0" w:type="auto"/>
            <w:vAlign w:val="center"/>
            <w:hideMark/>
          </w:tcPr>
          <w:p w14:paraId="1F5A571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3.45</w:t>
            </w:r>
          </w:p>
        </w:tc>
        <w:tc>
          <w:tcPr>
            <w:tcW w:w="0" w:type="auto"/>
            <w:vAlign w:val="center"/>
            <w:hideMark/>
          </w:tcPr>
          <w:p w14:paraId="67CB569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2.38</w:t>
            </w:r>
          </w:p>
        </w:tc>
        <w:tc>
          <w:tcPr>
            <w:tcW w:w="0" w:type="auto"/>
            <w:vAlign w:val="center"/>
            <w:hideMark/>
          </w:tcPr>
          <w:p w14:paraId="7EC5746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6.45</w:t>
            </w:r>
          </w:p>
        </w:tc>
      </w:tr>
      <w:tr w:rsidR="007E1418" w:rsidRPr="007E1418" w14:paraId="3C70FB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A9285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1E7C5E4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243A96A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1.99</w:t>
            </w:r>
          </w:p>
        </w:tc>
        <w:tc>
          <w:tcPr>
            <w:tcW w:w="0" w:type="auto"/>
            <w:vAlign w:val="center"/>
            <w:hideMark/>
          </w:tcPr>
          <w:p w14:paraId="76B14C1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7.94</w:t>
            </w:r>
          </w:p>
        </w:tc>
        <w:tc>
          <w:tcPr>
            <w:tcW w:w="0" w:type="auto"/>
            <w:vAlign w:val="center"/>
            <w:hideMark/>
          </w:tcPr>
          <w:p w14:paraId="0AC20C7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3.50</w:t>
            </w:r>
          </w:p>
        </w:tc>
        <w:tc>
          <w:tcPr>
            <w:tcW w:w="0" w:type="auto"/>
            <w:vAlign w:val="center"/>
            <w:hideMark/>
          </w:tcPr>
          <w:p w14:paraId="5165FF5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2.39</w:t>
            </w:r>
          </w:p>
        </w:tc>
        <w:tc>
          <w:tcPr>
            <w:tcW w:w="0" w:type="auto"/>
            <w:vAlign w:val="center"/>
            <w:hideMark/>
          </w:tcPr>
          <w:p w14:paraId="51015D9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6.47</w:t>
            </w:r>
          </w:p>
        </w:tc>
      </w:tr>
      <w:tr w:rsidR="007E1418" w:rsidRPr="007E1418" w14:paraId="4E74AB7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6FD7F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3EBD2D5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14:paraId="7A806FA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2.03</w:t>
            </w:r>
          </w:p>
        </w:tc>
        <w:tc>
          <w:tcPr>
            <w:tcW w:w="0" w:type="auto"/>
            <w:vAlign w:val="center"/>
            <w:hideMark/>
          </w:tcPr>
          <w:p w14:paraId="2C48B48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7.98</w:t>
            </w:r>
          </w:p>
        </w:tc>
        <w:tc>
          <w:tcPr>
            <w:tcW w:w="0" w:type="auto"/>
            <w:vAlign w:val="center"/>
            <w:hideMark/>
          </w:tcPr>
          <w:p w14:paraId="7C42B54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3.56</w:t>
            </w:r>
          </w:p>
        </w:tc>
        <w:tc>
          <w:tcPr>
            <w:tcW w:w="0" w:type="auto"/>
            <w:vAlign w:val="center"/>
            <w:hideMark/>
          </w:tcPr>
          <w:p w14:paraId="26311F8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2.40</w:t>
            </w:r>
          </w:p>
        </w:tc>
        <w:tc>
          <w:tcPr>
            <w:tcW w:w="0" w:type="auto"/>
            <w:vAlign w:val="center"/>
            <w:hideMark/>
          </w:tcPr>
          <w:p w14:paraId="4593B43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6.49</w:t>
            </w:r>
          </w:p>
        </w:tc>
      </w:tr>
      <w:tr w:rsidR="007E1418" w:rsidRPr="007E1418" w14:paraId="373C77B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E2009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353E7CD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14:paraId="394772C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2.00</w:t>
            </w:r>
          </w:p>
        </w:tc>
        <w:tc>
          <w:tcPr>
            <w:tcW w:w="0" w:type="auto"/>
            <w:vAlign w:val="center"/>
            <w:hideMark/>
          </w:tcPr>
          <w:p w14:paraId="050C45F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7.96</w:t>
            </w:r>
          </w:p>
        </w:tc>
        <w:tc>
          <w:tcPr>
            <w:tcW w:w="0" w:type="auto"/>
            <w:vAlign w:val="center"/>
            <w:hideMark/>
          </w:tcPr>
          <w:p w14:paraId="42E4FB9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3.48</w:t>
            </w:r>
          </w:p>
        </w:tc>
        <w:tc>
          <w:tcPr>
            <w:tcW w:w="0" w:type="auto"/>
            <w:vAlign w:val="center"/>
            <w:hideMark/>
          </w:tcPr>
          <w:p w14:paraId="6595523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2.39</w:t>
            </w:r>
          </w:p>
        </w:tc>
        <w:tc>
          <w:tcPr>
            <w:tcW w:w="0" w:type="auto"/>
            <w:vAlign w:val="center"/>
            <w:hideMark/>
          </w:tcPr>
          <w:p w14:paraId="2C7FA07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6.46</w:t>
            </w:r>
          </w:p>
        </w:tc>
      </w:tr>
      <w:tr w:rsidR="007E1418" w:rsidRPr="007E1418" w14:paraId="0579C9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CA341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593D83E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27F98F6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2.07</w:t>
            </w:r>
          </w:p>
        </w:tc>
        <w:tc>
          <w:tcPr>
            <w:tcW w:w="0" w:type="auto"/>
            <w:vAlign w:val="center"/>
            <w:hideMark/>
          </w:tcPr>
          <w:p w14:paraId="2BFE560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8.00</w:t>
            </w:r>
          </w:p>
        </w:tc>
        <w:tc>
          <w:tcPr>
            <w:tcW w:w="0" w:type="auto"/>
            <w:vAlign w:val="center"/>
            <w:hideMark/>
          </w:tcPr>
          <w:p w14:paraId="57362F1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3.55</w:t>
            </w:r>
          </w:p>
        </w:tc>
        <w:tc>
          <w:tcPr>
            <w:tcW w:w="0" w:type="auto"/>
            <w:vAlign w:val="center"/>
            <w:hideMark/>
          </w:tcPr>
          <w:p w14:paraId="54B87CA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2.40</w:t>
            </w:r>
          </w:p>
        </w:tc>
        <w:tc>
          <w:tcPr>
            <w:tcW w:w="0" w:type="auto"/>
            <w:vAlign w:val="center"/>
            <w:hideMark/>
          </w:tcPr>
          <w:p w14:paraId="449439C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6.48</w:t>
            </w:r>
          </w:p>
        </w:tc>
      </w:tr>
      <w:tr w:rsidR="007E1418" w:rsidRPr="007E1418" w14:paraId="5CA62CA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3A129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UZB</w:t>
            </w:r>
          </w:p>
        </w:tc>
        <w:tc>
          <w:tcPr>
            <w:tcW w:w="0" w:type="auto"/>
            <w:vAlign w:val="center"/>
            <w:hideMark/>
          </w:tcPr>
          <w:p w14:paraId="4AE8F00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654DBC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2.12</w:t>
            </w:r>
          </w:p>
        </w:tc>
        <w:tc>
          <w:tcPr>
            <w:tcW w:w="0" w:type="auto"/>
            <w:vAlign w:val="center"/>
            <w:hideMark/>
          </w:tcPr>
          <w:p w14:paraId="7236E13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8.04</w:t>
            </w:r>
          </w:p>
        </w:tc>
        <w:tc>
          <w:tcPr>
            <w:tcW w:w="0" w:type="auto"/>
            <w:vAlign w:val="center"/>
            <w:hideMark/>
          </w:tcPr>
          <w:p w14:paraId="3E6A6FF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3.60</w:t>
            </w:r>
          </w:p>
        </w:tc>
        <w:tc>
          <w:tcPr>
            <w:tcW w:w="0" w:type="auto"/>
            <w:vAlign w:val="center"/>
            <w:hideMark/>
          </w:tcPr>
          <w:p w14:paraId="14563C1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2.42</w:t>
            </w:r>
          </w:p>
        </w:tc>
        <w:tc>
          <w:tcPr>
            <w:tcW w:w="0" w:type="auto"/>
            <w:vAlign w:val="center"/>
            <w:hideMark/>
          </w:tcPr>
          <w:p w14:paraId="4B4CCEC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6.50</w:t>
            </w:r>
          </w:p>
        </w:tc>
      </w:tr>
    </w:tbl>
    <w:p w14:paraId="77E0CB26" w14:textId="77777777" w:rsid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703E42B7" w14:textId="74A84EB7" w:rsidR="007E1418" w:rsidRPr="007E1418" w:rsidRDefault="007E1418" w:rsidP="007E1418">
      <w:pPr>
        <w:rPr>
          <w:rFonts w:ascii="Times New Roman" w:hAnsi="Times New Roman" w:cs="Times New Roman"/>
          <w:lang w:val="ru-KZ"/>
        </w:rPr>
      </w:pPr>
      <w:r w:rsidRPr="007E1418">
        <w:rPr>
          <w:rFonts w:ascii="Segoe UI Emoji" w:hAnsi="Segoe UI Emoji" w:cs="Segoe UI Emoji"/>
          <w:lang w:val="ru-KZ"/>
        </w:rPr>
        <w:t>🇰🇬</w:t>
      </w:r>
      <w:r w:rsidRPr="007E1418">
        <w:rPr>
          <w:rFonts w:ascii="Times New Roman" w:hAnsi="Times New Roman" w:cs="Times New Roman"/>
          <w:lang w:val="ru-KZ"/>
        </w:rPr>
        <w:t xml:space="preserve"> Кыргызстан (KGZ)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540"/>
        <w:gridCol w:w="647"/>
        <w:gridCol w:w="807"/>
        <w:gridCol w:w="714"/>
        <w:gridCol w:w="941"/>
        <w:gridCol w:w="795"/>
      </w:tblGrid>
      <w:tr w:rsidR="007E1418" w:rsidRPr="007E1418" w14:paraId="53E68FB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F9263D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4E0CDE3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14:paraId="5EB6874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71773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LnGDP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F6E4B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LnFDI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B271F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LnENPR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C9FC7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LnCO2</w:t>
            </w:r>
          </w:p>
        </w:tc>
      </w:tr>
      <w:tr w:rsidR="007E1418" w:rsidRPr="007E1418" w14:paraId="5DA72F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23FAF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32603C1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14:paraId="30ECF33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1.30</w:t>
            </w:r>
          </w:p>
        </w:tc>
        <w:tc>
          <w:tcPr>
            <w:tcW w:w="0" w:type="auto"/>
            <w:vAlign w:val="center"/>
            <w:hideMark/>
          </w:tcPr>
          <w:p w14:paraId="0D3BC18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6.85</w:t>
            </w:r>
          </w:p>
        </w:tc>
        <w:tc>
          <w:tcPr>
            <w:tcW w:w="0" w:type="auto"/>
            <w:vAlign w:val="center"/>
            <w:hideMark/>
          </w:tcPr>
          <w:p w14:paraId="487B25A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2.50</w:t>
            </w:r>
          </w:p>
        </w:tc>
        <w:tc>
          <w:tcPr>
            <w:tcW w:w="0" w:type="auto"/>
            <w:vAlign w:val="center"/>
            <w:hideMark/>
          </w:tcPr>
          <w:p w14:paraId="375FCBC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2.05</w:t>
            </w:r>
          </w:p>
        </w:tc>
        <w:tc>
          <w:tcPr>
            <w:tcW w:w="0" w:type="auto"/>
            <w:vAlign w:val="center"/>
            <w:hideMark/>
          </w:tcPr>
          <w:p w14:paraId="7118C0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5.90</w:t>
            </w:r>
          </w:p>
        </w:tc>
      </w:tr>
      <w:tr w:rsidR="007E1418" w:rsidRPr="007E1418" w14:paraId="0B6048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C729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0084762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14:paraId="74B65E8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1.31</w:t>
            </w:r>
          </w:p>
        </w:tc>
        <w:tc>
          <w:tcPr>
            <w:tcW w:w="0" w:type="auto"/>
            <w:vAlign w:val="center"/>
            <w:hideMark/>
          </w:tcPr>
          <w:p w14:paraId="135489F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6.86</w:t>
            </w:r>
          </w:p>
        </w:tc>
        <w:tc>
          <w:tcPr>
            <w:tcW w:w="0" w:type="auto"/>
            <w:vAlign w:val="center"/>
            <w:hideMark/>
          </w:tcPr>
          <w:p w14:paraId="2D3E1EA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2.52</w:t>
            </w:r>
          </w:p>
        </w:tc>
        <w:tc>
          <w:tcPr>
            <w:tcW w:w="0" w:type="auto"/>
            <w:vAlign w:val="center"/>
            <w:hideMark/>
          </w:tcPr>
          <w:p w14:paraId="432AB68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2.06</w:t>
            </w:r>
          </w:p>
        </w:tc>
        <w:tc>
          <w:tcPr>
            <w:tcW w:w="0" w:type="auto"/>
            <w:vAlign w:val="center"/>
            <w:hideMark/>
          </w:tcPr>
          <w:p w14:paraId="58A9F67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5.91</w:t>
            </w:r>
          </w:p>
        </w:tc>
      </w:tr>
      <w:tr w:rsidR="007E1418" w:rsidRPr="007E1418" w14:paraId="31130D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BFF0F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698B7B3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14:paraId="2703884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1.33</w:t>
            </w:r>
          </w:p>
        </w:tc>
        <w:tc>
          <w:tcPr>
            <w:tcW w:w="0" w:type="auto"/>
            <w:vAlign w:val="center"/>
            <w:hideMark/>
          </w:tcPr>
          <w:p w14:paraId="4D902A0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6.88</w:t>
            </w:r>
          </w:p>
        </w:tc>
        <w:tc>
          <w:tcPr>
            <w:tcW w:w="0" w:type="auto"/>
            <w:vAlign w:val="center"/>
            <w:hideMark/>
          </w:tcPr>
          <w:p w14:paraId="2EA9B37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2.55</w:t>
            </w:r>
          </w:p>
        </w:tc>
        <w:tc>
          <w:tcPr>
            <w:tcW w:w="0" w:type="auto"/>
            <w:vAlign w:val="center"/>
            <w:hideMark/>
          </w:tcPr>
          <w:p w14:paraId="3F56193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2.07</w:t>
            </w:r>
          </w:p>
        </w:tc>
        <w:tc>
          <w:tcPr>
            <w:tcW w:w="0" w:type="auto"/>
            <w:vAlign w:val="center"/>
            <w:hideMark/>
          </w:tcPr>
          <w:p w14:paraId="651350E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5.92</w:t>
            </w:r>
          </w:p>
        </w:tc>
      </w:tr>
      <w:tr w:rsidR="007E1418" w:rsidRPr="007E1418" w14:paraId="0E2EC6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07219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039F621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14:paraId="1482B87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1.34</w:t>
            </w:r>
          </w:p>
        </w:tc>
        <w:tc>
          <w:tcPr>
            <w:tcW w:w="0" w:type="auto"/>
            <w:vAlign w:val="center"/>
            <w:hideMark/>
          </w:tcPr>
          <w:p w14:paraId="75EC6CB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6.90</w:t>
            </w:r>
          </w:p>
        </w:tc>
        <w:tc>
          <w:tcPr>
            <w:tcW w:w="0" w:type="auto"/>
            <w:vAlign w:val="center"/>
            <w:hideMark/>
          </w:tcPr>
          <w:p w14:paraId="0A13E2D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2.57</w:t>
            </w:r>
          </w:p>
        </w:tc>
        <w:tc>
          <w:tcPr>
            <w:tcW w:w="0" w:type="auto"/>
            <w:vAlign w:val="center"/>
            <w:hideMark/>
          </w:tcPr>
          <w:p w14:paraId="37F1AEF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2.08</w:t>
            </w:r>
          </w:p>
        </w:tc>
        <w:tc>
          <w:tcPr>
            <w:tcW w:w="0" w:type="auto"/>
            <w:vAlign w:val="center"/>
            <w:hideMark/>
          </w:tcPr>
          <w:p w14:paraId="4DD20C4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5.93</w:t>
            </w:r>
          </w:p>
        </w:tc>
      </w:tr>
      <w:tr w:rsidR="007E1418" w:rsidRPr="007E1418" w14:paraId="59CE18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78951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33FD49C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14:paraId="17046C1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1.36</w:t>
            </w:r>
          </w:p>
        </w:tc>
        <w:tc>
          <w:tcPr>
            <w:tcW w:w="0" w:type="auto"/>
            <w:vAlign w:val="center"/>
            <w:hideMark/>
          </w:tcPr>
          <w:p w14:paraId="1FB3F13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6.92</w:t>
            </w:r>
          </w:p>
        </w:tc>
        <w:tc>
          <w:tcPr>
            <w:tcW w:w="0" w:type="auto"/>
            <w:vAlign w:val="center"/>
            <w:hideMark/>
          </w:tcPr>
          <w:p w14:paraId="553AC28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2.60</w:t>
            </w:r>
          </w:p>
        </w:tc>
        <w:tc>
          <w:tcPr>
            <w:tcW w:w="0" w:type="auto"/>
            <w:vAlign w:val="center"/>
            <w:hideMark/>
          </w:tcPr>
          <w:p w14:paraId="4A4550D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2.09</w:t>
            </w:r>
          </w:p>
        </w:tc>
        <w:tc>
          <w:tcPr>
            <w:tcW w:w="0" w:type="auto"/>
            <w:vAlign w:val="center"/>
            <w:hideMark/>
          </w:tcPr>
          <w:p w14:paraId="603B30D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5.94</w:t>
            </w:r>
          </w:p>
        </w:tc>
      </w:tr>
      <w:tr w:rsidR="007E1418" w:rsidRPr="007E1418" w14:paraId="73E78A7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9C2E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4CA24DA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14:paraId="098ACDB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1.38</w:t>
            </w:r>
          </w:p>
        </w:tc>
        <w:tc>
          <w:tcPr>
            <w:tcW w:w="0" w:type="auto"/>
            <w:vAlign w:val="center"/>
            <w:hideMark/>
          </w:tcPr>
          <w:p w14:paraId="2D021C6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6.94</w:t>
            </w:r>
          </w:p>
        </w:tc>
        <w:tc>
          <w:tcPr>
            <w:tcW w:w="0" w:type="auto"/>
            <w:vAlign w:val="center"/>
            <w:hideMark/>
          </w:tcPr>
          <w:p w14:paraId="4509579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2.62</w:t>
            </w:r>
          </w:p>
        </w:tc>
        <w:tc>
          <w:tcPr>
            <w:tcW w:w="0" w:type="auto"/>
            <w:vAlign w:val="center"/>
            <w:hideMark/>
          </w:tcPr>
          <w:p w14:paraId="12730FF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2.10</w:t>
            </w:r>
          </w:p>
        </w:tc>
        <w:tc>
          <w:tcPr>
            <w:tcW w:w="0" w:type="auto"/>
            <w:vAlign w:val="center"/>
            <w:hideMark/>
          </w:tcPr>
          <w:p w14:paraId="6337EF6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5.96</w:t>
            </w:r>
          </w:p>
        </w:tc>
      </w:tr>
      <w:tr w:rsidR="007E1418" w:rsidRPr="007E1418" w14:paraId="49A367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B71D5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4FEC877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14:paraId="4015AE4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1.40</w:t>
            </w:r>
          </w:p>
        </w:tc>
        <w:tc>
          <w:tcPr>
            <w:tcW w:w="0" w:type="auto"/>
            <w:vAlign w:val="center"/>
            <w:hideMark/>
          </w:tcPr>
          <w:p w14:paraId="1ACCCA8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6.97</w:t>
            </w:r>
          </w:p>
        </w:tc>
        <w:tc>
          <w:tcPr>
            <w:tcW w:w="0" w:type="auto"/>
            <w:vAlign w:val="center"/>
            <w:hideMark/>
          </w:tcPr>
          <w:p w14:paraId="3D81FE2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2.64</w:t>
            </w:r>
          </w:p>
        </w:tc>
        <w:tc>
          <w:tcPr>
            <w:tcW w:w="0" w:type="auto"/>
            <w:vAlign w:val="center"/>
            <w:hideMark/>
          </w:tcPr>
          <w:p w14:paraId="3F00BE1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2.11</w:t>
            </w:r>
          </w:p>
        </w:tc>
        <w:tc>
          <w:tcPr>
            <w:tcW w:w="0" w:type="auto"/>
            <w:vAlign w:val="center"/>
            <w:hideMark/>
          </w:tcPr>
          <w:p w14:paraId="1A8A607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5.97</w:t>
            </w:r>
          </w:p>
        </w:tc>
      </w:tr>
      <w:tr w:rsidR="007E1418" w:rsidRPr="007E1418" w14:paraId="2B1FE7F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0FBC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3286F1F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7DFD0B7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1.42</w:t>
            </w:r>
          </w:p>
        </w:tc>
        <w:tc>
          <w:tcPr>
            <w:tcW w:w="0" w:type="auto"/>
            <w:vAlign w:val="center"/>
            <w:hideMark/>
          </w:tcPr>
          <w:p w14:paraId="6FAE78D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6.99</w:t>
            </w:r>
          </w:p>
        </w:tc>
        <w:tc>
          <w:tcPr>
            <w:tcW w:w="0" w:type="auto"/>
            <w:vAlign w:val="center"/>
            <w:hideMark/>
          </w:tcPr>
          <w:p w14:paraId="135E1C5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2.66</w:t>
            </w:r>
          </w:p>
        </w:tc>
        <w:tc>
          <w:tcPr>
            <w:tcW w:w="0" w:type="auto"/>
            <w:vAlign w:val="center"/>
            <w:hideMark/>
          </w:tcPr>
          <w:p w14:paraId="1C71AF1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2.12</w:t>
            </w:r>
          </w:p>
        </w:tc>
        <w:tc>
          <w:tcPr>
            <w:tcW w:w="0" w:type="auto"/>
            <w:vAlign w:val="center"/>
            <w:hideMark/>
          </w:tcPr>
          <w:p w14:paraId="5056C06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5.98</w:t>
            </w:r>
          </w:p>
        </w:tc>
      </w:tr>
      <w:tr w:rsidR="007E1418" w:rsidRPr="007E1418" w14:paraId="7CB5FEF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13B41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48EFE43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14:paraId="3613DFD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1.43</w:t>
            </w:r>
          </w:p>
        </w:tc>
        <w:tc>
          <w:tcPr>
            <w:tcW w:w="0" w:type="auto"/>
            <w:vAlign w:val="center"/>
            <w:hideMark/>
          </w:tcPr>
          <w:p w14:paraId="337FFAC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7.01</w:t>
            </w:r>
          </w:p>
        </w:tc>
        <w:tc>
          <w:tcPr>
            <w:tcW w:w="0" w:type="auto"/>
            <w:vAlign w:val="center"/>
            <w:hideMark/>
          </w:tcPr>
          <w:p w14:paraId="4FC36CF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2.68</w:t>
            </w:r>
          </w:p>
        </w:tc>
        <w:tc>
          <w:tcPr>
            <w:tcW w:w="0" w:type="auto"/>
            <w:vAlign w:val="center"/>
            <w:hideMark/>
          </w:tcPr>
          <w:p w14:paraId="1737478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2.13</w:t>
            </w:r>
          </w:p>
        </w:tc>
        <w:tc>
          <w:tcPr>
            <w:tcW w:w="0" w:type="auto"/>
            <w:vAlign w:val="center"/>
            <w:hideMark/>
          </w:tcPr>
          <w:p w14:paraId="3EC0923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6.00</w:t>
            </w:r>
          </w:p>
        </w:tc>
      </w:tr>
      <w:tr w:rsidR="007E1418" w:rsidRPr="007E1418" w14:paraId="2A253E7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3A31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3F94CDA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4AA326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1.42</w:t>
            </w:r>
          </w:p>
        </w:tc>
        <w:tc>
          <w:tcPr>
            <w:tcW w:w="0" w:type="auto"/>
            <w:vAlign w:val="center"/>
            <w:hideMark/>
          </w:tcPr>
          <w:p w14:paraId="7003805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7.00</w:t>
            </w:r>
          </w:p>
        </w:tc>
        <w:tc>
          <w:tcPr>
            <w:tcW w:w="0" w:type="auto"/>
            <w:vAlign w:val="center"/>
            <w:hideMark/>
          </w:tcPr>
          <w:p w14:paraId="515EAF0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2.63</w:t>
            </w:r>
          </w:p>
        </w:tc>
        <w:tc>
          <w:tcPr>
            <w:tcW w:w="0" w:type="auto"/>
            <w:vAlign w:val="center"/>
            <w:hideMark/>
          </w:tcPr>
          <w:p w14:paraId="386D159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2.12</w:t>
            </w:r>
          </w:p>
        </w:tc>
        <w:tc>
          <w:tcPr>
            <w:tcW w:w="0" w:type="auto"/>
            <w:vAlign w:val="center"/>
            <w:hideMark/>
          </w:tcPr>
          <w:p w14:paraId="4BE1A28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5.98</w:t>
            </w:r>
          </w:p>
        </w:tc>
      </w:tr>
      <w:tr w:rsidR="007E1418" w:rsidRPr="007E1418" w14:paraId="5D2D40C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D9DC6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lastRenderedPageBreak/>
              <w:t>KGZ</w:t>
            </w:r>
          </w:p>
        </w:tc>
        <w:tc>
          <w:tcPr>
            <w:tcW w:w="0" w:type="auto"/>
            <w:vAlign w:val="center"/>
            <w:hideMark/>
          </w:tcPr>
          <w:p w14:paraId="4DEA3E3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14:paraId="2E612D6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1.45</w:t>
            </w:r>
          </w:p>
        </w:tc>
        <w:tc>
          <w:tcPr>
            <w:tcW w:w="0" w:type="auto"/>
            <w:vAlign w:val="center"/>
            <w:hideMark/>
          </w:tcPr>
          <w:p w14:paraId="611894F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7.03</w:t>
            </w:r>
          </w:p>
        </w:tc>
        <w:tc>
          <w:tcPr>
            <w:tcW w:w="0" w:type="auto"/>
            <w:vAlign w:val="center"/>
            <w:hideMark/>
          </w:tcPr>
          <w:p w14:paraId="07170CC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2.67</w:t>
            </w:r>
          </w:p>
        </w:tc>
        <w:tc>
          <w:tcPr>
            <w:tcW w:w="0" w:type="auto"/>
            <w:vAlign w:val="center"/>
            <w:hideMark/>
          </w:tcPr>
          <w:p w14:paraId="1A51708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2.13</w:t>
            </w:r>
          </w:p>
        </w:tc>
        <w:tc>
          <w:tcPr>
            <w:tcW w:w="0" w:type="auto"/>
            <w:vAlign w:val="center"/>
            <w:hideMark/>
          </w:tcPr>
          <w:p w14:paraId="4157B7A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6.00</w:t>
            </w:r>
          </w:p>
        </w:tc>
      </w:tr>
      <w:tr w:rsidR="007E1418" w:rsidRPr="007E1418" w14:paraId="749FA3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1A2A1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02CCB4F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14:paraId="0247BCC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1.47</w:t>
            </w:r>
          </w:p>
        </w:tc>
        <w:tc>
          <w:tcPr>
            <w:tcW w:w="0" w:type="auto"/>
            <w:vAlign w:val="center"/>
            <w:hideMark/>
          </w:tcPr>
          <w:p w14:paraId="1520FB1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7.05</w:t>
            </w:r>
          </w:p>
        </w:tc>
        <w:tc>
          <w:tcPr>
            <w:tcW w:w="0" w:type="auto"/>
            <w:vAlign w:val="center"/>
            <w:hideMark/>
          </w:tcPr>
          <w:p w14:paraId="2D4DEDC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2.69</w:t>
            </w:r>
          </w:p>
        </w:tc>
        <w:tc>
          <w:tcPr>
            <w:tcW w:w="0" w:type="auto"/>
            <w:vAlign w:val="center"/>
            <w:hideMark/>
          </w:tcPr>
          <w:p w14:paraId="21A6EB1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2.14</w:t>
            </w:r>
          </w:p>
        </w:tc>
        <w:tc>
          <w:tcPr>
            <w:tcW w:w="0" w:type="auto"/>
            <w:vAlign w:val="center"/>
            <w:hideMark/>
          </w:tcPr>
          <w:p w14:paraId="1B966B5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6.01</w:t>
            </w:r>
          </w:p>
        </w:tc>
      </w:tr>
      <w:tr w:rsidR="007E1418" w:rsidRPr="007E1418" w14:paraId="789214C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4670C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4861EB8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14:paraId="6F961E7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1.49</w:t>
            </w:r>
          </w:p>
        </w:tc>
        <w:tc>
          <w:tcPr>
            <w:tcW w:w="0" w:type="auto"/>
            <w:vAlign w:val="center"/>
            <w:hideMark/>
          </w:tcPr>
          <w:p w14:paraId="6D1CB04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7.08</w:t>
            </w:r>
          </w:p>
        </w:tc>
        <w:tc>
          <w:tcPr>
            <w:tcW w:w="0" w:type="auto"/>
            <w:vAlign w:val="center"/>
            <w:hideMark/>
          </w:tcPr>
          <w:p w14:paraId="00A43C7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2.72</w:t>
            </w:r>
          </w:p>
        </w:tc>
        <w:tc>
          <w:tcPr>
            <w:tcW w:w="0" w:type="auto"/>
            <w:vAlign w:val="center"/>
            <w:hideMark/>
          </w:tcPr>
          <w:p w14:paraId="37AF4CA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2.15</w:t>
            </w:r>
          </w:p>
        </w:tc>
        <w:tc>
          <w:tcPr>
            <w:tcW w:w="0" w:type="auto"/>
            <w:vAlign w:val="center"/>
            <w:hideMark/>
          </w:tcPr>
          <w:p w14:paraId="5B1CBD2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6.03</w:t>
            </w:r>
          </w:p>
        </w:tc>
      </w:tr>
      <w:tr w:rsidR="007E1418" w:rsidRPr="007E1418" w14:paraId="2E9AB5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330CC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1C7EE27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2013</w:t>
            </w:r>
          </w:p>
        </w:tc>
        <w:tc>
          <w:tcPr>
            <w:tcW w:w="0" w:type="auto"/>
            <w:vAlign w:val="center"/>
            <w:hideMark/>
          </w:tcPr>
          <w:p w14:paraId="4AC3192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1.50</w:t>
            </w:r>
          </w:p>
        </w:tc>
        <w:tc>
          <w:tcPr>
            <w:tcW w:w="0" w:type="auto"/>
            <w:vAlign w:val="center"/>
            <w:hideMark/>
          </w:tcPr>
          <w:p w14:paraId="39A95EF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7.10</w:t>
            </w:r>
          </w:p>
        </w:tc>
        <w:tc>
          <w:tcPr>
            <w:tcW w:w="0" w:type="auto"/>
            <w:vAlign w:val="center"/>
            <w:hideMark/>
          </w:tcPr>
          <w:p w14:paraId="31ACE32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2.75</w:t>
            </w:r>
          </w:p>
        </w:tc>
        <w:tc>
          <w:tcPr>
            <w:tcW w:w="0" w:type="auto"/>
            <w:vAlign w:val="center"/>
            <w:hideMark/>
          </w:tcPr>
          <w:p w14:paraId="509221B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2.16</w:t>
            </w:r>
          </w:p>
        </w:tc>
        <w:tc>
          <w:tcPr>
            <w:tcW w:w="0" w:type="auto"/>
            <w:vAlign w:val="center"/>
            <w:hideMark/>
          </w:tcPr>
          <w:p w14:paraId="112409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6.05</w:t>
            </w:r>
          </w:p>
        </w:tc>
      </w:tr>
      <w:tr w:rsidR="007E1418" w:rsidRPr="007E1418" w14:paraId="41E9C9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37B0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736C50A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1D5FFEA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1.52</w:t>
            </w:r>
          </w:p>
        </w:tc>
        <w:tc>
          <w:tcPr>
            <w:tcW w:w="0" w:type="auto"/>
            <w:vAlign w:val="center"/>
            <w:hideMark/>
          </w:tcPr>
          <w:p w14:paraId="06B8191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7.11</w:t>
            </w:r>
          </w:p>
        </w:tc>
        <w:tc>
          <w:tcPr>
            <w:tcW w:w="0" w:type="auto"/>
            <w:vAlign w:val="center"/>
            <w:hideMark/>
          </w:tcPr>
          <w:p w14:paraId="5FA66BF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2.73</w:t>
            </w:r>
          </w:p>
        </w:tc>
        <w:tc>
          <w:tcPr>
            <w:tcW w:w="0" w:type="auto"/>
            <w:vAlign w:val="center"/>
            <w:hideMark/>
          </w:tcPr>
          <w:p w14:paraId="0E8854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2.17</w:t>
            </w:r>
          </w:p>
        </w:tc>
        <w:tc>
          <w:tcPr>
            <w:tcW w:w="0" w:type="auto"/>
            <w:vAlign w:val="center"/>
            <w:hideMark/>
          </w:tcPr>
          <w:p w14:paraId="1F0FF2F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6.06</w:t>
            </w:r>
          </w:p>
        </w:tc>
      </w:tr>
      <w:tr w:rsidR="007E1418" w:rsidRPr="007E1418" w14:paraId="7CCC8E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F43FC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75403F8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14:paraId="3CD16C9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1.51</w:t>
            </w:r>
          </w:p>
        </w:tc>
        <w:tc>
          <w:tcPr>
            <w:tcW w:w="0" w:type="auto"/>
            <w:vAlign w:val="center"/>
            <w:hideMark/>
          </w:tcPr>
          <w:p w14:paraId="493FBB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7.10</w:t>
            </w:r>
          </w:p>
        </w:tc>
        <w:tc>
          <w:tcPr>
            <w:tcW w:w="0" w:type="auto"/>
            <w:vAlign w:val="center"/>
            <w:hideMark/>
          </w:tcPr>
          <w:p w14:paraId="2CFD149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2.71</w:t>
            </w:r>
          </w:p>
        </w:tc>
        <w:tc>
          <w:tcPr>
            <w:tcW w:w="0" w:type="auto"/>
            <w:vAlign w:val="center"/>
            <w:hideMark/>
          </w:tcPr>
          <w:p w14:paraId="040B3A1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2.16</w:t>
            </w:r>
          </w:p>
        </w:tc>
        <w:tc>
          <w:tcPr>
            <w:tcW w:w="0" w:type="auto"/>
            <w:vAlign w:val="center"/>
            <w:hideMark/>
          </w:tcPr>
          <w:p w14:paraId="3DBFA93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6.04</w:t>
            </w:r>
          </w:p>
        </w:tc>
      </w:tr>
      <w:tr w:rsidR="007E1418" w:rsidRPr="007E1418" w14:paraId="1397E3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767E2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32D3890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14:paraId="783D5F2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1.53</w:t>
            </w:r>
          </w:p>
        </w:tc>
        <w:tc>
          <w:tcPr>
            <w:tcW w:w="0" w:type="auto"/>
            <w:vAlign w:val="center"/>
            <w:hideMark/>
          </w:tcPr>
          <w:p w14:paraId="65778A0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7.12</w:t>
            </w:r>
          </w:p>
        </w:tc>
        <w:tc>
          <w:tcPr>
            <w:tcW w:w="0" w:type="auto"/>
            <w:vAlign w:val="center"/>
            <w:hideMark/>
          </w:tcPr>
          <w:p w14:paraId="35F6C69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2.73</w:t>
            </w:r>
          </w:p>
        </w:tc>
        <w:tc>
          <w:tcPr>
            <w:tcW w:w="0" w:type="auto"/>
            <w:vAlign w:val="center"/>
            <w:hideMark/>
          </w:tcPr>
          <w:p w14:paraId="572D9AD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2.17</w:t>
            </w:r>
          </w:p>
        </w:tc>
        <w:tc>
          <w:tcPr>
            <w:tcW w:w="0" w:type="auto"/>
            <w:vAlign w:val="center"/>
            <w:hideMark/>
          </w:tcPr>
          <w:p w14:paraId="0B994FD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6.05</w:t>
            </w:r>
          </w:p>
        </w:tc>
      </w:tr>
      <w:tr w:rsidR="007E1418" w:rsidRPr="007E1418" w14:paraId="779AB34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FEEEB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031937E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798172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1.55</w:t>
            </w:r>
          </w:p>
        </w:tc>
        <w:tc>
          <w:tcPr>
            <w:tcW w:w="0" w:type="auto"/>
            <w:vAlign w:val="center"/>
            <w:hideMark/>
          </w:tcPr>
          <w:p w14:paraId="760708F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7.15</w:t>
            </w:r>
          </w:p>
        </w:tc>
        <w:tc>
          <w:tcPr>
            <w:tcW w:w="0" w:type="auto"/>
            <w:vAlign w:val="center"/>
            <w:hideMark/>
          </w:tcPr>
          <w:p w14:paraId="06EFAEA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2.75</w:t>
            </w:r>
          </w:p>
        </w:tc>
        <w:tc>
          <w:tcPr>
            <w:tcW w:w="0" w:type="auto"/>
            <w:vAlign w:val="center"/>
            <w:hideMark/>
          </w:tcPr>
          <w:p w14:paraId="340BAB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2.18</w:t>
            </w:r>
          </w:p>
        </w:tc>
        <w:tc>
          <w:tcPr>
            <w:tcW w:w="0" w:type="auto"/>
            <w:vAlign w:val="center"/>
            <w:hideMark/>
          </w:tcPr>
          <w:p w14:paraId="3EB9C3D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6.06</w:t>
            </w:r>
          </w:p>
        </w:tc>
      </w:tr>
      <w:tr w:rsidR="007E1418" w:rsidRPr="007E1418" w14:paraId="777C3DA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DD3A3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360DF35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503C46E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1.57</w:t>
            </w:r>
          </w:p>
        </w:tc>
        <w:tc>
          <w:tcPr>
            <w:tcW w:w="0" w:type="auto"/>
            <w:vAlign w:val="center"/>
            <w:hideMark/>
          </w:tcPr>
          <w:p w14:paraId="337851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7.17</w:t>
            </w:r>
          </w:p>
        </w:tc>
        <w:tc>
          <w:tcPr>
            <w:tcW w:w="0" w:type="auto"/>
            <w:vAlign w:val="center"/>
            <w:hideMark/>
          </w:tcPr>
          <w:p w14:paraId="29E8D47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2.77</w:t>
            </w:r>
          </w:p>
        </w:tc>
        <w:tc>
          <w:tcPr>
            <w:tcW w:w="0" w:type="auto"/>
            <w:vAlign w:val="center"/>
            <w:hideMark/>
          </w:tcPr>
          <w:p w14:paraId="642AA80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2.19</w:t>
            </w:r>
          </w:p>
        </w:tc>
        <w:tc>
          <w:tcPr>
            <w:tcW w:w="0" w:type="auto"/>
            <w:vAlign w:val="center"/>
            <w:hideMark/>
          </w:tcPr>
          <w:p w14:paraId="537CD82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6.08</w:t>
            </w:r>
          </w:p>
        </w:tc>
      </w:tr>
      <w:tr w:rsidR="007E1418" w:rsidRPr="007E1418" w14:paraId="27C4F4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7384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5117674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14:paraId="09E27E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1.58</w:t>
            </w:r>
          </w:p>
        </w:tc>
        <w:tc>
          <w:tcPr>
            <w:tcW w:w="0" w:type="auto"/>
            <w:vAlign w:val="center"/>
            <w:hideMark/>
          </w:tcPr>
          <w:p w14:paraId="510FDE6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7.19</w:t>
            </w:r>
          </w:p>
        </w:tc>
        <w:tc>
          <w:tcPr>
            <w:tcW w:w="0" w:type="auto"/>
            <w:vAlign w:val="center"/>
            <w:hideMark/>
          </w:tcPr>
          <w:p w14:paraId="68D36BD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2.80</w:t>
            </w:r>
          </w:p>
        </w:tc>
        <w:tc>
          <w:tcPr>
            <w:tcW w:w="0" w:type="auto"/>
            <w:vAlign w:val="center"/>
            <w:hideMark/>
          </w:tcPr>
          <w:p w14:paraId="11DCAB7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2.20</w:t>
            </w:r>
          </w:p>
        </w:tc>
        <w:tc>
          <w:tcPr>
            <w:tcW w:w="0" w:type="auto"/>
            <w:vAlign w:val="center"/>
            <w:hideMark/>
          </w:tcPr>
          <w:p w14:paraId="59AB9D7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6.09</w:t>
            </w:r>
          </w:p>
        </w:tc>
      </w:tr>
      <w:tr w:rsidR="007E1418" w:rsidRPr="007E1418" w14:paraId="03B8877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A945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617A833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14:paraId="340876C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1.56</w:t>
            </w:r>
          </w:p>
        </w:tc>
        <w:tc>
          <w:tcPr>
            <w:tcW w:w="0" w:type="auto"/>
            <w:vAlign w:val="center"/>
            <w:hideMark/>
          </w:tcPr>
          <w:p w14:paraId="43C160B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7.17</w:t>
            </w:r>
          </w:p>
        </w:tc>
        <w:tc>
          <w:tcPr>
            <w:tcW w:w="0" w:type="auto"/>
            <w:vAlign w:val="center"/>
            <w:hideMark/>
          </w:tcPr>
          <w:p w14:paraId="6CA7738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2.75</w:t>
            </w:r>
          </w:p>
        </w:tc>
        <w:tc>
          <w:tcPr>
            <w:tcW w:w="0" w:type="auto"/>
            <w:vAlign w:val="center"/>
            <w:hideMark/>
          </w:tcPr>
          <w:p w14:paraId="6F085E0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2.19</w:t>
            </w:r>
          </w:p>
        </w:tc>
        <w:tc>
          <w:tcPr>
            <w:tcW w:w="0" w:type="auto"/>
            <w:vAlign w:val="center"/>
            <w:hideMark/>
          </w:tcPr>
          <w:p w14:paraId="2F0C3E2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6.07</w:t>
            </w:r>
          </w:p>
        </w:tc>
      </w:tr>
      <w:tr w:rsidR="007E1418" w:rsidRPr="007E1418" w14:paraId="0C87D2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32271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74127A0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03E0C5E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1.59</w:t>
            </w:r>
          </w:p>
        </w:tc>
        <w:tc>
          <w:tcPr>
            <w:tcW w:w="0" w:type="auto"/>
            <w:vAlign w:val="center"/>
            <w:hideMark/>
          </w:tcPr>
          <w:p w14:paraId="6115C4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7.20</w:t>
            </w:r>
          </w:p>
        </w:tc>
        <w:tc>
          <w:tcPr>
            <w:tcW w:w="0" w:type="auto"/>
            <w:vAlign w:val="center"/>
            <w:hideMark/>
          </w:tcPr>
          <w:p w14:paraId="1B32874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2.78</w:t>
            </w:r>
          </w:p>
        </w:tc>
        <w:tc>
          <w:tcPr>
            <w:tcW w:w="0" w:type="auto"/>
            <w:vAlign w:val="center"/>
            <w:hideMark/>
          </w:tcPr>
          <w:p w14:paraId="7C7CB48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2.20</w:t>
            </w:r>
          </w:p>
        </w:tc>
        <w:tc>
          <w:tcPr>
            <w:tcW w:w="0" w:type="auto"/>
            <w:vAlign w:val="center"/>
            <w:hideMark/>
          </w:tcPr>
          <w:p w14:paraId="5726F4B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6.09</w:t>
            </w:r>
          </w:p>
        </w:tc>
      </w:tr>
      <w:tr w:rsidR="007E1418" w:rsidRPr="007E1418" w14:paraId="4B22D8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900D9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KGZ</w:t>
            </w:r>
          </w:p>
        </w:tc>
        <w:tc>
          <w:tcPr>
            <w:tcW w:w="0" w:type="auto"/>
            <w:vAlign w:val="center"/>
            <w:hideMark/>
          </w:tcPr>
          <w:p w14:paraId="1E6607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4B2E922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1.62</w:t>
            </w:r>
          </w:p>
        </w:tc>
        <w:tc>
          <w:tcPr>
            <w:tcW w:w="0" w:type="auto"/>
            <w:vAlign w:val="center"/>
            <w:hideMark/>
          </w:tcPr>
          <w:p w14:paraId="54A9DA9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7.22</w:t>
            </w:r>
          </w:p>
        </w:tc>
        <w:tc>
          <w:tcPr>
            <w:tcW w:w="0" w:type="auto"/>
            <w:vAlign w:val="center"/>
            <w:hideMark/>
          </w:tcPr>
          <w:p w14:paraId="133335A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2.82</w:t>
            </w:r>
          </w:p>
        </w:tc>
        <w:tc>
          <w:tcPr>
            <w:tcW w:w="0" w:type="auto"/>
            <w:vAlign w:val="center"/>
            <w:hideMark/>
          </w:tcPr>
          <w:p w14:paraId="2E9D67D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2.21</w:t>
            </w:r>
          </w:p>
        </w:tc>
        <w:tc>
          <w:tcPr>
            <w:tcW w:w="0" w:type="auto"/>
            <w:vAlign w:val="center"/>
            <w:hideMark/>
          </w:tcPr>
          <w:p w14:paraId="67A54A5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6.11</w:t>
            </w:r>
          </w:p>
        </w:tc>
      </w:tr>
    </w:tbl>
    <w:p w14:paraId="092C295A" w14:textId="77777777" w:rsid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47444376" w14:textId="7F555F0B" w:rsidR="007E1418" w:rsidRPr="007E1418" w:rsidRDefault="007E1418" w:rsidP="007E1418">
      <w:pPr>
        <w:rPr>
          <w:rFonts w:ascii="Times New Roman" w:hAnsi="Times New Roman" w:cs="Times New Roman"/>
          <w:lang w:val="ru-KZ"/>
        </w:rPr>
      </w:pPr>
      <w:r w:rsidRPr="007E1418">
        <w:rPr>
          <w:rFonts w:ascii="Segoe UI Emoji" w:hAnsi="Segoe UI Emoji" w:cs="Segoe UI Emoji"/>
          <w:lang w:val="ru-KZ"/>
        </w:rPr>
        <w:t>🇷🇺</w:t>
      </w:r>
      <w:r w:rsidRPr="007E1418">
        <w:rPr>
          <w:rFonts w:ascii="Times New Roman" w:hAnsi="Times New Roman" w:cs="Times New Roman"/>
          <w:lang w:val="ru-KZ"/>
        </w:rPr>
        <w:t xml:space="preserve"> Россия (RUS)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540"/>
        <w:gridCol w:w="647"/>
        <w:gridCol w:w="807"/>
        <w:gridCol w:w="714"/>
        <w:gridCol w:w="941"/>
        <w:gridCol w:w="795"/>
      </w:tblGrid>
      <w:tr w:rsidR="007E1418" w:rsidRPr="007E1418" w14:paraId="5E36DF73" w14:textId="77777777" w:rsidTr="007E141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DCD0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522BEF3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14:paraId="7A84339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CBD282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LnGDP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FBA9F2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LnFDI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78C1C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LnENPR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AFFAD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LnCO2</w:t>
            </w:r>
          </w:p>
        </w:tc>
      </w:tr>
      <w:tr w:rsidR="007E1418" w:rsidRPr="007E1418" w14:paraId="5D17B317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27145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48445E7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14:paraId="01E7F33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2.90</w:t>
            </w:r>
          </w:p>
        </w:tc>
        <w:tc>
          <w:tcPr>
            <w:tcW w:w="0" w:type="auto"/>
            <w:vAlign w:val="center"/>
            <w:hideMark/>
          </w:tcPr>
          <w:p w14:paraId="3A6B2B0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8.80</w:t>
            </w:r>
          </w:p>
        </w:tc>
        <w:tc>
          <w:tcPr>
            <w:tcW w:w="0" w:type="auto"/>
            <w:vAlign w:val="center"/>
            <w:hideMark/>
          </w:tcPr>
          <w:p w14:paraId="3C5D6F8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3.80</w:t>
            </w:r>
          </w:p>
        </w:tc>
        <w:tc>
          <w:tcPr>
            <w:tcW w:w="0" w:type="auto"/>
            <w:vAlign w:val="center"/>
            <w:hideMark/>
          </w:tcPr>
          <w:p w14:paraId="678D48D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2.70</w:t>
            </w:r>
          </w:p>
        </w:tc>
        <w:tc>
          <w:tcPr>
            <w:tcW w:w="0" w:type="auto"/>
            <w:vAlign w:val="center"/>
            <w:hideMark/>
          </w:tcPr>
          <w:p w14:paraId="322F568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8.60</w:t>
            </w:r>
          </w:p>
        </w:tc>
      </w:tr>
      <w:tr w:rsidR="007E1418" w:rsidRPr="007E1418" w14:paraId="5731231D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3E53B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7F1E95E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14:paraId="536AAE7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2.92</w:t>
            </w:r>
          </w:p>
        </w:tc>
        <w:tc>
          <w:tcPr>
            <w:tcW w:w="0" w:type="auto"/>
            <w:vAlign w:val="center"/>
            <w:hideMark/>
          </w:tcPr>
          <w:p w14:paraId="3EB2FCF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8.82</w:t>
            </w:r>
          </w:p>
        </w:tc>
        <w:tc>
          <w:tcPr>
            <w:tcW w:w="0" w:type="auto"/>
            <w:vAlign w:val="center"/>
            <w:hideMark/>
          </w:tcPr>
          <w:p w14:paraId="739E85D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3.82</w:t>
            </w:r>
          </w:p>
        </w:tc>
        <w:tc>
          <w:tcPr>
            <w:tcW w:w="0" w:type="auto"/>
            <w:vAlign w:val="center"/>
            <w:hideMark/>
          </w:tcPr>
          <w:p w14:paraId="238240B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2.71</w:t>
            </w:r>
          </w:p>
        </w:tc>
        <w:tc>
          <w:tcPr>
            <w:tcW w:w="0" w:type="auto"/>
            <w:vAlign w:val="center"/>
            <w:hideMark/>
          </w:tcPr>
          <w:p w14:paraId="56FA30D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8.62</w:t>
            </w:r>
          </w:p>
        </w:tc>
      </w:tr>
      <w:tr w:rsidR="007E1418" w:rsidRPr="007E1418" w14:paraId="4F27EEA4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1CFC6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5A0BF8B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14:paraId="1850B97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2.95</w:t>
            </w:r>
          </w:p>
        </w:tc>
        <w:tc>
          <w:tcPr>
            <w:tcW w:w="0" w:type="auto"/>
            <w:vAlign w:val="center"/>
            <w:hideMark/>
          </w:tcPr>
          <w:p w14:paraId="6BE85D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8.85</w:t>
            </w:r>
          </w:p>
        </w:tc>
        <w:tc>
          <w:tcPr>
            <w:tcW w:w="0" w:type="auto"/>
            <w:vAlign w:val="center"/>
            <w:hideMark/>
          </w:tcPr>
          <w:p w14:paraId="4C6A25C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3.85</w:t>
            </w:r>
          </w:p>
        </w:tc>
        <w:tc>
          <w:tcPr>
            <w:tcW w:w="0" w:type="auto"/>
            <w:vAlign w:val="center"/>
            <w:hideMark/>
          </w:tcPr>
          <w:p w14:paraId="1F38E5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2.72</w:t>
            </w:r>
          </w:p>
        </w:tc>
        <w:tc>
          <w:tcPr>
            <w:tcW w:w="0" w:type="auto"/>
            <w:vAlign w:val="center"/>
            <w:hideMark/>
          </w:tcPr>
          <w:p w14:paraId="64BD59B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8.63</w:t>
            </w:r>
          </w:p>
        </w:tc>
      </w:tr>
      <w:tr w:rsidR="007E1418" w:rsidRPr="007E1418" w14:paraId="6208D22E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FADAA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37A300A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14:paraId="035DB5A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2.98</w:t>
            </w:r>
          </w:p>
        </w:tc>
        <w:tc>
          <w:tcPr>
            <w:tcW w:w="0" w:type="auto"/>
            <w:vAlign w:val="center"/>
            <w:hideMark/>
          </w:tcPr>
          <w:p w14:paraId="3D0F9CF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8.88</w:t>
            </w:r>
          </w:p>
        </w:tc>
        <w:tc>
          <w:tcPr>
            <w:tcW w:w="0" w:type="auto"/>
            <w:vAlign w:val="center"/>
            <w:hideMark/>
          </w:tcPr>
          <w:p w14:paraId="1B0597E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3.90</w:t>
            </w:r>
          </w:p>
        </w:tc>
        <w:tc>
          <w:tcPr>
            <w:tcW w:w="0" w:type="auto"/>
            <w:vAlign w:val="center"/>
            <w:hideMark/>
          </w:tcPr>
          <w:p w14:paraId="40A07F0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2.73</w:t>
            </w:r>
          </w:p>
        </w:tc>
        <w:tc>
          <w:tcPr>
            <w:tcW w:w="0" w:type="auto"/>
            <w:vAlign w:val="center"/>
            <w:hideMark/>
          </w:tcPr>
          <w:p w14:paraId="68355B9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8.65</w:t>
            </w:r>
          </w:p>
        </w:tc>
      </w:tr>
      <w:tr w:rsidR="007E1418" w:rsidRPr="007E1418" w14:paraId="064A9126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740C6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0A0B744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14:paraId="7479750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3.03</w:t>
            </w:r>
          </w:p>
        </w:tc>
        <w:tc>
          <w:tcPr>
            <w:tcW w:w="0" w:type="auto"/>
            <w:vAlign w:val="center"/>
            <w:hideMark/>
          </w:tcPr>
          <w:p w14:paraId="728A88B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8.92</w:t>
            </w:r>
          </w:p>
        </w:tc>
        <w:tc>
          <w:tcPr>
            <w:tcW w:w="0" w:type="auto"/>
            <w:vAlign w:val="center"/>
            <w:hideMark/>
          </w:tcPr>
          <w:p w14:paraId="47AAECB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4.00</w:t>
            </w:r>
          </w:p>
        </w:tc>
        <w:tc>
          <w:tcPr>
            <w:tcW w:w="0" w:type="auto"/>
            <w:vAlign w:val="center"/>
            <w:hideMark/>
          </w:tcPr>
          <w:p w14:paraId="03479FB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2.74</w:t>
            </w:r>
          </w:p>
        </w:tc>
        <w:tc>
          <w:tcPr>
            <w:tcW w:w="0" w:type="auto"/>
            <w:vAlign w:val="center"/>
            <w:hideMark/>
          </w:tcPr>
          <w:p w14:paraId="6DC6FFA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8.67</w:t>
            </w:r>
          </w:p>
        </w:tc>
      </w:tr>
      <w:tr w:rsidR="007E1418" w:rsidRPr="007E1418" w14:paraId="1EB36D98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AF23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5AEC885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14:paraId="3F375EA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3.08</w:t>
            </w:r>
          </w:p>
        </w:tc>
        <w:tc>
          <w:tcPr>
            <w:tcW w:w="0" w:type="auto"/>
            <w:vAlign w:val="center"/>
            <w:hideMark/>
          </w:tcPr>
          <w:p w14:paraId="4A3604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8.96</w:t>
            </w:r>
          </w:p>
        </w:tc>
        <w:tc>
          <w:tcPr>
            <w:tcW w:w="0" w:type="auto"/>
            <w:vAlign w:val="center"/>
            <w:hideMark/>
          </w:tcPr>
          <w:p w14:paraId="1569D76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4.05</w:t>
            </w:r>
          </w:p>
        </w:tc>
        <w:tc>
          <w:tcPr>
            <w:tcW w:w="0" w:type="auto"/>
            <w:vAlign w:val="center"/>
            <w:hideMark/>
          </w:tcPr>
          <w:p w14:paraId="1878F8B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2.75</w:t>
            </w:r>
          </w:p>
        </w:tc>
        <w:tc>
          <w:tcPr>
            <w:tcW w:w="0" w:type="auto"/>
            <w:vAlign w:val="center"/>
            <w:hideMark/>
          </w:tcPr>
          <w:p w14:paraId="73EB233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8.70</w:t>
            </w:r>
          </w:p>
        </w:tc>
      </w:tr>
      <w:tr w:rsidR="007E1418" w:rsidRPr="007E1418" w14:paraId="1D59E7D5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802E1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247437D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14:paraId="198E072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3.12</w:t>
            </w:r>
          </w:p>
        </w:tc>
        <w:tc>
          <w:tcPr>
            <w:tcW w:w="0" w:type="auto"/>
            <w:vAlign w:val="center"/>
            <w:hideMark/>
          </w:tcPr>
          <w:p w14:paraId="78B4F57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9.00</w:t>
            </w:r>
          </w:p>
        </w:tc>
        <w:tc>
          <w:tcPr>
            <w:tcW w:w="0" w:type="auto"/>
            <w:vAlign w:val="center"/>
            <w:hideMark/>
          </w:tcPr>
          <w:p w14:paraId="513922E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4.10</w:t>
            </w:r>
          </w:p>
        </w:tc>
        <w:tc>
          <w:tcPr>
            <w:tcW w:w="0" w:type="auto"/>
            <w:vAlign w:val="center"/>
            <w:hideMark/>
          </w:tcPr>
          <w:p w14:paraId="17FCE7F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2.76</w:t>
            </w:r>
          </w:p>
        </w:tc>
        <w:tc>
          <w:tcPr>
            <w:tcW w:w="0" w:type="auto"/>
            <w:vAlign w:val="center"/>
            <w:hideMark/>
          </w:tcPr>
          <w:p w14:paraId="5C5AAAD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8.72</w:t>
            </w:r>
          </w:p>
        </w:tc>
      </w:tr>
      <w:tr w:rsidR="007E1418" w:rsidRPr="007E1418" w14:paraId="3AFF6360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1FA06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6159A14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468DF9E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3.18</w:t>
            </w:r>
          </w:p>
        </w:tc>
        <w:tc>
          <w:tcPr>
            <w:tcW w:w="0" w:type="auto"/>
            <w:vAlign w:val="center"/>
            <w:hideMark/>
          </w:tcPr>
          <w:p w14:paraId="4FB951E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9.05</w:t>
            </w:r>
          </w:p>
        </w:tc>
        <w:tc>
          <w:tcPr>
            <w:tcW w:w="0" w:type="auto"/>
            <w:vAlign w:val="center"/>
            <w:hideMark/>
          </w:tcPr>
          <w:p w14:paraId="1388319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4.18</w:t>
            </w:r>
          </w:p>
        </w:tc>
        <w:tc>
          <w:tcPr>
            <w:tcW w:w="0" w:type="auto"/>
            <w:vAlign w:val="center"/>
            <w:hideMark/>
          </w:tcPr>
          <w:p w14:paraId="6AE2139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2.77</w:t>
            </w:r>
          </w:p>
        </w:tc>
        <w:tc>
          <w:tcPr>
            <w:tcW w:w="0" w:type="auto"/>
            <w:vAlign w:val="center"/>
            <w:hideMark/>
          </w:tcPr>
          <w:p w14:paraId="7E165D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8.75</w:t>
            </w:r>
          </w:p>
        </w:tc>
      </w:tr>
      <w:tr w:rsidR="007E1418" w:rsidRPr="007E1418" w14:paraId="12B067D1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94301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3A06CB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14:paraId="31B467F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3.20</w:t>
            </w:r>
          </w:p>
        </w:tc>
        <w:tc>
          <w:tcPr>
            <w:tcW w:w="0" w:type="auto"/>
            <w:vAlign w:val="center"/>
            <w:hideMark/>
          </w:tcPr>
          <w:p w14:paraId="7104EC2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9.07</w:t>
            </w:r>
          </w:p>
        </w:tc>
        <w:tc>
          <w:tcPr>
            <w:tcW w:w="0" w:type="auto"/>
            <w:vAlign w:val="center"/>
            <w:hideMark/>
          </w:tcPr>
          <w:p w14:paraId="64E59A2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4.15</w:t>
            </w:r>
          </w:p>
        </w:tc>
        <w:tc>
          <w:tcPr>
            <w:tcW w:w="0" w:type="auto"/>
            <w:vAlign w:val="center"/>
            <w:hideMark/>
          </w:tcPr>
          <w:p w14:paraId="57584E6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2.78</w:t>
            </w:r>
          </w:p>
        </w:tc>
        <w:tc>
          <w:tcPr>
            <w:tcW w:w="0" w:type="auto"/>
            <w:vAlign w:val="center"/>
            <w:hideMark/>
          </w:tcPr>
          <w:p w14:paraId="71C44C4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8.77</w:t>
            </w:r>
          </w:p>
        </w:tc>
      </w:tr>
      <w:tr w:rsidR="007E1418" w:rsidRPr="007E1418" w14:paraId="309FC28C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8B6CC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43D9F74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1BF0FDF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3.12</w:t>
            </w:r>
          </w:p>
        </w:tc>
        <w:tc>
          <w:tcPr>
            <w:tcW w:w="0" w:type="auto"/>
            <w:vAlign w:val="center"/>
            <w:hideMark/>
          </w:tcPr>
          <w:p w14:paraId="074CDBE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8.98</w:t>
            </w:r>
          </w:p>
        </w:tc>
        <w:tc>
          <w:tcPr>
            <w:tcW w:w="0" w:type="auto"/>
            <w:vAlign w:val="center"/>
            <w:hideMark/>
          </w:tcPr>
          <w:p w14:paraId="2A9C221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3.90</w:t>
            </w:r>
          </w:p>
        </w:tc>
        <w:tc>
          <w:tcPr>
            <w:tcW w:w="0" w:type="auto"/>
            <w:vAlign w:val="center"/>
            <w:hideMark/>
          </w:tcPr>
          <w:p w14:paraId="42D41C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2.76</w:t>
            </w:r>
          </w:p>
        </w:tc>
        <w:tc>
          <w:tcPr>
            <w:tcW w:w="0" w:type="auto"/>
            <w:vAlign w:val="center"/>
            <w:hideMark/>
          </w:tcPr>
          <w:p w14:paraId="5E63AAE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8.70</w:t>
            </w:r>
          </w:p>
        </w:tc>
      </w:tr>
      <w:tr w:rsidR="007E1418" w:rsidRPr="007E1418" w14:paraId="6D7124E6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F746E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5868082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14:paraId="2A0D79F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3.17</w:t>
            </w:r>
          </w:p>
        </w:tc>
        <w:tc>
          <w:tcPr>
            <w:tcW w:w="0" w:type="auto"/>
            <w:vAlign w:val="center"/>
            <w:hideMark/>
          </w:tcPr>
          <w:p w14:paraId="620BC7C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9.03</w:t>
            </w:r>
          </w:p>
        </w:tc>
        <w:tc>
          <w:tcPr>
            <w:tcW w:w="0" w:type="auto"/>
            <w:vAlign w:val="center"/>
            <w:hideMark/>
          </w:tcPr>
          <w:p w14:paraId="78FAE93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4.05</w:t>
            </w:r>
          </w:p>
        </w:tc>
        <w:tc>
          <w:tcPr>
            <w:tcW w:w="0" w:type="auto"/>
            <w:vAlign w:val="center"/>
            <w:hideMark/>
          </w:tcPr>
          <w:p w14:paraId="4CD2B6D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2.77</w:t>
            </w:r>
          </w:p>
        </w:tc>
        <w:tc>
          <w:tcPr>
            <w:tcW w:w="0" w:type="auto"/>
            <w:vAlign w:val="center"/>
            <w:hideMark/>
          </w:tcPr>
          <w:p w14:paraId="4ABDC66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8.72</w:t>
            </w:r>
          </w:p>
        </w:tc>
      </w:tr>
      <w:tr w:rsidR="007E1418" w:rsidRPr="007E1418" w14:paraId="26FD089F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A1705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545F528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14:paraId="67EEFE1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3.23</w:t>
            </w:r>
          </w:p>
        </w:tc>
        <w:tc>
          <w:tcPr>
            <w:tcW w:w="0" w:type="auto"/>
            <w:vAlign w:val="center"/>
            <w:hideMark/>
          </w:tcPr>
          <w:p w14:paraId="5696461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9.08</w:t>
            </w:r>
          </w:p>
        </w:tc>
        <w:tc>
          <w:tcPr>
            <w:tcW w:w="0" w:type="auto"/>
            <w:vAlign w:val="center"/>
            <w:hideMark/>
          </w:tcPr>
          <w:p w14:paraId="5E0ADD3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4.10</w:t>
            </w:r>
          </w:p>
        </w:tc>
        <w:tc>
          <w:tcPr>
            <w:tcW w:w="0" w:type="auto"/>
            <w:vAlign w:val="center"/>
            <w:hideMark/>
          </w:tcPr>
          <w:p w14:paraId="61D5FF3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2.78</w:t>
            </w:r>
          </w:p>
        </w:tc>
        <w:tc>
          <w:tcPr>
            <w:tcW w:w="0" w:type="auto"/>
            <w:vAlign w:val="center"/>
            <w:hideMark/>
          </w:tcPr>
          <w:p w14:paraId="69ACD89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8.75</w:t>
            </w:r>
          </w:p>
        </w:tc>
      </w:tr>
      <w:tr w:rsidR="007E1418" w:rsidRPr="007E1418" w14:paraId="58C455F4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407C5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48EF52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14:paraId="20314FA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3.26</w:t>
            </w:r>
          </w:p>
        </w:tc>
        <w:tc>
          <w:tcPr>
            <w:tcW w:w="0" w:type="auto"/>
            <w:vAlign w:val="center"/>
            <w:hideMark/>
          </w:tcPr>
          <w:p w14:paraId="1EC8E34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9.10</w:t>
            </w:r>
          </w:p>
        </w:tc>
        <w:tc>
          <w:tcPr>
            <w:tcW w:w="0" w:type="auto"/>
            <w:vAlign w:val="center"/>
            <w:hideMark/>
          </w:tcPr>
          <w:p w14:paraId="1BC3E41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4.15</w:t>
            </w:r>
          </w:p>
        </w:tc>
        <w:tc>
          <w:tcPr>
            <w:tcW w:w="0" w:type="auto"/>
            <w:vAlign w:val="center"/>
            <w:hideMark/>
          </w:tcPr>
          <w:p w14:paraId="4511791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2.80</w:t>
            </w:r>
          </w:p>
        </w:tc>
        <w:tc>
          <w:tcPr>
            <w:tcW w:w="0" w:type="auto"/>
            <w:vAlign w:val="center"/>
            <w:hideMark/>
          </w:tcPr>
          <w:p w14:paraId="4A5FD03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8.77</w:t>
            </w:r>
          </w:p>
        </w:tc>
      </w:tr>
      <w:tr w:rsidR="007E1418" w:rsidRPr="007E1418" w14:paraId="106EE48F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22486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6140A4A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2013</w:t>
            </w:r>
          </w:p>
        </w:tc>
        <w:tc>
          <w:tcPr>
            <w:tcW w:w="0" w:type="auto"/>
            <w:vAlign w:val="center"/>
            <w:hideMark/>
          </w:tcPr>
          <w:p w14:paraId="07F9AA0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3.28</w:t>
            </w:r>
          </w:p>
        </w:tc>
        <w:tc>
          <w:tcPr>
            <w:tcW w:w="0" w:type="auto"/>
            <w:vAlign w:val="center"/>
            <w:hideMark/>
          </w:tcPr>
          <w:p w14:paraId="0FFBD49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9.11</w:t>
            </w:r>
          </w:p>
        </w:tc>
        <w:tc>
          <w:tcPr>
            <w:tcW w:w="0" w:type="auto"/>
            <w:vAlign w:val="center"/>
            <w:hideMark/>
          </w:tcPr>
          <w:p w14:paraId="4B1656E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4.18</w:t>
            </w:r>
          </w:p>
        </w:tc>
        <w:tc>
          <w:tcPr>
            <w:tcW w:w="0" w:type="auto"/>
            <w:vAlign w:val="center"/>
            <w:hideMark/>
          </w:tcPr>
          <w:p w14:paraId="330FC2E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2.81</w:t>
            </w:r>
          </w:p>
        </w:tc>
        <w:tc>
          <w:tcPr>
            <w:tcW w:w="0" w:type="auto"/>
            <w:vAlign w:val="center"/>
            <w:hideMark/>
          </w:tcPr>
          <w:p w14:paraId="7EB5684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8.79</w:t>
            </w:r>
          </w:p>
        </w:tc>
      </w:tr>
      <w:tr w:rsidR="007E1418" w:rsidRPr="007E1418" w14:paraId="7B232880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42F73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6913252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1E85A5D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3.25</w:t>
            </w:r>
          </w:p>
        </w:tc>
        <w:tc>
          <w:tcPr>
            <w:tcW w:w="0" w:type="auto"/>
            <w:vAlign w:val="center"/>
            <w:hideMark/>
          </w:tcPr>
          <w:p w14:paraId="0837B39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9.08</w:t>
            </w:r>
          </w:p>
        </w:tc>
        <w:tc>
          <w:tcPr>
            <w:tcW w:w="0" w:type="auto"/>
            <w:vAlign w:val="center"/>
            <w:hideMark/>
          </w:tcPr>
          <w:p w14:paraId="5BF1B88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4.10</w:t>
            </w:r>
          </w:p>
        </w:tc>
        <w:tc>
          <w:tcPr>
            <w:tcW w:w="0" w:type="auto"/>
            <w:vAlign w:val="center"/>
            <w:hideMark/>
          </w:tcPr>
          <w:p w14:paraId="63417CA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2.80</w:t>
            </w:r>
          </w:p>
        </w:tc>
        <w:tc>
          <w:tcPr>
            <w:tcW w:w="0" w:type="auto"/>
            <w:vAlign w:val="center"/>
            <w:hideMark/>
          </w:tcPr>
          <w:p w14:paraId="6258939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8.76</w:t>
            </w:r>
          </w:p>
        </w:tc>
      </w:tr>
      <w:tr w:rsidR="007E1418" w:rsidRPr="007E1418" w14:paraId="3C4BEC79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D5A12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34930E6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14:paraId="089BA39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3.20</w:t>
            </w:r>
          </w:p>
        </w:tc>
        <w:tc>
          <w:tcPr>
            <w:tcW w:w="0" w:type="auto"/>
            <w:vAlign w:val="center"/>
            <w:hideMark/>
          </w:tcPr>
          <w:p w14:paraId="55DE9C9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9.02</w:t>
            </w:r>
          </w:p>
        </w:tc>
        <w:tc>
          <w:tcPr>
            <w:tcW w:w="0" w:type="auto"/>
            <w:vAlign w:val="center"/>
            <w:hideMark/>
          </w:tcPr>
          <w:p w14:paraId="582AE99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4.00</w:t>
            </w:r>
          </w:p>
        </w:tc>
        <w:tc>
          <w:tcPr>
            <w:tcW w:w="0" w:type="auto"/>
            <w:vAlign w:val="center"/>
            <w:hideMark/>
          </w:tcPr>
          <w:p w14:paraId="014FDBF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2.79</w:t>
            </w:r>
          </w:p>
        </w:tc>
        <w:tc>
          <w:tcPr>
            <w:tcW w:w="0" w:type="auto"/>
            <w:vAlign w:val="center"/>
            <w:hideMark/>
          </w:tcPr>
          <w:p w14:paraId="6FB6363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8.70</w:t>
            </w:r>
          </w:p>
        </w:tc>
      </w:tr>
      <w:tr w:rsidR="007E1418" w:rsidRPr="007E1418" w14:paraId="0977661E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BBBE6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0883D36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14:paraId="4451DE6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3.22</w:t>
            </w:r>
          </w:p>
        </w:tc>
        <w:tc>
          <w:tcPr>
            <w:tcW w:w="0" w:type="auto"/>
            <w:vAlign w:val="center"/>
            <w:hideMark/>
          </w:tcPr>
          <w:p w14:paraId="13CEC46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9.04</w:t>
            </w:r>
          </w:p>
        </w:tc>
        <w:tc>
          <w:tcPr>
            <w:tcW w:w="0" w:type="auto"/>
            <w:vAlign w:val="center"/>
            <w:hideMark/>
          </w:tcPr>
          <w:p w14:paraId="7E5278B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4.02</w:t>
            </w:r>
          </w:p>
        </w:tc>
        <w:tc>
          <w:tcPr>
            <w:tcW w:w="0" w:type="auto"/>
            <w:vAlign w:val="center"/>
            <w:hideMark/>
          </w:tcPr>
          <w:p w14:paraId="3CEDECA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2.80</w:t>
            </w:r>
          </w:p>
        </w:tc>
        <w:tc>
          <w:tcPr>
            <w:tcW w:w="0" w:type="auto"/>
            <w:vAlign w:val="center"/>
            <w:hideMark/>
          </w:tcPr>
          <w:p w14:paraId="0E9BC8E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8.72</w:t>
            </w:r>
          </w:p>
        </w:tc>
      </w:tr>
      <w:tr w:rsidR="007E1418" w:rsidRPr="007E1418" w14:paraId="508B0900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954DB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2ED31D8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742098C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3.25</w:t>
            </w:r>
          </w:p>
        </w:tc>
        <w:tc>
          <w:tcPr>
            <w:tcW w:w="0" w:type="auto"/>
            <w:vAlign w:val="center"/>
            <w:hideMark/>
          </w:tcPr>
          <w:p w14:paraId="2192419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9.07</w:t>
            </w:r>
          </w:p>
        </w:tc>
        <w:tc>
          <w:tcPr>
            <w:tcW w:w="0" w:type="auto"/>
            <w:vAlign w:val="center"/>
            <w:hideMark/>
          </w:tcPr>
          <w:p w14:paraId="02EA3CE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4.05</w:t>
            </w:r>
          </w:p>
        </w:tc>
        <w:tc>
          <w:tcPr>
            <w:tcW w:w="0" w:type="auto"/>
            <w:vAlign w:val="center"/>
            <w:hideMark/>
          </w:tcPr>
          <w:p w14:paraId="6F2F52F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2.81</w:t>
            </w:r>
          </w:p>
        </w:tc>
        <w:tc>
          <w:tcPr>
            <w:tcW w:w="0" w:type="auto"/>
            <w:vAlign w:val="center"/>
            <w:hideMark/>
          </w:tcPr>
          <w:p w14:paraId="058EC0E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8.74</w:t>
            </w:r>
          </w:p>
        </w:tc>
      </w:tr>
      <w:tr w:rsidR="007E1418" w:rsidRPr="007E1418" w14:paraId="0767F26B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E52F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7369726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2F5763D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3.27</w:t>
            </w:r>
          </w:p>
        </w:tc>
        <w:tc>
          <w:tcPr>
            <w:tcW w:w="0" w:type="auto"/>
            <w:vAlign w:val="center"/>
            <w:hideMark/>
          </w:tcPr>
          <w:p w14:paraId="469EF75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9.09</w:t>
            </w:r>
          </w:p>
        </w:tc>
        <w:tc>
          <w:tcPr>
            <w:tcW w:w="0" w:type="auto"/>
            <w:vAlign w:val="center"/>
            <w:hideMark/>
          </w:tcPr>
          <w:p w14:paraId="5B84A21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4.07</w:t>
            </w:r>
          </w:p>
        </w:tc>
        <w:tc>
          <w:tcPr>
            <w:tcW w:w="0" w:type="auto"/>
            <w:vAlign w:val="center"/>
            <w:hideMark/>
          </w:tcPr>
          <w:p w14:paraId="0A4A6C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2.82</w:t>
            </w:r>
          </w:p>
        </w:tc>
        <w:tc>
          <w:tcPr>
            <w:tcW w:w="0" w:type="auto"/>
            <w:vAlign w:val="center"/>
            <w:hideMark/>
          </w:tcPr>
          <w:p w14:paraId="64435D8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8.76</w:t>
            </w:r>
          </w:p>
        </w:tc>
      </w:tr>
      <w:tr w:rsidR="007E1418" w:rsidRPr="007E1418" w14:paraId="4E93F429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CB955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522CF3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14:paraId="2180F89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3.29</w:t>
            </w:r>
          </w:p>
        </w:tc>
        <w:tc>
          <w:tcPr>
            <w:tcW w:w="0" w:type="auto"/>
            <w:vAlign w:val="center"/>
            <w:hideMark/>
          </w:tcPr>
          <w:p w14:paraId="6BCCE54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9.11</w:t>
            </w:r>
          </w:p>
        </w:tc>
        <w:tc>
          <w:tcPr>
            <w:tcW w:w="0" w:type="auto"/>
            <w:vAlign w:val="center"/>
            <w:hideMark/>
          </w:tcPr>
          <w:p w14:paraId="2E85F39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4.10</w:t>
            </w:r>
          </w:p>
        </w:tc>
        <w:tc>
          <w:tcPr>
            <w:tcW w:w="0" w:type="auto"/>
            <w:vAlign w:val="center"/>
            <w:hideMark/>
          </w:tcPr>
          <w:p w14:paraId="63DEFDA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2.83</w:t>
            </w:r>
          </w:p>
        </w:tc>
        <w:tc>
          <w:tcPr>
            <w:tcW w:w="0" w:type="auto"/>
            <w:vAlign w:val="center"/>
            <w:hideMark/>
          </w:tcPr>
          <w:p w14:paraId="7CB533D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8.78</w:t>
            </w:r>
          </w:p>
        </w:tc>
      </w:tr>
      <w:tr w:rsidR="007E1418" w:rsidRPr="007E1418" w14:paraId="56AB2516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0AB65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3F02F61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14:paraId="6FA77DD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3.22</w:t>
            </w:r>
          </w:p>
        </w:tc>
        <w:tc>
          <w:tcPr>
            <w:tcW w:w="0" w:type="auto"/>
            <w:vAlign w:val="center"/>
            <w:hideMark/>
          </w:tcPr>
          <w:p w14:paraId="07935E6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9.03</w:t>
            </w:r>
          </w:p>
        </w:tc>
        <w:tc>
          <w:tcPr>
            <w:tcW w:w="0" w:type="auto"/>
            <w:vAlign w:val="center"/>
            <w:hideMark/>
          </w:tcPr>
          <w:p w14:paraId="3B99390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3.95</w:t>
            </w:r>
          </w:p>
        </w:tc>
        <w:tc>
          <w:tcPr>
            <w:tcW w:w="0" w:type="auto"/>
            <w:vAlign w:val="center"/>
            <w:hideMark/>
          </w:tcPr>
          <w:p w14:paraId="002CE64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2.80</w:t>
            </w:r>
          </w:p>
        </w:tc>
        <w:tc>
          <w:tcPr>
            <w:tcW w:w="0" w:type="auto"/>
            <w:vAlign w:val="center"/>
            <w:hideMark/>
          </w:tcPr>
          <w:p w14:paraId="558B28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8.72</w:t>
            </w:r>
          </w:p>
        </w:tc>
      </w:tr>
      <w:tr w:rsidR="007E1418" w:rsidRPr="007E1418" w14:paraId="39123500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AA8C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59EB1C0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2B9E810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3.27</w:t>
            </w:r>
          </w:p>
        </w:tc>
        <w:tc>
          <w:tcPr>
            <w:tcW w:w="0" w:type="auto"/>
            <w:vAlign w:val="center"/>
            <w:hideMark/>
          </w:tcPr>
          <w:p w14:paraId="7AC8862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9.08</w:t>
            </w:r>
          </w:p>
        </w:tc>
        <w:tc>
          <w:tcPr>
            <w:tcW w:w="0" w:type="auto"/>
            <w:vAlign w:val="center"/>
            <w:hideMark/>
          </w:tcPr>
          <w:p w14:paraId="79CFE1E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4.02</w:t>
            </w:r>
          </w:p>
        </w:tc>
        <w:tc>
          <w:tcPr>
            <w:tcW w:w="0" w:type="auto"/>
            <w:vAlign w:val="center"/>
            <w:hideMark/>
          </w:tcPr>
          <w:p w14:paraId="371B5E3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2.82</w:t>
            </w:r>
          </w:p>
        </w:tc>
        <w:tc>
          <w:tcPr>
            <w:tcW w:w="0" w:type="auto"/>
            <w:vAlign w:val="center"/>
            <w:hideMark/>
          </w:tcPr>
          <w:p w14:paraId="2FFA86C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8.74</w:t>
            </w:r>
          </w:p>
        </w:tc>
      </w:tr>
      <w:tr w:rsidR="007E1418" w:rsidRPr="007E1418" w14:paraId="65D2EB01" w14:textId="77777777" w:rsidTr="007E141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88024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RUS</w:t>
            </w:r>
          </w:p>
        </w:tc>
        <w:tc>
          <w:tcPr>
            <w:tcW w:w="0" w:type="auto"/>
            <w:vAlign w:val="center"/>
            <w:hideMark/>
          </w:tcPr>
          <w:p w14:paraId="1ECBA6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05B3AE8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3.31</w:t>
            </w:r>
          </w:p>
        </w:tc>
        <w:tc>
          <w:tcPr>
            <w:tcW w:w="0" w:type="auto"/>
            <w:vAlign w:val="center"/>
            <w:hideMark/>
          </w:tcPr>
          <w:p w14:paraId="593BF74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9.10</w:t>
            </w:r>
          </w:p>
        </w:tc>
        <w:tc>
          <w:tcPr>
            <w:tcW w:w="0" w:type="auto"/>
            <w:vAlign w:val="center"/>
            <w:hideMark/>
          </w:tcPr>
          <w:p w14:paraId="6C8AC8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4.05</w:t>
            </w:r>
          </w:p>
        </w:tc>
        <w:tc>
          <w:tcPr>
            <w:tcW w:w="0" w:type="auto"/>
            <w:vAlign w:val="center"/>
            <w:hideMark/>
          </w:tcPr>
          <w:p w14:paraId="232EF8B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2.83</w:t>
            </w:r>
          </w:p>
        </w:tc>
        <w:tc>
          <w:tcPr>
            <w:tcW w:w="0" w:type="auto"/>
            <w:vAlign w:val="center"/>
            <w:hideMark/>
          </w:tcPr>
          <w:p w14:paraId="5C0924B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8.76</w:t>
            </w:r>
          </w:p>
        </w:tc>
      </w:tr>
    </w:tbl>
    <w:p w14:paraId="4E27940E" w14:textId="77777777" w:rsid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2C1D6587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0FBF2D10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42BCC59F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29369B53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02623E29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664DEFC9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0D9E6AA6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4A572806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06916FDE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2342589F" w14:textId="77777777" w:rsidR="007E1418" w:rsidRP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386816D2" w14:textId="77777777" w:rsidR="007E1418" w:rsidRDefault="007E1418" w:rsidP="007E1418">
      <w:pPr>
        <w:rPr>
          <w:rFonts w:ascii="Segoe UI Emoji" w:hAnsi="Segoe UI Emoji" w:cs="Segoe UI Emoji"/>
          <w:lang w:val="ru-KZ"/>
        </w:rPr>
      </w:pPr>
    </w:p>
    <w:p w14:paraId="53F2DE31" w14:textId="434E92F2" w:rsidR="007E1418" w:rsidRDefault="007E1418" w:rsidP="007E1418">
      <w:pPr>
        <w:jc w:val="right"/>
        <w:rPr>
          <w:rFonts w:ascii="Segoe UI Emoji" w:hAnsi="Segoe UI Emoji" w:cs="Segoe UI Emoji"/>
          <w:lang w:val="ru-KZ"/>
        </w:rPr>
      </w:pPr>
      <w:r>
        <w:rPr>
          <w:rFonts w:ascii="Segoe UI Emoji" w:hAnsi="Segoe UI Emoji" w:cs="Segoe UI Emoji"/>
          <w:lang w:val="ru-KZ"/>
        </w:rPr>
        <w:br w:type="textWrapping" w:clear="all"/>
      </w:r>
    </w:p>
    <w:p w14:paraId="5EFABC20" w14:textId="7F9360BB" w:rsidR="007E1418" w:rsidRPr="007E1418" w:rsidRDefault="007E1418" w:rsidP="007E1418">
      <w:pPr>
        <w:rPr>
          <w:rFonts w:ascii="Times New Roman" w:hAnsi="Times New Roman" w:cs="Times New Roman"/>
          <w:lang w:val="ru-KZ"/>
        </w:rPr>
      </w:pPr>
      <w:r w:rsidRPr="007E1418">
        <w:rPr>
          <w:rFonts w:ascii="Segoe UI Emoji" w:hAnsi="Segoe UI Emoji" w:cs="Segoe UI Emoji"/>
          <w:lang w:val="ru-KZ"/>
        </w:rPr>
        <w:lastRenderedPageBreak/>
        <w:t>🇪🇺</w:t>
      </w:r>
      <w:r w:rsidRPr="007E1418">
        <w:rPr>
          <w:rFonts w:ascii="Times New Roman" w:hAnsi="Times New Roman" w:cs="Times New Roman"/>
          <w:lang w:val="ru-KZ"/>
        </w:rPr>
        <w:t xml:space="preserve"> Европейский Союз (EU27)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540"/>
        <w:gridCol w:w="647"/>
        <w:gridCol w:w="807"/>
        <w:gridCol w:w="714"/>
        <w:gridCol w:w="941"/>
        <w:gridCol w:w="795"/>
      </w:tblGrid>
      <w:tr w:rsidR="007E1418" w:rsidRPr="007E1418" w14:paraId="3AA68B5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41006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05DF8F2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14:paraId="6C84774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DFE48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LnGDP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4E3EA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LnFDI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C61D9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proofErr w:type="spellStart"/>
            <w:r w:rsidRPr="007E1418">
              <w:rPr>
                <w:rFonts w:ascii="Times New Roman" w:hAnsi="Times New Roman" w:cs="Times New Roman"/>
                <w:lang w:val="ru-KZ"/>
              </w:rPr>
              <w:t>LnENPR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6A78B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LnCO2</w:t>
            </w:r>
          </w:p>
        </w:tc>
      </w:tr>
      <w:tr w:rsidR="007E1418" w:rsidRPr="007E1418" w14:paraId="40F8488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3BF6D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7179BAC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14:paraId="6600076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3.40</w:t>
            </w:r>
          </w:p>
        </w:tc>
        <w:tc>
          <w:tcPr>
            <w:tcW w:w="0" w:type="auto"/>
            <w:vAlign w:val="center"/>
            <w:hideMark/>
          </w:tcPr>
          <w:p w14:paraId="2A2854B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10.20</w:t>
            </w:r>
          </w:p>
        </w:tc>
        <w:tc>
          <w:tcPr>
            <w:tcW w:w="0" w:type="auto"/>
            <w:vAlign w:val="center"/>
            <w:hideMark/>
          </w:tcPr>
          <w:p w14:paraId="684755C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4.60</w:t>
            </w:r>
          </w:p>
        </w:tc>
        <w:tc>
          <w:tcPr>
            <w:tcW w:w="0" w:type="auto"/>
            <w:vAlign w:val="center"/>
            <w:hideMark/>
          </w:tcPr>
          <w:p w14:paraId="13B1ECC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3.10</w:t>
            </w:r>
          </w:p>
        </w:tc>
        <w:tc>
          <w:tcPr>
            <w:tcW w:w="0" w:type="auto"/>
            <w:vAlign w:val="center"/>
            <w:hideMark/>
          </w:tcPr>
          <w:p w14:paraId="2BD5B7C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7.80</w:t>
            </w:r>
          </w:p>
        </w:tc>
      </w:tr>
      <w:tr w:rsidR="007E1418" w:rsidRPr="007E1418" w14:paraId="55CA6A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041B5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0899DBC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14:paraId="119249B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3.42</w:t>
            </w:r>
          </w:p>
        </w:tc>
        <w:tc>
          <w:tcPr>
            <w:tcW w:w="0" w:type="auto"/>
            <w:vAlign w:val="center"/>
            <w:hideMark/>
          </w:tcPr>
          <w:p w14:paraId="3422260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10.22</w:t>
            </w:r>
          </w:p>
        </w:tc>
        <w:tc>
          <w:tcPr>
            <w:tcW w:w="0" w:type="auto"/>
            <w:vAlign w:val="center"/>
            <w:hideMark/>
          </w:tcPr>
          <w:p w14:paraId="1D19B7C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4.62</w:t>
            </w:r>
          </w:p>
        </w:tc>
        <w:tc>
          <w:tcPr>
            <w:tcW w:w="0" w:type="auto"/>
            <w:vAlign w:val="center"/>
            <w:hideMark/>
          </w:tcPr>
          <w:p w14:paraId="7EAB3F7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3.12</w:t>
            </w:r>
          </w:p>
        </w:tc>
        <w:tc>
          <w:tcPr>
            <w:tcW w:w="0" w:type="auto"/>
            <w:vAlign w:val="center"/>
            <w:hideMark/>
          </w:tcPr>
          <w:p w14:paraId="0AAE24E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7.79</w:t>
            </w:r>
          </w:p>
        </w:tc>
      </w:tr>
      <w:tr w:rsidR="007E1418" w:rsidRPr="007E1418" w14:paraId="7D1F62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6F9C0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41C2824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14:paraId="5E0DAD2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3.43</w:t>
            </w:r>
          </w:p>
        </w:tc>
        <w:tc>
          <w:tcPr>
            <w:tcW w:w="0" w:type="auto"/>
            <w:vAlign w:val="center"/>
            <w:hideMark/>
          </w:tcPr>
          <w:p w14:paraId="4DB94BB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10.23</w:t>
            </w:r>
          </w:p>
        </w:tc>
        <w:tc>
          <w:tcPr>
            <w:tcW w:w="0" w:type="auto"/>
            <w:vAlign w:val="center"/>
            <w:hideMark/>
          </w:tcPr>
          <w:p w14:paraId="589AD0C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14:paraId="46480A3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3.14</w:t>
            </w:r>
          </w:p>
        </w:tc>
        <w:tc>
          <w:tcPr>
            <w:tcW w:w="0" w:type="auto"/>
            <w:vAlign w:val="center"/>
            <w:hideMark/>
          </w:tcPr>
          <w:p w14:paraId="54BD4C2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7.78</w:t>
            </w:r>
          </w:p>
        </w:tc>
      </w:tr>
      <w:tr w:rsidR="007E1418" w:rsidRPr="007E1418" w14:paraId="3E1C2D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0E513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184EC8D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14:paraId="217C488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3.44</w:t>
            </w:r>
          </w:p>
        </w:tc>
        <w:tc>
          <w:tcPr>
            <w:tcW w:w="0" w:type="auto"/>
            <w:vAlign w:val="center"/>
            <w:hideMark/>
          </w:tcPr>
          <w:p w14:paraId="37F7747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10.24</w:t>
            </w:r>
          </w:p>
        </w:tc>
        <w:tc>
          <w:tcPr>
            <w:tcW w:w="0" w:type="auto"/>
            <w:vAlign w:val="center"/>
            <w:hideMark/>
          </w:tcPr>
          <w:p w14:paraId="2B3C5BD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4.66</w:t>
            </w:r>
          </w:p>
        </w:tc>
        <w:tc>
          <w:tcPr>
            <w:tcW w:w="0" w:type="auto"/>
            <w:vAlign w:val="center"/>
            <w:hideMark/>
          </w:tcPr>
          <w:p w14:paraId="459B1F3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3.15</w:t>
            </w:r>
          </w:p>
        </w:tc>
        <w:tc>
          <w:tcPr>
            <w:tcW w:w="0" w:type="auto"/>
            <w:vAlign w:val="center"/>
            <w:hideMark/>
          </w:tcPr>
          <w:p w14:paraId="6B08727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7.77</w:t>
            </w:r>
          </w:p>
        </w:tc>
      </w:tr>
      <w:tr w:rsidR="007E1418" w:rsidRPr="007E1418" w14:paraId="3A57034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F736E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7C016CC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14:paraId="5DB788C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3.45</w:t>
            </w:r>
          </w:p>
        </w:tc>
        <w:tc>
          <w:tcPr>
            <w:tcW w:w="0" w:type="auto"/>
            <w:vAlign w:val="center"/>
            <w:hideMark/>
          </w:tcPr>
          <w:p w14:paraId="65071CD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10.26</w:t>
            </w:r>
          </w:p>
        </w:tc>
        <w:tc>
          <w:tcPr>
            <w:tcW w:w="0" w:type="auto"/>
            <w:vAlign w:val="center"/>
            <w:hideMark/>
          </w:tcPr>
          <w:p w14:paraId="5CE99F0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4.70</w:t>
            </w:r>
          </w:p>
        </w:tc>
        <w:tc>
          <w:tcPr>
            <w:tcW w:w="0" w:type="auto"/>
            <w:vAlign w:val="center"/>
            <w:hideMark/>
          </w:tcPr>
          <w:p w14:paraId="098670E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3.16</w:t>
            </w:r>
          </w:p>
        </w:tc>
        <w:tc>
          <w:tcPr>
            <w:tcW w:w="0" w:type="auto"/>
            <w:vAlign w:val="center"/>
            <w:hideMark/>
          </w:tcPr>
          <w:p w14:paraId="05A587C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7.76</w:t>
            </w:r>
          </w:p>
        </w:tc>
      </w:tr>
      <w:tr w:rsidR="007E1418" w:rsidRPr="007E1418" w14:paraId="429D83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24E1A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1CF0B17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14:paraId="58D5AD4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3.46</w:t>
            </w:r>
          </w:p>
        </w:tc>
        <w:tc>
          <w:tcPr>
            <w:tcW w:w="0" w:type="auto"/>
            <w:vAlign w:val="center"/>
            <w:hideMark/>
          </w:tcPr>
          <w:p w14:paraId="18653E5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10.28</w:t>
            </w:r>
          </w:p>
        </w:tc>
        <w:tc>
          <w:tcPr>
            <w:tcW w:w="0" w:type="auto"/>
            <w:vAlign w:val="center"/>
            <w:hideMark/>
          </w:tcPr>
          <w:p w14:paraId="7F16006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4.72</w:t>
            </w:r>
          </w:p>
        </w:tc>
        <w:tc>
          <w:tcPr>
            <w:tcW w:w="0" w:type="auto"/>
            <w:vAlign w:val="center"/>
            <w:hideMark/>
          </w:tcPr>
          <w:p w14:paraId="0A1B277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3.17</w:t>
            </w:r>
          </w:p>
        </w:tc>
        <w:tc>
          <w:tcPr>
            <w:tcW w:w="0" w:type="auto"/>
            <w:vAlign w:val="center"/>
            <w:hideMark/>
          </w:tcPr>
          <w:p w14:paraId="4EC6FB2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7.75</w:t>
            </w:r>
          </w:p>
        </w:tc>
      </w:tr>
      <w:tr w:rsidR="007E1418" w:rsidRPr="007E1418" w14:paraId="61306BA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1DD3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3B4F3C3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14:paraId="69C642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3.47</w:t>
            </w:r>
          </w:p>
        </w:tc>
        <w:tc>
          <w:tcPr>
            <w:tcW w:w="0" w:type="auto"/>
            <w:vAlign w:val="center"/>
            <w:hideMark/>
          </w:tcPr>
          <w:p w14:paraId="76045CB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10.30</w:t>
            </w:r>
          </w:p>
        </w:tc>
        <w:tc>
          <w:tcPr>
            <w:tcW w:w="0" w:type="auto"/>
            <w:vAlign w:val="center"/>
            <w:hideMark/>
          </w:tcPr>
          <w:p w14:paraId="2065C7E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4.74</w:t>
            </w:r>
          </w:p>
        </w:tc>
        <w:tc>
          <w:tcPr>
            <w:tcW w:w="0" w:type="auto"/>
            <w:vAlign w:val="center"/>
            <w:hideMark/>
          </w:tcPr>
          <w:p w14:paraId="7BB2A04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3.18</w:t>
            </w:r>
          </w:p>
        </w:tc>
        <w:tc>
          <w:tcPr>
            <w:tcW w:w="0" w:type="auto"/>
            <w:vAlign w:val="center"/>
            <w:hideMark/>
          </w:tcPr>
          <w:p w14:paraId="0EBC19A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7.74</w:t>
            </w:r>
          </w:p>
        </w:tc>
      </w:tr>
      <w:tr w:rsidR="007E1418" w:rsidRPr="007E1418" w14:paraId="59792F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9E3BD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666B33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3995220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3.48</w:t>
            </w:r>
          </w:p>
        </w:tc>
        <w:tc>
          <w:tcPr>
            <w:tcW w:w="0" w:type="auto"/>
            <w:vAlign w:val="center"/>
            <w:hideMark/>
          </w:tcPr>
          <w:p w14:paraId="294814E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10.32</w:t>
            </w:r>
          </w:p>
        </w:tc>
        <w:tc>
          <w:tcPr>
            <w:tcW w:w="0" w:type="auto"/>
            <w:vAlign w:val="center"/>
            <w:hideMark/>
          </w:tcPr>
          <w:p w14:paraId="4D55D28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4.75</w:t>
            </w:r>
          </w:p>
        </w:tc>
        <w:tc>
          <w:tcPr>
            <w:tcW w:w="0" w:type="auto"/>
            <w:vAlign w:val="center"/>
            <w:hideMark/>
          </w:tcPr>
          <w:p w14:paraId="707985B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3.19</w:t>
            </w:r>
          </w:p>
        </w:tc>
        <w:tc>
          <w:tcPr>
            <w:tcW w:w="0" w:type="auto"/>
            <w:vAlign w:val="center"/>
            <w:hideMark/>
          </w:tcPr>
          <w:p w14:paraId="010C8C9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7.73</w:t>
            </w:r>
          </w:p>
        </w:tc>
      </w:tr>
      <w:tr w:rsidR="007E1418" w:rsidRPr="007E1418" w14:paraId="5735FF7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13BA6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24E2B35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14:paraId="2806299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3.47</w:t>
            </w:r>
          </w:p>
        </w:tc>
        <w:tc>
          <w:tcPr>
            <w:tcW w:w="0" w:type="auto"/>
            <w:vAlign w:val="center"/>
            <w:hideMark/>
          </w:tcPr>
          <w:p w14:paraId="0F75F5F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10.31</w:t>
            </w:r>
          </w:p>
        </w:tc>
        <w:tc>
          <w:tcPr>
            <w:tcW w:w="0" w:type="auto"/>
            <w:vAlign w:val="center"/>
            <w:hideMark/>
          </w:tcPr>
          <w:p w14:paraId="3B6A17D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4.70</w:t>
            </w:r>
          </w:p>
        </w:tc>
        <w:tc>
          <w:tcPr>
            <w:tcW w:w="0" w:type="auto"/>
            <w:vAlign w:val="center"/>
            <w:hideMark/>
          </w:tcPr>
          <w:p w14:paraId="702075E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3.18</w:t>
            </w:r>
          </w:p>
        </w:tc>
        <w:tc>
          <w:tcPr>
            <w:tcW w:w="0" w:type="auto"/>
            <w:vAlign w:val="center"/>
            <w:hideMark/>
          </w:tcPr>
          <w:p w14:paraId="28581B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7.70</w:t>
            </w:r>
          </w:p>
        </w:tc>
      </w:tr>
      <w:tr w:rsidR="007E1418" w:rsidRPr="007E1418" w14:paraId="0BC3F7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55FA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7684509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4D142AB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3.45</w:t>
            </w:r>
          </w:p>
        </w:tc>
        <w:tc>
          <w:tcPr>
            <w:tcW w:w="0" w:type="auto"/>
            <w:vAlign w:val="center"/>
            <w:hideMark/>
          </w:tcPr>
          <w:p w14:paraId="19B7662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10.29</w:t>
            </w:r>
          </w:p>
        </w:tc>
        <w:tc>
          <w:tcPr>
            <w:tcW w:w="0" w:type="auto"/>
            <w:vAlign w:val="center"/>
            <w:hideMark/>
          </w:tcPr>
          <w:p w14:paraId="2BD6BE6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4.60</w:t>
            </w:r>
          </w:p>
        </w:tc>
        <w:tc>
          <w:tcPr>
            <w:tcW w:w="0" w:type="auto"/>
            <w:vAlign w:val="center"/>
            <w:hideMark/>
          </w:tcPr>
          <w:p w14:paraId="6854811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3.17</w:t>
            </w:r>
          </w:p>
        </w:tc>
        <w:tc>
          <w:tcPr>
            <w:tcW w:w="0" w:type="auto"/>
            <w:vAlign w:val="center"/>
            <w:hideMark/>
          </w:tcPr>
          <w:p w14:paraId="0CEA18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7.65</w:t>
            </w:r>
          </w:p>
        </w:tc>
      </w:tr>
      <w:tr w:rsidR="007E1418" w:rsidRPr="007E1418" w14:paraId="5161F0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F6339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3B25B1D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14:paraId="3023A54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3.47</w:t>
            </w:r>
          </w:p>
        </w:tc>
        <w:tc>
          <w:tcPr>
            <w:tcW w:w="0" w:type="auto"/>
            <w:vAlign w:val="center"/>
            <w:hideMark/>
          </w:tcPr>
          <w:p w14:paraId="62883C0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10.31</w:t>
            </w:r>
          </w:p>
        </w:tc>
        <w:tc>
          <w:tcPr>
            <w:tcW w:w="0" w:type="auto"/>
            <w:vAlign w:val="center"/>
            <w:hideMark/>
          </w:tcPr>
          <w:p w14:paraId="1F74C5D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4.65</w:t>
            </w:r>
          </w:p>
        </w:tc>
        <w:tc>
          <w:tcPr>
            <w:tcW w:w="0" w:type="auto"/>
            <w:vAlign w:val="center"/>
            <w:hideMark/>
          </w:tcPr>
          <w:p w14:paraId="5DD5CFD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3.18</w:t>
            </w:r>
          </w:p>
        </w:tc>
        <w:tc>
          <w:tcPr>
            <w:tcW w:w="0" w:type="auto"/>
            <w:vAlign w:val="center"/>
            <w:hideMark/>
          </w:tcPr>
          <w:p w14:paraId="6E947BE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7.67</w:t>
            </w:r>
          </w:p>
        </w:tc>
      </w:tr>
      <w:tr w:rsidR="007E1418" w:rsidRPr="007E1418" w14:paraId="78016B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62EF2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2F7CCDC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14:paraId="61F04B9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3.49</w:t>
            </w:r>
          </w:p>
        </w:tc>
        <w:tc>
          <w:tcPr>
            <w:tcW w:w="0" w:type="auto"/>
            <w:vAlign w:val="center"/>
            <w:hideMark/>
          </w:tcPr>
          <w:p w14:paraId="5A911EC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10.33</w:t>
            </w:r>
          </w:p>
        </w:tc>
        <w:tc>
          <w:tcPr>
            <w:tcW w:w="0" w:type="auto"/>
            <w:vAlign w:val="center"/>
            <w:hideMark/>
          </w:tcPr>
          <w:p w14:paraId="0C5664E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4.68</w:t>
            </w:r>
          </w:p>
        </w:tc>
        <w:tc>
          <w:tcPr>
            <w:tcW w:w="0" w:type="auto"/>
            <w:vAlign w:val="center"/>
            <w:hideMark/>
          </w:tcPr>
          <w:p w14:paraId="6968C22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3.20</w:t>
            </w:r>
          </w:p>
        </w:tc>
        <w:tc>
          <w:tcPr>
            <w:tcW w:w="0" w:type="auto"/>
            <w:vAlign w:val="center"/>
            <w:hideMark/>
          </w:tcPr>
          <w:p w14:paraId="72EC8D9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7.66</w:t>
            </w:r>
          </w:p>
        </w:tc>
      </w:tr>
      <w:tr w:rsidR="007E1418" w:rsidRPr="007E1418" w14:paraId="3A8C95B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91279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00A85B1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14:paraId="55BA702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3.50</w:t>
            </w:r>
          </w:p>
        </w:tc>
        <w:tc>
          <w:tcPr>
            <w:tcW w:w="0" w:type="auto"/>
            <w:vAlign w:val="center"/>
            <w:hideMark/>
          </w:tcPr>
          <w:p w14:paraId="6C6D148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10.34</w:t>
            </w:r>
          </w:p>
        </w:tc>
        <w:tc>
          <w:tcPr>
            <w:tcW w:w="0" w:type="auto"/>
            <w:vAlign w:val="center"/>
            <w:hideMark/>
          </w:tcPr>
          <w:p w14:paraId="2FB9899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4.70</w:t>
            </w:r>
          </w:p>
        </w:tc>
        <w:tc>
          <w:tcPr>
            <w:tcW w:w="0" w:type="auto"/>
            <w:vAlign w:val="center"/>
            <w:hideMark/>
          </w:tcPr>
          <w:p w14:paraId="7BE013C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3.22</w:t>
            </w:r>
          </w:p>
        </w:tc>
        <w:tc>
          <w:tcPr>
            <w:tcW w:w="0" w:type="auto"/>
            <w:vAlign w:val="center"/>
            <w:hideMark/>
          </w:tcPr>
          <w:p w14:paraId="5E63ED1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7.65</w:t>
            </w:r>
          </w:p>
        </w:tc>
      </w:tr>
      <w:tr w:rsidR="007E1418" w:rsidRPr="007E1418" w14:paraId="5F85F3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57F34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4F1BEEC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2013</w:t>
            </w:r>
          </w:p>
        </w:tc>
        <w:tc>
          <w:tcPr>
            <w:tcW w:w="0" w:type="auto"/>
            <w:vAlign w:val="center"/>
            <w:hideMark/>
          </w:tcPr>
          <w:p w14:paraId="7DA47D9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3.51</w:t>
            </w:r>
          </w:p>
        </w:tc>
        <w:tc>
          <w:tcPr>
            <w:tcW w:w="0" w:type="auto"/>
            <w:vAlign w:val="center"/>
            <w:hideMark/>
          </w:tcPr>
          <w:p w14:paraId="2A74061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10.35</w:t>
            </w:r>
          </w:p>
        </w:tc>
        <w:tc>
          <w:tcPr>
            <w:tcW w:w="0" w:type="auto"/>
            <w:vAlign w:val="center"/>
            <w:hideMark/>
          </w:tcPr>
          <w:p w14:paraId="401B802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4.72</w:t>
            </w:r>
          </w:p>
        </w:tc>
        <w:tc>
          <w:tcPr>
            <w:tcW w:w="0" w:type="auto"/>
            <w:vAlign w:val="center"/>
            <w:hideMark/>
          </w:tcPr>
          <w:p w14:paraId="7A0FDDB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3.24</w:t>
            </w:r>
          </w:p>
        </w:tc>
        <w:tc>
          <w:tcPr>
            <w:tcW w:w="0" w:type="auto"/>
            <w:vAlign w:val="center"/>
            <w:hideMark/>
          </w:tcPr>
          <w:p w14:paraId="4DB979E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7.63</w:t>
            </w:r>
          </w:p>
        </w:tc>
      </w:tr>
      <w:tr w:rsidR="007E1418" w:rsidRPr="007E1418" w14:paraId="3FA675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DC316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0A5FE81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1C58035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3.52</w:t>
            </w:r>
          </w:p>
        </w:tc>
        <w:tc>
          <w:tcPr>
            <w:tcW w:w="0" w:type="auto"/>
            <w:vAlign w:val="center"/>
            <w:hideMark/>
          </w:tcPr>
          <w:p w14:paraId="7783F40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10.36</w:t>
            </w:r>
          </w:p>
        </w:tc>
        <w:tc>
          <w:tcPr>
            <w:tcW w:w="0" w:type="auto"/>
            <w:vAlign w:val="center"/>
            <w:hideMark/>
          </w:tcPr>
          <w:p w14:paraId="1C363DF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4.74</w:t>
            </w:r>
          </w:p>
        </w:tc>
        <w:tc>
          <w:tcPr>
            <w:tcW w:w="0" w:type="auto"/>
            <w:vAlign w:val="center"/>
            <w:hideMark/>
          </w:tcPr>
          <w:p w14:paraId="67F4CD4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3.26</w:t>
            </w:r>
          </w:p>
        </w:tc>
        <w:tc>
          <w:tcPr>
            <w:tcW w:w="0" w:type="auto"/>
            <w:vAlign w:val="center"/>
            <w:hideMark/>
          </w:tcPr>
          <w:p w14:paraId="357409B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7.61</w:t>
            </w:r>
          </w:p>
        </w:tc>
      </w:tr>
      <w:tr w:rsidR="007E1418" w:rsidRPr="007E1418" w14:paraId="46FAE1E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F8463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22A9807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14:paraId="5BB25E2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3.53</w:t>
            </w:r>
          </w:p>
        </w:tc>
        <w:tc>
          <w:tcPr>
            <w:tcW w:w="0" w:type="auto"/>
            <w:vAlign w:val="center"/>
            <w:hideMark/>
          </w:tcPr>
          <w:p w14:paraId="64D1C5F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10.37</w:t>
            </w:r>
          </w:p>
        </w:tc>
        <w:tc>
          <w:tcPr>
            <w:tcW w:w="0" w:type="auto"/>
            <w:vAlign w:val="center"/>
            <w:hideMark/>
          </w:tcPr>
          <w:p w14:paraId="5EA58F5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4.75</w:t>
            </w:r>
          </w:p>
        </w:tc>
        <w:tc>
          <w:tcPr>
            <w:tcW w:w="0" w:type="auto"/>
            <w:vAlign w:val="center"/>
            <w:hideMark/>
          </w:tcPr>
          <w:p w14:paraId="1078F64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3.28</w:t>
            </w:r>
          </w:p>
        </w:tc>
        <w:tc>
          <w:tcPr>
            <w:tcW w:w="0" w:type="auto"/>
            <w:vAlign w:val="center"/>
            <w:hideMark/>
          </w:tcPr>
          <w:p w14:paraId="0B8D4E2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7.58</w:t>
            </w:r>
          </w:p>
        </w:tc>
      </w:tr>
      <w:tr w:rsidR="007E1418" w:rsidRPr="007E1418" w14:paraId="37B039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B9A20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6988CB9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14:paraId="3FF747C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3.55</w:t>
            </w:r>
          </w:p>
        </w:tc>
        <w:tc>
          <w:tcPr>
            <w:tcW w:w="0" w:type="auto"/>
            <w:vAlign w:val="center"/>
            <w:hideMark/>
          </w:tcPr>
          <w:p w14:paraId="0C899B0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10.39</w:t>
            </w:r>
          </w:p>
        </w:tc>
        <w:tc>
          <w:tcPr>
            <w:tcW w:w="0" w:type="auto"/>
            <w:vAlign w:val="center"/>
            <w:hideMark/>
          </w:tcPr>
          <w:p w14:paraId="160D071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4.78</w:t>
            </w:r>
          </w:p>
        </w:tc>
        <w:tc>
          <w:tcPr>
            <w:tcW w:w="0" w:type="auto"/>
            <w:vAlign w:val="center"/>
            <w:hideMark/>
          </w:tcPr>
          <w:p w14:paraId="0CD552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3.30</w:t>
            </w:r>
          </w:p>
        </w:tc>
        <w:tc>
          <w:tcPr>
            <w:tcW w:w="0" w:type="auto"/>
            <w:vAlign w:val="center"/>
            <w:hideMark/>
          </w:tcPr>
          <w:p w14:paraId="6EBF306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7.56</w:t>
            </w:r>
          </w:p>
        </w:tc>
      </w:tr>
      <w:tr w:rsidR="007E1418" w:rsidRPr="007E1418" w14:paraId="677C0B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8F67D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5E8E944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1EDBD34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3.57</w:t>
            </w:r>
          </w:p>
        </w:tc>
        <w:tc>
          <w:tcPr>
            <w:tcW w:w="0" w:type="auto"/>
            <w:vAlign w:val="center"/>
            <w:hideMark/>
          </w:tcPr>
          <w:p w14:paraId="7245BA1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10.41</w:t>
            </w:r>
          </w:p>
        </w:tc>
        <w:tc>
          <w:tcPr>
            <w:tcW w:w="0" w:type="auto"/>
            <w:vAlign w:val="center"/>
            <w:hideMark/>
          </w:tcPr>
          <w:p w14:paraId="7801CA8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4.80</w:t>
            </w:r>
          </w:p>
        </w:tc>
        <w:tc>
          <w:tcPr>
            <w:tcW w:w="0" w:type="auto"/>
            <w:vAlign w:val="center"/>
            <w:hideMark/>
          </w:tcPr>
          <w:p w14:paraId="77C31E0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3.31</w:t>
            </w:r>
          </w:p>
        </w:tc>
        <w:tc>
          <w:tcPr>
            <w:tcW w:w="0" w:type="auto"/>
            <w:vAlign w:val="center"/>
            <w:hideMark/>
          </w:tcPr>
          <w:p w14:paraId="1363673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7.54</w:t>
            </w:r>
          </w:p>
        </w:tc>
      </w:tr>
      <w:tr w:rsidR="007E1418" w:rsidRPr="007E1418" w14:paraId="4A2DEC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E2D74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456A41AC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18662CC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3.59</w:t>
            </w:r>
          </w:p>
        </w:tc>
        <w:tc>
          <w:tcPr>
            <w:tcW w:w="0" w:type="auto"/>
            <w:vAlign w:val="center"/>
            <w:hideMark/>
          </w:tcPr>
          <w:p w14:paraId="22D0276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10.43</w:t>
            </w:r>
          </w:p>
        </w:tc>
        <w:tc>
          <w:tcPr>
            <w:tcW w:w="0" w:type="auto"/>
            <w:vAlign w:val="center"/>
            <w:hideMark/>
          </w:tcPr>
          <w:p w14:paraId="2684903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4.82</w:t>
            </w:r>
          </w:p>
        </w:tc>
        <w:tc>
          <w:tcPr>
            <w:tcW w:w="0" w:type="auto"/>
            <w:vAlign w:val="center"/>
            <w:hideMark/>
          </w:tcPr>
          <w:p w14:paraId="469D096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3.33</w:t>
            </w:r>
          </w:p>
        </w:tc>
        <w:tc>
          <w:tcPr>
            <w:tcW w:w="0" w:type="auto"/>
            <w:vAlign w:val="center"/>
            <w:hideMark/>
          </w:tcPr>
          <w:p w14:paraId="117ED7E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7.52</w:t>
            </w:r>
          </w:p>
        </w:tc>
      </w:tr>
      <w:tr w:rsidR="007E1418" w:rsidRPr="007E1418" w14:paraId="0EB522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D79337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0F378A3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14:paraId="60BDFC4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3.60</w:t>
            </w:r>
          </w:p>
        </w:tc>
        <w:tc>
          <w:tcPr>
            <w:tcW w:w="0" w:type="auto"/>
            <w:vAlign w:val="center"/>
            <w:hideMark/>
          </w:tcPr>
          <w:p w14:paraId="73850922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10.44</w:t>
            </w:r>
          </w:p>
        </w:tc>
        <w:tc>
          <w:tcPr>
            <w:tcW w:w="0" w:type="auto"/>
            <w:vAlign w:val="center"/>
            <w:hideMark/>
          </w:tcPr>
          <w:p w14:paraId="51BC648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4.83</w:t>
            </w:r>
          </w:p>
        </w:tc>
        <w:tc>
          <w:tcPr>
            <w:tcW w:w="0" w:type="auto"/>
            <w:vAlign w:val="center"/>
            <w:hideMark/>
          </w:tcPr>
          <w:p w14:paraId="4369363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3.34</w:t>
            </w:r>
          </w:p>
        </w:tc>
        <w:tc>
          <w:tcPr>
            <w:tcW w:w="0" w:type="auto"/>
            <w:vAlign w:val="center"/>
            <w:hideMark/>
          </w:tcPr>
          <w:p w14:paraId="36524F33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7.51</w:t>
            </w:r>
          </w:p>
        </w:tc>
      </w:tr>
      <w:tr w:rsidR="007E1418" w:rsidRPr="007E1418" w14:paraId="6206CD6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F0EF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4F1D27C4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14:paraId="2C8B597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3.55</w:t>
            </w:r>
          </w:p>
        </w:tc>
        <w:tc>
          <w:tcPr>
            <w:tcW w:w="0" w:type="auto"/>
            <w:vAlign w:val="center"/>
            <w:hideMark/>
          </w:tcPr>
          <w:p w14:paraId="78F47DE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10.40</w:t>
            </w:r>
          </w:p>
        </w:tc>
        <w:tc>
          <w:tcPr>
            <w:tcW w:w="0" w:type="auto"/>
            <w:vAlign w:val="center"/>
            <w:hideMark/>
          </w:tcPr>
          <w:p w14:paraId="568EE5ED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4.70</w:t>
            </w:r>
          </w:p>
        </w:tc>
        <w:tc>
          <w:tcPr>
            <w:tcW w:w="0" w:type="auto"/>
            <w:vAlign w:val="center"/>
            <w:hideMark/>
          </w:tcPr>
          <w:p w14:paraId="43179B3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3.33</w:t>
            </w:r>
          </w:p>
        </w:tc>
        <w:tc>
          <w:tcPr>
            <w:tcW w:w="0" w:type="auto"/>
            <w:vAlign w:val="center"/>
            <w:hideMark/>
          </w:tcPr>
          <w:p w14:paraId="7BAAC9A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7.47</w:t>
            </w:r>
          </w:p>
        </w:tc>
      </w:tr>
      <w:tr w:rsidR="007E1418" w:rsidRPr="007E1418" w14:paraId="1B10449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01E79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761F6905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2E0CCFBE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3.58</w:t>
            </w:r>
          </w:p>
        </w:tc>
        <w:tc>
          <w:tcPr>
            <w:tcW w:w="0" w:type="auto"/>
            <w:vAlign w:val="center"/>
            <w:hideMark/>
          </w:tcPr>
          <w:p w14:paraId="3C8A674B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10.42</w:t>
            </w:r>
          </w:p>
        </w:tc>
        <w:tc>
          <w:tcPr>
            <w:tcW w:w="0" w:type="auto"/>
            <w:vAlign w:val="center"/>
            <w:hideMark/>
          </w:tcPr>
          <w:p w14:paraId="24A975B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4.75</w:t>
            </w:r>
          </w:p>
        </w:tc>
        <w:tc>
          <w:tcPr>
            <w:tcW w:w="0" w:type="auto"/>
            <w:vAlign w:val="center"/>
            <w:hideMark/>
          </w:tcPr>
          <w:p w14:paraId="14160D01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3.35</w:t>
            </w:r>
          </w:p>
        </w:tc>
        <w:tc>
          <w:tcPr>
            <w:tcW w:w="0" w:type="auto"/>
            <w:vAlign w:val="center"/>
            <w:hideMark/>
          </w:tcPr>
          <w:p w14:paraId="2CFDAE3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7.48</w:t>
            </w:r>
          </w:p>
        </w:tc>
      </w:tr>
      <w:tr w:rsidR="007E1418" w:rsidRPr="007E1418" w14:paraId="24FE39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238CC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EU</w:t>
            </w:r>
          </w:p>
        </w:tc>
        <w:tc>
          <w:tcPr>
            <w:tcW w:w="0" w:type="auto"/>
            <w:vAlign w:val="center"/>
            <w:hideMark/>
          </w:tcPr>
          <w:p w14:paraId="20DC6BD0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4320C2E9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3.61</w:t>
            </w:r>
          </w:p>
        </w:tc>
        <w:tc>
          <w:tcPr>
            <w:tcW w:w="0" w:type="auto"/>
            <w:vAlign w:val="center"/>
            <w:hideMark/>
          </w:tcPr>
          <w:p w14:paraId="5AE22EE6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10.45</w:t>
            </w:r>
          </w:p>
        </w:tc>
        <w:tc>
          <w:tcPr>
            <w:tcW w:w="0" w:type="auto"/>
            <w:vAlign w:val="center"/>
            <w:hideMark/>
          </w:tcPr>
          <w:p w14:paraId="322E079F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4.78</w:t>
            </w:r>
          </w:p>
        </w:tc>
        <w:tc>
          <w:tcPr>
            <w:tcW w:w="0" w:type="auto"/>
            <w:vAlign w:val="center"/>
            <w:hideMark/>
          </w:tcPr>
          <w:p w14:paraId="2AE71EFA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3.36</w:t>
            </w:r>
          </w:p>
        </w:tc>
        <w:tc>
          <w:tcPr>
            <w:tcW w:w="0" w:type="auto"/>
            <w:vAlign w:val="center"/>
            <w:hideMark/>
          </w:tcPr>
          <w:p w14:paraId="7F9C29D8" w14:textId="77777777" w:rsidR="007E1418" w:rsidRPr="007E1418" w:rsidRDefault="007E1418" w:rsidP="007E1418">
            <w:pPr>
              <w:spacing w:after="0" w:line="240" w:lineRule="auto"/>
              <w:rPr>
                <w:rFonts w:ascii="Times New Roman" w:hAnsi="Times New Roman" w:cs="Times New Roman"/>
                <w:lang w:val="ru-KZ"/>
              </w:rPr>
            </w:pPr>
            <w:r w:rsidRPr="007E1418">
              <w:rPr>
                <w:rFonts w:ascii="Times New Roman" w:hAnsi="Times New Roman" w:cs="Times New Roman"/>
                <w:lang w:val="ru-KZ"/>
              </w:rPr>
              <w:t>7.46</w:t>
            </w:r>
          </w:p>
        </w:tc>
      </w:tr>
    </w:tbl>
    <w:p w14:paraId="461A525A" w14:textId="77777777" w:rsidR="007E1418" w:rsidRPr="007E1418" w:rsidRDefault="007E1418" w:rsidP="007E1418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C9A3CC3" w14:textId="77777777" w:rsidR="007E1418" w:rsidRDefault="007E1418" w:rsidP="00C65446">
      <w:pPr>
        <w:rPr>
          <w:lang w:val="ru-RU"/>
        </w:rPr>
      </w:pPr>
    </w:p>
    <w:p w14:paraId="7F657646" w14:textId="77777777" w:rsidR="007E1418" w:rsidRPr="007E1418" w:rsidRDefault="007E1418" w:rsidP="007E1418">
      <w:pPr>
        <w:rPr>
          <w:lang w:val="ru-RU"/>
        </w:rPr>
      </w:pPr>
    </w:p>
    <w:p w14:paraId="67E388F2" w14:textId="77777777" w:rsidR="007E1418" w:rsidRPr="007E1418" w:rsidRDefault="007E1418" w:rsidP="007E1418">
      <w:pPr>
        <w:rPr>
          <w:lang w:val="ru-RU"/>
        </w:rPr>
      </w:pPr>
    </w:p>
    <w:p w14:paraId="4C5A0367" w14:textId="77777777" w:rsidR="007E1418" w:rsidRPr="007E1418" w:rsidRDefault="007E1418" w:rsidP="007E1418">
      <w:pPr>
        <w:rPr>
          <w:lang w:val="ru-RU"/>
        </w:rPr>
      </w:pPr>
    </w:p>
    <w:p w14:paraId="4E2A3236" w14:textId="77777777" w:rsidR="007E1418" w:rsidRPr="007E1418" w:rsidRDefault="007E1418" w:rsidP="007E1418">
      <w:pPr>
        <w:rPr>
          <w:lang w:val="ru-RU"/>
        </w:rPr>
      </w:pPr>
    </w:p>
    <w:p w14:paraId="64BB8472" w14:textId="77777777" w:rsidR="007E1418" w:rsidRPr="007E1418" w:rsidRDefault="007E1418" w:rsidP="007E1418">
      <w:pPr>
        <w:rPr>
          <w:lang w:val="ru-RU"/>
        </w:rPr>
      </w:pPr>
    </w:p>
    <w:p w14:paraId="6CE22678" w14:textId="77777777" w:rsidR="007E1418" w:rsidRPr="007E1418" w:rsidRDefault="007E1418" w:rsidP="007E1418">
      <w:pPr>
        <w:rPr>
          <w:lang w:val="ru-RU"/>
        </w:rPr>
      </w:pPr>
    </w:p>
    <w:p w14:paraId="59C885D3" w14:textId="77777777" w:rsidR="007E1418" w:rsidRPr="007E1418" w:rsidRDefault="007E1418" w:rsidP="007E1418">
      <w:pPr>
        <w:rPr>
          <w:lang w:val="ru-RU"/>
        </w:rPr>
      </w:pPr>
    </w:p>
    <w:p w14:paraId="590EC90E" w14:textId="77777777" w:rsidR="007E1418" w:rsidRPr="007E1418" w:rsidRDefault="007E1418" w:rsidP="007E1418">
      <w:pPr>
        <w:rPr>
          <w:lang w:val="ru-RU"/>
        </w:rPr>
      </w:pPr>
    </w:p>
    <w:p w14:paraId="76BBC30F" w14:textId="77777777" w:rsidR="007E1418" w:rsidRPr="007E1418" w:rsidRDefault="007E1418" w:rsidP="007E1418">
      <w:pPr>
        <w:jc w:val="center"/>
        <w:rPr>
          <w:lang w:val="ru-RU"/>
        </w:rPr>
      </w:pPr>
    </w:p>
    <w:sectPr w:rsidR="007E1418" w:rsidRPr="007E1418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B8EF6" w14:textId="77777777" w:rsidR="00362CDA" w:rsidRDefault="00362CDA" w:rsidP="00EC64BF">
      <w:pPr>
        <w:spacing w:after="0" w:line="240" w:lineRule="auto"/>
      </w:pPr>
      <w:r>
        <w:separator/>
      </w:r>
    </w:p>
  </w:endnote>
  <w:endnote w:type="continuationSeparator" w:id="0">
    <w:p w14:paraId="46AD5F9F" w14:textId="77777777" w:rsidR="00362CDA" w:rsidRDefault="00362CDA" w:rsidP="00EC6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185013728"/>
      <w:docPartObj>
        <w:docPartGallery w:val="Page Numbers (Bottom of Page)"/>
        <w:docPartUnique/>
      </w:docPartObj>
    </w:sdtPr>
    <w:sdtContent>
      <w:p w14:paraId="6633F1B4" w14:textId="77777777" w:rsidR="00E14263" w:rsidRPr="00D700FC" w:rsidRDefault="00E14263">
        <w:pPr>
          <w:pStyle w:val="af3"/>
          <w:jc w:val="center"/>
          <w:rPr>
            <w:rFonts w:ascii="Times New Roman" w:hAnsi="Times New Roman" w:cs="Times New Roman"/>
          </w:rPr>
        </w:pPr>
        <w:r w:rsidRPr="00D700FC">
          <w:rPr>
            <w:rFonts w:ascii="Times New Roman" w:hAnsi="Times New Roman" w:cs="Times New Roman"/>
          </w:rPr>
          <w:fldChar w:fldCharType="begin"/>
        </w:r>
        <w:r w:rsidRPr="00D700FC">
          <w:rPr>
            <w:rFonts w:ascii="Times New Roman" w:hAnsi="Times New Roman" w:cs="Times New Roman"/>
          </w:rPr>
          <w:instrText>PAGE   \* MERGEFORMAT</w:instrText>
        </w:r>
        <w:r w:rsidRPr="00D700FC">
          <w:rPr>
            <w:rFonts w:ascii="Times New Roman" w:hAnsi="Times New Roman" w:cs="Times New Roman"/>
          </w:rPr>
          <w:fldChar w:fldCharType="separate"/>
        </w:r>
        <w:r w:rsidRPr="00D700FC">
          <w:rPr>
            <w:rFonts w:ascii="Times New Roman" w:hAnsi="Times New Roman" w:cs="Times New Roman"/>
            <w:lang w:val="ru-RU"/>
          </w:rPr>
          <w:t>2</w:t>
        </w:r>
        <w:r w:rsidRPr="00D700FC">
          <w:rPr>
            <w:rFonts w:ascii="Times New Roman" w:hAnsi="Times New Roman" w:cs="Times New Roman"/>
          </w:rPr>
          <w:fldChar w:fldCharType="end"/>
        </w:r>
      </w:p>
    </w:sdtContent>
  </w:sdt>
  <w:p w14:paraId="71CC8025" w14:textId="77777777" w:rsidR="00E14263" w:rsidRDefault="00E14263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4616439"/>
      <w:docPartObj>
        <w:docPartGallery w:val="Page Numbers (Bottom of Page)"/>
        <w:docPartUnique/>
      </w:docPartObj>
    </w:sdtPr>
    <w:sdtContent>
      <w:p w14:paraId="08CCB8C3" w14:textId="77777777" w:rsidR="000E7F50" w:rsidRDefault="000E7F50">
        <w:pPr>
          <w:pStyle w:val="af3"/>
          <w:jc w:val="center"/>
        </w:pPr>
        <w:r w:rsidRPr="008A257C">
          <w:rPr>
            <w:rFonts w:ascii="Times New Roman" w:hAnsi="Times New Roman" w:cs="Times New Roman"/>
          </w:rPr>
          <w:fldChar w:fldCharType="begin"/>
        </w:r>
        <w:r w:rsidRPr="008A257C">
          <w:rPr>
            <w:rFonts w:ascii="Times New Roman" w:hAnsi="Times New Roman" w:cs="Times New Roman"/>
          </w:rPr>
          <w:instrText>PAGE   \* MERGEFORMAT</w:instrText>
        </w:r>
        <w:r w:rsidRPr="008A257C">
          <w:rPr>
            <w:rFonts w:ascii="Times New Roman" w:hAnsi="Times New Roman" w:cs="Times New Roman"/>
          </w:rPr>
          <w:fldChar w:fldCharType="separate"/>
        </w:r>
        <w:r w:rsidRPr="008A257C">
          <w:rPr>
            <w:rFonts w:ascii="Times New Roman" w:hAnsi="Times New Roman" w:cs="Times New Roman"/>
            <w:lang w:val="ru-RU"/>
          </w:rPr>
          <w:t>2</w:t>
        </w:r>
        <w:r w:rsidRPr="008A257C">
          <w:rPr>
            <w:rFonts w:ascii="Times New Roman" w:hAnsi="Times New Roman" w:cs="Times New Roman"/>
          </w:rPr>
          <w:fldChar w:fldCharType="end"/>
        </w:r>
      </w:p>
    </w:sdtContent>
  </w:sdt>
  <w:p w14:paraId="30D8B807" w14:textId="77777777" w:rsidR="000E7F50" w:rsidRDefault="000E7F50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1626459457"/>
      <w:docPartObj>
        <w:docPartGallery w:val="Page Numbers (Bottom of Page)"/>
        <w:docPartUnique/>
      </w:docPartObj>
    </w:sdtPr>
    <w:sdtContent>
      <w:p w14:paraId="0F703BE6" w14:textId="36D975C2" w:rsidR="00EC64BF" w:rsidRPr="007E1418" w:rsidRDefault="00EC64BF">
        <w:pPr>
          <w:pStyle w:val="af3"/>
          <w:jc w:val="center"/>
          <w:rPr>
            <w:rFonts w:ascii="Times New Roman" w:hAnsi="Times New Roman" w:cs="Times New Roman"/>
          </w:rPr>
        </w:pPr>
        <w:r w:rsidRPr="007E1418">
          <w:rPr>
            <w:rFonts w:ascii="Times New Roman" w:hAnsi="Times New Roman" w:cs="Times New Roman"/>
          </w:rPr>
          <w:fldChar w:fldCharType="begin"/>
        </w:r>
        <w:r w:rsidRPr="007E1418">
          <w:rPr>
            <w:rFonts w:ascii="Times New Roman" w:hAnsi="Times New Roman" w:cs="Times New Roman"/>
          </w:rPr>
          <w:instrText>PAGE   \* MERGEFORMAT</w:instrText>
        </w:r>
        <w:r w:rsidRPr="007E1418">
          <w:rPr>
            <w:rFonts w:ascii="Times New Roman" w:hAnsi="Times New Roman" w:cs="Times New Roman"/>
          </w:rPr>
          <w:fldChar w:fldCharType="separate"/>
        </w:r>
        <w:r w:rsidRPr="007E1418">
          <w:rPr>
            <w:rFonts w:ascii="Times New Roman" w:hAnsi="Times New Roman" w:cs="Times New Roman"/>
            <w:lang w:val="ru-RU"/>
          </w:rPr>
          <w:t>2</w:t>
        </w:r>
        <w:r w:rsidRPr="007E1418">
          <w:rPr>
            <w:rFonts w:ascii="Times New Roman" w:hAnsi="Times New Roman" w:cs="Times New Roman"/>
          </w:rPr>
          <w:fldChar w:fldCharType="end"/>
        </w:r>
      </w:p>
    </w:sdtContent>
  </w:sdt>
  <w:p w14:paraId="5A413B7E" w14:textId="77777777" w:rsidR="00EC64BF" w:rsidRPr="007E1418" w:rsidRDefault="00EC64BF">
    <w:pPr>
      <w:pStyle w:val="af3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E706D" w14:textId="77777777" w:rsidR="00362CDA" w:rsidRDefault="00362CDA" w:rsidP="00EC64BF">
      <w:pPr>
        <w:spacing w:after="0" w:line="240" w:lineRule="auto"/>
      </w:pPr>
      <w:r>
        <w:separator/>
      </w:r>
    </w:p>
  </w:footnote>
  <w:footnote w:type="continuationSeparator" w:id="0">
    <w:p w14:paraId="37AA6783" w14:textId="77777777" w:rsidR="00362CDA" w:rsidRDefault="00362CDA" w:rsidP="00EC6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3571"/>
    <w:multiLevelType w:val="multilevel"/>
    <w:tmpl w:val="FCD8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D6D79"/>
    <w:multiLevelType w:val="hybridMultilevel"/>
    <w:tmpl w:val="811472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406765"/>
    <w:multiLevelType w:val="hybridMultilevel"/>
    <w:tmpl w:val="811472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88F0A19"/>
    <w:multiLevelType w:val="multilevel"/>
    <w:tmpl w:val="29FE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6F26D6"/>
    <w:multiLevelType w:val="hybridMultilevel"/>
    <w:tmpl w:val="20244BB2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F05EBF"/>
    <w:multiLevelType w:val="multilevel"/>
    <w:tmpl w:val="30966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DC5A5F"/>
    <w:multiLevelType w:val="multilevel"/>
    <w:tmpl w:val="3A400E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41FD7"/>
    <w:multiLevelType w:val="multilevel"/>
    <w:tmpl w:val="88A800C2"/>
    <w:lvl w:ilvl="0">
      <w:start w:val="1"/>
      <w:numFmt w:val="bullet"/>
      <w:lvlText w:val="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E04554"/>
    <w:multiLevelType w:val="hybridMultilevel"/>
    <w:tmpl w:val="0EF4EE26"/>
    <w:lvl w:ilvl="0" w:tplc="C14035F4">
      <w:start w:val="1"/>
      <w:numFmt w:val="decimal"/>
      <w:lvlText w:val="%1)"/>
      <w:lvlJc w:val="left"/>
      <w:pPr>
        <w:ind w:left="957" w:hanging="390"/>
      </w:pPr>
      <w:rPr>
        <w:rFonts w:ascii="Times New Roman" w:hAnsi="Times New Roman" w:cs="Times New Roman" w:hint="default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0B92DE7"/>
    <w:multiLevelType w:val="multilevel"/>
    <w:tmpl w:val="69600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B32E4E"/>
    <w:multiLevelType w:val="multilevel"/>
    <w:tmpl w:val="5204BAD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1" w15:restartNumberingAfterBreak="0">
    <w:nsid w:val="13182D53"/>
    <w:multiLevelType w:val="multilevel"/>
    <w:tmpl w:val="042A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2D0EE4"/>
    <w:multiLevelType w:val="multilevel"/>
    <w:tmpl w:val="A26C85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D844B3"/>
    <w:multiLevelType w:val="multilevel"/>
    <w:tmpl w:val="7C72ACA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1BA83CF8"/>
    <w:multiLevelType w:val="hybridMultilevel"/>
    <w:tmpl w:val="7EC84D84"/>
    <w:lvl w:ilvl="0" w:tplc="115AFBAC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C6A4622"/>
    <w:multiLevelType w:val="multilevel"/>
    <w:tmpl w:val="9EF6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B4070D"/>
    <w:multiLevelType w:val="hybridMultilevel"/>
    <w:tmpl w:val="64AEC974"/>
    <w:lvl w:ilvl="0" w:tplc="723CEE0C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B86C17"/>
    <w:multiLevelType w:val="multilevel"/>
    <w:tmpl w:val="8560421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23704566"/>
    <w:multiLevelType w:val="hybridMultilevel"/>
    <w:tmpl w:val="F022D8BE"/>
    <w:lvl w:ilvl="0" w:tplc="CA4A0206">
      <w:numFmt w:val="bullet"/>
      <w:lvlText w:val=""/>
      <w:lvlJc w:val="left"/>
      <w:pPr>
        <w:ind w:left="1189" w:hanging="48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24AC11A4"/>
    <w:multiLevelType w:val="multilevel"/>
    <w:tmpl w:val="E44C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672177"/>
    <w:multiLevelType w:val="multilevel"/>
    <w:tmpl w:val="19BC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BD40C2"/>
    <w:multiLevelType w:val="multilevel"/>
    <w:tmpl w:val="9DCACF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1E6587"/>
    <w:multiLevelType w:val="hybridMultilevel"/>
    <w:tmpl w:val="2752B6C0"/>
    <w:lvl w:ilvl="0" w:tplc="4B3EFC5E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EE501C"/>
    <w:multiLevelType w:val="hybridMultilevel"/>
    <w:tmpl w:val="75548A7E"/>
    <w:lvl w:ilvl="0" w:tplc="3CBA351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ED5694C"/>
    <w:multiLevelType w:val="multilevel"/>
    <w:tmpl w:val="99D2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44612C"/>
    <w:multiLevelType w:val="multilevel"/>
    <w:tmpl w:val="27DA321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335D4407"/>
    <w:multiLevelType w:val="hybridMultilevel"/>
    <w:tmpl w:val="25D270BA"/>
    <w:lvl w:ilvl="0" w:tplc="D0C242CA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9A818C3"/>
    <w:multiLevelType w:val="multilevel"/>
    <w:tmpl w:val="9C14266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3BD76F59"/>
    <w:multiLevelType w:val="multilevel"/>
    <w:tmpl w:val="C8EA4F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084352"/>
    <w:multiLevelType w:val="multilevel"/>
    <w:tmpl w:val="5A78FF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CA24CEF"/>
    <w:multiLevelType w:val="multilevel"/>
    <w:tmpl w:val="62F0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F95FA4"/>
    <w:multiLevelType w:val="hybridMultilevel"/>
    <w:tmpl w:val="DECCEB12"/>
    <w:lvl w:ilvl="0" w:tplc="A8B00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68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BA4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784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847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2A6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22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C7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8D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1E2412E"/>
    <w:multiLevelType w:val="multilevel"/>
    <w:tmpl w:val="A8DA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2A97CF1"/>
    <w:multiLevelType w:val="multilevel"/>
    <w:tmpl w:val="53960E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71E0CF1"/>
    <w:multiLevelType w:val="multilevel"/>
    <w:tmpl w:val="3440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467A19"/>
    <w:multiLevelType w:val="multilevel"/>
    <w:tmpl w:val="B3C8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841F86"/>
    <w:multiLevelType w:val="multilevel"/>
    <w:tmpl w:val="362A57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BD31157"/>
    <w:multiLevelType w:val="multilevel"/>
    <w:tmpl w:val="45BEE2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C355FDB"/>
    <w:multiLevelType w:val="multilevel"/>
    <w:tmpl w:val="5184C5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610A62"/>
    <w:multiLevelType w:val="multilevel"/>
    <w:tmpl w:val="8196DF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2A24BC6"/>
    <w:multiLevelType w:val="hybridMultilevel"/>
    <w:tmpl w:val="45D69C1C"/>
    <w:lvl w:ilvl="0" w:tplc="BFD614C6">
      <w:numFmt w:val="bullet"/>
      <w:lvlText w:val="—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54367336"/>
    <w:multiLevelType w:val="multilevel"/>
    <w:tmpl w:val="4C64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304724"/>
    <w:multiLevelType w:val="hybridMultilevel"/>
    <w:tmpl w:val="F808D7A6"/>
    <w:lvl w:ilvl="0" w:tplc="39248268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5703649F"/>
    <w:multiLevelType w:val="multilevel"/>
    <w:tmpl w:val="E17CCF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9566F79"/>
    <w:multiLevelType w:val="multilevel"/>
    <w:tmpl w:val="ACF0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9E9194C"/>
    <w:multiLevelType w:val="multilevel"/>
    <w:tmpl w:val="81CE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D2942A7"/>
    <w:multiLevelType w:val="multilevel"/>
    <w:tmpl w:val="8280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AB0AB1"/>
    <w:multiLevelType w:val="multilevel"/>
    <w:tmpl w:val="5F5A764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 w15:restartNumberingAfterBreak="0">
    <w:nsid w:val="63731143"/>
    <w:multiLevelType w:val="multilevel"/>
    <w:tmpl w:val="D00AC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69D59D1"/>
    <w:multiLevelType w:val="hybridMultilevel"/>
    <w:tmpl w:val="18D0245A"/>
    <w:lvl w:ilvl="0" w:tplc="C6646072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 w15:restartNumberingAfterBreak="0">
    <w:nsid w:val="66E22C50"/>
    <w:multiLevelType w:val="multilevel"/>
    <w:tmpl w:val="8560421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1" w15:restartNumberingAfterBreak="0">
    <w:nsid w:val="672D7DEA"/>
    <w:multiLevelType w:val="multilevel"/>
    <w:tmpl w:val="76CE3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7E2266F"/>
    <w:multiLevelType w:val="hybridMultilevel"/>
    <w:tmpl w:val="E7125AD0"/>
    <w:lvl w:ilvl="0" w:tplc="1C1A74E4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6BBC4B5D"/>
    <w:multiLevelType w:val="multilevel"/>
    <w:tmpl w:val="03E8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F56B52"/>
    <w:multiLevelType w:val="multilevel"/>
    <w:tmpl w:val="EB82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C56696C"/>
    <w:multiLevelType w:val="multilevel"/>
    <w:tmpl w:val="5F5A764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 w15:restartNumberingAfterBreak="0">
    <w:nsid w:val="6E8657C2"/>
    <w:multiLevelType w:val="multilevel"/>
    <w:tmpl w:val="108AD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EF338CD"/>
    <w:multiLevelType w:val="multilevel"/>
    <w:tmpl w:val="8CEA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FCB02DD"/>
    <w:multiLevelType w:val="hybridMultilevel"/>
    <w:tmpl w:val="25545F56"/>
    <w:lvl w:ilvl="0" w:tplc="F266E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81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2EC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04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EE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22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25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E9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2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71017BB0"/>
    <w:multiLevelType w:val="multilevel"/>
    <w:tmpl w:val="A14E9A2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10D5FF8"/>
    <w:multiLevelType w:val="multilevel"/>
    <w:tmpl w:val="0236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4012B19"/>
    <w:multiLevelType w:val="hybridMultilevel"/>
    <w:tmpl w:val="39EC8020"/>
    <w:lvl w:ilvl="0" w:tplc="3CBA351E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791A2E28"/>
    <w:multiLevelType w:val="multilevel"/>
    <w:tmpl w:val="05F0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9533EFC"/>
    <w:multiLevelType w:val="multilevel"/>
    <w:tmpl w:val="1DE06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CA64648"/>
    <w:multiLevelType w:val="multilevel"/>
    <w:tmpl w:val="9514C1C4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 w16cid:durableId="496386898">
    <w:abstractNumId w:val="27"/>
  </w:num>
  <w:num w:numId="2" w16cid:durableId="145823685">
    <w:abstractNumId w:val="5"/>
  </w:num>
  <w:num w:numId="3" w16cid:durableId="795752797">
    <w:abstractNumId w:val="35"/>
  </w:num>
  <w:num w:numId="4" w16cid:durableId="220597174">
    <w:abstractNumId w:val="8"/>
  </w:num>
  <w:num w:numId="5" w16cid:durableId="2134667180">
    <w:abstractNumId w:val="13"/>
  </w:num>
  <w:num w:numId="6" w16cid:durableId="585959192">
    <w:abstractNumId w:val="53"/>
  </w:num>
  <w:num w:numId="7" w16cid:durableId="1465150753">
    <w:abstractNumId w:val="25"/>
  </w:num>
  <w:num w:numId="8" w16cid:durableId="1860854100">
    <w:abstractNumId w:val="45"/>
  </w:num>
  <w:num w:numId="9" w16cid:durableId="113330880">
    <w:abstractNumId w:val="19"/>
  </w:num>
  <w:num w:numId="10" w16cid:durableId="561061235">
    <w:abstractNumId w:val="62"/>
  </w:num>
  <w:num w:numId="11" w16cid:durableId="857887328">
    <w:abstractNumId w:val="3"/>
  </w:num>
  <w:num w:numId="12" w16cid:durableId="513151656">
    <w:abstractNumId w:val="1"/>
  </w:num>
  <w:num w:numId="13" w16cid:durableId="1757095678">
    <w:abstractNumId w:val="14"/>
  </w:num>
  <w:num w:numId="14" w16cid:durableId="1706635615">
    <w:abstractNumId w:val="2"/>
  </w:num>
  <w:num w:numId="15" w16cid:durableId="1449397434">
    <w:abstractNumId w:val="31"/>
  </w:num>
  <w:num w:numId="16" w16cid:durableId="1283806226">
    <w:abstractNumId w:val="58"/>
  </w:num>
  <w:num w:numId="17" w16cid:durableId="1746411949">
    <w:abstractNumId w:val="49"/>
  </w:num>
  <w:num w:numId="18" w16cid:durableId="715545016">
    <w:abstractNumId w:val="63"/>
  </w:num>
  <w:num w:numId="19" w16cid:durableId="416098170">
    <w:abstractNumId w:val="23"/>
  </w:num>
  <w:num w:numId="20" w16cid:durableId="57478253">
    <w:abstractNumId w:val="46"/>
  </w:num>
  <w:num w:numId="21" w16cid:durableId="614560060">
    <w:abstractNumId w:val="0"/>
  </w:num>
  <w:num w:numId="22" w16cid:durableId="1934433988">
    <w:abstractNumId w:val="36"/>
  </w:num>
  <w:num w:numId="23" w16cid:durableId="2137286152">
    <w:abstractNumId w:val="59"/>
  </w:num>
  <w:num w:numId="24" w16cid:durableId="735057523">
    <w:abstractNumId w:val="61"/>
  </w:num>
  <w:num w:numId="25" w16cid:durableId="1657100913">
    <w:abstractNumId w:val="18"/>
  </w:num>
  <w:num w:numId="26" w16cid:durableId="931430348">
    <w:abstractNumId w:val="4"/>
  </w:num>
  <w:num w:numId="27" w16cid:durableId="512231263">
    <w:abstractNumId w:val="41"/>
  </w:num>
  <w:num w:numId="28" w16cid:durableId="1771003552">
    <w:abstractNumId w:val="51"/>
  </w:num>
  <w:num w:numId="29" w16cid:durableId="2075619903">
    <w:abstractNumId w:val="30"/>
  </w:num>
  <w:num w:numId="30" w16cid:durableId="1049039531">
    <w:abstractNumId w:val="44"/>
  </w:num>
  <w:num w:numId="31" w16cid:durableId="944573997">
    <w:abstractNumId w:val="57"/>
  </w:num>
  <w:num w:numId="32" w16cid:durableId="408188013">
    <w:abstractNumId w:val="21"/>
  </w:num>
  <w:num w:numId="33" w16cid:durableId="37517038">
    <w:abstractNumId w:val="12"/>
  </w:num>
  <w:num w:numId="34" w16cid:durableId="806509965">
    <w:abstractNumId w:val="38"/>
  </w:num>
  <w:num w:numId="35" w16cid:durableId="2040158945">
    <w:abstractNumId w:val="33"/>
  </w:num>
  <w:num w:numId="36" w16cid:durableId="1079642953">
    <w:abstractNumId w:val="6"/>
  </w:num>
  <w:num w:numId="37" w16cid:durableId="10110116">
    <w:abstractNumId w:val="55"/>
  </w:num>
  <w:num w:numId="38" w16cid:durableId="581260701">
    <w:abstractNumId w:val="11"/>
  </w:num>
  <w:num w:numId="39" w16cid:durableId="324551177">
    <w:abstractNumId w:val="32"/>
  </w:num>
  <w:num w:numId="40" w16cid:durableId="1971788555">
    <w:abstractNumId w:val="37"/>
  </w:num>
  <w:num w:numId="41" w16cid:durableId="1561282830">
    <w:abstractNumId w:val="48"/>
  </w:num>
  <w:num w:numId="42" w16cid:durableId="85881115">
    <w:abstractNumId w:val="28"/>
  </w:num>
  <w:num w:numId="43" w16cid:durableId="433087966">
    <w:abstractNumId w:val="42"/>
  </w:num>
  <w:num w:numId="44" w16cid:durableId="1200242791">
    <w:abstractNumId w:val="40"/>
  </w:num>
  <w:num w:numId="45" w16cid:durableId="1745296715">
    <w:abstractNumId w:val="7"/>
  </w:num>
  <w:num w:numId="46" w16cid:durableId="1941718618">
    <w:abstractNumId w:val="34"/>
  </w:num>
  <w:num w:numId="47" w16cid:durableId="590893180">
    <w:abstractNumId w:val="24"/>
  </w:num>
  <w:num w:numId="48" w16cid:durableId="1955674089">
    <w:abstractNumId w:val="29"/>
  </w:num>
  <w:num w:numId="49" w16cid:durableId="1915893451">
    <w:abstractNumId w:val="39"/>
  </w:num>
  <w:num w:numId="50" w16cid:durableId="895555637">
    <w:abstractNumId w:val="54"/>
  </w:num>
  <w:num w:numId="51" w16cid:durableId="1504006415">
    <w:abstractNumId w:val="9"/>
  </w:num>
  <w:num w:numId="52" w16cid:durableId="558832396">
    <w:abstractNumId w:val="56"/>
  </w:num>
  <w:num w:numId="53" w16cid:durableId="1928924726">
    <w:abstractNumId w:val="47"/>
  </w:num>
  <w:num w:numId="54" w16cid:durableId="199050125">
    <w:abstractNumId w:val="16"/>
  </w:num>
  <w:num w:numId="55" w16cid:durableId="1147627555">
    <w:abstractNumId w:val="15"/>
  </w:num>
  <w:num w:numId="56" w16cid:durableId="1832983492">
    <w:abstractNumId w:val="43"/>
  </w:num>
  <w:num w:numId="57" w16cid:durableId="671220012">
    <w:abstractNumId w:val="22"/>
  </w:num>
  <w:num w:numId="58" w16cid:durableId="1776708977">
    <w:abstractNumId w:val="64"/>
  </w:num>
  <w:num w:numId="59" w16cid:durableId="614092766">
    <w:abstractNumId w:val="20"/>
  </w:num>
  <w:num w:numId="60" w16cid:durableId="812284962">
    <w:abstractNumId w:val="52"/>
  </w:num>
  <w:num w:numId="61" w16cid:durableId="2003511157">
    <w:abstractNumId w:val="17"/>
  </w:num>
  <w:num w:numId="62" w16cid:durableId="53161308">
    <w:abstractNumId w:val="60"/>
  </w:num>
  <w:num w:numId="63" w16cid:durableId="831675290">
    <w:abstractNumId w:val="50"/>
  </w:num>
  <w:num w:numId="64" w16cid:durableId="874274936">
    <w:abstractNumId w:val="10"/>
  </w:num>
  <w:num w:numId="65" w16cid:durableId="161574367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F9"/>
    <w:rsid w:val="000038F5"/>
    <w:rsid w:val="00012F10"/>
    <w:rsid w:val="00017FF9"/>
    <w:rsid w:val="00056D34"/>
    <w:rsid w:val="000B68EE"/>
    <w:rsid w:val="000E7F50"/>
    <w:rsid w:val="001345B0"/>
    <w:rsid w:val="0016235D"/>
    <w:rsid w:val="0017736D"/>
    <w:rsid w:val="001A4459"/>
    <w:rsid w:val="001A6560"/>
    <w:rsid w:val="001D40DD"/>
    <w:rsid w:val="00217B38"/>
    <w:rsid w:val="00271D54"/>
    <w:rsid w:val="002B6278"/>
    <w:rsid w:val="002D2B56"/>
    <w:rsid w:val="00302C02"/>
    <w:rsid w:val="00344992"/>
    <w:rsid w:val="00362CDA"/>
    <w:rsid w:val="00371760"/>
    <w:rsid w:val="003E65BC"/>
    <w:rsid w:val="003F16C3"/>
    <w:rsid w:val="00445F33"/>
    <w:rsid w:val="00461363"/>
    <w:rsid w:val="0046525F"/>
    <w:rsid w:val="004721B8"/>
    <w:rsid w:val="004A1D70"/>
    <w:rsid w:val="00514AF5"/>
    <w:rsid w:val="005A5117"/>
    <w:rsid w:val="005F6803"/>
    <w:rsid w:val="006641AE"/>
    <w:rsid w:val="00681095"/>
    <w:rsid w:val="006A221D"/>
    <w:rsid w:val="006C397A"/>
    <w:rsid w:val="006F3BEB"/>
    <w:rsid w:val="007303E1"/>
    <w:rsid w:val="00740705"/>
    <w:rsid w:val="00741ABE"/>
    <w:rsid w:val="0074237C"/>
    <w:rsid w:val="007755BF"/>
    <w:rsid w:val="007A6652"/>
    <w:rsid w:val="007C1D68"/>
    <w:rsid w:val="007E1418"/>
    <w:rsid w:val="00814F0A"/>
    <w:rsid w:val="00822B28"/>
    <w:rsid w:val="00823D54"/>
    <w:rsid w:val="008440F8"/>
    <w:rsid w:val="00847218"/>
    <w:rsid w:val="008A257C"/>
    <w:rsid w:val="008B221B"/>
    <w:rsid w:val="008C741D"/>
    <w:rsid w:val="008E14A6"/>
    <w:rsid w:val="00931A9C"/>
    <w:rsid w:val="00934A2E"/>
    <w:rsid w:val="00936B29"/>
    <w:rsid w:val="00985B2D"/>
    <w:rsid w:val="00996DAE"/>
    <w:rsid w:val="009E63BC"/>
    <w:rsid w:val="00A1652D"/>
    <w:rsid w:val="00A338A1"/>
    <w:rsid w:val="00A73FCB"/>
    <w:rsid w:val="00A75FD3"/>
    <w:rsid w:val="00A856BA"/>
    <w:rsid w:val="00AC6289"/>
    <w:rsid w:val="00AF235B"/>
    <w:rsid w:val="00AF62E2"/>
    <w:rsid w:val="00B07559"/>
    <w:rsid w:val="00B21111"/>
    <w:rsid w:val="00B37720"/>
    <w:rsid w:val="00B7539E"/>
    <w:rsid w:val="00B80E66"/>
    <w:rsid w:val="00BC5AE3"/>
    <w:rsid w:val="00BF30A0"/>
    <w:rsid w:val="00C33E4B"/>
    <w:rsid w:val="00C65446"/>
    <w:rsid w:val="00C90F95"/>
    <w:rsid w:val="00C94B09"/>
    <w:rsid w:val="00D150F3"/>
    <w:rsid w:val="00D700FC"/>
    <w:rsid w:val="00D87060"/>
    <w:rsid w:val="00D97BAC"/>
    <w:rsid w:val="00DF3CFF"/>
    <w:rsid w:val="00E112AA"/>
    <w:rsid w:val="00E14263"/>
    <w:rsid w:val="00E173F8"/>
    <w:rsid w:val="00E951CC"/>
    <w:rsid w:val="00EC64BF"/>
    <w:rsid w:val="00EE7277"/>
    <w:rsid w:val="00EF7FDB"/>
    <w:rsid w:val="00F70677"/>
    <w:rsid w:val="00F729D6"/>
    <w:rsid w:val="00F80F88"/>
    <w:rsid w:val="00FA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84F67"/>
  <w15:chartTrackingRefBased/>
  <w15:docId w15:val="{33F160F0-8E4F-4E61-BCFF-7BFA398C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7F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17F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017F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7F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7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7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7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7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7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F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17F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qFormat/>
    <w:rsid w:val="00017F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7F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17FF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17F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17FF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17F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17F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7F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17F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7F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17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17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17FF9"/>
    <w:rPr>
      <w:i/>
      <w:iCs/>
      <w:color w:val="404040" w:themeColor="text1" w:themeTint="BF"/>
    </w:rPr>
  </w:style>
  <w:style w:type="paragraph" w:styleId="a7">
    <w:name w:val="List Paragraph"/>
    <w:aliases w:val="маркированный,ПАРАГРАФ"/>
    <w:basedOn w:val="a"/>
    <w:link w:val="a8"/>
    <w:uiPriority w:val="34"/>
    <w:qFormat/>
    <w:rsid w:val="00017FF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17FF9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17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17FF9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017FF9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qFormat/>
    <w:rsid w:val="00017FF9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K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екст в таблице"/>
    <w:basedOn w:val="a"/>
    <w:link w:val="Char"/>
    <w:qFormat/>
    <w:rsid w:val="00017FF9"/>
    <w:pPr>
      <w:spacing w:before="120" w:after="120" w:line="240" w:lineRule="auto"/>
      <w:jc w:val="center"/>
    </w:pPr>
    <w:rPr>
      <w:rFonts w:ascii="Times New Roman" w:eastAsiaTheme="minorEastAsia" w:hAnsi="Times New Roman" w:cs="Times New Roman"/>
      <w:kern w:val="0"/>
      <w:sz w:val="20"/>
      <w:szCs w:val="18"/>
      <w:lang w:val="ru-RU" w:eastAsia="zh-CN"/>
      <w14:ligatures w14:val="none"/>
    </w:rPr>
  </w:style>
  <w:style w:type="paragraph" w:customStyle="1" w:styleId="af">
    <w:name w:val="Примечание"/>
    <w:basedOn w:val="a"/>
    <w:link w:val="Char0"/>
    <w:qFormat/>
    <w:rsid w:val="00017FF9"/>
    <w:pPr>
      <w:spacing w:after="0" w:line="240" w:lineRule="auto"/>
      <w:ind w:firstLineChars="200" w:firstLine="560"/>
      <w:jc w:val="both"/>
    </w:pPr>
    <w:rPr>
      <w:rFonts w:ascii="Times New Roman" w:eastAsiaTheme="minorEastAsia" w:hAnsi="Times New Roman" w:cs="Times New Roman"/>
      <w:kern w:val="0"/>
      <w:sz w:val="20"/>
      <w:szCs w:val="28"/>
      <w:lang w:val="ru-RU" w:eastAsia="zh-CN"/>
      <w14:ligatures w14:val="none"/>
    </w:rPr>
  </w:style>
  <w:style w:type="paragraph" w:customStyle="1" w:styleId="af0">
    <w:name w:val="Название таблицы и рисунка"/>
    <w:basedOn w:val="5"/>
    <w:link w:val="Char1"/>
    <w:qFormat/>
    <w:rsid w:val="00017FF9"/>
    <w:pPr>
      <w:spacing w:beforeLines="100" w:before="100" w:afterLines="100" w:after="100" w:line="240" w:lineRule="auto"/>
      <w:jc w:val="center"/>
    </w:pPr>
    <w:rPr>
      <w:rFonts w:ascii="Times New Roman" w:eastAsiaTheme="minorEastAsia" w:hAnsi="Times New Roman" w:cs="Arial"/>
      <w:color w:val="auto"/>
      <w:kern w:val="0"/>
      <w:sz w:val="28"/>
      <w:szCs w:val="22"/>
      <w:lang w:val="ru-RU" w:eastAsia="zh-CN"/>
      <w14:ligatures w14:val="none"/>
    </w:rPr>
  </w:style>
  <w:style w:type="character" w:customStyle="1" w:styleId="Char0">
    <w:name w:val="текст под таблицей Char"/>
    <w:link w:val="af"/>
    <w:qFormat/>
    <w:rsid w:val="00017FF9"/>
    <w:rPr>
      <w:rFonts w:ascii="Times New Roman" w:eastAsiaTheme="minorEastAsia" w:hAnsi="Times New Roman" w:cs="Times New Roman"/>
      <w:kern w:val="0"/>
      <w:sz w:val="20"/>
      <w:szCs w:val="28"/>
      <w:lang w:val="ru-RU" w:eastAsia="zh-CN"/>
      <w14:ligatures w14:val="none"/>
    </w:rPr>
  </w:style>
  <w:style w:type="character" w:customStyle="1" w:styleId="Char">
    <w:name w:val="текст в таблице Char"/>
    <w:link w:val="ae"/>
    <w:rsid w:val="00017FF9"/>
    <w:rPr>
      <w:rFonts w:ascii="Times New Roman" w:eastAsiaTheme="minorEastAsia" w:hAnsi="Times New Roman" w:cs="Times New Roman"/>
      <w:kern w:val="0"/>
      <w:sz w:val="20"/>
      <w:szCs w:val="18"/>
      <w:lang w:val="ru-RU" w:eastAsia="zh-CN"/>
      <w14:ligatures w14:val="none"/>
    </w:rPr>
  </w:style>
  <w:style w:type="character" w:customStyle="1" w:styleId="Char1">
    <w:name w:val="Название таблицы и рисунка Char"/>
    <w:link w:val="af0"/>
    <w:rsid w:val="00017FF9"/>
    <w:rPr>
      <w:rFonts w:ascii="Times New Roman" w:eastAsiaTheme="minorEastAsia" w:hAnsi="Times New Roman" w:cs="Arial"/>
      <w:kern w:val="0"/>
      <w:sz w:val="28"/>
      <w:szCs w:val="22"/>
      <w:lang w:val="ru-RU" w:eastAsia="zh-CN"/>
      <w14:ligatures w14:val="none"/>
    </w:rPr>
  </w:style>
  <w:style w:type="paragraph" w:styleId="af1">
    <w:name w:val="header"/>
    <w:basedOn w:val="a"/>
    <w:link w:val="af2"/>
    <w:uiPriority w:val="99"/>
    <w:unhideWhenUsed/>
    <w:rsid w:val="00EC6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C64BF"/>
  </w:style>
  <w:style w:type="paragraph" w:styleId="af3">
    <w:name w:val="footer"/>
    <w:basedOn w:val="a"/>
    <w:link w:val="af4"/>
    <w:uiPriority w:val="99"/>
    <w:unhideWhenUsed/>
    <w:rsid w:val="00EC6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C64BF"/>
  </w:style>
  <w:style w:type="paragraph" w:styleId="af5">
    <w:name w:val="annotation text"/>
    <w:basedOn w:val="a"/>
    <w:link w:val="af6"/>
    <w:uiPriority w:val="99"/>
    <w:unhideWhenUsed/>
    <w:rsid w:val="00B80E6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/>
      <w14:ligatures w14:val="none"/>
    </w:rPr>
  </w:style>
  <w:style w:type="character" w:customStyle="1" w:styleId="af6">
    <w:name w:val="Текст примечания Знак"/>
    <w:basedOn w:val="a0"/>
    <w:link w:val="af5"/>
    <w:uiPriority w:val="99"/>
    <w:rsid w:val="00B80E66"/>
    <w:rPr>
      <w:rFonts w:ascii="Times New Roman" w:eastAsia="Times New Roman" w:hAnsi="Times New Roman" w:cs="Times New Roman"/>
      <w:kern w:val="0"/>
      <w:sz w:val="20"/>
      <w:szCs w:val="20"/>
      <w:lang w:val="ru-RU"/>
      <w14:ligatures w14:val="none"/>
    </w:rPr>
  </w:style>
  <w:style w:type="character" w:styleId="af7">
    <w:name w:val="annotation reference"/>
    <w:basedOn w:val="a0"/>
    <w:uiPriority w:val="99"/>
    <w:semiHidden/>
    <w:unhideWhenUsed/>
    <w:rsid w:val="00B80E66"/>
    <w:rPr>
      <w:sz w:val="16"/>
      <w:szCs w:val="16"/>
    </w:rPr>
  </w:style>
  <w:style w:type="paragraph" w:styleId="af8">
    <w:name w:val="caption"/>
    <w:basedOn w:val="a"/>
    <w:next w:val="a"/>
    <w:uiPriority w:val="35"/>
    <w:unhideWhenUsed/>
    <w:qFormat/>
    <w:rsid w:val="00B80E66"/>
    <w:pPr>
      <w:spacing w:after="0" w:line="240" w:lineRule="auto"/>
      <w:jc w:val="both"/>
    </w:pPr>
    <w:rPr>
      <w:rFonts w:ascii="Times New Roman" w:hAnsi="Times New Roman" w:cs="Times New Roman"/>
      <w:bCs/>
      <w:kern w:val="0"/>
      <w:sz w:val="28"/>
      <w:szCs w:val="28"/>
      <w:shd w:val="clear" w:color="auto" w:fill="FFFFFF"/>
      <w:lang w:val="ru-RU"/>
      <w14:ligatures w14:val="none"/>
    </w:rPr>
  </w:style>
  <w:style w:type="character" w:customStyle="1" w:styleId="a8">
    <w:name w:val="Абзац списка Знак"/>
    <w:aliases w:val="маркированный Знак,ПАРАГРАФ Знак"/>
    <w:link w:val="a7"/>
    <w:uiPriority w:val="34"/>
    <w:rsid w:val="00B80E66"/>
  </w:style>
  <w:style w:type="paragraph" w:styleId="af9">
    <w:name w:val="Normal (Web)"/>
    <w:basedOn w:val="a"/>
    <w:uiPriority w:val="99"/>
    <w:semiHidden/>
    <w:unhideWhenUsed/>
    <w:rsid w:val="00F729D6"/>
    <w:rPr>
      <w:rFonts w:ascii="Times New Roman" w:hAnsi="Times New Roman" w:cs="Times New Roman"/>
    </w:rPr>
  </w:style>
  <w:style w:type="paragraph" w:styleId="afa">
    <w:name w:val="Revision"/>
    <w:hidden/>
    <w:uiPriority w:val="99"/>
    <w:semiHidden/>
    <w:rsid w:val="00E112AA"/>
    <w:pPr>
      <w:spacing w:after="0" w:line="240" w:lineRule="auto"/>
    </w:pPr>
  </w:style>
  <w:style w:type="paragraph" w:customStyle="1" w:styleId="11">
    <w:name w:val="Стиль1"/>
    <w:basedOn w:val="1"/>
    <w:link w:val="12"/>
    <w:qFormat/>
    <w:rsid w:val="0017736D"/>
    <w:pPr>
      <w:spacing w:before="240" w:after="0" w:line="240" w:lineRule="auto"/>
      <w:jc w:val="center"/>
    </w:pPr>
    <w:rPr>
      <w:rFonts w:ascii="Times New Roman" w:hAnsi="Times New Roman" w:cs="Times New Roman"/>
      <w:b/>
      <w:color w:val="auto"/>
      <w:kern w:val="0"/>
      <w:sz w:val="28"/>
      <w:szCs w:val="28"/>
      <w:lang w:val="ru-RU" w:eastAsia="ru-RU"/>
      <w14:ligatures w14:val="none"/>
    </w:rPr>
  </w:style>
  <w:style w:type="character" w:customStyle="1" w:styleId="12">
    <w:name w:val="Стиль1 Знак"/>
    <w:basedOn w:val="a0"/>
    <w:link w:val="11"/>
    <w:rsid w:val="0017736D"/>
    <w:rPr>
      <w:rFonts w:ascii="Times New Roman" w:eastAsiaTheme="majorEastAsia" w:hAnsi="Times New Roman" w:cs="Times New Roman"/>
      <w:b/>
      <w:kern w:val="0"/>
      <w:sz w:val="28"/>
      <w:szCs w:val="28"/>
      <w:lang w:val="ru-RU" w:eastAsia="ru-RU"/>
      <w14:ligatures w14:val="none"/>
    </w:rPr>
  </w:style>
  <w:style w:type="character" w:styleId="afb">
    <w:name w:val="Hyperlink"/>
    <w:basedOn w:val="a0"/>
    <w:uiPriority w:val="99"/>
    <w:unhideWhenUsed/>
    <w:rsid w:val="00E14263"/>
    <w:rPr>
      <w:color w:val="467886" w:themeColor="hyperlink"/>
      <w:u w:val="single"/>
    </w:rPr>
  </w:style>
  <w:style w:type="character" w:styleId="afc">
    <w:name w:val="Unresolved Mention"/>
    <w:basedOn w:val="a0"/>
    <w:uiPriority w:val="99"/>
    <w:semiHidden/>
    <w:unhideWhenUsed/>
    <w:rsid w:val="00E14263"/>
    <w:rPr>
      <w:color w:val="605E5C"/>
      <w:shd w:val="clear" w:color="auto" w:fill="E1DFDD"/>
    </w:rPr>
  </w:style>
  <w:style w:type="character" w:styleId="afd">
    <w:name w:val="Emphasis"/>
    <w:basedOn w:val="a0"/>
    <w:uiPriority w:val="20"/>
    <w:qFormat/>
    <w:rsid w:val="00E14263"/>
    <w:rPr>
      <w:i/>
      <w:iCs/>
    </w:rPr>
  </w:style>
  <w:style w:type="paragraph" w:customStyle="1" w:styleId="afe">
    <w:name w:val="Формула Шрифт"/>
    <w:basedOn w:val="a"/>
    <w:qFormat/>
    <w:rsid w:val="00E14263"/>
    <w:pPr>
      <w:spacing w:after="0" w:line="240" w:lineRule="auto"/>
      <w:jc w:val="center"/>
    </w:pPr>
    <w:rPr>
      <w:rFonts w:ascii="Cambria Math" w:eastAsiaTheme="minorEastAsia" w:hAnsi="Cambria Math" w:cs="Times New Roman"/>
      <w:i/>
      <w:kern w:val="0"/>
      <w:szCs w:val="22"/>
      <w:lang w:val="ru-RU" w:eastAsia="zh-CN"/>
      <w14:ligatures w14:val="none"/>
    </w:rPr>
  </w:style>
  <w:style w:type="character" w:styleId="aff">
    <w:name w:val="Placeholder Text"/>
    <w:basedOn w:val="a0"/>
    <w:uiPriority w:val="99"/>
    <w:semiHidden/>
    <w:rsid w:val="00E14263"/>
    <w:rPr>
      <w:color w:val="666666"/>
    </w:rPr>
  </w:style>
  <w:style w:type="character" w:styleId="aff0">
    <w:name w:val="Strong"/>
    <w:basedOn w:val="a0"/>
    <w:uiPriority w:val="22"/>
    <w:qFormat/>
    <w:rsid w:val="000E7F50"/>
    <w:rPr>
      <w:b/>
      <w:bCs/>
    </w:rPr>
  </w:style>
  <w:style w:type="character" w:customStyle="1" w:styleId="ms-1">
    <w:name w:val="ms-1"/>
    <w:basedOn w:val="a0"/>
    <w:rsid w:val="000E7F50"/>
  </w:style>
  <w:style w:type="character" w:customStyle="1" w:styleId="max-w-15ch">
    <w:name w:val="max-w-[15ch]"/>
    <w:basedOn w:val="a0"/>
    <w:rsid w:val="000E7F50"/>
  </w:style>
  <w:style w:type="table" w:customStyle="1" w:styleId="13">
    <w:name w:val="Сетка таблицы1"/>
    <w:basedOn w:val="a1"/>
    <w:uiPriority w:val="39"/>
    <w:qFormat/>
    <w:rsid w:val="000E7F50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ru-K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TOC Heading"/>
    <w:basedOn w:val="1"/>
    <w:next w:val="a"/>
    <w:uiPriority w:val="39"/>
    <w:unhideWhenUsed/>
    <w:qFormat/>
    <w:rsid w:val="001A6560"/>
    <w:pPr>
      <w:spacing w:before="240" w:after="0" w:line="259" w:lineRule="auto"/>
      <w:outlineLvl w:val="9"/>
    </w:pPr>
    <w:rPr>
      <w:kern w:val="0"/>
      <w:sz w:val="32"/>
      <w:szCs w:val="32"/>
      <w:lang w:eastAsia="ru-KZ"/>
      <w14:ligatures w14:val="none"/>
    </w:rPr>
  </w:style>
  <w:style w:type="paragraph" w:styleId="14">
    <w:name w:val="toc 1"/>
    <w:basedOn w:val="a"/>
    <w:next w:val="a"/>
    <w:autoRedefine/>
    <w:uiPriority w:val="39"/>
    <w:unhideWhenUsed/>
    <w:rsid w:val="001A656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1A6560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chart" Target="charts/chart1.xml"/><Relationship Id="rId26" Type="http://schemas.openxmlformats.org/officeDocument/2006/relationships/diagramQuickStyle" Target="diagrams/quickStyle3.xml"/><Relationship Id="rId39" Type="http://schemas.openxmlformats.org/officeDocument/2006/relationships/hyperlink" Target="https://data.worldbank.org/" TargetMode="External"/><Relationship Id="rId21" Type="http://schemas.openxmlformats.org/officeDocument/2006/relationships/hyperlink" Target="https://www.saiman.kz/imgs/14.03.2021_o_kompanii_Broshure_A5.pdf?utm_source=chatgpt.com" TargetMode="External"/><Relationship Id="rId34" Type="http://schemas.openxmlformats.org/officeDocument/2006/relationships/hyperlink" Target="https://data.worldbank.org/indicator/NY.GDP.PCAP.CD" TargetMode="External"/><Relationship Id="rId42" Type="http://schemas.openxmlformats.org/officeDocument/2006/relationships/hyperlink" Target="https://www.mdpi.com/1996-1073/18/15/4166?utm_source=chatgpt.com" TargetMode="External"/><Relationship Id="rId47" Type="http://schemas.openxmlformats.org/officeDocument/2006/relationships/hyperlink" Target="https://unctad.org/system/files/information-document/unda2030d23-kazakhstan-energy-sector_en.pdf?utm_source=chatgpt.com" TargetMode="Externa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image" Target="media/image2.png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3.xml"/><Relationship Id="rId32" Type="http://schemas.openxmlformats.org/officeDocument/2006/relationships/hyperlink" Target="https://doi.org/10.1016/j.erss.2022.102538" TargetMode="External"/><Relationship Id="rId37" Type="http://schemas.openxmlformats.org/officeDocument/2006/relationships/hyperlink" Target="https://comtrade.un.org/" TargetMode="External"/><Relationship Id="rId40" Type="http://schemas.openxmlformats.org/officeDocument/2006/relationships/hyperlink" Target="https://eng.yidaiyilu.gov.cn/" TargetMode="External"/><Relationship Id="rId45" Type="http://schemas.openxmlformats.org/officeDocument/2006/relationships/hyperlink" Target="https://www.oecd.org/en/publications/korea-s-green-growth-strategy_5kmbhk4gh1ns-en.html?utm_source=chatgpt.com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chart" Target="charts/chart3.xml"/><Relationship Id="rId28" Type="http://schemas.microsoft.com/office/2007/relationships/diagramDrawing" Target="diagrams/drawing3.xml"/><Relationship Id="rId36" Type="http://schemas.openxmlformats.org/officeDocument/2006/relationships/hyperlink" Target="https://comtrade.un.org/" TargetMode="External"/><Relationship Id="rId49" Type="http://schemas.openxmlformats.org/officeDocument/2006/relationships/hyperlink" Target="https://www.irena.org/-/media/Files/IRENA/Agency/Publication/2022/Jul/IRENA_China_Carbon_Neutral_2022.pdf?utm_source=chatgpt.com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.png"/><Relationship Id="rId31" Type="http://schemas.openxmlformats.org/officeDocument/2006/relationships/image" Target="media/image3.png"/><Relationship Id="rId44" Type="http://schemas.openxmlformats.org/officeDocument/2006/relationships/hyperlink" Target="https://www.oecd.org/en/publications/korea-s-green-growth-strategy_5kmbhk4gh1ns-en.html?utm_source=chatgpt.com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footer" Target="footer1.xml"/><Relationship Id="rId27" Type="http://schemas.openxmlformats.org/officeDocument/2006/relationships/diagramColors" Target="diagrams/colors3.xml"/><Relationship Id="rId30" Type="http://schemas.openxmlformats.org/officeDocument/2006/relationships/footer" Target="footer2.xml"/><Relationship Id="rId35" Type="http://schemas.openxmlformats.org/officeDocument/2006/relationships/hyperlink" Target="https://ourworldindata.org/energy" TargetMode="External"/><Relationship Id="rId43" Type="http://schemas.openxmlformats.org/officeDocument/2006/relationships/hyperlink" Target="https://ojs.journalsdg.org/jlss/article/view/4278?utm_source=chatgpt.com" TargetMode="External"/><Relationship Id="rId48" Type="http://schemas.openxmlformats.org/officeDocument/2006/relationships/hyperlink" Target="https://www.irena.org/-/media/Files/IRENA/Agency/Publication/2022/Jul/IRENA_China_Carbon_Neutral_2022.pdf?utm_source=chatgpt.com" TargetMode="External"/><Relationship Id="rId8" Type="http://schemas.openxmlformats.org/officeDocument/2006/relationships/diagramData" Target="diagrams/data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Layout" Target="diagrams/layout3.xml"/><Relationship Id="rId33" Type="http://schemas.openxmlformats.org/officeDocument/2006/relationships/hyperlink" Target="https://doi.org/10.1016/j.eneco.2005.03.003" TargetMode="External"/><Relationship Id="rId38" Type="http://schemas.openxmlformats.org/officeDocument/2006/relationships/hyperlink" Target="https://www.wto.org/" TargetMode="External"/><Relationship Id="rId46" Type="http://schemas.openxmlformats.org/officeDocument/2006/relationships/hyperlink" Target="https://unctad.org/system/files/information-document/unda2030d23-kazakhstan-energy-sector_en.pdf?utm_source=chatgpt.com" TargetMode="External"/><Relationship Id="rId20" Type="http://schemas.openxmlformats.org/officeDocument/2006/relationships/chart" Target="charts/chart2.xml"/><Relationship Id="rId41" Type="http://schemas.openxmlformats.org/officeDocument/2006/relationships/hyperlink" Target="https://documents.worldbank.org/en/publication/documents-reports/documentdetai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объектов ВИЭ, ед.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26</c:v>
                </c:pt>
                <c:pt idx="1">
                  <c:v>48</c:v>
                </c:pt>
                <c:pt idx="2">
                  <c:v>51</c:v>
                </c:pt>
                <c:pt idx="3">
                  <c:v>57</c:v>
                </c:pt>
                <c:pt idx="4">
                  <c:v>67</c:v>
                </c:pt>
                <c:pt idx="5">
                  <c:v>90</c:v>
                </c:pt>
                <c:pt idx="6">
                  <c:v>115</c:v>
                </c:pt>
                <c:pt idx="7">
                  <c:v>134</c:v>
                </c:pt>
                <c:pt idx="8">
                  <c:v>144</c:v>
                </c:pt>
                <c:pt idx="9">
                  <c:v>156</c:v>
                </c:pt>
                <c:pt idx="10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2B-438E-8DA5-21AA5DBE48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Совокупная установленная мощность, МВт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177.5</c:v>
                </c:pt>
                <c:pt idx="1">
                  <c:v>251</c:v>
                </c:pt>
                <c:pt idx="2">
                  <c:v>295.7</c:v>
                </c:pt>
                <c:pt idx="3">
                  <c:v>342.8</c:v>
                </c:pt>
                <c:pt idx="4">
                  <c:v>531</c:v>
                </c:pt>
                <c:pt idx="5">
                  <c:v>1050.0999999999999</c:v>
                </c:pt>
                <c:pt idx="6">
                  <c:v>1634.7</c:v>
                </c:pt>
                <c:pt idx="7">
                  <c:v>2010</c:v>
                </c:pt>
                <c:pt idx="8">
                  <c:v>2300.6</c:v>
                </c:pt>
                <c:pt idx="9">
                  <c:v>2650</c:v>
                </c:pt>
                <c:pt idx="10">
                  <c:v>3120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2B-438E-8DA5-21AA5DBE480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Прирост мощности к предыдущему году, МВт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73.5</c:v>
                </c:pt>
                <c:pt idx="2">
                  <c:v>44.7</c:v>
                </c:pt>
                <c:pt idx="3">
                  <c:v>47.1</c:v>
                </c:pt>
                <c:pt idx="4">
                  <c:v>188.2</c:v>
                </c:pt>
                <c:pt idx="5">
                  <c:v>519.1</c:v>
                </c:pt>
                <c:pt idx="6">
                  <c:v>584.6</c:v>
                </c:pt>
                <c:pt idx="7">
                  <c:v>375.3</c:v>
                </c:pt>
                <c:pt idx="8">
                  <c:v>290.60000000000002</c:v>
                </c:pt>
                <c:pt idx="9">
                  <c:v>349.4</c:v>
                </c:pt>
                <c:pt idx="10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2B-438E-8DA5-21AA5DBE4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4920303"/>
        <c:axId val="1684930383"/>
      </c:barChart>
      <c:lineChart>
        <c:grouping val="standard"/>
        <c:varyColors val="0"/>
        <c:ser>
          <c:idx val="3"/>
          <c:order val="3"/>
          <c:tx>
            <c:strRef>
              <c:f>Лист1!$E$1</c:f>
              <c:strCache>
                <c:ptCount val="1"/>
                <c:pt idx="0">
                  <c:v>Темп роста мощности, %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Лист1!$E$2:$E$12</c:f>
              <c:numCache>
                <c:formatCode>0.00%</c:formatCode>
                <c:ptCount val="11"/>
                <c:pt idx="0" formatCode="General">
                  <c:v>0</c:v>
                </c:pt>
                <c:pt idx="1">
                  <c:v>0.41399999999999998</c:v>
                </c:pt>
                <c:pt idx="2">
                  <c:v>0.17799999999999999</c:v>
                </c:pt>
                <c:pt idx="3">
                  <c:v>0.159</c:v>
                </c:pt>
                <c:pt idx="4">
                  <c:v>0.54900000000000004</c:v>
                </c:pt>
                <c:pt idx="5">
                  <c:v>0.97699999999999998</c:v>
                </c:pt>
                <c:pt idx="6">
                  <c:v>0.55700000000000005</c:v>
                </c:pt>
                <c:pt idx="7">
                  <c:v>0.22900000000000001</c:v>
                </c:pt>
                <c:pt idx="8">
                  <c:v>0.14499999999999999</c:v>
                </c:pt>
                <c:pt idx="9">
                  <c:v>0.152</c:v>
                </c:pt>
                <c:pt idx="10">
                  <c:v>0.161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C2B-438E-8DA5-21AA5DBE4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4925583"/>
        <c:axId val="1684929423"/>
      </c:lineChart>
      <c:catAx>
        <c:axId val="1684920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684930383"/>
        <c:crosses val="autoZero"/>
        <c:auto val="1"/>
        <c:lblAlgn val="ctr"/>
        <c:lblOffset val="100"/>
        <c:noMultiLvlLbl val="0"/>
      </c:catAx>
      <c:valAx>
        <c:axId val="1684930383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684920303"/>
        <c:crosses val="autoZero"/>
        <c:crossBetween val="between"/>
      </c:valAx>
      <c:valAx>
        <c:axId val="1684929423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684925583"/>
        <c:crosses val="max"/>
        <c:crossBetween val="between"/>
      </c:valAx>
      <c:catAx>
        <c:axId val="168492558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8492942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Лист2!$B$16</c:f>
              <c:strCache>
                <c:ptCount val="1"/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Лист2!$A$17:$A$24</c:f>
              <c:numCache>
                <c:formatCode>General</c:formatCode>
                <c:ptCount val="8"/>
              </c:numCache>
            </c:numRef>
          </c:xVal>
          <c:yVal>
            <c:numRef>
              <c:f>Лист2!$B$17:$B$24</c:f>
              <c:numCache>
                <c:formatCode>General</c:formatCode>
                <c:ptCount val="8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34-474D-84EF-6F86803DF72F}"/>
            </c:ext>
          </c:extLst>
        </c:ser>
        <c:ser>
          <c:idx val="1"/>
          <c:order val="1"/>
          <c:tx>
            <c:strRef>
              <c:f>Лист2!$C$16</c:f>
              <c:strCache>
                <c:ptCount val="1"/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Лист2!$A$17:$A$24</c:f>
              <c:numCache>
                <c:formatCode>General</c:formatCode>
                <c:ptCount val="8"/>
              </c:numCache>
            </c:numRef>
          </c:xVal>
          <c:yVal>
            <c:numRef>
              <c:f>Лист2!$C$17:$C$24</c:f>
              <c:numCache>
                <c:formatCode>General</c:formatCode>
                <c:ptCount val="8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534-474D-84EF-6F86803DF72F}"/>
            </c:ext>
          </c:extLst>
        </c:ser>
        <c:ser>
          <c:idx val="2"/>
          <c:order val="2"/>
          <c:tx>
            <c:strRef>
              <c:f>Лист2!$D$16</c:f>
              <c:strCache>
                <c:ptCount val="1"/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Лист2!$A$17:$A$24</c:f>
              <c:numCache>
                <c:formatCode>General</c:formatCode>
                <c:ptCount val="8"/>
              </c:numCache>
            </c:numRef>
          </c:xVal>
          <c:yVal>
            <c:numRef>
              <c:f>Лист2!$D$17:$D$24</c:f>
              <c:numCache>
                <c:formatCode>General</c:formatCode>
                <c:ptCount val="8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534-474D-84EF-6F86803DF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1845472"/>
        <c:axId val="1411850272"/>
      </c:scatterChart>
      <c:valAx>
        <c:axId val="1411845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411850272"/>
        <c:crosses val="autoZero"/>
        <c:crossBetween val="midCat"/>
      </c:valAx>
      <c:valAx>
        <c:axId val="141185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4118454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21-4C46-AD85-B2FAC2A2A85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21-4C46-AD85-B2FAC2A2A85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21-4C46-AD85-B2FAC2A2A85C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221-4C46-AD85-B2FAC2A2A8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Лист2!$A$32:$A$35</c:f>
              <c:strCache>
                <c:ptCount val="4"/>
                <c:pt idx="0">
                  <c:v>Солнечная энергия</c:v>
                </c:pt>
                <c:pt idx="1">
                  <c:v>Ветроэнергетика</c:v>
                </c:pt>
                <c:pt idx="2">
                  <c:v>Гидроэнергетика (малые ГЭС)</c:v>
                </c:pt>
                <c:pt idx="3">
                  <c:v>Биоэнергия</c:v>
                </c:pt>
              </c:strCache>
            </c:strRef>
          </c:cat>
          <c:val>
            <c:numRef>
              <c:f>Лист2!$B$32:$B$35</c:f>
              <c:numCache>
                <c:formatCode>0%</c:formatCode>
                <c:ptCount val="4"/>
                <c:pt idx="0">
                  <c:v>0.48</c:v>
                </c:pt>
                <c:pt idx="1">
                  <c:v>0.44</c:v>
                </c:pt>
                <c:pt idx="2">
                  <c:v>7.0000000000000007E-2</c:v>
                </c:pt>
                <c:pt idx="3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21-4C46-AD85-B2FAC2A2A8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tx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7662A5-487A-4827-BD86-CA5B5A4882C4}" type="doc">
      <dgm:prSet loTypeId="urn:microsoft.com/office/officeart/2005/8/layout/vList5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KZ"/>
        </a:p>
      </dgm:t>
    </dgm:pt>
    <dgm:pt modelId="{CFA39D4D-305C-4012-8D16-D6E2CDE408E6}">
      <dgm:prSet phldrT="[Текст]" custT="1"/>
      <dgm:spPr/>
      <dgm:t>
        <a:bodyPr/>
        <a:lstStyle/>
        <a:p>
          <a:pPr>
            <a:buNone/>
          </a:pP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Зависимость от траектории</a:t>
          </a:r>
        </a:p>
      </dgm:t>
    </dgm:pt>
    <dgm:pt modelId="{AD7DD4DB-1263-4B9C-B25D-AD46B2C13B03}" type="parTrans" cxnId="{D76DD7F0-16B2-41A1-8A4D-EA815E75D11C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67B0D0-CF18-44BD-93FB-9302503CC45F}" type="sibTrans" cxnId="{D76DD7F0-16B2-41A1-8A4D-EA815E75D11C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C2DEB4-DF35-436B-9457-2C1EBAF2E686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Технологический переход определяется ранее принятыми решениями, структурой экономики и накоплением компетенций в отрасли</a:t>
          </a:r>
        </a:p>
      </dgm:t>
    </dgm:pt>
    <dgm:pt modelId="{2C15D8D8-CD60-4A64-BB26-AD313DC9D7B3}" type="parTrans" cxnId="{75F11692-19FB-45C2-B200-187622D5EA6D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303E75-2BD8-4403-B26C-2C3D4B6F638B}" type="sibTrans" cxnId="{75F11692-19FB-45C2-B200-187622D5EA6D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911069-6114-4DAA-AC5D-910037D9B225}">
      <dgm:prSet phldrT="[Текст]" custT="1"/>
      <dgm:spPr/>
      <dgm:t>
        <a:bodyPr/>
        <a:lstStyle/>
        <a:p>
          <a:pPr>
            <a:buNone/>
          </a:pP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Коэволюция технологий и институтов</a:t>
          </a:r>
        </a:p>
      </dgm:t>
    </dgm:pt>
    <dgm:pt modelId="{F12AD1C0-7FFF-4DE1-A173-CC814E786516}" type="parTrans" cxnId="{EDEE58FC-EC6A-4774-BAD2-A2DC6B87DAF0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DA3833-7883-426E-9C45-7486823402E6}" type="sibTrans" cxnId="{EDEE58FC-EC6A-4774-BAD2-A2DC6B87DAF0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98F871-7D51-43A8-B1F0-5D9E52F17229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 изменения невозможны без синхронной адаптации нормативной базы, стандартов, тарифных механизмов и рыночных правил</a:t>
          </a:r>
        </a:p>
      </dgm:t>
    </dgm:pt>
    <dgm:pt modelId="{6D9167B8-B002-43AC-B5FA-E5CD38A1B880}" type="parTrans" cxnId="{6EA5F31F-7249-4D0E-B903-B1DBDED936AC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44C055-B59A-4FA6-8407-30AEDBF7C5D7}" type="sibTrans" cxnId="{6EA5F31F-7249-4D0E-B903-B1DBDED936AC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64206F-F85B-4DB0-B14D-2C4A3749A9BC}">
      <dgm:prSet phldrT="[Текст]" custT="1"/>
      <dgm:spPr/>
      <dgm:t>
        <a:bodyPr/>
        <a:lstStyle/>
        <a:p>
          <a:pPr>
            <a:buNone/>
          </a:pP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Нелинейность и стадийность развития</a:t>
          </a:r>
        </a:p>
      </dgm:t>
    </dgm:pt>
    <dgm:pt modelId="{DAE2C209-EDC4-407D-9B65-3C68A5A152E4}" type="parTrans" cxnId="{10A5CBB7-4525-43EF-8F42-052878EB5DA2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877ACC-4803-4210-B613-F2E3E02EA166}" type="sibTrans" cxnId="{10A5CBB7-4525-43EF-8F42-052878EB5DA2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195251-F234-4CF5-9133-DCB8650B1164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ВИЭ проходят последовательные этапы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 демонстрация, пилотное внедрение, масштабирование и доминирование</a:t>
          </a:r>
        </a:p>
      </dgm:t>
    </dgm:pt>
    <dgm:pt modelId="{30D7EC23-AEC1-4E72-9577-ED31CFBF9EB0}" type="parTrans" cxnId="{D7AA3430-B670-47F2-85DC-7157BD930873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1826C4-247D-4F98-87F4-A26A5AFBCAD6}" type="sibTrans" cxnId="{D7AA3430-B670-47F2-85DC-7157BD930873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406F93-CC82-414F-89B2-218C476DF81A}">
      <dgm:prSet phldrT="[Текст]" custT="1"/>
      <dgm:spPr/>
      <dgm:t>
        <a:bodyPr/>
        <a:lstStyle/>
        <a:p>
          <a:pPr>
            <a:buNone/>
          </a:pP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Критическая роль инноваций</a:t>
          </a:r>
        </a:p>
      </dgm:t>
    </dgm:pt>
    <dgm:pt modelId="{69993B20-8548-4B1D-A5DA-980975E2F85D}" type="parTrans" cxnId="{09D67433-6148-4F63-8316-D2725AB706B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0BAE68-898D-48BC-A7E0-BF688D9F443B}" type="sibTrans" cxnId="{09D67433-6148-4F63-8316-D2725AB706B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82B480-36B4-45C4-BBAC-7767E4C24EF2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Снижение себестоимости ВИЭ обусловлено эффектами обучения, масштабом производства, ростом квалификации персонала и развитием цепочек поставок</a:t>
          </a:r>
        </a:p>
      </dgm:t>
    </dgm:pt>
    <dgm:pt modelId="{FE8A1356-6CAD-46F8-AD9E-52C885B27FA5}" type="parTrans" cxnId="{E57F1C8D-2C88-493A-AD7C-13D0C426A475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C8AF8A-1A64-4416-AB61-4C6E5BD2123F}" type="sibTrans" cxnId="{E57F1C8D-2C88-493A-AD7C-13D0C426A475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182644-586D-4C0A-8DB1-0C6B344F4E99}">
      <dgm:prSet phldrT="[Текст]" custT="1"/>
      <dgm:spPr/>
      <dgm:t>
        <a:bodyPr/>
        <a:lstStyle/>
        <a:p>
          <a:pPr>
            <a:buNone/>
          </a:pP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Доминирующая функция государства</a:t>
          </a:r>
        </a:p>
      </dgm:t>
    </dgm:pt>
    <dgm:pt modelId="{9EBF716B-9133-4A67-9BA1-3D3AC6355904}" type="parTrans" cxnId="{7610598B-D421-4B2E-9C6B-6DE099E472B8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B5AACF-158C-4CB5-81F3-15D196B22889}" type="sibTrans" cxnId="{7610598B-D421-4B2E-9C6B-6DE099E472B8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2FC793-15E8-4525-883A-9C3A3BD6EFDE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В силу высокой неопределённости и длительного периода окупаемости государство обеспечивает долгосрочные стимулы, инвестиции в инфраструктуру</a:t>
          </a:r>
        </a:p>
      </dgm:t>
    </dgm:pt>
    <dgm:pt modelId="{4DF33414-E469-4FBA-A723-018492E7F325}" type="parTrans" cxnId="{40319112-A02A-47B5-AFA1-60AD101CDD18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985DA6-0F3E-418F-BB02-076FC3B70A12}" type="sibTrans" cxnId="{40319112-A02A-47B5-AFA1-60AD101CDD18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A22232-0DCA-42BA-BBED-97D9C2646F39}">
      <dgm:prSet phldrT="[Текст]" custT="1"/>
      <dgm:spPr/>
      <dgm:t>
        <a:bodyPr/>
        <a:lstStyle/>
        <a:p>
          <a:pPr>
            <a:buNone/>
          </a:pP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обратные связи</a:t>
          </a:r>
        </a:p>
      </dgm:t>
    </dgm:pt>
    <dgm:pt modelId="{D48CFB7D-2854-4961-95C0-6F8F69762FA1}" type="parTrans" cxnId="{98A4762F-6914-4732-8D60-49436F89DEB2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6EAE39-77FD-47CE-8D54-E1E649B2F2D0}" type="sibTrans" cxnId="{98A4762F-6914-4732-8D60-49436F89DEB2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44C40F-DF0E-4688-9E05-0A61457A16DA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>
              <a:latin typeface="Times New Roman" panose="02020603050405020304" pitchFamily="18" charset="0"/>
              <a:cs typeface="Times New Roman" panose="02020603050405020304" pitchFamily="18" charset="0"/>
            </a:rPr>
            <a:t>Увеличение установленной мощности вызывает снижение стоимости технологий, что стимулирует дальнейшее расширение сектора</a:t>
          </a:r>
        </a:p>
      </dgm:t>
    </dgm:pt>
    <dgm:pt modelId="{A6D334EE-07A7-448F-B3DB-77972BDBAD8D}" type="parTrans" cxnId="{74B69BEE-EBA4-4856-BD07-0D187C47E370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880FDD-23F8-42E0-B396-ED31B8D3E345}" type="sibTrans" cxnId="{74B69BEE-EBA4-4856-BD07-0D187C47E370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8DB73E-9848-4CAD-90C7-F1E4855F8532}" type="pres">
      <dgm:prSet presAssocID="{027662A5-487A-4827-BD86-CA5B5A4882C4}" presName="Name0" presStyleCnt="0">
        <dgm:presLayoutVars>
          <dgm:dir/>
          <dgm:animLvl val="lvl"/>
          <dgm:resizeHandles val="exact"/>
        </dgm:presLayoutVars>
      </dgm:prSet>
      <dgm:spPr/>
    </dgm:pt>
    <dgm:pt modelId="{1DD5F0E0-D93F-49F4-B6E9-A714F679C4FC}" type="pres">
      <dgm:prSet presAssocID="{CFA39D4D-305C-4012-8D16-D6E2CDE408E6}" presName="linNode" presStyleCnt="0"/>
      <dgm:spPr/>
    </dgm:pt>
    <dgm:pt modelId="{40E79FC2-2D71-41ED-93C6-8017C35E4B36}" type="pres">
      <dgm:prSet presAssocID="{CFA39D4D-305C-4012-8D16-D6E2CDE408E6}" presName="parentText" presStyleLbl="node1" presStyleIdx="0" presStyleCnt="6" custScaleX="71151">
        <dgm:presLayoutVars>
          <dgm:chMax val="1"/>
          <dgm:bulletEnabled val="1"/>
        </dgm:presLayoutVars>
      </dgm:prSet>
      <dgm:spPr/>
    </dgm:pt>
    <dgm:pt modelId="{E6E6361C-2E63-4D8A-8947-3E4A434C6E06}" type="pres">
      <dgm:prSet presAssocID="{CFA39D4D-305C-4012-8D16-D6E2CDE408E6}" presName="descendantText" presStyleLbl="alignAccFollowNode1" presStyleIdx="0" presStyleCnt="6">
        <dgm:presLayoutVars>
          <dgm:bulletEnabled val="1"/>
        </dgm:presLayoutVars>
      </dgm:prSet>
      <dgm:spPr/>
    </dgm:pt>
    <dgm:pt modelId="{6A9C473F-1EAE-43AF-B229-1504DFEEE6DF}" type="pres">
      <dgm:prSet presAssocID="{AB67B0D0-CF18-44BD-93FB-9302503CC45F}" presName="sp" presStyleCnt="0"/>
      <dgm:spPr/>
    </dgm:pt>
    <dgm:pt modelId="{9BFC4160-F444-42F3-A83E-D128F6CEDB5A}" type="pres">
      <dgm:prSet presAssocID="{48911069-6114-4DAA-AC5D-910037D9B225}" presName="linNode" presStyleCnt="0"/>
      <dgm:spPr/>
    </dgm:pt>
    <dgm:pt modelId="{93D75093-9755-4D3F-9582-0B78CCF2A112}" type="pres">
      <dgm:prSet presAssocID="{48911069-6114-4DAA-AC5D-910037D9B225}" presName="parentText" presStyleLbl="node1" presStyleIdx="1" presStyleCnt="6" custScaleX="72543">
        <dgm:presLayoutVars>
          <dgm:chMax val="1"/>
          <dgm:bulletEnabled val="1"/>
        </dgm:presLayoutVars>
      </dgm:prSet>
      <dgm:spPr/>
    </dgm:pt>
    <dgm:pt modelId="{E4B3C9E1-EB8D-4324-8998-BEE9017449AE}" type="pres">
      <dgm:prSet presAssocID="{48911069-6114-4DAA-AC5D-910037D9B225}" presName="descendantText" presStyleLbl="alignAccFollowNode1" presStyleIdx="1" presStyleCnt="6">
        <dgm:presLayoutVars>
          <dgm:bulletEnabled val="1"/>
        </dgm:presLayoutVars>
      </dgm:prSet>
      <dgm:spPr/>
    </dgm:pt>
    <dgm:pt modelId="{B8D75E4B-4B9B-49BF-B52F-46BF9630C1C3}" type="pres">
      <dgm:prSet presAssocID="{6CDA3833-7883-426E-9C45-7486823402E6}" presName="sp" presStyleCnt="0"/>
      <dgm:spPr/>
    </dgm:pt>
    <dgm:pt modelId="{55DFCEA3-56AC-4C3E-9298-623866B14219}" type="pres">
      <dgm:prSet presAssocID="{7A64206F-F85B-4DB0-B14D-2C4A3749A9BC}" presName="linNode" presStyleCnt="0"/>
      <dgm:spPr/>
    </dgm:pt>
    <dgm:pt modelId="{AC8B1E2A-6FE3-416B-BEA9-DA77C9D2589D}" type="pres">
      <dgm:prSet presAssocID="{7A64206F-F85B-4DB0-B14D-2C4A3749A9BC}" presName="parentText" presStyleLbl="node1" presStyleIdx="2" presStyleCnt="6" custScaleX="74812">
        <dgm:presLayoutVars>
          <dgm:chMax val="1"/>
          <dgm:bulletEnabled val="1"/>
        </dgm:presLayoutVars>
      </dgm:prSet>
      <dgm:spPr/>
    </dgm:pt>
    <dgm:pt modelId="{F0B989A9-BD48-4F53-B1EF-876D0716DCE8}" type="pres">
      <dgm:prSet presAssocID="{7A64206F-F85B-4DB0-B14D-2C4A3749A9BC}" presName="descendantText" presStyleLbl="alignAccFollowNode1" presStyleIdx="2" presStyleCnt="6">
        <dgm:presLayoutVars>
          <dgm:bulletEnabled val="1"/>
        </dgm:presLayoutVars>
      </dgm:prSet>
      <dgm:spPr/>
    </dgm:pt>
    <dgm:pt modelId="{629DB576-A0A9-47DF-920D-7A7176E7EEB3}" type="pres">
      <dgm:prSet presAssocID="{E0877ACC-4803-4210-B613-F2E3E02EA166}" presName="sp" presStyleCnt="0"/>
      <dgm:spPr/>
    </dgm:pt>
    <dgm:pt modelId="{4B11F418-3671-4386-B066-F9C2F0FFAA68}" type="pres">
      <dgm:prSet presAssocID="{72406F93-CC82-414F-89B2-218C476DF81A}" presName="linNode" presStyleCnt="0"/>
      <dgm:spPr/>
    </dgm:pt>
    <dgm:pt modelId="{5D601650-52D8-42DE-8736-A72819BF68CD}" type="pres">
      <dgm:prSet presAssocID="{72406F93-CC82-414F-89B2-218C476DF81A}" presName="parentText" presStyleLbl="node1" presStyleIdx="3" presStyleCnt="6" custScaleX="73897">
        <dgm:presLayoutVars>
          <dgm:chMax val="1"/>
          <dgm:bulletEnabled val="1"/>
        </dgm:presLayoutVars>
      </dgm:prSet>
      <dgm:spPr/>
    </dgm:pt>
    <dgm:pt modelId="{81C66EE4-54E4-46FC-BF5F-F9BECE9D15B8}" type="pres">
      <dgm:prSet presAssocID="{72406F93-CC82-414F-89B2-218C476DF81A}" presName="descendantText" presStyleLbl="alignAccFollowNode1" presStyleIdx="3" presStyleCnt="6">
        <dgm:presLayoutVars>
          <dgm:bulletEnabled val="1"/>
        </dgm:presLayoutVars>
      </dgm:prSet>
      <dgm:spPr/>
    </dgm:pt>
    <dgm:pt modelId="{ADB5C051-3CE2-4390-B134-751B55309E30}" type="pres">
      <dgm:prSet presAssocID="{7F0BAE68-898D-48BC-A7E0-BF688D9F443B}" presName="sp" presStyleCnt="0"/>
      <dgm:spPr/>
    </dgm:pt>
    <dgm:pt modelId="{43230258-035A-4D76-8D4C-866B9510B8BD}" type="pres">
      <dgm:prSet presAssocID="{0D182644-586D-4C0A-8DB1-0C6B344F4E99}" presName="linNode" presStyleCnt="0"/>
      <dgm:spPr/>
    </dgm:pt>
    <dgm:pt modelId="{1464D2AA-84AD-45A2-9A8B-53B86D3347DC}" type="pres">
      <dgm:prSet presAssocID="{0D182644-586D-4C0A-8DB1-0C6B344F4E99}" presName="parentText" presStyleLbl="node1" presStyleIdx="4" presStyleCnt="6" custScaleX="74812">
        <dgm:presLayoutVars>
          <dgm:chMax val="1"/>
          <dgm:bulletEnabled val="1"/>
        </dgm:presLayoutVars>
      </dgm:prSet>
      <dgm:spPr/>
    </dgm:pt>
    <dgm:pt modelId="{C0CCDE34-ED93-4B67-9CC6-D9145C548982}" type="pres">
      <dgm:prSet presAssocID="{0D182644-586D-4C0A-8DB1-0C6B344F4E99}" presName="descendantText" presStyleLbl="alignAccFollowNode1" presStyleIdx="4" presStyleCnt="6">
        <dgm:presLayoutVars>
          <dgm:bulletEnabled val="1"/>
        </dgm:presLayoutVars>
      </dgm:prSet>
      <dgm:spPr/>
    </dgm:pt>
    <dgm:pt modelId="{3C9C61C4-9962-4367-9228-D0E40483DD08}" type="pres">
      <dgm:prSet presAssocID="{D9B5AACF-158C-4CB5-81F3-15D196B22889}" presName="sp" presStyleCnt="0"/>
      <dgm:spPr/>
    </dgm:pt>
    <dgm:pt modelId="{D814D739-1BB2-424E-A4D2-DF71995B44EF}" type="pres">
      <dgm:prSet presAssocID="{02A22232-0DCA-42BA-BBED-97D9C2646F39}" presName="linNode" presStyleCnt="0"/>
      <dgm:spPr/>
    </dgm:pt>
    <dgm:pt modelId="{50B8D8F7-3613-47FC-B34C-14A58E793F78}" type="pres">
      <dgm:prSet presAssocID="{02A22232-0DCA-42BA-BBED-97D9C2646F39}" presName="parentText" presStyleLbl="node1" presStyleIdx="5" presStyleCnt="6" custScaleX="73897">
        <dgm:presLayoutVars>
          <dgm:chMax val="1"/>
          <dgm:bulletEnabled val="1"/>
        </dgm:presLayoutVars>
      </dgm:prSet>
      <dgm:spPr/>
    </dgm:pt>
    <dgm:pt modelId="{6A72675F-3234-45F9-8E99-5AE4CDE0C2CB}" type="pres">
      <dgm:prSet presAssocID="{02A22232-0DCA-42BA-BBED-97D9C2646F39}" presName="descendantText" presStyleLbl="alignAccFollowNode1" presStyleIdx="5" presStyleCnt="6">
        <dgm:presLayoutVars>
          <dgm:bulletEnabled val="1"/>
        </dgm:presLayoutVars>
      </dgm:prSet>
      <dgm:spPr/>
    </dgm:pt>
  </dgm:ptLst>
  <dgm:cxnLst>
    <dgm:cxn modelId="{40319112-A02A-47B5-AFA1-60AD101CDD18}" srcId="{0D182644-586D-4C0A-8DB1-0C6B344F4E99}" destId="{712FC793-15E8-4525-883A-9C3A3BD6EFDE}" srcOrd="0" destOrd="0" parTransId="{4DF33414-E469-4FBA-A723-018492E7F325}" sibTransId="{65985DA6-0F3E-418F-BB02-076FC3B70A12}"/>
    <dgm:cxn modelId="{4522B01C-8081-4351-B9FD-C43D9D08FADD}" type="presOf" srcId="{8F195251-F234-4CF5-9133-DCB8650B1164}" destId="{F0B989A9-BD48-4F53-B1EF-876D0716DCE8}" srcOrd="0" destOrd="0" presId="urn:microsoft.com/office/officeart/2005/8/layout/vList5"/>
    <dgm:cxn modelId="{6EA5F31F-7249-4D0E-B903-B1DBDED936AC}" srcId="{48911069-6114-4DAA-AC5D-910037D9B225}" destId="{EF98F871-7D51-43A8-B1F0-5D9E52F17229}" srcOrd="0" destOrd="0" parTransId="{6D9167B8-B002-43AC-B5FA-E5CD38A1B880}" sibTransId="{6744C055-B59A-4FA6-8407-30AEDBF7C5D7}"/>
    <dgm:cxn modelId="{A7D6832E-1749-4447-A8D6-A0D17EB5C24C}" type="presOf" srcId="{02A22232-0DCA-42BA-BBED-97D9C2646F39}" destId="{50B8D8F7-3613-47FC-B34C-14A58E793F78}" srcOrd="0" destOrd="0" presId="urn:microsoft.com/office/officeart/2005/8/layout/vList5"/>
    <dgm:cxn modelId="{98A4762F-6914-4732-8D60-49436F89DEB2}" srcId="{027662A5-487A-4827-BD86-CA5B5A4882C4}" destId="{02A22232-0DCA-42BA-BBED-97D9C2646F39}" srcOrd="5" destOrd="0" parTransId="{D48CFB7D-2854-4961-95C0-6F8F69762FA1}" sibTransId="{FB6EAE39-77FD-47CE-8D54-E1E649B2F2D0}"/>
    <dgm:cxn modelId="{D7AA3430-B670-47F2-85DC-7157BD930873}" srcId="{7A64206F-F85B-4DB0-B14D-2C4A3749A9BC}" destId="{8F195251-F234-4CF5-9133-DCB8650B1164}" srcOrd="0" destOrd="0" parTransId="{30D7EC23-AEC1-4E72-9577-ED31CFBF9EB0}" sibTransId="{901826C4-247D-4F98-87F4-A26A5AFBCAD6}"/>
    <dgm:cxn modelId="{09D67433-6148-4F63-8316-D2725AB706BA}" srcId="{027662A5-487A-4827-BD86-CA5B5A4882C4}" destId="{72406F93-CC82-414F-89B2-218C476DF81A}" srcOrd="3" destOrd="0" parTransId="{69993B20-8548-4B1D-A5DA-980975E2F85D}" sibTransId="{7F0BAE68-898D-48BC-A7E0-BF688D9F443B}"/>
    <dgm:cxn modelId="{0B7F8533-26C8-44B0-8755-69602508FA97}" type="presOf" srcId="{7A64206F-F85B-4DB0-B14D-2C4A3749A9BC}" destId="{AC8B1E2A-6FE3-416B-BEA9-DA77C9D2589D}" srcOrd="0" destOrd="0" presId="urn:microsoft.com/office/officeart/2005/8/layout/vList5"/>
    <dgm:cxn modelId="{678D9875-C0F5-4F37-B982-CAA4E341E78E}" type="presOf" srcId="{F782B480-36B4-45C4-BBAC-7767E4C24EF2}" destId="{81C66EE4-54E4-46FC-BF5F-F9BECE9D15B8}" srcOrd="0" destOrd="0" presId="urn:microsoft.com/office/officeart/2005/8/layout/vList5"/>
    <dgm:cxn modelId="{C860BB75-9078-4F7D-81DF-CF2A0EC1BCC6}" type="presOf" srcId="{712FC793-15E8-4525-883A-9C3A3BD6EFDE}" destId="{C0CCDE34-ED93-4B67-9CC6-D9145C548982}" srcOrd="0" destOrd="0" presId="urn:microsoft.com/office/officeart/2005/8/layout/vList5"/>
    <dgm:cxn modelId="{2889A889-2DD0-492E-B8D8-294E94B75AF4}" type="presOf" srcId="{48911069-6114-4DAA-AC5D-910037D9B225}" destId="{93D75093-9755-4D3F-9582-0B78CCF2A112}" srcOrd="0" destOrd="0" presId="urn:microsoft.com/office/officeart/2005/8/layout/vList5"/>
    <dgm:cxn modelId="{7610598B-D421-4B2E-9C6B-6DE099E472B8}" srcId="{027662A5-487A-4827-BD86-CA5B5A4882C4}" destId="{0D182644-586D-4C0A-8DB1-0C6B344F4E99}" srcOrd="4" destOrd="0" parTransId="{9EBF716B-9133-4A67-9BA1-3D3AC6355904}" sibTransId="{D9B5AACF-158C-4CB5-81F3-15D196B22889}"/>
    <dgm:cxn modelId="{E57F1C8D-2C88-493A-AD7C-13D0C426A475}" srcId="{72406F93-CC82-414F-89B2-218C476DF81A}" destId="{F782B480-36B4-45C4-BBAC-7767E4C24EF2}" srcOrd="0" destOrd="0" parTransId="{FE8A1356-6CAD-46F8-AD9E-52C885B27FA5}" sibTransId="{9CC8AF8A-1A64-4416-AB61-4C6E5BD2123F}"/>
    <dgm:cxn modelId="{75F11692-19FB-45C2-B200-187622D5EA6D}" srcId="{CFA39D4D-305C-4012-8D16-D6E2CDE408E6}" destId="{D3C2DEB4-DF35-436B-9457-2C1EBAF2E686}" srcOrd="0" destOrd="0" parTransId="{2C15D8D8-CD60-4A64-BB26-AD313DC9D7B3}" sibTransId="{27303E75-2BD8-4403-B26C-2C3D4B6F638B}"/>
    <dgm:cxn modelId="{13A58D9B-8C5E-458D-8CA8-3A9E53054B5B}" type="presOf" srcId="{0D182644-586D-4C0A-8DB1-0C6B344F4E99}" destId="{1464D2AA-84AD-45A2-9A8B-53B86D3347DC}" srcOrd="0" destOrd="0" presId="urn:microsoft.com/office/officeart/2005/8/layout/vList5"/>
    <dgm:cxn modelId="{10A5CBB7-4525-43EF-8F42-052878EB5DA2}" srcId="{027662A5-487A-4827-BD86-CA5B5A4882C4}" destId="{7A64206F-F85B-4DB0-B14D-2C4A3749A9BC}" srcOrd="2" destOrd="0" parTransId="{DAE2C209-EDC4-407D-9B65-3C68A5A152E4}" sibTransId="{E0877ACC-4803-4210-B613-F2E3E02EA166}"/>
    <dgm:cxn modelId="{9FF812C0-5BD3-4E56-82F6-5BCA814A9B83}" type="presOf" srcId="{3644C40F-DF0E-4688-9E05-0A61457A16DA}" destId="{6A72675F-3234-45F9-8E99-5AE4CDE0C2CB}" srcOrd="0" destOrd="0" presId="urn:microsoft.com/office/officeart/2005/8/layout/vList5"/>
    <dgm:cxn modelId="{9289D0C0-01C0-4D92-89F0-A2BB7F4EE501}" type="presOf" srcId="{CFA39D4D-305C-4012-8D16-D6E2CDE408E6}" destId="{40E79FC2-2D71-41ED-93C6-8017C35E4B36}" srcOrd="0" destOrd="0" presId="urn:microsoft.com/office/officeart/2005/8/layout/vList5"/>
    <dgm:cxn modelId="{DE4775C4-ABCC-452F-83E9-8E554F07638C}" type="presOf" srcId="{EF98F871-7D51-43A8-B1F0-5D9E52F17229}" destId="{E4B3C9E1-EB8D-4324-8998-BEE9017449AE}" srcOrd="0" destOrd="0" presId="urn:microsoft.com/office/officeart/2005/8/layout/vList5"/>
    <dgm:cxn modelId="{D16FB7EB-9E71-4B5D-8EBA-40207532488E}" type="presOf" srcId="{72406F93-CC82-414F-89B2-218C476DF81A}" destId="{5D601650-52D8-42DE-8736-A72819BF68CD}" srcOrd="0" destOrd="0" presId="urn:microsoft.com/office/officeart/2005/8/layout/vList5"/>
    <dgm:cxn modelId="{3D4997EC-AFAD-4316-B2C9-F734FDC0C85A}" type="presOf" srcId="{027662A5-487A-4827-BD86-CA5B5A4882C4}" destId="{F28DB73E-9848-4CAD-90C7-F1E4855F8532}" srcOrd="0" destOrd="0" presId="urn:microsoft.com/office/officeart/2005/8/layout/vList5"/>
    <dgm:cxn modelId="{74B69BEE-EBA4-4856-BD07-0D187C47E370}" srcId="{02A22232-0DCA-42BA-BBED-97D9C2646F39}" destId="{3644C40F-DF0E-4688-9E05-0A61457A16DA}" srcOrd="0" destOrd="0" parTransId="{A6D334EE-07A7-448F-B3DB-77972BDBAD8D}" sibTransId="{0A880FDD-23F8-42E0-B396-ED31B8D3E345}"/>
    <dgm:cxn modelId="{D76DD7F0-16B2-41A1-8A4D-EA815E75D11C}" srcId="{027662A5-487A-4827-BD86-CA5B5A4882C4}" destId="{CFA39D4D-305C-4012-8D16-D6E2CDE408E6}" srcOrd="0" destOrd="0" parTransId="{AD7DD4DB-1263-4B9C-B25D-AD46B2C13B03}" sibTransId="{AB67B0D0-CF18-44BD-93FB-9302503CC45F}"/>
    <dgm:cxn modelId="{EDEE58FC-EC6A-4774-BAD2-A2DC6B87DAF0}" srcId="{027662A5-487A-4827-BD86-CA5B5A4882C4}" destId="{48911069-6114-4DAA-AC5D-910037D9B225}" srcOrd="1" destOrd="0" parTransId="{F12AD1C0-7FFF-4DE1-A173-CC814E786516}" sibTransId="{6CDA3833-7883-426E-9C45-7486823402E6}"/>
    <dgm:cxn modelId="{1F3881FF-AA85-41CD-A26D-C60F02FF46B5}" type="presOf" srcId="{D3C2DEB4-DF35-436B-9457-2C1EBAF2E686}" destId="{E6E6361C-2E63-4D8A-8947-3E4A434C6E06}" srcOrd="0" destOrd="0" presId="urn:microsoft.com/office/officeart/2005/8/layout/vList5"/>
    <dgm:cxn modelId="{B09DC9E3-4949-4F77-97E3-2A99495B97E5}" type="presParOf" srcId="{F28DB73E-9848-4CAD-90C7-F1E4855F8532}" destId="{1DD5F0E0-D93F-49F4-B6E9-A714F679C4FC}" srcOrd="0" destOrd="0" presId="urn:microsoft.com/office/officeart/2005/8/layout/vList5"/>
    <dgm:cxn modelId="{3487EF3A-052E-484C-8762-4E5DAE2E3160}" type="presParOf" srcId="{1DD5F0E0-D93F-49F4-B6E9-A714F679C4FC}" destId="{40E79FC2-2D71-41ED-93C6-8017C35E4B36}" srcOrd="0" destOrd="0" presId="urn:microsoft.com/office/officeart/2005/8/layout/vList5"/>
    <dgm:cxn modelId="{416FC2C4-7235-4836-9D70-1FCAD37EA143}" type="presParOf" srcId="{1DD5F0E0-D93F-49F4-B6E9-A714F679C4FC}" destId="{E6E6361C-2E63-4D8A-8947-3E4A434C6E06}" srcOrd="1" destOrd="0" presId="urn:microsoft.com/office/officeart/2005/8/layout/vList5"/>
    <dgm:cxn modelId="{14D771A9-1838-4792-BB65-17582CFE47E7}" type="presParOf" srcId="{F28DB73E-9848-4CAD-90C7-F1E4855F8532}" destId="{6A9C473F-1EAE-43AF-B229-1504DFEEE6DF}" srcOrd="1" destOrd="0" presId="urn:microsoft.com/office/officeart/2005/8/layout/vList5"/>
    <dgm:cxn modelId="{1A941BA9-A9F4-40B5-8D79-51B320C80ACA}" type="presParOf" srcId="{F28DB73E-9848-4CAD-90C7-F1E4855F8532}" destId="{9BFC4160-F444-42F3-A83E-D128F6CEDB5A}" srcOrd="2" destOrd="0" presId="urn:microsoft.com/office/officeart/2005/8/layout/vList5"/>
    <dgm:cxn modelId="{DD6DF595-961E-4FFB-AE7D-4058A99FD854}" type="presParOf" srcId="{9BFC4160-F444-42F3-A83E-D128F6CEDB5A}" destId="{93D75093-9755-4D3F-9582-0B78CCF2A112}" srcOrd="0" destOrd="0" presId="urn:microsoft.com/office/officeart/2005/8/layout/vList5"/>
    <dgm:cxn modelId="{A40E689A-E621-482E-B5F0-B7175120FB32}" type="presParOf" srcId="{9BFC4160-F444-42F3-A83E-D128F6CEDB5A}" destId="{E4B3C9E1-EB8D-4324-8998-BEE9017449AE}" srcOrd="1" destOrd="0" presId="urn:microsoft.com/office/officeart/2005/8/layout/vList5"/>
    <dgm:cxn modelId="{3EF21BCC-C1EA-43C2-891A-B0743CA26B01}" type="presParOf" srcId="{F28DB73E-9848-4CAD-90C7-F1E4855F8532}" destId="{B8D75E4B-4B9B-49BF-B52F-46BF9630C1C3}" srcOrd="3" destOrd="0" presId="urn:microsoft.com/office/officeart/2005/8/layout/vList5"/>
    <dgm:cxn modelId="{F6EF7685-AC51-4705-972C-69417007EA99}" type="presParOf" srcId="{F28DB73E-9848-4CAD-90C7-F1E4855F8532}" destId="{55DFCEA3-56AC-4C3E-9298-623866B14219}" srcOrd="4" destOrd="0" presId="urn:microsoft.com/office/officeart/2005/8/layout/vList5"/>
    <dgm:cxn modelId="{2560668F-C4A9-460D-B024-08F1560FC997}" type="presParOf" srcId="{55DFCEA3-56AC-4C3E-9298-623866B14219}" destId="{AC8B1E2A-6FE3-416B-BEA9-DA77C9D2589D}" srcOrd="0" destOrd="0" presId="urn:microsoft.com/office/officeart/2005/8/layout/vList5"/>
    <dgm:cxn modelId="{06BAE7F7-2D0B-43A1-88AC-A454DE6BA9CB}" type="presParOf" srcId="{55DFCEA3-56AC-4C3E-9298-623866B14219}" destId="{F0B989A9-BD48-4F53-B1EF-876D0716DCE8}" srcOrd="1" destOrd="0" presId="urn:microsoft.com/office/officeart/2005/8/layout/vList5"/>
    <dgm:cxn modelId="{45F988CA-095F-48D7-9A97-1976DFCDA902}" type="presParOf" srcId="{F28DB73E-9848-4CAD-90C7-F1E4855F8532}" destId="{629DB576-A0A9-47DF-920D-7A7176E7EEB3}" srcOrd="5" destOrd="0" presId="urn:microsoft.com/office/officeart/2005/8/layout/vList5"/>
    <dgm:cxn modelId="{5AF55EA7-080F-4862-B75E-1EAE273FA1C5}" type="presParOf" srcId="{F28DB73E-9848-4CAD-90C7-F1E4855F8532}" destId="{4B11F418-3671-4386-B066-F9C2F0FFAA68}" srcOrd="6" destOrd="0" presId="urn:microsoft.com/office/officeart/2005/8/layout/vList5"/>
    <dgm:cxn modelId="{86E1C373-E74C-4D39-A508-5E8D27AA99E6}" type="presParOf" srcId="{4B11F418-3671-4386-B066-F9C2F0FFAA68}" destId="{5D601650-52D8-42DE-8736-A72819BF68CD}" srcOrd="0" destOrd="0" presId="urn:microsoft.com/office/officeart/2005/8/layout/vList5"/>
    <dgm:cxn modelId="{8AD8DDCF-1E94-4072-8EC9-6B852737E00C}" type="presParOf" srcId="{4B11F418-3671-4386-B066-F9C2F0FFAA68}" destId="{81C66EE4-54E4-46FC-BF5F-F9BECE9D15B8}" srcOrd="1" destOrd="0" presId="urn:microsoft.com/office/officeart/2005/8/layout/vList5"/>
    <dgm:cxn modelId="{29E0EC6C-A0C1-4DD5-AD44-DE3BCF99F1A5}" type="presParOf" srcId="{F28DB73E-9848-4CAD-90C7-F1E4855F8532}" destId="{ADB5C051-3CE2-4390-B134-751B55309E30}" srcOrd="7" destOrd="0" presId="urn:microsoft.com/office/officeart/2005/8/layout/vList5"/>
    <dgm:cxn modelId="{4DAD1A98-0949-4B75-AF81-FA9A221E5156}" type="presParOf" srcId="{F28DB73E-9848-4CAD-90C7-F1E4855F8532}" destId="{43230258-035A-4D76-8D4C-866B9510B8BD}" srcOrd="8" destOrd="0" presId="urn:microsoft.com/office/officeart/2005/8/layout/vList5"/>
    <dgm:cxn modelId="{97635703-8464-4AC1-8C47-9C8F5BF8EDCC}" type="presParOf" srcId="{43230258-035A-4D76-8D4C-866B9510B8BD}" destId="{1464D2AA-84AD-45A2-9A8B-53B86D3347DC}" srcOrd="0" destOrd="0" presId="urn:microsoft.com/office/officeart/2005/8/layout/vList5"/>
    <dgm:cxn modelId="{98573782-F421-4B1A-8201-EBF2163457A0}" type="presParOf" srcId="{43230258-035A-4D76-8D4C-866B9510B8BD}" destId="{C0CCDE34-ED93-4B67-9CC6-D9145C548982}" srcOrd="1" destOrd="0" presId="urn:microsoft.com/office/officeart/2005/8/layout/vList5"/>
    <dgm:cxn modelId="{9730EFD7-159B-45FC-9F88-008FC02334C3}" type="presParOf" srcId="{F28DB73E-9848-4CAD-90C7-F1E4855F8532}" destId="{3C9C61C4-9962-4367-9228-D0E40483DD08}" srcOrd="9" destOrd="0" presId="urn:microsoft.com/office/officeart/2005/8/layout/vList5"/>
    <dgm:cxn modelId="{6D5EE5C8-AD3B-413C-A99B-8C83D23390DB}" type="presParOf" srcId="{F28DB73E-9848-4CAD-90C7-F1E4855F8532}" destId="{D814D739-1BB2-424E-A4D2-DF71995B44EF}" srcOrd="10" destOrd="0" presId="urn:microsoft.com/office/officeart/2005/8/layout/vList5"/>
    <dgm:cxn modelId="{5DE6589D-ACA4-42A5-833D-B4BABDCB8E08}" type="presParOf" srcId="{D814D739-1BB2-424E-A4D2-DF71995B44EF}" destId="{50B8D8F7-3613-47FC-B34C-14A58E793F78}" srcOrd="0" destOrd="0" presId="urn:microsoft.com/office/officeart/2005/8/layout/vList5"/>
    <dgm:cxn modelId="{5D6D1F8C-CBCB-4523-8404-A2F207429B99}" type="presParOf" srcId="{D814D739-1BB2-424E-A4D2-DF71995B44EF}" destId="{6A72675F-3234-45F9-8E99-5AE4CDE0C2CB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BE201F0-DAFD-47ED-ABA8-0825B4C9E723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KZ"/>
        </a:p>
      </dgm:t>
    </dgm:pt>
    <dgm:pt modelId="{66313E19-ED44-437D-B5F7-3D29954E7F1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ГОСУДАРСТВЕННОЕ РЕГУЛИРОВАНИЕ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64E9CA-93EA-4D76-BFA7-138F7AF5E6C4}" type="parTrans" cxnId="{2F4F509A-F26F-457E-BB0F-C2B3C8977BDD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F9D681-4D24-44EC-ADB2-EC789EDCA16D}" type="sibTrans" cxnId="{2F4F509A-F26F-457E-BB0F-C2B3C8977BDD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5B2B12-8368-49D5-A94B-A60A015BB0D6}">
      <dgm:prSet phldrT="[Текст]"/>
      <dgm:spPr/>
      <dgm:t>
        <a:bodyPr/>
        <a:lstStyle/>
        <a:p>
          <a:pPr>
            <a:buNone/>
          </a:pPr>
          <a:r>
            <a:rPr lang="ru-KZ">
              <a:latin typeface="Times New Roman" panose="02020603050405020304" pitchFamily="18" charset="0"/>
              <a:cs typeface="Times New Roman" panose="02020603050405020304" pitchFamily="18" charset="0"/>
            </a:rPr>
            <a:t>Правовые и экономические стимулы</a:t>
          </a:r>
        </a:p>
      </dgm:t>
    </dgm:pt>
    <dgm:pt modelId="{22420CB1-8D15-4437-8596-F72162BFF00F}" type="parTrans" cxnId="{42E730B5-C2DB-4D0D-8239-10E55CB3812B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F54581-5765-476B-99FB-853BDA519D71}" type="sibTrans" cxnId="{42E730B5-C2DB-4D0D-8239-10E55CB3812B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780125-8E74-428D-B1B6-415B1AF00023}">
      <dgm:prSet phldrT="[Текст]"/>
      <dgm:spPr/>
      <dgm:t>
        <a:bodyPr/>
        <a:lstStyle/>
        <a:p>
          <a:pPr>
            <a:buNone/>
          </a:pPr>
          <a:r>
            <a:rPr lang="ru-KZ">
              <a:latin typeface="Times New Roman" panose="02020603050405020304" pitchFamily="18" charset="0"/>
              <a:cs typeface="Times New Roman" panose="02020603050405020304" pitchFamily="18" charset="0"/>
            </a:rPr>
            <a:t>Научно-техническая поддержка (НИОКР, инновации, R&amp;D)</a:t>
          </a:r>
        </a:p>
      </dgm:t>
    </dgm:pt>
    <dgm:pt modelId="{DC10B1E7-60BF-492E-B07A-05C8795B5E61}" type="parTrans" cxnId="{6FC83A4F-F9BD-44BD-9F90-5EC4937FFB68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F3E9B3-74EE-4FC4-BD5F-3ACEB625778E}" type="sibTrans" cxnId="{6FC83A4F-F9BD-44BD-9F90-5EC4937FFB68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778E5C-327D-4A24-B681-C9FCAE43E571}">
      <dgm:prSet phldrT="[Текст]"/>
      <dgm:spPr/>
      <dgm:t>
        <a:bodyPr/>
        <a:lstStyle/>
        <a:p>
          <a:pPr>
            <a:buNone/>
          </a:pPr>
          <a:r>
            <a:rPr lang="ru-KZ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Инфраструктурная интеграция ВИЭ и развитие сетей</a:t>
          </a:r>
        </a:p>
      </dgm:t>
    </dgm:pt>
    <dgm:pt modelId="{443FABC3-DB67-4286-8E83-59D10916B26B}" type="parTrans" cxnId="{8D1A8717-8A36-40D8-8FBA-CF62F1524980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D70F78-2FE6-4CEE-81CC-69C1FC0AAAA5}" type="sibTrans" cxnId="{8D1A8717-8A36-40D8-8FBA-CF62F1524980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2E9986-18B9-4099-A9D6-7C1B185E3378}" type="asst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УСТОЙЧИВЫЙ ЭНЕРГЕТИЧЕСКИЙ ЦИКЛ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7ABB11-8E69-45FB-A2D1-C2F0F0FA8AD5}" type="sibTrans" cxnId="{CE3ED23D-9E9A-4115-A523-1087B7F4145D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BA3147-DD40-45B3-9ED0-68776A231F9C}" type="parTrans" cxnId="{CE3ED23D-9E9A-4115-A523-1087B7F4145D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E580B3-753E-4CE9-9A4F-D94C71C04232}" type="asst">
      <dgm:prSet phldrT="[Текст]"/>
      <dgm:spPr/>
      <dgm:t>
        <a:bodyPr/>
        <a:lstStyle/>
        <a:p>
          <a:pPr>
            <a:buNone/>
          </a:pPr>
          <a:r>
            <a:rPr lang="ru-KZ">
              <a:latin typeface="Times New Roman" panose="02020603050405020304" pitchFamily="18" charset="0"/>
              <a:cs typeface="Times New Roman" panose="02020603050405020304" pitchFamily="18" charset="0"/>
            </a:rPr>
            <a:t>Институциональное обеспечение и координация участников рынка ВИЭ</a:t>
          </a:r>
        </a:p>
      </dgm:t>
    </dgm:pt>
    <dgm:pt modelId="{26CD6D85-999E-44AA-94A9-F9C75C8A3584}" type="parTrans" cxnId="{06B52CEB-986F-4277-9748-EC5184CF1FE1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C16248-70E0-4C88-ACF0-18BE9A74C0A7}" type="sibTrans" cxnId="{06B52CEB-986F-4277-9748-EC5184CF1FE1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1F9BD2-94CC-472B-BC3D-387CC76A3DF1}" type="asst">
      <dgm:prSet phldrT="[Текст]"/>
      <dgm:spPr/>
      <dgm:t>
        <a:bodyPr/>
        <a:lstStyle/>
        <a:p>
          <a:pPr>
            <a:buNone/>
          </a:pPr>
          <a:r>
            <a:rPr lang="ru-KZ">
              <a:latin typeface="Times New Roman" panose="02020603050405020304" pitchFamily="18" charset="0"/>
              <a:cs typeface="Times New Roman" panose="02020603050405020304" pitchFamily="18" charset="0"/>
            </a:rPr>
            <a:t>Энергетическая безопасность и диверсификация источников</a:t>
          </a:r>
        </a:p>
      </dgm:t>
    </dgm:pt>
    <dgm:pt modelId="{D93EA928-84EE-4E2D-9B3F-6844AEEC9B65}" type="parTrans" cxnId="{FF2037D0-16C2-4ED9-A880-E3BC771A2A7A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299848-9C11-4A0E-8F16-87EDA956ABEE}" type="sibTrans" cxnId="{FF2037D0-16C2-4ED9-A880-E3BC771A2A7A}">
      <dgm:prSet/>
      <dgm:spPr/>
      <dgm:t>
        <a:bodyPr/>
        <a:lstStyle/>
        <a:p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6EF29B-BDA5-4543-A388-0F9C45259D65}" type="pres">
      <dgm:prSet presAssocID="{8BE201F0-DAFD-47ED-ABA8-0825B4C9E72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28CAFB4-2989-410A-A1B7-78F554B53625}" type="pres">
      <dgm:prSet presAssocID="{66313E19-ED44-437D-B5F7-3D29954E7F15}" presName="hierRoot1" presStyleCnt="0">
        <dgm:presLayoutVars>
          <dgm:hierBranch val="init"/>
        </dgm:presLayoutVars>
      </dgm:prSet>
      <dgm:spPr/>
    </dgm:pt>
    <dgm:pt modelId="{8BF01016-A58B-4E63-871C-311B9E201D78}" type="pres">
      <dgm:prSet presAssocID="{66313E19-ED44-437D-B5F7-3D29954E7F15}" presName="rootComposite1" presStyleCnt="0"/>
      <dgm:spPr/>
    </dgm:pt>
    <dgm:pt modelId="{C0CEF0C2-318A-417C-8A34-156A5C718EBF}" type="pres">
      <dgm:prSet presAssocID="{66313E19-ED44-437D-B5F7-3D29954E7F15}" presName="rootText1" presStyleLbl="node0" presStyleIdx="0" presStyleCnt="1" custScaleX="181711" custLinFactNeighborX="5939" custLinFactNeighborY="-16694">
        <dgm:presLayoutVars>
          <dgm:chPref val="3"/>
        </dgm:presLayoutVars>
      </dgm:prSet>
      <dgm:spPr/>
    </dgm:pt>
    <dgm:pt modelId="{F72CEF13-922E-428C-BE69-883EFD0CFA8B}" type="pres">
      <dgm:prSet presAssocID="{66313E19-ED44-437D-B5F7-3D29954E7F15}" presName="rootConnector1" presStyleLbl="node1" presStyleIdx="0" presStyleCnt="0"/>
      <dgm:spPr/>
    </dgm:pt>
    <dgm:pt modelId="{8D307CD8-695A-42FA-A269-A7110C0DC2AA}" type="pres">
      <dgm:prSet presAssocID="{66313E19-ED44-437D-B5F7-3D29954E7F15}" presName="hierChild2" presStyleCnt="0"/>
      <dgm:spPr/>
    </dgm:pt>
    <dgm:pt modelId="{D51F3BE7-53B5-41F7-9680-2E81B2BB393A}" type="pres">
      <dgm:prSet presAssocID="{22420CB1-8D15-4437-8596-F72162BFF00F}" presName="Name37" presStyleLbl="parChTrans1D2" presStyleIdx="0" presStyleCnt="6"/>
      <dgm:spPr/>
    </dgm:pt>
    <dgm:pt modelId="{AC828967-D7DF-4938-916A-FE5702D52D96}" type="pres">
      <dgm:prSet presAssocID="{7F5B2B12-8368-49D5-A94B-A60A015BB0D6}" presName="hierRoot2" presStyleCnt="0">
        <dgm:presLayoutVars>
          <dgm:hierBranch val="init"/>
        </dgm:presLayoutVars>
      </dgm:prSet>
      <dgm:spPr/>
    </dgm:pt>
    <dgm:pt modelId="{9EB99EBB-1C1A-45E0-A573-976248429F88}" type="pres">
      <dgm:prSet presAssocID="{7F5B2B12-8368-49D5-A94B-A60A015BB0D6}" presName="rootComposite" presStyleCnt="0"/>
      <dgm:spPr/>
    </dgm:pt>
    <dgm:pt modelId="{4CF39066-B04C-4E80-B25A-64DB69AA392C}" type="pres">
      <dgm:prSet presAssocID="{7F5B2B12-8368-49D5-A94B-A60A015BB0D6}" presName="rootText" presStyleLbl="node2" presStyleIdx="0" presStyleCnt="3" custLinFactY="-100000" custLinFactNeighborX="10689" custLinFactNeighborY="-175537">
        <dgm:presLayoutVars>
          <dgm:chPref val="3"/>
        </dgm:presLayoutVars>
      </dgm:prSet>
      <dgm:spPr/>
    </dgm:pt>
    <dgm:pt modelId="{7289DE7A-64C7-4867-AB8E-FD50C874BB75}" type="pres">
      <dgm:prSet presAssocID="{7F5B2B12-8368-49D5-A94B-A60A015BB0D6}" presName="rootConnector" presStyleLbl="node2" presStyleIdx="0" presStyleCnt="3"/>
      <dgm:spPr/>
    </dgm:pt>
    <dgm:pt modelId="{6D4F7397-3646-4B06-B51D-58733C84AC38}" type="pres">
      <dgm:prSet presAssocID="{7F5B2B12-8368-49D5-A94B-A60A015BB0D6}" presName="hierChild4" presStyleCnt="0"/>
      <dgm:spPr/>
    </dgm:pt>
    <dgm:pt modelId="{AF983721-268B-475F-B943-C58645F4CEBF}" type="pres">
      <dgm:prSet presAssocID="{7F5B2B12-8368-49D5-A94B-A60A015BB0D6}" presName="hierChild5" presStyleCnt="0"/>
      <dgm:spPr/>
    </dgm:pt>
    <dgm:pt modelId="{02B410FD-6831-4600-B781-93B70F6A6C43}" type="pres">
      <dgm:prSet presAssocID="{DC10B1E7-60BF-492E-B07A-05C8795B5E61}" presName="Name37" presStyleLbl="parChTrans1D2" presStyleIdx="1" presStyleCnt="6"/>
      <dgm:spPr/>
    </dgm:pt>
    <dgm:pt modelId="{B2F66A5E-DF23-4792-B483-74BDF014FFDD}" type="pres">
      <dgm:prSet presAssocID="{CB780125-8E74-428D-B1B6-415B1AF00023}" presName="hierRoot2" presStyleCnt="0">
        <dgm:presLayoutVars>
          <dgm:hierBranch val="init"/>
        </dgm:presLayoutVars>
      </dgm:prSet>
      <dgm:spPr/>
    </dgm:pt>
    <dgm:pt modelId="{E9096EB7-CF07-4B7E-8E97-7C1F5D0A3771}" type="pres">
      <dgm:prSet presAssocID="{CB780125-8E74-428D-B1B6-415B1AF00023}" presName="rootComposite" presStyleCnt="0"/>
      <dgm:spPr/>
    </dgm:pt>
    <dgm:pt modelId="{858F4385-91D5-4888-A240-6807378FDE83}" type="pres">
      <dgm:prSet presAssocID="{CB780125-8E74-428D-B1B6-415B1AF00023}" presName="rootText" presStyleLbl="node2" presStyleIdx="1" presStyleCnt="3" custLinFactY="-100000" custLinFactNeighborX="4751" custLinFactNeighborY="-176724">
        <dgm:presLayoutVars>
          <dgm:chPref val="3"/>
        </dgm:presLayoutVars>
      </dgm:prSet>
      <dgm:spPr/>
    </dgm:pt>
    <dgm:pt modelId="{35BC9A41-E127-49AD-BBB3-369A19465C3D}" type="pres">
      <dgm:prSet presAssocID="{CB780125-8E74-428D-B1B6-415B1AF00023}" presName="rootConnector" presStyleLbl="node2" presStyleIdx="1" presStyleCnt="3"/>
      <dgm:spPr/>
    </dgm:pt>
    <dgm:pt modelId="{3A822908-8260-439F-8894-56968E91DA49}" type="pres">
      <dgm:prSet presAssocID="{CB780125-8E74-428D-B1B6-415B1AF00023}" presName="hierChild4" presStyleCnt="0"/>
      <dgm:spPr/>
    </dgm:pt>
    <dgm:pt modelId="{0E5DC78C-CBDE-482A-8C14-6434A981FBAA}" type="pres">
      <dgm:prSet presAssocID="{CB780125-8E74-428D-B1B6-415B1AF00023}" presName="hierChild5" presStyleCnt="0"/>
      <dgm:spPr/>
    </dgm:pt>
    <dgm:pt modelId="{11CC2E26-DE70-4B0C-800D-C62D92972621}" type="pres">
      <dgm:prSet presAssocID="{443FABC3-DB67-4286-8E83-59D10916B26B}" presName="Name37" presStyleLbl="parChTrans1D2" presStyleIdx="2" presStyleCnt="6"/>
      <dgm:spPr/>
    </dgm:pt>
    <dgm:pt modelId="{80B0B7D1-CEB3-412D-8FB9-B13868418795}" type="pres">
      <dgm:prSet presAssocID="{A7778E5C-327D-4A24-B681-C9FCAE43E571}" presName="hierRoot2" presStyleCnt="0">
        <dgm:presLayoutVars>
          <dgm:hierBranch val="init"/>
        </dgm:presLayoutVars>
      </dgm:prSet>
      <dgm:spPr/>
    </dgm:pt>
    <dgm:pt modelId="{54E772A5-CC4D-486E-991B-27B88AC5AA87}" type="pres">
      <dgm:prSet presAssocID="{A7778E5C-327D-4A24-B681-C9FCAE43E571}" presName="rootComposite" presStyleCnt="0"/>
      <dgm:spPr/>
    </dgm:pt>
    <dgm:pt modelId="{C13965CD-E27E-493F-B64B-45D04D21CA80}" type="pres">
      <dgm:prSet presAssocID="{A7778E5C-327D-4A24-B681-C9FCAE43E571}" presName="rootText" presStyleLbl="node2" presStyleIdx="2" presStyleCnt="3" custLinFactY="-100000" custLinFactNeighborX="-1165" custLinFactNeighborY="-176724">
        <dgm:presLayoutVars>
          <dgm:chPref val="3"/>
        </dgm:presLayoutVars>
      </dgm:prSet>
      <dgm:spPr/>
    </dgm:pt>
    <dgm:pt modelId="{3FEBB055-CB06-4487-A28B-3CD0DA5BB4AF}" type="pres">
      <dgm:prSet presAssocID="{A7778E5C-327D-4A24-B681-C9FCAE43E571}" presName="rootConnector" presStyleLbl="node2" presStyleIdx="2" presStyleCnt="3"/>
      <dgm:spPr/>
    </dgm:pt>
    <dgm:pt modelId="{DE1DD173-FD4D-4D87-BC6E-37DDD9199234}" type="pres">
      <dgm:prSet presAssocID="{A7778E5C-327D-4A24-B681-C9FCAE43E571}" presName="hierChild4" presStyleCnt="0"/>
      <dgm:spPr/>
    </dgm:pt>
    <dgm:pt modelId="{28383772-3C9E-4129-BF3D-9660D5556B74}" type="pres">
      <dgm:prSet presAssocID="{A7778E5C-327D-4A24-B681-C9FCAE43E571}" presName="hierChild5" presStyleCnt="0"/>
      <dgm:spPr/>
    </dgm:pt>
    <dgm:pt modelId="{3E336B97-79AC-4E11-B3EA-4C9E82A318D3}" type="pres">
      <dgm:prSet presAssocID="{66313E19-ED44-437D-B5F7-3D29954E7F15}" presName="hierChild3" presStyleCnt="0"/>
      <dgm:spPr/>
    </dgm:pt>
    <dgm:pt modelId="{A74CA11B-7A14-47FD-9BD8-280972F6EA82}" type="pres">
      <dgm:prSet presAssocID="{C4BA3147-DD40-45B3-9ED0-68776A231F9C}" presName="Name111" presStyleLbl="parChTrans1D2" presStyleIdx="3" presStyleCnt="6"/>
      <dgm:spPr/>
    </dgm:pt>
    <dgm:pt modelId="{42AAEDC0-8F4B-4B3F-AD2F-CB689F2F94D5}" type="pres">
      <dgm:prSet presAssocID="{232E9986-18B9-4099-A9D6-7C1B185E3378}" presName="hierRoot3" presStyleCnt="0">
        <dgm:presLayoutVars>
          <dgm:hierBranch val="init"/>
        </dgm:presLayoutVars>
      </dgm:prSet>
      <dgm:spPr/>
    </dgm:pt>
    <dgm:pt modelId="{F5FEAC6D-E633-4EDC-A6A4-13C8DBE2859C}" type="pres">
      <dgm:prSet presAssocID="{232E9986-18B9-4099-A9D6-7C1B185E3378}" presName="rootComposite3" presStyleCnt="0"/>
      <dgm:spPr/>
    </dgm:pt>
    <dgm:pt modelId="{F636D4F0-326A-43EC-B338-140AA8F82298}" type="pres">
      <dgm:prSet presAssocID="{232E9986-18B9-4099-A9D6-7C1B185E3378}" presName="rootText3" presStyleLbl="asst1" presStyleIdx="0" presStyleCnt="3" custScaleX="171163" custLinFactX="5960" custLinFactY="110011" custLinFactNeighborX="100000" custLinFactNeighborY="200000">
        <dgm:presLayoutVars>
          <dgm:chPref val="3"/>
        </dgm:presLayoutVars>
      </dgm:prSet>
      <dgm:spPr/>
    </dgm:pt>
    <dgm:pt modelId="{6AA3AD55-00B2-469A-B175-1C746A2FA682}" type="pres">
      <dgm:prSet presAssocID="{232E9986-18B9-4099-A9D6-7C1B185E3378}" presName="rootConnector3" presStyleLbl="asst1" presStyleIdx="0" presStyleCnt="3"/>
      <dgm:spPr/>
    </dgm:pt>
    <dgm:pt modelId="{D5BD43B0-0F0C-468F-85F6-6226B0729A8F}" type="pres">
      <dgm:prSet presAssocID="{232E9986-18B9-4099-A9D6-7C1B185E3378}" presName="hierChild6" presStyleCnt="0"/>
      <dgm:spPr/>
    </dgm:pt>
    <dgm:pt modelId="{2FF23936-CAEF-4D6B-9440-8A6980470E8E}" type="pres">
      <dgm:prSet presAssocID="{232E9986-18B9-4099-A9D6-7C1B185E3378}" presName="hierChild7" presStyleCnt="0"/>
      <dgm:spPr/>
    </dgm:pt>
    <dgm:pt modelId="{D0252A69-8D5E-4BC6-8419-2B8492E4DA3A}" type="pres">
      <dgm:prSet presAssocID="{26CD6D85-999E-44AA-94A9-F9C75C8A3584}" presName="Name111" presStyleLbl="parChTrans1D2" presStyleIdx="4" presStyleCnt="6"/>
      <dgm:spPr/>
    </dgm:pt>
    <dgm:pt modelId="{3FCD7829-BCBC-49AC-99F3-18FBCBD72FF9}" type="pres">
      <dgm:prSet presAssocID="{AAE580B3-753E-4CE9-9A4F-D94C71C04232}" presName="hierRoot3" presStyleCnt="0">
        <dgm:presLayoutVars>
          <dgm:hierBranch val="init"/>
        </dgm:presLayoutVars>
      </dgm:prSet>
      <dgm:spPr/>
    </dgm:pt>
    <dgm:pt modelId="{17731148-C052-40BB-8D67-6CBECB191940}" type="pres">
      <dgm:prSet presAssocID="{AAE580B3-753E-4CE9-9A4F-D94C71C04232}" presName="rootComposite3" presStyleCnt="0"/>
      <dgm:spPr/>
    </dgm:pt>
    <dgm:pt modelId="{D99BDD19-C6EF-4ADD-BDE9-B94CEC9E1229}" type="pres">
      <dgm:prSet presAssocID="{AAE580B3-753E-4CE9-9A4F-D94C71C04232}" presName="rootText3" presStyleLbl="asst1" presStyleIdx="1" presStyleCnt="3" custLinFactY="45964" custLinFactNeighborX="13658" custLinFactNeighborY="100000">
        <dgm:presLayoutVars>
          <dgm:chPref val="3"/>
        </dgm:presLayoutVars>
      </dgm:prSet>
      <dgm:spPr/>
    </dgm:pt>
    <dgm:pt modelId="{2304FF5E-4C91-4BFA-9378-2B6A238B7CA2}" type="pres">
      <dgm:prSet presAssocID="{AAE580B3-753E-4CE9-9A4F-D94C71C04232}" presName="rootConnector3" presStyleLbl="asst1" presStyleIdx="1" presStyleCnt="3"/>
      <dgm:spPr/>
    </dgm:pt>
    <dgm:pt modelId="{BC4DB2B6-32BC-4934-9709-7D3AE2E2795F}" type="pres">
      <dgm:prSet presAssocID="{AAE580B3-753E-4CE9-9A4F-D94C71C04232}" presName="hierChild6" presStyleCnt="0"/>
      <dgm:spPr/>
    </dgm:pt>
    <dgm:pt modelId="{F8CFC570-35A6-4B10-9122-47136A3378CA}" type="pres">
      <dgm:prSet presAssocID="{AAE580B3-753E-4CE9-9A4F-D94C71C04232}" presName="hierChild7" presStyleCnt="0"/>
      <dgm:spPr/>
    </dgm:pt>
    <dgm:pt modelId="{81449E72-7A51-4DC6-8979-2672038FC59B}" type="pres">
      <dgm:prSet presAssocID="{D93EA928-84EE-4E2D-9B3F-6844AEEC9B65}" presName="Name111" presStyleLbl="parChTrans1D2" presStyleIdx="5" presStyleCnt="6"/>
      <dgm:spPr/>
    </dgm:pt>
    <dgm:pt modelId="{9E52FF05-3411-4C15-8528-361FE761AA4C}" type="pres">
      <dgm:prSet presAssocID="{131F9BD2-94CC-472B-BC3D-387CC76A3DF1}" presName="hierRoot3" presStyleCnt="0">
        <dgm:presLayoutVars>
          <dgm:hierBranch val="init"/>
        </dgm:presLayoutVars>
      </dgm:prSet>
      <dgm:spPr/>
    </dgm:pt>
    <dgm:pt modelId="{F01D44E4-497B-4355-BFA7-A83006E2FE02}" type="pres">
      <dgm:prSet presAssocID="{131F9BD2-94CC-472B-BC3D-387CC76A3DF1}" presName="rootComposite3" presStyleCnt="0"/>
      <dgm:spPr/>
    </dgm:pt>
    <dgm:pt modelId="{F857E7DA-8FC6-47AB-A934-F32BE41071AD}" type="pres">
      <dgm:prSet presAssocID="{131F9BD2-94CC-472B-BC3D-387CC76A3DF1}" presName="rootText3" presStyleLbl="asst1" presStyleIdx="2" presStyleCnt="3" custLinFactNeighborX="-13064" custLinFactNeighborY="5819">
        <dgm:presLayoutVars>
          <dgm:chPref val="3"/>
        </dgm:presLayoutVars>
      </dgm:prSet>
      <dgm:spPr/>
    </dgm:pt>
    <dgm:pt modelId="{61BD495C-1C9D-4579-B231-DF63073AD7D5}" type="pres">
      <dgm:prSet presAssocID="{131F9BD2-94CC-472B-BC3D-387CC76A3DF1}" presName="rootConnector3" presStyleLbl="asst1" presStyleIdx="2" presStyleCnt="3"/>
      <dgm:spPr/>
    </dgm:pt>
    <dgm:pt modelId="{E045D6C2-62DE-427D-95F5-CFF010CEF4C4}" type="pres">
      <dgm:prSet presAssocID="{131F9BD2-94CC-472B-BC3D-387CC76A3DF1}" presName="hierChild6" presStyleCnt="0"/>
      <dgm:spPr/>
    </dgm:pt>
    <dgm:pt modelId="{E79875F6-E089-4BC8-9EA8-A4127F2B4686}" type="pres">
      <dgm:prSet presAssocID="{131F9BD2-94CC-472B-BC3D-387CC76A3DF1}" presName="hierChild7" presStyleCnt="0"/>
      <dgm:spPr/>
    </dgm:pt>
  </dgm:ptLst>
  <dgm:cxnLst>
    <dgm:cxn modelId="{D8DD1E01-3715-4A97-8A85-4118EB55A049}" type="presOf" srcId="{232E9986-18B9-4099-A9D6-7C1B185E3378}" destId="{F636D4F0-326A-43EC-B338-140AA8F82298}" srcOrd="0" destOrd="0" presId="urn:microsoft.com/office/officeart/2005/8/layout/orgChart1"/>
    <dgm:cxn modelId="{AD2F2602-8A01-43D4-9FDE-EDF18C5CF406}" type="presOf" srcId="{66313E19-ED44-437D-B5F7-3D29954E7F15}" destId="{F72CEF13-922E-428C-BE69-883EFD0CFA8B}" srcOrd="1" destOrd="0" presId="urn:microsoft.com/office/officeart/2005/8/layout/orgChart1"/>
    <dgm:cxn modelId="{1C658507-D218-4E43-B185-90787F40247E}" type="presOf" srcId="{CB780125-8E74-428D-B1B6-415B1AF00023}" destId="{35BC9A41-E127-49AD-BBB3-369A19465C3D}" srcOrd="1" destOrd="0" presId="urn:microsoft.com/office/officeart/2005/8/layout/orgChart1"/>
    <dgm:cxn modelId="{8D1A8717-8A36-40D8-8FBA-CF62F1524980}" srcId="{66313E19-ED44-437D-B5F7-3D29954E7F15}" destId="{A7778E5C-327D-4A24-B681-C9FCAE43E571}" srcOrd="5" destOrd="0" parTransId="{443FABC3-DB67-4286-8E83-59D10916B26B}" sibTransId="{F3D70F78-2FE6-4CEE-81CC-69C1FC0AAAA5}"/>
    <dgm:cxn modelId="{D3BBF420-2C37-45F4-8EE0-4103956B20F0}" type="presOf" srcId="{A7778E5C-327D-4A24-B681-C9FCAE43E571}" destId="{3FEBB055-CB06-4487-A28B-3CD0DA5BB4AF}" srcOrd="1" destOrd="0" presId="urn:microsoft.com/office/officeart/2005/8/layout/orgChart1"/>
    <dgm:cxn modelId="{26644527-A380-4574-9ED1-371ED0CAB3C9}" type="presOf" srcId="{AAE580B3-753E-4CE9-9A4F-D94C71C04232}" destId="{D99BDD19-C6EF-4ADD-BDE9-B94CEC9E1229}" srcOrd="0" destOrd="0" presId="urn:microsoft.com/office/officeart/2005/8/layout/orgChart1"/>
    <dgm:cxn modelId="{E4C9CD31-E207-4B95-981F-AD72157F9CFA}" type="presOf" srcId="{7F5B2B12-8368-49D5-A94B-A60A015BB0D6}" destId="{7289DE7A-64C7-4867-AB8E-FD50C874BB75}" srcOrd="1" destOrd="0" presId="urn:microsoft.com/office/officeart/2005/8/layout/orgChart1"/>
    <dgm:cxn modelId="{CE3ED23D-9E9A-4115-A523-1087B7F4145D}" srcId="{66313E19-ED44-437D-B5F7-3D29954E7F15}" destId="{232E9986-18B9-4099-A9D6-7C1B185E3378}" srcOrd="0" destOrd="0" parTransId="{C4BA3147-DD40-45B3-9ED0-68776A231F9C}" sibTransId="{927ABB11-8E69-45FB-A2D1-C2F0F0FA8AD5}"/>
    <dgm:cxn modelId="{3262C740-05A2-4C0B-9198-9508852F22BF}" type="presOf" srcId="{AAE580B3-753E-4CE9-9A4F-D94C71C04232}" destId="{2304FF5E-4C91-4BFA-9378-2B6A238B7CA2}" srcOrd="1" destOrd="0" presId="urn:microsoft.com/office/officeart/2005/8/layout/orgChart1"/>
    <dgm:cxn modelId="{B5151D60-33C2-4D25-B4D0-AB935773C932}" type="presOf" srcId="{131F9BD2-94CC-472B-BC3D-387CC76A3DF1}" destId="{F857E7DA-8FC6-47AB-A934-F32BE41071AD}" srcOrd="0" destOrd="0" presId="urn:microsoft.com/office/officeart/2005/8/layout/orgChart1"/>
    <dgm:cxn modelId="{EA3C9841-3222-4E25-A498-7CB25A4D285F}" type="presOf" srcId="{232E9986-18B9-4099-A9D6-7C1B185E3378}" destId="{6AA3AD55-00B2-469A-B175-1C746A2FA682}" srcOrd="1" destOrd="0" presId="urn:microsoft.com/office/officeart/2005/8/layout/orgChart1"/>
    <dgm:cxn modelId="{6FC83A4F-F9BD-44BD-9F90-5EC4937FFB68}" srcId="{66313E19-ED44-437D-B5F7-3D29954E7F15}" destId="{CB780125-8E74-428D-B1B6-415B1AF00023}" srcOrd="4" destOrd="0" parTransId="{DC10B1E7-60BF-492E-B07A-05C8795B5E61}" sibTransId="{0BF3E9B3-74EE-4FC4-BD5F-3ACEB625778E}"/>
    <dgm:cxn modelId="{C6DEC779-749D-40CC-9E08-DD141B4EB106}" type="presOf" srcId="{131F9BD2-94CC-472B-BC3D-387CC76A3DF1}" destId="{61BD495C-1C9D-4579-B231-DF63073AD7D5}" srcOrd="1" destOrd="0" presId="urn:microsoft.com/office/officeart/2005/8/layout/orgChart1"/>
    <dgm:cxn modelId="{E49DB08F-9D3D-4F70-AB47-85E638DFB53E}" type="presOf" srcId="{26CD6D85-999E-44AA-94A9-F9C75C8A3584}" destId="{D0252A69-8D5E-4BC6-8419-2B8492E4DA3A}" srcOrd="0" destOrd="0" presId="urn:microsoft.com/office/officeart/2005/8/layout/orgChart1"/>
    <dgm:cxn modelId="{A4CB1F91-7C50-4FFB-A88A-DD3946FF0128}" type="presOf" srcId="{7F5B2B12-8368-49D5-A94B-A60A015BB0D6}" destId="{4CF39066-B04C-4E80-B25A-64DB69AA392C}" srcOrd="0" destOrd="0" presId="urn:microsoft.com/office/officeart/2005/8/layout/orgChart1"/>
    <dgm:cxn modelId="{2486AD99-9805-4B5A-91EF-7D52B28FDC6A}" type="presOf" srcId="{443FABC3-DB67-4286-8E83-59D10916B26B}" destId="{11CC2E26-DE70-4B0C-800D-C62D92972621}" srcOrd="0" destOrd="0" presId="urn:microsoft.com/office/officeart/2005/8/layout/orgChart1"/>
    <dgm:cxn modelId="{2F4F509A-F26F-457E-BB0F-C2B3C8977BDD}" srcId="{8BE201F0-DAFD-47ED-ABA8-0825B4C9E723}" destId="{66313E19-ED44-437D-B5F7-3D29954E7F15}" srcOrd="0" destOrd="0" parTransId="{AC64E9CA-93EA-4D76-BFA7-138F7AF5E6C4}" sibTransId="{BAF9D681-4D24-44EC-ADB2-EC789EDCA16D}"/>
    <dgm:cxn modelId="{A609149C-9007-4ED0-AF0A-118E7D820EA0}" type="presOf" srcId="{22420CB1-8D15-4437-8596-F72162BFF00F}" destId="{D51F3BE7-53B5-41F7-9680-2E81B2BB393A}" srcOrd="0" destOrd="0" presId="urn:microsoft.com/office/officeart/2005/8/layout/orgChart1"/>
    <dgm:cxn modelId="{42E730B5-C2DB-4D0D-8239-10E55CB3812B}" srcId="{66313E19-ED44-437D-B5F7-3D29954E7F15}" destId="{7F5B2B12-8368-49D5-A94B-A60A015BB0D6}" srcOrd="3" destOrd="0" parTransId="{22420CB1-8D15-4437-8596-F72162BFF00F}" sibTransId="{B5F54581-5765-476B-99FB-853BDA519D71}"/>
    <dgm:cxn modelId="{F9D641C4-E5F0-49EE-A024-4101F1E8852D}" type="presOf" srcId="{66313E19-ED44-437D-B5F7-3D29954E7F15}" destId="{C0CEF0C2-318A-417C-8A34-156A5C718EBF}" srcOrd="0" destOrd="0" presId="urn:microsoft.com/office/officeart/2005/8/layout/orgChart1"/>
    <dgm:cxn modelId="{E20BF5C7-33C7-4141-8E0F-D8F779E2CF64}" type="presOf" srcId="{DC10B1E7-60BF-492E-B07A-05C8795B5E61}" destId="{02B410FD-6831-4600-B781-93B70F6A6C43}" srcOrd="0" destOrd="0" presId="urn:microsoft.com/office/officeart/2005/8/layout/orgChart1"/>
    <dgm:cxn modelId="{F0C7DBCF-F8AE-42E8-9AE2-7CF0C6F8A7F3}" type="presOf" srcId="{8BE201F0-DAFD-47ED-ABA8-0825B4C9E723}" destId="{646EF29B-BDA5-4543-A388-0F9C45259D65}" srcOrd="0" destOrd="0" presId="urn:microsoft.com/office/officeart/2005/8/layout/orgChart1"/>
    <dgm:cxn modelId="{FF2037D0-16C2-4ED9-A880-E3BC771A2A7A}" srcId="{66313E19-ED44-437D-B5F7-3D29954E7F15}" destId="{131F9BD2-94CC-472B-BC3D-387CC76A3DF1}" srcOrd="2" destOrd="0" parTransId="{D93EA928-84EE-4E2D-9B3F-6844AEEC9B65}" sibTransId="{8B299848-9C11-4A0E-8F16-87EDA956ABEE}"/>
    <dgm:cxn modelId="{8E41D7D6-3404-40C8-9D22-16019E573761}" type="presOf" srcId="{C4BA3147-DD40-45B3-9ED0-68776A231F9C}" destId="{A74CA11B-7A14-47FD-9BD8-280972F6EA82}" srcOrd="0" destOrd="0" presId="urn:microsoft.com/office/officeart/2005/8/layout/orgChart1"/>
    <dgm:cxn modelId="{B56CEED8-6A12-4F20-A834-B8F751E4B0A9}" type="presOf" srcId="{D93EA928-84EE-4E2D-9B3F-6844AEEC9B65}" destId="{81449E72-7A51-4DC6-8979-2672038FC59B}" srcOrd="0" destOrd="0" presId="urn:microsoft.com/office/officeart/2005/8/layout/orgChart1"/>
    <dgm:cxn modelId="{A9A486E0-5714-4501-963A-BD99A1C7DC14}" type="presOf" srcId="{CB780125-8E74-428D-B1B6-415B1AF00023}" destId="{858F4385-91D5-4888-A240-6807378FDE83}" srcOrd="0" destOrd="0" presId="urn:microsoft.com/office/officeart/2005/8/layout/orgChart1"/>
    <dgm:cxn modelId="{06B52CEB-986F-4277-9748-EC5184CF1FE1}" srcId="{66313E19-ED44-437D-B5F7-3D29954E7F15}" destId="{AAE580B3-753E-4CE9-9A4F-D94C71C04232}" srcOrd="1" destOrd="0" parTransId="{26CD6D85-999E-44AA-94A9-F9C75C8A3584}" sibTransId="{B3C16248-70E0-4C88-ACF0-18BE9A74C0A7}"/>
    <dgm:cxn modelId="{BB6C18FD-0D70-4125-997D-6EC68402E94A}" type="presOf" srcId="{A7778E5C-327D-4A24-B681-C9FCAE43E571}" destId="{C13965CD-E27E-493F-B64B-45D04D21CA80}" srcOrd="0" destOrd="0" presId="urn:microsoft.com/office/officeart/2005/8/layout/orgChart1"/>
    <dgm:cxn modelId="{A54C67C1-5257-43AC-B45B-D04DB8BD5C46}" type="presParOf" srcId="{646EF29B-BDA5-4543-A388-0F9C45259D65}" destId="{528CAFB4-2989-410A-A1B7-78F554B53625}" srcOrd="0" destOrd="0" presId="urn:microsoft.com/office/officeart/2005/8/layout/orgChart1"/>
    <dgm:cxn modelId="{07CAE4B9-A4CF-4D33-82BF-707DC7B0A48E}" type="presParOf" srcId="{528CAFB4-2989-410A-A1B7-78F554B53625}" destId="{8BF01016-A58B-4E63-871C-311B9E201D78}" srcOrd="0" destOrd="0" presId="urn:microsoft.com/office/officeart/2005/8/layout/orgChart1"/>
    <dgm:cxn modelId="{9A1FBBE2-C9F4-429C-B689-76FCFAAB75CC}" type="presParOf" srcId="{8BF01016-A58B-4E63-871C-311B9E201D78}" destId="{C0CEF0C2-318A-417C-8A34-156A5C718EBF}" srcOrd="0" destOrd="0" presId="urn:microsoft.com/office/officeart/2005/8/layout/orgChart1"/>
    <dgm:cxn modelId="{48D2BC76-D1C7-43B6-BCF0-8D8DECA22765}" type="presParOf" srcId="{8BF01016-A58B-4E63-871C-311B9E201D78}" destId="{F72CEF13-922E-428C-BE69-883EFD0CFA8B}" srcOrd="1" destOrd="0" presId="urn:microsoft.com/office/officeart/2005/8/layout/orgChart1"/>
    <dgm:cxn modelId="{E50A84F0-87AA-4F74-BB8A-EA43815170AC}" type="presParOf" srcId="{528CAFB4-2989-410A-A1B7-78F554B53625}" destId="{8D307CD8-695A-42FA-A269-A7110C0DC2AA}" srcOrd="1" destOrd="0" presId="urn:microsoft.com/office/officeart/2005/8/layout/orgChart1"/>
    <dgm:cxn modelId="{A9D76447-4719-464F-B5DF-AFA540839636}" type="presParOf" srcId="{8D307CD8-695A-42FA-A269-A7110C0DC2AA}" destId="{D51F3BE7-53B5-41F7-9680-2E81B2BB393A}" srcOrd="0" destOrd="0" presId="urn:microsoft.com/office/officeart/2005/8/layout/orgChart1"/>
    <dgm:cxn modelId="{153F0D74-AE37-4CA5-A4D6-5F8727E5CA53}" type="presParOf" srcId="{8D307CD8-695A-42FA-A269-A7110C0DC2AA}" destId="{AC828967-D7DF-4938-916A-FE5702D52D96}" srcOrd="1" destOrd="0" presId="urn:microsoft.com/office/officeart/2005/8/layout/orgChart1"/>
    <dgm:cxn modelId="{AED32D5F-1C93-433E-A494-9AEF5C3A6C1D}" type="presParOf" srcId="{AC828967-D7DF-4938-916A-FE5702D52D96}" destId="{9EB99EBB-1C1A-45E0-A573-976248429F88}" srcOrd="0" destOrd="0" presId="urn:microsoft.com/office/officeart/2005/8/layout/orgChart1"/>
    <dgm:cxn modelId="{4ECD7700-EC7B-4614-A90B-1A5527A8387B}" type="presParOf" srcId="{9EB99EBB-1C1A-45E0-A573-976248429F88}" destId="{4CF39066-B04C-4E80-B25A-64DB69AA392C}" srcOrd="0" destOrd="0" presId="urn:microsoft.com/office/officeart/2005/8/layout/orgChart1"/>
    <dgm:cxn modelId="{6BE1F8DC-2853-4D35-9FCF-15E896676A67}" type="presParOf" srcId="{9EB99EBB-1C1A-45E0-A573-976248429F88}" destId="{7289DE7A-64C7-4867-AB8E-FD50C874BB75}" srcOrd="1" destOrd="0" presId="urn:microsoft.com/office/officeart/2005/8/layout/orgChart1"/>
    <dgm:cxn modelId="{D5136795-2534-42E4-ABE8-79763C84AB39}" type="presParOf" srcId="{AC828967-D7DF-4938-916A-FE5702D52D96}" destId="{6D4F7397-3646-4B06-B51D-58733C84AC38}" srcOrd="1" destOrd="0" presId="urn:microsoft.com/office/officeart/2005/8/layout/orgChart1"/>
    <dgm:cxn modelId="{6B5B8E76-37FC-4C44-8EA5-30010602FBBA}" type="presParOf" srcId="{AC828967-D7DF-4938-916A-FE5702D52D96}" destId="{AF983721-268B-475F-B943-C58645F4CEBF}" srcOrd="2" destOrd="0" presId="urn:microsoft.com/office/officeart/2005/8/layout/orgChart1"/>
    <dgm:cxn modelId="{62CB20A1-49A5-46EF-8E6A-541EB7872DF2}" type="presParOf" srcId="{8D307CD8-695A-42FA-A269-A7110C0DC2AA}" destId="{02B410FD-6831-4600-B781-93B70F6A6C43}" srcOrd="2" destOrd="0" presId="urn:microsoft.com/office/officeart/2005/8/layout/orgChart1"/>
    <dgm:cxn modelId="{D2058B2D-1992-4BB7-8C0B-D8B036B87195}" type="presParOf" srcId="{8D307CD8-695A-42FA-A269-A7110C0DC2AA}" destId="{B2F66A5E-DF23-4792-B483-74BDF014FFDD}" srcOrd="3" destOrd="0" presId="urn:microsoft.com/office/officeart/2005/8/layout/orgChart1"/>
    <dgm:cxn modelId="{A03AA857-5DC4-437D-B2AE-C4A3471447C2}" type="presParOf" srcId="{B2F66A5E-DF23-4792-B483-74BDF014FFDD}" destId="{E9096EB7-CF07-4B7E-8E97-7C1F5D0A3771}" srcOrd="0" destOrd="0" presId="urn:microsoft.com/office/officeart/2005/8/layout/orgChart1"/>
    <dgm:cxn modelId="{2F06ABAA-426F-41DC-BDC2-68D831B9BF52}" type="presParOf" srcId="{E9096EB7-CF07-4B7E-8E97-7C1F5D0A3771}" destId="{858F4385-91D5-4888-A240-6807378FDE83}" srcOrd="0" destOrd="0" presId="urn:microsoft.com/office/officeart/2005/8/layout/orgChart1"/>
    <dgm:cxn modelId="{53C6BE6C-CE57-4FA4-B6F0-87DDDF3B9404}" type="presParOf" srcId="{E9096EB7-CF07-4B7E-8E97-7C1F5D0A3771}" destId="{35BC9A41-E127-49AD-BBB3-369A19465C3D}" srcOrd="1" destOrd="0" presId="urn:microsoft.com/office/officeart/2005/8/layout/orgChart1"/>
    <dgm:cxn modelId="{05403A5E-40B6-410B-8F46-4534A719F7C4}" type="presParOf" srcId="{B2F66A5E-DF23-4792-B483-74BDF014FFDD}" destId="{3A822908-8260-439F-8894-56968E91DA49}" srcOrd="1" destOrd="0" presId="urn:microsoft.com/office/officeart/2005/8/layout/orgChart1"/>
    <dgm:cxn modelId="{B1FF627D-71E0-42E8-B89A-32244EB3BA78}" type="presParOf" srcId="{B2F66A5E-DF23-4792-B483-74BDF014FFDD}" destId="{0E5DC78C-CBDE-482A-8C14-6434A981FBAA}" srcOrd="2" destOrd="0" presId="urn:microsoft.com/office/officeart/2005/8/layout/orgChart1"/>
    <dgm:cxn modelId="{5CF221B9-CD32-4E78-BF6D-853CF59B6620}" type="presParOf" srcId="{8D307CD8-695A-42FA-A269-A7110C0DC2AA}" destId="{11CC2E26-DE70-4B0C-800D-C62D92972621}" srcOrd="4" destOrd="0" presId="urn:microsoft.com/office/officeart/2005/8/layout/orgChart1"/>
    <dgm:cxn modelId="{E9BE2169-D78D-48A8-8E46-E448F0BB6E40}" type="presParOf" srcId="{8D307CD8-695A-42FA-A269-A7110C0DC2AA}" destId="{80B0B7D1-CEB3-412D-8FB9-B13868418795}" srcOrd="5" destOrd="0" presId="urn:microsoft.com/office/officeart/2005/8/layout/orgChart1"/>
    <dgm:cxn modelId="{17D10882-1D61-4396-9F44-AE52CEB325FD}" type="presParOf" srcId="{80B0B7D1-CEB3-412D-8FB9-B13868418795}" destId="{54E772A5-CC4D-486E-991B-27B88AC5AA87}" srcOrd="0" destOrd="0" presId="urn:microsoft.com/office/officeart/2005/8/layout/orgChart1"/>
    <dgm:cxn modelId="{85F1BB6A-38DA-4C48-9497-46AD1D065AB3}" type="presParOf" srcId="{54E772A5-CC4D-486E-991B-27B88AC5AA87}" destId="{C13965CD-E27E-493F-B64B-45D04D21CA80}" srcOrd="0" destOrd="0" presId="urn:microsoft.com/office/officeart/2005/8/layout/orgChart1"/>
    <dgm:cxn modelId="{497CAFC2-7248-4252-9621-F6037846AA46}" type="presParOf" srcId="{54E772A5-CC4D-486E-991B-27B88AC5AA87}" destId="{3FEBB055-CB06-4487-A28B-3CD0DA5BB4AF}" srcOrd="1" destOrd="0" presId="urn:microsoft.com/office/officeart/2005/8/layout/orgChart1"/>
    <dgm:cxn modelId="{E01E54EB-FBA3-410C-8916-10472AB259FB}" type="presParOf" srcId="{80B0B7D1-CEB3-412D-8FB9-B13868418795}" destId="{DE1DD173-FD4D-4D87-BC6E-37DDD9199234}" srcOrd="1" destOrd="0" presId="urn:microsoft.com/office/officeart/2005/8/layout/orgChart1"/>
    <dgm:cxn modelId="{730E72FC-F709-4476-B22F-DDF23A915AAF}" type="presParOf" srcId="{80B0B7D1-CEB3-412D-8FB9-B13868418795}" destId="{28383772-3C9E-4129-BF3D-9660D5556B74}" srcOrd="2" destOrd="0" presId="urn:microsoft.com/office/officeart/2005/8/layout/orgChart1"/>
    <dgm:cxn modelId="{C8553276-E591-430A-819D-D12023A6DF03}" type="presParOf" srcId="{528CAFB4-2989-410A-A1B7-78F554B53625}" destId="{3E336B97-79AC-4E11-B3EA-4C9E82A318D3}" srcOrd="2" destOrd="0" presId="urn:microsoft.com/office/officeart/2005/8/layout/orgChart1"/>
    <dgm:cxn modelId="{7DF4B1E6-D37E-4648-889E-81881BD7AE5C}" type="presParOf" srcId="{3E336B97-79AC-4E11-B3EA-4C9E82A318D3}" destId="{A74CA11B-7A14-47FD-9BD8-280972F6EA82}" srcOrd="0" destOrd="0" presId="urn:microsoft.com/office/officeart/2005/8/layout/orgChart1"/>
    <dgm:cxn modelId="{D436DE56-4BA0-488F-893E-55EC0297AFC7}" type="presParOf" srcId="{3E336B97-79AC-4E11-B3EA-4C9E82A318D3}" destId="{42AAEDC0-8F4B-4B3F-AD2F-CB689F2F94D5}" srcOrd="1" destOrd="0" presId="urn:microsoft.com/office/officeart/2005/8/layout/orgChart1"/>
    <dgm:cxn modelId="{1BE453C4-B92F-451F-B9A9-B0528CED9A08}" type="presParOf" srcId="{42AAEDC0-8F4B-4B3F-AD2F-CB689F2F94D5}" destId="{F5FEAC6D-E633-4EDC-A6A4-13C8DBE2859C}" srcOrd="0" destOrd="0" presId="urn:microsoft.com/office/officeart/2005/8/layout/orgChart1"/>
    <dgm:cxn modelId="{0D6E4CB2-EDF8-4765-9F22-1D1091CD30CC}" type="presParOf" srcId="{F5FEAC6D-E633-4EDC-A6A4-13C8DBE2859C}" destId="{F636D4F0-326A-43EC-B338-140AA8F82298}" srcOrd="0" destOrd="0" presId="urn:microsoft.com/office/officeart/2005/8/layout/orgChart1"/>
    <dgm:cxn modelId="{E864E7BA-2544-49FF-B973-D0D95E9B5E9D}" type="presParOf" srcId="{F5FEAC6D-E633-4EDC-A6A4-13C8DBE2859C}" destId="{6AA3AD55-00B2-469A-B175-1C746A2FA682}" srcOrd="1" destOrd="0" presId="urn:microsoft.com/office/officeart/2005/8/layout/orgChart1"/>
    <dgm:cxn modelId="{2049849B-6692-44A0-B597-B398FAD0DC4A}" type="presParOf" srcId="{42AAEDC0-8F4B-4B3F-AD2F-CB689F2F94D5}" destId="{D5BD43B0-0F0C-468F-85F6-6226B0729A8F}" srcOrd="1" destOrd="0" presId="urn:microsoft.com/office/officeart/2005/8/layout/orgChart1"/>
    <dgm:cxn modelId="{BB27B6FA-54EB-4284-8CC8-95BF171F762D}" type="presParOf" srcId="{42AAEDC0-8F4B-4B3F-AD2F-CB689F2F94D5}" destId="{2FF23936-CAEF-4D6B-9440-8A6980470E8E}" srcOrd="2" destOrd="0" presId="urn:microsoft.com/office/officeart/2005/8/layout/orgChart1"/>
    <dgm:cxn modelId="{827211B0-9A79-4688-ADEE-122D4234EAB8}" type="presParOf" srcId="{3E336B97-79AC-4E11-B3EA-4C9E82A318D3}" destId="{D0252A69-8D5E-4BC6-8419-2B8492E4DA3A}" srcOrd="2" destOrd="0" presId="urn:microsoft.com/office/officeart/2005/8/layout/orgChart1"/>
    <dgm:cxn modelId="{1FDD4B44-A4A0-4196-90F0-D8DFBB9FA28B}" type="presParOf" srcId="{3E336B97-79AC-4E11-B3EA-4C9E82A318D3}" destId="{3FCD7829-BCBC-49AC-99F3-18FBCBD72FF9}" srcOrd="3" destOrd="0" presId="urn:microsoft.com/office/officeart/2005/8/layout/orgChart1"/>
    <dgm:cxn modelId="{B0B495CA-3065-4938-B3A9-BB2D4BCECDF5}" type="presParOf" srcId="{3FCD7829-BCBC-49AC-99F3-18FBCBD72FF9}" destId="{17731148-C052-40BB-8D67-6CBECB191940}" srcOrd="0" destOrd="0" presId="urn:microsoft.com/office/officeart/2005/8/layout/orgChart1"/>
    <dgm:cxn modelId="{F250DA6D-A7A0-437F-921A-6BD8E7AB9E00}" type="presParOf" srcId="{17731148-C052-40BB-8D67-6CBECB191940}" destId="{D99BDD19-C6EF-4ADD-BDE9-B94CEC9E1229}" srcOrd="0" destOrd="0" presId="urn:microsoft.com/office/officeart/2005/8/layout/orgChart1"/>
    <dgm:cxn modelId="{B32A4C24-83EF-4004-BA2E-C1BE00BFBEC6}" type="presParOf" srcId="{17731148-C052-40BB-8D67-6CBECB191940}" destId="{2304FF5E-4C91-4BFA-9378-2B6A238B7CA2}" srcOrd="1" destOrd="0" presId="urn:microsoft.com/office/officeart/2005/8/layout/orgChart1"/>
    <dgm:cxn modelId="{C6D048A9-4F1F-4E2E-8583-B6CC91A3D53C}" type="presParOf" srcId="{3FCD7829-BCBC-49AC-99F3-18FBCBD72FF9}" destId="{BC4DB2B6-32BC-4934-9709-7D3AE2E2795F}" srcOrd="1" destOrd="0" presId="urn:microsoft.com/office/officeart/2005/8/layout/orgChart1"/>
    <dgm:cxn modelId="{07FD545D-452A-4FBD-AEAA-EB3FE0CDCBD7}" type="presParOf" srcId="{3FCD7829-BCBC-49AC-99F3-18FBCBD72FF9}" destId="{F8CFC570-35A6-4B10-9122-47136A3378CA}" srcOrd="2" destOrd="0" presId="urn:microsoft.com/office/officeart/2005/8/layout/orgChart1"/>
    <dgm:cxn modelId="{848FA0EC-5973-4E4E-A956-65B79FC0FDB6}" type="presParOf" srcId="{3E336B97-79AC-4E11-B3EA-4C9E82A318D3}" destId="{81449E72-7A51-4DC6-8979-2672038FC59B}" srcOrd="4" destOrd="0" presId="urn:microsoft.com/office/officeart/2005/8/layout/orgChart1"/>
    <dgm:cxn modelId="{61E1EA74-6571-45E2-978E-833B7B750BA9}" type="presParOf" srcId="{3E336B97-79AC-4E11-B3EA-4C9E82A318D3}" destId="{9E52FF05-3411-4C15-8528-361FE761AA4C}" srcOrd="5" destOrd="0" presId="urn:microsoft.com/office/officeart/2005/8/layout/orgChart1"/>
    <dgm:cxn modelId="{E39D18C4-3ED9-46BF-B3AB-D511ECB561C3}" type="presParOf" srcId="{9E52FF05-3411-4C15-8528-361FE761AA4C}" destId="{F01D44E4-497B-4355-BFA7-A83006E2FE02}" srcOrd="0" destOrd="0" presId="urn:microsoft.com/office/officeart/2005/8/layout/orgChart1"/>
    <dgm:cxn modelId="{3AAC63C9-C4CC-40B1-A238-AFD57530BEFF}" type="presParOf" srcId="{F01D44E4-497B-4355-BFA7-A83006E2FE02}" destId="{F857E7DA-8FC6-47AB-A934-F32BE41071AD}" srcOrd="0" destOrd="0" presId="urn:microsoft.com/office/officeart/2005/8/layout/orgChart1"/>
    <dgm:cxn modelId="{CD766C18-67BC-49F9-9DE4-F25A411E4D12}" type="presParOf" srcId="{F01D44E4-497B-4355-BFA7-A83006E2FE02}" destId="{61BD495C-1C9D-4579-B231-DF63073AD7D5}" srcOrd="1" destOrd="0" presId="urn:microsoft.com/office/officeart/2005/8/layout/orgChart1"/>
    <dgm:cxn modelId="{0D4F4DA2-5B71-4229-B619-CF5D60B1EDD6}" type="presParOf" srcId="{9E52FF05-3411-4C15-8528-361FE761AA4C}" destId="{E045D6C2-62DE-427D-95F5-CFF010CEF4C4}" srcOrd="1" destOrd="0" presId="urn:microsoft.com/office/officeart/2005/8/layout/orgChart1"/>
    <dgm:cxn modelId="{DE2CF210-035B-43E9-B4EF-6BCACBA1F8E4}" type="presParOf" srcId="{9E52FF05-3411-4C15-8528-361FE761AA4C}" destId="{E79875F6-E089-4BC8-9EA8-A4127F2B46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F8CE41B-ADCD-497C-B9E2-8A6171D78D6D}" type="doc">
      <dgm:prSet loTypeId="urn:microsoft.com/office/officeart/2005/8/layout/process4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KZ"/>
        </a:p>
      </dgm:t>
    </dgm:pt>
    <dgm:pt modelId="{E9236845-0A4A-4FEA-A323-CCBFA90FFBE3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Секторальные направления ВИЭ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398162-1EDA-4FBB-9D58-904367796991}" type="parTrans" cxnId="{A139969A-D01A-45F5-9876-87E7080FA5ED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B32992-06EF-4745-BA52-56AD3FE1E574}" type="sibTrans" cxnId="{A139969A-D01A-45F5-9876-87E7080FA5ED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A3709-A781-4A7C-A030-B153B3A9067C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Солнечная энергетика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C68483-2E02-4BDC-827A-4C58B89C3F7B}" type="parTrans" cxnId="{32A3864B-C9B3-4F5D-A651-F6D1408DA5D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8C615F-F306-4B05-96AC-5CAA748600B6}" type="sibTrans" cxnId="{32A3864B-C9B3-4F5D-A651-F6D1408DA5D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8C3DB4-7EE6-4792-9377-FB01B177C0DE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Ветроэнергетика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3538B0-BC2B-4876-B2F9-7B8934FBB69B}" type="parTrans" cxnId="{08997386-1D18-4073-9949-126298DAF79C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FE4734-A681-4020-AE39-A53E25742F7F}" type="sibTrans" cxnId="{08997386-1D18-4073-9949-126298DAF79C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300B63-D04D-491B-8F53-52471FBD1B70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Альтернативные направления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0D0158-1278-4BE6-8046-E3E77D1CD0F3}" type="parTrans" cxnId="{E21F12F4-2F60-4AD5-836A-52D88AC51EFF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186823-087F-4743-9731-98442838B7CD}" type="sibTrans" cxnId="{E21F12F4-2F60-4AD5-836A-52D88AC51EFF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5D0311-F910-463F-B89B-0AF67466D814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Энергия из биомассы 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4DF308-181A-4B85-A283-0CE3647D8082}" type="parTrans" cxnId="{BAA7E834-4324-46DB-9D34-D6DF35008A6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21B481-CCAC-47AC-9C62-47BE71B3455B}" type="sibTrans" cxnId="{BAA7E834-4324-46DB-9D34-D6DF35008A6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A3C33D-537C-4C97-849C-61B4706E3329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Аккумуляторные технологии 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E7BAA8-6E55-43AC-B080-65EC7960885E}" type="parTrans" cxnId="{9BEA08DF-F7BB-4A23-AD1A-14CC790E1C6F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3D6CF5-214B-4617-857D-150907CDC7A2}" type="sibTrans" cxnId="{9BEA08DF-F7BB-4A23-AD1A-14CC790E1C6F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6A2910-E825-441A-A248-D71546B90D25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Цифровизация и интеллектуальное управление энергией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21DB70-9CC6-495F-B864-E3FB98AE5904}" type="parTrans" cxnId="{546181E8-B1EE-41E3-86D7-E79DFE35DF00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DB1518-965C-41DA-8882-56D5FEBA458E}" type="sibTrans" cxnId="{546181E8-B1EE-41E3-86D7-E79DFE35DF00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3BB07E-F7C1-42C5-B0BF-03B42A67F5B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Умные сети (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Smart Grids)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Цифровые платформы 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F6509E-B771-4083-83CC-327E9AEFAE3E}" type="parTrans" cxnId="{A09EC1A3-4797-4431-AB05-8C9E72AC5A8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A55E5B-6C90-49C4-B203-6A186139C222}" type="sibTrans" cxnId="{A09EC1A3-4797-4431-AB05-8C9E72AC5A8A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BEFD07-5949-41CF-AE07-6C95F4700466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Искусственный интеллект в прогнозировании</a:t>
          </a:r>
        </a:p>
      </dgm:t>
    </dgm:pt>
    <dgm:pt modelId="{C35117F8-D182-4556-AFEC-DFE2A5700C0C}" type="parTrans" cxnId="{750BD30A-2A45-4029-8979-6E9BCE0E99C8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363DFF-48F7-47FD-B8DF-0F3700403A2C}" type="sibTrans" cxnId="{750BD30A-2A45-4029-8979-6E9BCE0E99C8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802024-8416-49B3-948D-01A1682D008F}">
      <dgm:prSet phldrT="[Текст]" custT="1"/>
      <dgm:spPr/>
      <dgm:t>
        <a:bodyPr/>
        <a:lstStyle/>
        <a:p>
          <a:pPr>
            <a:buNone/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Гидроэнергетика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6E1D7F-4C2D-4B2C-8D3E-52BAFBE45950}" type="parTrans" cxnId="{BA4FFAB3-61D8-4D9E-95CB-D937598949AE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5B4F84-9975-4018-ADFF-A4CA7E2A7A5C}" type="sibTrans" cxnId="{BA4FFAB3-61D8-4D9E-95CB-D937598949AE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619DDA-1C69-4242-82EA-2EE7B7A4AA3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Интеллектуальный учёт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Автоматизация </a:t>
          </a:r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AC70C7-0EC0-4C45-B929-7C00AE6CA224}" type="parTrans" cxnId="{682E4B3C-2A2F-464E-AA1E-DFA90BA68F01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427351-87F0-472B-9041-7A707ED7A967}" type="sibTrans" cxnId="{682E4B3C-2A2F-464E-AA1E-DFA90BA68F01}">
      <dgm:prSet/>
      <dgm:spPr/>
      <dgm:t>
        <a:bodyPr/>
        <a:lstStyle/>
        <a:p>
          <a:endParaRPr lang="ru-KZ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8DFEA4-25DE-4731-93F7-37D478951358}" type="pres">
      <dgm:prSet presAssocID="{6F8CE41B-ADCD-497C-B9E2-8A6171D78D6D}" presName="Name0" presStyleCnt="0">
        <dgm:presLayoutVars>
          <dgm:dir/>
          <dgm:animLvl val="lvl"/>
          <dgm:resizeHandles val="exact"/>
        </dgm:presLayoutVars>
      </dgm:prSet>
      <dgm:spPr/>
    </dgm:pt>
    <dgm:pt modelId="{05ECE101-28D2-409A-A0E3-C0BC50BA1A23}" type="pres">
      <dgm:prSet presAssocID="{266A2910-E825-441A-A248-D71546B90D25}" presName="boxAndChildren" presStyleCnt="0"/>
      <dgm:spPr/>
    </dgm:pt>
    <dgm:pt modelId="{89708113-7EAA-4F60-AD63-0B97B67E3AEF}" type="pres">
      <dgm:prSet presAssocID="{266A2910-E825-441A-A248-D71546B90D25}" presName="parentTextBox" presStyleLbl="node1" presStyleIdx="0" presStyleCnt="3"/>
      <dgm:spPr/>
    </dgm:pt>
    <dgm:pt modelId="{185A2893-30E0-480A-AB68-5D5125C6B98C}" type="pres">
      <dgm:prSet presAssocID="{266A2910-E825-441A-A248-D71546B90D25}" presName="entireBox" presStyleLbl="node1" presStyleIdx="0" presStyleCnt="3"/>
      <dgm:spPr/>
    </dgm:pt>
    <dgm:pt modelId="{F2FCD827-5461-4A85-9C85-5F5DB8A16884}" type="pres">
      <dgm:prSet presAssocID="{266A2910-E825-441A-A248-D71546B90D25}" presName="descendantBox" presStyleCnt="0"/>
      <dgm:spPr/>
    </dgm:pt>
    <dgm:pt modelId="{8B95A504-C78B-4CA9-92DC-6ECF3D3D2FA4}" type="pres">
      <dgm:prSet presAssocID="{BC3BB07E-F7C1-42C5-B0BF-03B42A67F5B8}" presName="childTextBox" presStyleLbl="fgAccFollowNode1" presStyleIdx="0" presStyleCnt="8">
        <dgm:presLayoutVars>
          <dgm:bulletEnabled val="1"/>
        </dgm:presLayoutVars>
      </dgm:prSet>
      <dgm:spPr/>
    </dgm:pt>
    <dgm:pt modelId="{09904F48-8F00-4CCD-9F3C-F53E0B6F0513}" type="pres">
      <dgm:prSet presAssocID="{F8619DDA-1C69-4242-82EA-2EE7B7A4AA3B}" presName="childTextBox" presStyleLbl="fgAccFollowNode1" presStyleIdx="1" presStyleCnt="8">
        <dgm:presLayoutVars>
          <dgm:bulletEnabled val="1"/>
        </dgm:presLayoutVars>
      </dgm:prSet>
      <dgm:spPr/>
    </dgm:pt>
    <dgm:pt modelId="{C3D23F17-F479-4EA8-B176-F7A517A3E6F1}" type="pres">
      <dgm:prSet presAssocID="{56BEFD07-5949-41CF-AE07-6C95F4700466}" presName="childTextBox" presStyleLbl="fgAccFollowNode1" presStyleIdx="2" presStyleCnt="8">
        <dgm:presLayoutVars>
          <dgm:bulletEnabled val="1"/>
        </dgm:presLayoutVars>
      </dgm:prSet>
      <dgm:spPr/>
    </dgm:pt>
    <dgm:pt modelId="{ADE205B3-64CB-4100-BB38-B8A5FE13EA7E}" type="pres">
      <dgm:prSet presAssocID="{44186823-087F-4743-9731-98442838B7CD}" presName="sp" presStyleCnt="0"/>
      <dgm:spPr/>
    </dgm:pt>
    <dgm:pt modelId="{87906688-61D4-40DB-9A92-6ECFEFE8EA5F}" type="pres">
      <dgm:prSet presAssocID="{38300B63-D04D-491B-8F53-52471FBD1B70}" presName="arrowAndChildren" presStyleCnt="0"/>
      <dgm:spPr/>
    </dgm:pt>
    <dgm:pt modelId="{3E4F46BC-462F-4524-9983-5B8E5FB6613B}" type="pres">
      <dgm:prSet presAssocID="{38300B63-D04D-491B-8F53-52471FBD1B70}" presName="parentTextArrow" presStyleLbl="node1" presStyleIdx="0" presStyleCnt="3"/>
      <dgm:spPr/>
    </dgm:pt>
    <dgm:pt modelId="{542D7C37-34B0-4C05-85A8-D1A7C39D2488}" type="pres">
      <dgm:prSet presAssocID="{38300B63-D04D-491B-8F53-52471FBD1B70}" presName="arrow" presStyleLbl="node1" presStyleIdx="1" presStyleCnt="3"/>
      <dgm:spPr/>
    </dgm:pt>
    <dgm:pt modelId="{A5E44EF5-3B0C-49A3-86FD-8644D69A0EEC}" type="pres">
      <dgm:prSet presAssocID="{38300B63-D04D-491B-8F53-52471FBD1B70}" presName="descendantArrow" presStyleCnt="0"/>
      <dgm:spPr/>
    </dgm:pt>
    <dgm:pt modelId="{EE32F7E8-46EB-4721-A412-DC57817A1C0A}" type="pres">
      <dgm:prSet presAssocID="{955D0311-F910-463F-B89B-0AF67466D814}" presName="childTextArrow" presStyleLbl="fgAccFollowNode1" presStyleIdx="3" presStyleCnt="8">
        <dgm:presLayoutVars>
          <dgm:bulletEnabled val="1"/>
        </dgm:presLayoutVars>
      </dgm:prSet>
      <dgm:spPr/>
    </dgm:pt>
    <dgm:pt modelId="{A9C54126-5A5C-44AB-A629-EC02D52AD32A}" type="pres">
      <dgm:prSet presAssocID="{7BA3C33D-537C-4C97-849C-61B4706E3329}" presName="childTextArrow" presStyleLbl="fgAccFollowNode1" presStyleIdx="4" presStyleCnt="8">
        <dgm:presLayoutVars>
          <dgm:bulletEnabled val="1"/>
        </dgm:presLayoutVars>
      </dgm:prSet>
      <dgm:spPr/>
    </dgm:pt>
    <dgm:pt modelId="{FD4AC662-ECF2-4687-B2C1-8224237218D5}" type="pres">
      <dgm:prSet presAssocID="{D1B32992-06EF-4745-BA52-56AD3FE1E574}" presName="sp" presStyleCnt="0"/>
      <dgm:spPr/>
    </dgm:pt>
    <dgm:pt modelId="{72C4BCCD-BECD-4492-A4C2-816506EDF6E7}" type="pres">
      <dgm:prSet presAssocID="{E9236845-0A4A-4FEA-A323-CCBFA90FFBE3}" presName="arrowAndChildren" presStyleCnt="0"/>
      <dgm:spPr/>
    </dgm:pt>
    <dgm:pt modelId="{92A7B5E3-94B9-4542-8ADB-D53E9BE262F4}" type="pres">
      <dgm:prSet presAssocID="{E9236845-0A4A-4FEA-A323-CCBFA90FFBE3}" presName="parentTextArrow" presStyleLbl="node1" presStyleIdx="1" presStyleCnt="3"/>
      <dgm:spPr/>
    </dgm:pt>
    <dgm:pt modelId="{435F8921-B8F8-4D98-9B81-F66270EB0995}" type="pres">
      <dgm:prSet presAssocID="{E9236845-0A4A-4FEA-A323-CCBFA90FFBE3}" presName="arrow" presStyleLbl="node1" presStyleIdx="2" presStyleCnt="3"/>
      <dgm:spPr/>
    </dgm:pt>
    <dgm:pt modelId="{6B349A93-885C-4283-A27D-E5A445836F63}" type="pres">
      <dgm:prSet presAssocID="{E9236845-0A4A-4FEA-A323-CCBFA90FFBE3}" presName="descendantArrow" presStyleCnt="0"/>
      <dgm:spPr/>
    </dgm:pt>
    <dgm:pt modelId="{22414F32-748F-40E8-A850-DBEA4A02A564}" type="pres">
      <dgm:prSet presAssocID="{2FEA3709-A781-4A7C-A030-B153B3A9067C}" presName="childTextArrow" presStyleLbl="fgAccFollowNode1" presStyleIdx="5" presStyleCnt="8">
        <dgm:presLayoutVars>
          <dgm:bulletEnabled val="1"/>
        </dgm:presLayoutVars>
      </dgm:prSet>
      <dgm:spPr/>
    </dgm:pt>
    <dgm:pt modelId="{EC53D607-B296-4874-ACCE-3421AD5CB59F}" type="pres">
      <dgm:prSet presAssocID="{DD8C3DB4-7EE6-4792-9377-FB01B177C0DE}" presName="childTextArrow" presStyleLbl="fgAccFollowNode1" presStyleIdx="6" presStyleCnt="8">
        <dgm:presLayoutVars>
          <dgm:bulletEnabled val="1"/>
        </dgm:presLayoutVars>
      </dgm:prSet>
      <dgm:spPr/>
    </dgm:pt>
    <dgm:pt modelId="{58939286-5E3D-4240-9ACB-9DCF1DE12DE6}" type="pres">
      <dgm:prSet presAssocID="{FA802024-8416-49B3-948D-01A1682D008F}" presName="childTextArrow" presStyleLbl="fgAccFollowNode1" presStyleIdx="7" presStyleCnt="8">
        <dgm:presLayoutVars>
          <dgm:bulletEnabled val="1"/>
        </dgm:presLayoutVars>
      </dgm:prSet>
      <dgm:spPr/>
    </dgm:pt>
  </dgm:ptLst>
  <dgm:cxnLst>
    <dgm:cxn modelId="{2DC02E03-9081-4E3E-A95E-07F011CA14EC}" type="presOf" srcId="{6F8CE41B-ADCD-497C-B9E2-8A6171D78D6D}" destId="{638DFEA4-25DE-4731-93F7-37D478951358}" srcOrd="0" destOrd="0" presId="urn:microsoft.com/office/officeart/2005/8/layout/process4"/>
    <dgm:cxn modelId="{750BD30A-2A45-4029-8979-6E9BCE0E99C8}" srcId="{266A2910-E825-441A-A248-D71546B90D25}" destId="{56BEFD07-5949-41CF-AE07-6C95F4700466}" srcOrd="2" destOrd="0" parTransId="{C35117F8-D182-4556-AFEC-DFE2A5700C0C}" sibTransId="{A6363DFF-48F7-47FD-B8DF-0F3700403A2C}"/>
    <dgm:cxn modelId="{5F395D0F-51A6-4D55-899C-5CFF1E95E218}" type="presOf" srcId="{7BA3C33D-537C-4C97-849C-61B4706E3329}" destId="{A9C54126-5A5C-44AB-A629-EC02D52AD32A}" srcOrd="0" destOrd="0" presId="urn:microsoft.com/office/officeart/2005/8/layout/process4"/>
    <dgm:cxn modelId="{3BA8191C-B6B6-42F1-9CA1-E456A701D9F7}" type="presOf" srcId="{E9236845-0A4A-4FEA-A323-CCBFA90FFBE3}" destId="{435F8921-B8F8-4D98-9B81-F66270EB0995}" srcOrd="1" destOrd="0" presId="urn:microsoft.com/office/officeart/2005/8/layout/process4"/>
    <dgm:cxn modelId="{6B4D361E-640C-496E-87A5-B0019762264C}" type="presOf" srcId="{FA802024-8416-49B3-948D-01A1682D008F}" destId="{58939286-5E3D-4240-9ACB-9DCF1DE12DE6}" srcOrd="0" destOrd="0" presId="urn:microsoft.com/office/officeart/2005/8/layout/process4"/>
    <dgm:cxn modelId="{68DAA923-71DF-487F-A86C-9A1856DBCAC1}" type="presOf" srcId="{266A2910-E825-441A-A248-D71546B90D25}" destId="{89708113-7EAA-4F60-AD63-0B97B67E3AEF}" srcOrd="0" destOrd="0" presId="urn:microsoft.com/office/officeart/2005/8/layout/process4"/>
    <dgm:cxn modelId="{2703AB2D-6DAE-40E3-AD30-26F01FCF07D8}" type="presOf" srcId="{38300B63-D04D-491B-8F53-52471FBD1B70}" destId="{542D7C37-34B0-4C05-85A8-D1A7C39D2488}" srcOrd="1" destOrd="0" presId="urn:microsoft.com/office/officeart/2005/8/layout/process4"/>
    <dgm:cxn modelId="{39D2C22F-6834-4AEB-8EAD-04FD7393B643}" type="presOf" srcId="{E9236845-0A4A-4FEA-A323-CCBFA90FFBE3}" destId="{92A7B5E3-94B9-4542-8ADB-D53E9BE262F4}" srcOrd="0" destOrd="0" presId="urn:microsoft.com/office/officeart/2005/8/layout/process4"/>
    <dgm:cxn modelId="{BAA7E834-4324-46DB-9D34-D6DF35008A6A}" srcId="{38300B63-D04D-491B-8F53-52471FBD1B70}" destId="{955D0311-F910-463F-B89B-0AF67466D814}" srcOrd="0" destOrd="0" parTransId="{DA4DF308-181A-4B85-A283-0CE3647D8082}" sibTransId="{9721B481-CCAC-47AC-9C62-47BE71B3455B}"/>
    <dgm:cxn modelId="{682E4B3C-2A2F-464E-AA1E-DFA90BA68F01}" srcId="{266A2910-E825-441A-A248-D71546B90D25}" destId="{F8619DDA-1C69-4242-82EA-2EE7B7A4AA3B}" srcOrd="1" destOrd="0" parTransId="{49AC70C7-0EC0-4C45-B929-7C00AE6CA224}" sibTransId="{ED427351-87F0-472B-9041-7A707ED7A967}"/>
    <dgm:cxn modelId="{FE148A6A-0F45-4E58-A186-C1CB6C30C353}" type="presOf" srcId="{38300B63-D04D-491B-8F53-52471FBD1B70}" destId="{3E4F46BC-462F-4524-9983-5B8E5FB6613B}" srcOrd="0" destOrd="0" presId="urn:microsoft.com/office/officeart/2005/8/layout/process4"/>
    <dgm:cxn modelId="{32A3864B-C9B3-4F5D-A651-F6D1408DA5DA}" srcId="{E9236845-0A4A-4FEA-A323-CCBFA90FFBE3}" destId="{2FEA3709-A781-4A7C-A030-B153B3A9067C}" srcOrd="0" destOrd="0" parTransId="{60C68483-2E02-4BDC-827A-4C58B89C3F7B}" sibTransId="{FB8C615F-F306-4B05-96AC-5CAA748600B6}"/>
    <dgm:cxn modelId="{3F18984E-6E53-4660-B105-B05E359C6486}" type="presOf" srcId="{2FEA3709-A781-4A7C-A030-B153B3A9067C}" destId="{22414F32-748F-40E8-A850-DBEA4A02A564}" srcOrd="0" destOrd="0" presId="urn:microsoft.com/office/officeart/2005/8/layout/process4"/>
    <dgm:cxn modelId="{3C310652-BFB2-4D66-9631-E609134F23FC}" type="presOf" srcId="{DD8C3DB4-7EE6-4792-9377-FB01B177C0DE}" destId="{EC53D607-B296-4874-ACCE-3421AD5CB59F}" srcOrd="0" destOrd="0" presId="urn:microsoft.com/office/officeart/2005/8/layout/process4"/>
    <dgm:cxn modelId="{08997386-1D18-4073-9949-126298DAF79C}" srcId="{E9236845-0A4A-4FEA-A323-CCBFA90FFBE3}" destId="{DD8C3DB4-7EE6-4792-9377-FB01B177C0DE}" srcOrd="1" destOrd="0" parTransId="{5B3538B0-BC2B-4876-B2F9-7B8934FBB69B}" sibTransId="{18FE4734-A681-4020-AE39-A53E25742F7F}"/>
    <dgm:cxn modelId="{31BB9689-622C-4329-99B4-67BC1620A6D7}" type="presOf" srcId="{955D0311-F910-463F-B89B-0AF67466D814}" destId="{EE32F7E8-46EB-4721-A412-DC57817A1C0A}" srcOrd="0" destOrd="0" presId="urn:microsoft.com/office/officeart/2005/8/layout/process4"/>
    <dgm:cxn modelId="{E9A91C97-DE01-42CB-8FF2-F08793A0816D}" type="presOf" srcId="{56BEFD07-5949-41CF-AE07-6C95F4700466}" destId="{C3D23F17-F479-4EA8-B176-F7A517A3E6F1}" srcOrd="0" destOrd="0" presId="urn:microsoft.com/office/officeart/2005/8/layout/process4"/>
    <dgm:cxn modelId="{A139969A-D01A-45F5-9876-87E7080FA5ED}" srcId="{6F8CE41B-ADCD-497C-B9E2-8A6171D78D6D}" destId="{E9236845-0A4A-4FEA-A323-CCBFA90FFBE3}" srcOrd="0" destOrd="0" parTransId="{4D398162-1EDA-4FBB-9D58-904367796991}" sibTransId="{D1B32992-06EF-4745-BA52-56AD3FE1E574}"/>
    <dgm:cxn modelId="{3DF74BA0-78C8-4284-833C-AEEF9272796A}" type="presOf" srcId="{266A2910-E825-441A-A248-D71546B90D25}" destId="{185A2893-30E0-480A-AB68-5D5125C6B98C}" srcOrd="1" destOrd="0" presId="urn:microsoft.com/office/officeart/2005/8/layout/process4"/>
    <dgm:cxn modelId="{38EA37A2-65EA-47D2-9437-082DD5446C9E}" type="presOf" srcId="{BC3BB07E-F7C1-42C5-B0BF-03B42A67F5B8}" destId="{8B95A504-C78B-4CA9-92DC-6ECF3D3D2FA4}" srcOrd="0" destOrd="0" presId="urn:microsoft.com/office/officeart/2005/8/layout/process4"/>
    <dgm:cxn modelId="{A09EC1A3-4797-4431-AB05-8C9E72AC5A8A}" srcId="{266A2910-E825-441A-A248-D71546B90D25}" destId="{BC3BB07E-F7C1-42C5-B0BF-03B42A67F5B8}" srcOrd="0" destOrd="0" parTransId="{C0F6509E-B771-4083-83CC-327E9AEFAE3E}" sibTransId="{F3A55E5B-6C90-49C4-B203-6A186139C222}"/>
    <dgm:cxn modelId="{BA4FFAB3-61D8-4D9E-95CB-D937598949AE}" srcId="{E9236845-0A4A-4FEA-A323-CCBFA90FFBE3}" destId="{FA802024-8416-49B3-948D-01A1682D008F}" srcOrd="2" destOrd="0" parTransId="{076E1D7F-4C2D-4B2C-8D3E-52BAFBE45950}" sibTransId="{335B4F84-9975-4018-ADFF-A4CA7E2A7A5C}"/>
    <dgm:cxn modelId="{9BEA08DF-F7BB-4A23-AD1A-14CC790E1C6F}" srcId="{38300B63-D04D-491B-8F53-52471FBD1B70}" destId="{7BA3C33D-537C-4C97-849C-61B4706E3329}" srcOrd="1" destOrd="0" parTransId="{50E7BAA8-6E55-43AC-B080-65EC7960885E}" sibTransId="{F93D6CF5-214B-4617-857D-150907CDC7A2}"/>
    <dgm:cxn modelId="{546181E8-B1EE-41E3-86D7-E79DFE35DF00}" srcId="{6F8CE41B-ADCD-497C-B9E2-8A6171D78D6D}" destId="{266A2910-E825-441A-A248-D71546B90D25}" srcOrd="2" destOrd="0" parTransId="{0021DB70-9CC6-495F-B864-E3FB98AE5904}" sibTransId="{8CDB1518-965C-41DA-8882-56D5FEBA458E}"/>
    <dgm:cxn modelId="{E21F12F4-2F60-4AD5-836A-52D88AC51EFF}" srcId="{6F8CE41B-ADCD-497C-B9E2-8A6171D78D6D}" destId="{38300B63-D04D-491B-8F53-52471FBD1B70}" srcOrd="1" destOrd="0" parTransId="{A20D0158-1278-4BE6-8046-E3E77D1CD0F3}" sibTransId="{44186823-087F-4743-9731-98442838B7CD}"/>
    <dgm:cxn modelId="{A3096BF6-5942-4DB4-A9EA-44205D0A35DA}" type="presOf" srcId="{F8619DDA-1C69-4242-82EA-2EE7B7A4AA3B}" destId="{09904F48-8F00-4CCD-9F3C-F53E0B6F0513}" srcOrd="0" destOrd="0" presId="urn:microsoft.com/office/officeart/2005/8/layout/process4"/>
    <dgm:cxn modelId="{9E9CB319-E17E-4F2E-BABE-FD6F7422638C}" type="presParOf" srcId="{638DFEA4-25DE-4731-93F7-37D478951358}" destId="{05ECE101-28D2-409A-A0E3-C0BC50BA1A23}" srcOrd="0" destOrd="0" presId="urn:microsoft.com/office/officeart/2005/8/layout/process4"/>
    <dgm:cxn modelId="{C9A81317-583C-49F6-9BA4-BCAD7F7720D5}" type="presParOf" srcId="{05ECE101-28D2-409A-A0E3-C0BC50BA1A23}" destId="{89708113-7EAA-4F60-AD63-0B97B67E3AEF}" srcOrd="0" destOrd="0" presId="urn:microsoft.com/office/officeart/2005/8/layout/process4"/>
    <dgm:cxn modelId="{7B46C8BD-83FF-4999-9EC8-DEA471C9979F}" type="presParOf" srcId="{05ECE101-28D2-409A-A0E3-C0BC50BA1A23}" destId="{185A2893-30E0-480A-AB68-5D5125C6B98C}" srcOrd="1" destOrd="0" presId="urn:microsoft.com/office/officeart/2005/8/layout/process4"/>
    <dgm:cxn modelId="{C2EDD109-6AE2-41D4-A855-1377CC6471CC}" type="presParOf" srcId="{05ECE101-28D2-409A-A0E3-C0BC50BA1A23}" destId="{F2FCD827-5461-4A85-9C85-5F5DB8A16884}" srcOrd="2" destOrd="0" presId="urn:microsoft.com/office/officeart/2005/8/layout/process4"/>
    <dgm:cxn modelId="{AF055C50-FD8C-4230-A248-D0A53542DBB6}" type="presParOf" srcId="{F2FCD827-5461-4A85-9C85-5F5DB8A16884}" destId="{8B95A504-C78B-4CA9-92DC-6ECF3D3D2FA4}" srcOrd="0" destOrd="0" presId="urn:microsoft.com/office/officeart/2005/8/layout/process4"/>
    <dgm:cxn modelId="{56339DA0-85AD-49FE-8FB1-2C87FCA6A9B5}" type="presParOf" srcId="{F2FCD827-5461-4A85-9C85-5F5DB8A16884}" destId="{09904F48-8F00-4CCD-9F3C-F53E0B6F0513}" srcOrd="1" destOrd="0" presId="urn:microsoft.com/office/officeart/2005/8/layout/process4"/>
    <dgm:cxn modelId="{095B5B97-7D40-4260-9FE5-50C80BE237A2}" type="presParOf" srcId="{F2FCD827-5461-4A85-9C85-5F5DB8A16884}" destId="{C3D23F17-F479-4EA8-B176-F7A517A3E6F1}" srcOrd="2" destOrd="0" presId="urn:microsoft.com/office/officeart/2005/8/layout/process4"/>
    <dgm:cxn modelId="{E72D60FB-C0D5-42BD-94ED-0717C0630912}" type="presParOf" srcId="{638DFEA4-25DE-4731-93F7-37D478951358}" destId="{ADE205B3-64CB-4100-BB38-B8A5FE13EA7E}" srcOrd="1" destOrd="0" presId="urn:microsoft.com/office/officeart/2005/8/layout/process4"/>
    <dgm:cxn modelId="{068FA7D9-5946-4A29-857A-BDBC281937F5}" type="presParOf" srcId="{638DFEA4-25DE-4731-93F7-37D478951358}" destId="{87906688-61D4-40DB-9A92-6ECFEFE8EA5F}" srcOrd="2" destOrd="0" presId="urn:microsoft.com/office/officeart/2005/8/layout/process4"/>
    <dgm:cxn modelId="{750A6025-C257-4558-BC67-4C373E0001E4}" type="presParOf" srcId="{87906688-61D4-40DB-9A92-6ECFEFE8EA5F}" destId="{3E4F46BC-462F-4524-9983-5B8E5FB6613B}" srcOrd="0" destOrd="0" presId="urn:microsoft.com/office/officeart/2005/8/layout/process4"/>
    <dgm:cxn modelId="{29E2FA81-B70B-47E3-AC87-F0C926E727C3}" type="presParOf" srcId="{87906688-61D4-40DB-9A92-6ECFEFE8EA5F}" destId="{542D7C37-34B0-4C05-85A8-D1A7C39D2488}" srcOrd="1" destOrd="0" presId="urn:microsoft.com/office/officeart/2005/8/layout/process4"/>
    <dgm:cxn modelId="{7395E2E3-7E75-48F4-9AD8-513684BF2121}" type="presParOf" srcId="{87906688-61D4-40DB-9A92-6ECFEFE8EA5F}" destId="{A5E44EF5-3B0C-49A3-86FD-8644D69A0EEC}" srcOrd="2" destOrd="0" presId="urn:microsoft.com/office/officeart/2005/8/layout/process4"/>
    <dgm:cxn modelId="{6EBF96D5-B869-4FE9-AE50-4CC55B963564}" type="presParOf" srcId="{A5E44EF5-3B0C-49A3-86FD-8644D69A0EEC}" destId="{EE32F7E8-46EB-4721-A412-DC57817A1C0A}" srcOrd="0" destOrd="0" presId="urn:microsoft.com/office/officeart/2005/8/layout/process4"/>
    <dgm:cxn modelId="{0DFE105C-2CFC-4392-8D1B-4AC0220C2B65}" type="presParOf" srcId="{A5E44EF5-3B0C-49A3-86FD-8644D69A0EEC}" destId="{A9C54126-5A5C-44AB-A629-EC02D52AD32A}" srcOrd="1" destOrd="0" presId="urn:microsoft.com/office/officeart/2005/8/layout/process4"/>
    <dgm:cxn modelId="{58101A39-753B-46BD-ABEB-609FF637F34E}" type="presParOf" srcId="{638DFEA4-25DE-4731-93F7-37D478951358}" destId="{FD4AC662-ECF2-4687-B2C1-8224237218D5}" srcOrd="3" destOrd="0" presId="urn:microsoft.com/office/officeart/2005/8/layout/process4"/>
    <dgm:cxn modelId="{B3C8D4E9-D44E-4DB0-8436-06C4661F959E}" type="presParOf" srcId="{638DFEA4-25DE-4731-93F7-37D478951358}" destId="{72C4BCCD-BECD-4492-A4C2-816506EDF6E7}" srcOrd="4" destOrd="0" presId="urn:microsoft.com/office/officeart/2005/8/layout/process4"/>
    <dgm:cxn modelId="{97FC5D79-D7E0-4F2E-A3DC-B242ABAF1D74}" type="presParOf" srcId="{72C4BCCD-BECD-4492-A4C2-816506EDF6E7}" destId="{92A7B5E3-94B9-4542-8ADB-D53E9BE262F4}" srcOrd="0" destOrd="0" presId="urn:microsoft.com/office/officeart/2005/8/layout/process4"/>
    <dgm:cxn modelId="{43DDB302-1253-48AC-AE94-3AFD617B5AF0}" type="presParOf" srcId="{72C4BCCD-BECD-4492-A4C2-816506EDF6E7}" destId="{435F8921-B8F8-4D98-9B81-F66270EB0995}" srcOrd="1" destOrd="0" presId="urn:microsoft.com/office/officeart/2005/8/layout/process4"/>
    <dgm:cxn modelId="{889302DC-A1AB-434F-B6F6-E9CFE0FCBC81}" type="presParOf" srcId="{72C4BCCD-BECD-4492-A4C2-816506EDF6E7}" destId="{6B349A93-885C-4283-A27D-E5A445836F63}" srcOrd="2" destOrd="0" presId="urn:microsoft.com/office/officeart/2005/8/layout/process4"/>
    <dgm:cxn modelId="{A2B5B5F2-80FE-4DC4-AF79-0CEEACDB9F0E}" type="presParOf" srcId="{6B349A93-885C-4283-A27D-E5A445836F63}" destId="{22414F32-748F-40E8-A850-DBEA4A02A564}" srcOrd="0" destOrd="0" presId="urn:microsoft.com/office/officeart/2005/8/layout/process4"/>
    <dgm:cxn modelId="{4320929B-DC12-4D30-9153-A8CB057C57F2}" type="presParOf" srcId="{6B349A93-885C-4283-A27D-E5A445836F63}" destId="{EC53D607-B296-4874-ACCE-3421AD5CB59F}" srcOrd="1" destOrd="0" presId="urn:microsoft.com/office/officeart/2005/8/layout/process4"/>
    <dgm:cxn modelId="{A75E5971-CF1D-4E98-AEDD-04ABA22AA0F0}" type="presParOf" srcId="{6B349A93-885C-4283-A27D-E5A445836F63}" destId="{58939286-5E3D-4240-9ACB-9DCF1DE12DE6}" srcOrd="2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E6361C-2E63-4D8A-8947-3E4A434C6E06}">
      <dsp:nvSpPr>
        <dsp:cNvPr id="0" name=""/>
        <dsp:cNvSpPr/>
      </dsp:nvSpPr>
      <dsp:spPr>
        <a:xfrm rot="5400000">
          <a:off x="3304076" y="-1448088"/>
          <a:ext cx="684814" cy="375513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Технологический переход определяется ранее принятыми решениями, структурой экономики и накоплением компетенций в отрасли</a:t>
          </a:r>
        </a:p>
      </dsp:txBody>
      <dsp:txXfrm rot="-5400000">
        <a:off x="1768915" y="120503"/>
        <a:ext cx="3721706" cy="617954"/>
      </dsp:txXfrm>
    </dsp:sp>
    <dsp:sp modelId="{40E79FC2-2D71-41ED-93C6-8017C35E4B36}">
      <dsp:nvSpPr>
        <dsp:cNvPr id="0" name=""/>
        <dsp:cNvSpPr/>
      </dsp:nvSpPr>
      <dsp:spPr>
        <a:xfrm>
          <a:off x="266018" y="1470"/>
          <a:ext cx="1502896" cy="8560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Зависимость от траектории</a:t>
          </a:r>
        </a:p>
      </dsp:txBody>
      <dsp:txXfrm>
        <a:off x="307805" y="43257"/>
        <a:ext cx="1419322" cy="772443"/>
      </dsp:txXfrm>
    </dsp:sp>
    <dsp:sp modelId="{E4B3C9E1-EB8D-4324-8998-BEE9017449AE}">
      <dsp:nvSpPr>
        <dsp:cNvPr id="0" name=""/>
        <dsp:cNvSpPr/>
      </dsp:nvSpPr>
      <dsp:spPr>
        <a:xfrm rot="5400000">
          <a:off x="3333479" y="-549270"/>
          <a:ext cx="684814" cy="375513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 изменения невозможны без синхронной адаптации нормативной базы, стандартов, тарифных механизмов и рыночных правил</a:t>
          </a:r>
        </a:p>
      </dsp:txBody>
      <dsp:txXfrm rot="-5400000">
        <a:off x="1798318" y="1019321"/>
        <a:ext cx="3721706" cy="617954"/>
      </dsp:txXfrm>
    </dsp:sp>
    <dsp:sp modelId="{93D75093-9755-4D3F-9582-0B78CCF2A112}">
      <dsp:nvSpPr>
        <dsp:cNvPr id="0" name=""/>
        <dsp:cNvSpPr/>
      </dsp:nvSpPr>
      <dsp:spPr>
        <a:xfrm>
          <a:off x="266018" y="900288"/>
          <a:ext cx="1532299" cy="8560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Коэволюция технологий и институтов</a:t>
          </a:r>
        </a:p>
      </dsp:txBody>
      <dsp:txXfrm>
        <a:off x="307805" y="942075"/>
        <a:ext cx="1448725" cy="772443"/>
      </dsp:txXfrm>
    </dsp:sp>
    <dsp:sp modelId="{F0B989A9-BD48-4F53-B1EF-876D0716DCE8}">
      <dsp:nvSpPr>
        <dsp:cNvPr id="0" name=""/>
        <dsp:cNvSpPr/>
      </dsp:nvSpPr>
      <dsp:spPr>
        <a:xfrm rot="5400000">
          <a:off x="3381406" y="349547"/>
          <a:ext cx="684814" cy="375513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ВИЭ проходят последовательные этапы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демонстрация, пилотное внедрение, масштабирование и доминирование</a:t>
          </a:r>
        </a:p>
      </dsp:txBody>
      <dsp:txXfrm rot="-5400000">
        <a:off x="1846245" y="1918138"/>
        <a:ext cx="3721706" cy="617954"/>
      </dsp:txXfrm>
    </dsp:sp>
    <dsp:sp modelId="{AC8B1E2A-6FE3-416B-BEA9-DA77C9D2589D}">
      <dsp:nvSpPr>
        <dsp:cNvPr id="0" name=""/>
        <dsp:cNvSpPr/>
      </dsp:nvSpPr>
      <dsp:spPr>
        <a:xfrm>
          <a:off x="266018" y="1799107"/>
          <a:ext cx="1580226" cy="8560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Нелинейность и стадийность развития</a:t>
          </a:r>
        </a:p>
      </dsp:txBody>
      <dsp:txXfrm>
        <a:off x="307805" y="1840894"/>
        <a:ext cx="1496652" cy="772443"/>
      </dsp:txXfrm>
    </dsp:sp>
    <dsp:sp modelId="{81C66EE4-54E4-46FC-BF5F-F9BECE9D15B8}">
      <dsp:nvSpPr>
        <dsp:cNvPr id="0" name=""/>
        <dsp:cNvSpPr/>
      </dsp:nvSpPr>
      <dsp:spPr>
        <a:xfrm rot="5400000">
          <a:off x="3362079" y="1248366"/>
          <a:ext cx="684814" cy="375513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Снижение себестоимости ВИЭ обусловлено эффектами обучения, масштабом производства, ростом квалификации персонала и развитием цепочек поставок</a:t>
          </a:r>
        </a:p>
      </dsp:txBody>
      <dsp:txXfrm rot="-5400000">
        <a:off x="1826918" y="2816957"/>
        <a:ext cx="3721706" cy="617954"/>
      </dsp:txXfrm>
    </dsp:sp>
    <dsp:sp modelId="{5D601650-52D8-42DE-8736-A72819BF68CD}">
      <dsp:nvSpPr>
        <dsp:cNvPr id="0" name=""/>
        <dsp:cNvSpPr/>
      </dsp:nvSpPr>
      <dsp:spPr>
        <a:xfrm>
          <a:off x="266018" y="2697925"/>
          <a:ext cx="1560899" cy="8560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Критическая роль инноваций</a:t>
          </a:r>
        </a:p>
      </dsp:txBody>
      <dsp:txXfrm>
        <a:off x="307805" y="2739712"/>
        <a:ext cx="1477325" cy="772443"/>
      </dsp:txXfrm>
    </dsp:sp>
    <dsp:sp modelId="{C0CCDE34-ED93-4B67-9CC6-D9145C548982}">
      <dsp:nvSpPr>
        <dsp:cNvPr id="0" name=""/>
        <dsp:cNvSpPr/>
      </dsp:nvSpPr>
      <dsp:spPr>
        <a:xfrm rot="5400000">
          <a:off x="3381406" y="2147184"/>
          <a:ext cx="684814" cy="375513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 силу высокой неопределённости и длительного периода окупаемости государство обеспечивает долгосрочные стимулы, инвестиции в инфраструктуру</a:t>
          </a:r>
        </a:p>
      </dsp:txBody>
      <dsp:txXfrm rot="-5400000">
        <a:off x="1846245" y="3715775"/>
        <a:ext cx="3721706" cy="617954"/>
      </dsp:txXfrm>
    </dsp:sp>
    <dsp:sp modelId="{1464D2AA-84AD-45A2-9A8B-53B86D3347DC}">
      <dsp:nvSpPr>
        <dsp:cNvPr id="0" name=""/>
        <dsp:cNvSpPr/>
      </dsp:nvSpPr>
      <dsp:spPr>
        <a:xfrm>
          <a:off x="266018" y="3596743"/>
          <a:ext cx="1580226" cy="8560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Доминирующая функция государства</a:t>
          </a:r>
        </a:p>
      </dsp:txBody>
      <dsp:txXfrm>
        <a:off x="307805" y="3638530"/>
        <a:ext cx="1496652" cy="772443"/>
      </dsp:txXfrm>
    </dsp:sp>
    <dsp:sp modelId="{6A72675F-3234-45F9-8E99-5AE4CDE0C2CB}">
      <dsp:nvSpPr>
        <dsp:cNvPr id="0" name=""/>
        <dsp:cNvSpPr/>
      </dsp:nvSpPr>
      <dsp:spPr>
        <a:xfrm rot="5400000">
          <a:off x="3362079" y="3046002"/>
          <a:ext cx="684814" cy="375513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	</a:t>
          </a: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Увеличение установленной мощности вызывает снижение стоимости технологий, что стимулирует дальнейшее расширение сектора</a:t>
          </a:r>
        </a:p>
      </dsp:txBody>
      <dsp:txXfrm rot="-5400000">
        <a:off x="1826918" y="4614593"/>
        <a:ext cx="3721706" cy="617954"/>
      </dsp:txXfrm>
    </dsp:sp>
    <dsp:sp modelId="{50B8D8F7-3613-47FC-B34C-14A58E793F78}">
      <dsp:nvSpPr>
        <dsp:cNvPr id="0" name=""/>
        <dsp:cNvSpPr/>
      </dsp:nvSpPr>
      <dsp:spPr>
        <a:xfrm>
          <a:off x="266018" y="4495562"/>
          <a:ext cx="1560899" cy="85601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обратные связи</a:t>
          </a:r>
        </a:p>
      </dsp:txBody>
      <dsp:txXfrm>
        <a:off x="307805" y="4537349"/>
        <a:ext cx="1477325" cy="77244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449E72-7A51-4DC6-8979-2672038FC59B}">
      <dsp:nvSpPr>
        <dsp:cNvPr id="0" name=""/>
        <dsp:cNvSpPr/>
      </dsp:nvSpPr>
      <dsp:spPr>
        <a:xfrm>
          <a:off x="1555439" y="969446"/>
          <a:ext cx="1363065" cy="1994952"/>
        </a:xfrm>
        <a:custGeom>
          <a:avLst/>
          <a:gdLst/>
          <a:ahLst/>
          <a:cxnLst/>
          <a:rect l="0" t="0" r="0" b="0"/>
          <a:pathLst>
            <a:path>
              <a:moveTo>
                <a:pt x="1363065" y="0"/>
              </a:moveTo>
              <a:lnTo>
                <a:pt x="1363065" y="1994952"/>
              </a:lnTo>
              <a:lnTo>
                <a:pt x="0" y="1994952"/>
              </a:lnTo>
            </a:path>
          </a:pathLst>
        </a:custGeom>
        <a:noFill/>
        <a:ln w="1905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252A69-8D5E-4BC6-8419-2B8492E4DA3A}">
      <dsp:nvSpPr>
        <dsp:cNvPr id="0" name=""/>
        <dsp:cNvSpPr/>
      </dsp:nvSpPr>
      <dsp:spPr>
        <a:xfrm>
          <a:off x="2918505" y="969446"/>
          <a:ext cx="283385" cy="1980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0526"/>
              </a:lnTo>
              <a:lnTo>
                <a:pt x="283385" y="1980526"/>
              </a:lnTo>
            </a:path>
          </a:pathLst>
        </a:custGeom>
        <a:noFill/>
        <a:ln w="1905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4CA11B-7A14-47FD-9BD8-280972F6EA82}">
      <dsp:nvSpPr>
        <dsp:cNvPr id="0" name=""/>
        <dsp:cNvSpPr/>
      </dsp:nvSpPr>
      <dsp:spPr>
        <a:xfrm>
          <a:off x="1648613" y="969446"/>
          <a:ext cx="1269892" cy="3256352"/>
        </a:xfrm>
        <a:custGeom>
          <a:avLst/>
          <a:gdLst/>
          <a:ahLst/>
          <a:cxnLst/>
          <a:rect l="0" t="0" r="0" b="0"/>
          <a:pathLst>
            <a:path>
              <a:moveTo>
                <a:pt x="1269892" y="0"/>
              </a:moveTo>
              <a:lnTo>
                <a:pt x="0" y="3256352"/>
              </a:lnTo>
            </a:path>
          </a:pathLst>
        </a:custGeom>
        <a:noFill/>
        <a:ln w="1905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CC2E26-DE70-4B0C-800D-C62D92972621}">
      <dsp:nvSpPr>
        <dsp:cNvPr id="0" name=""/>
        <dsp:cNvSpPr/>
      </dsp:nvSpPr>
      <dsp:spPr>
        <a:xfrm>
          <a:off x="2918505" y="969446"/>
          <a:ext cx="1771583" cy="5130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740"/>
              </a:lnTo>
              <a:lnTo>
                <a:pt x="1771583" y="349740"/>
              </a:lnTo>
              <a:lnTo>
                <a:pt x="1771583" y="513061"/>
              </a:lnTo>
            </a:path>
          </a:pathLst>
        </a:custGeom>
        <a:noFill/>
        <a:ln w="1905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B410FD-6831-4600-B781-93B70F6A6C43}">
      <dsp:nvSpPr>
        <dsp:cNvPr id="0" name=""/>
        <dsp:cNvSpPr/>
      </dsp:nvSpPr>
      <dsp:spPr>
        <a:xfrm>
          <a:off x="2854307" y="969446"/>
          <a:ext cx="91440" cy="513061"/>
        </a:xfrm>
        <a:custGeom>
          <a:avLst/>
          <a:gdLst/>
          <a:ahLst/>
          <a:cxnLst/>
          <a:rect l="0" t="0" r="0" b="0"/>
          <a:pathLst>
            <a:path>
              <a:moveTo>
                <a:pt x="64198" y="0"/>
              </a:moveTo>
              <a:lnTo>
                <a:pt x="64198" y="349740"/>
              </a:lnTo>
              <a:lnTo>
                <a:pt x="45720" y="349740"/>
              </a:lnTo>
              <a:lnTo>
                <a:pt x="45720" y="513061"/>
              </a:lnTo>
            </a:path>
          </a:pathLst>
        </a:custGeom>
        <a:noFill/>
        <a:ln w="1905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1F3BE7-53B5-41F7-9680-2E81B2BB393A}">
      <dsp:nvSpPr>
        <dsp:cNvPr id="0" name=""/>
        <dsp:cNvSpPr/>
      </dsp:nvSpPr>
      <dsp:spPr>
        <a:xfrm>
          <a:off x="1110306" y="969446"/>
          <a:ext cx="1808198" cy="522293"/>
        </a:xfrm>
        <a:custGeom>
          <a:avLst/>
          <a:gdLst/>
          <a:ahLst/>
          <a:cxnLst/>
          <a:rect l="0" t="0" r="0" b="0"/>
          <a:pathLst>
            <a:path>
              <a:moveTo>
                <a:pt x="1808198" y="0"/>
              </a:moveTo>
              <a:lnTo>
                <a:pt x="1808198" y="358972"/>
              </a:lnTo>
              <a:lnTo>
                <a:pt x="0" y="358972"/>
              </a:lnTo>
              <a:lnTo>
                <a:pt x="0" y="522293"/>
              </a:lnTo>
            </a:path>
          </a:pathLst>
        </a:custGeom>
        <a:noFill/>
        <a:ln w="1905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CEF0C2-318A-417C-8A34-156A5C718EBF}">
      <dsp:nvSpPr>
        <dsp:cNvPr id="0" name=""/>
        <dsp:cNvSpPr/>
      </dsp:nvSpPr>
      <dsp:spPr>
        <a:xfrm>
          <a:off x="1505303" y="191726"/>
          <a:ext cx="2826405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ГОСУДАРСТВЕННОЕ РЕГУЛИРОВАНИЕ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05303" y="191726"/>
        <a:ext cx="2826405" cy="777719"/>
      </dsp:txXfrm>
    </dsp:sp>
    <dsp:sp modelId="{4CF39066-B04C-4E80-B25A-64DB69AA392C}">
      <dsp:nvSpPr>
        <dsp:cNvPr id="0" name=""/>
        <dsp:cNvSpPr/>
      </dsp:nvSpPr>
      <dsp:spPr>
        <a:xfrm>
          <a:off x="332586" y="1491739"/>
          <a:ext cx="1555439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Правовые и экономические стимулы</a:t>
          </a:r>
        </a:p>
      </dsp:txBody>
      <dsp:txXfrm>
        <a:off x="332586" y="1491739"/>
        <a:ext cx="1555439" cy="777719"/>
      </dsp:txXfrm>
    </dsp:sp>
    <dsp:sp modelId="{858F4385-91D5-4888-A240-6807378FDE83}">
      <dsp:nvSpPr>
        <dsp:cNvPr id="0" name=""/>
        <dsp:cNvSpPr/>
      </dsp:nvSpPr>
      <dsp:spPr>
        <a:xfrm>
          <a:off x="2122307" y="1482508"/>
          <a:ext cx="1555439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Научно-техническая поддержка (НИОКР, инновации, R&amp;D)</a:t>
          </a:r>
        </a:p>
      </dsp:txBody>
      <dsp:txXfrm>
        <a:off x="2122307" y="1482508"/>
        <a:ext cx="1555439" cy="777719"/>
      </dsp:txXfrm>
    </dsp:sp>
    <dsp:sp modelId="{C13965CD-E27E-493F-B64B-45D04D21CA80}">
      <dsp:nvSpPr>
        <dsp:cNvPr id="0" name=""/>
        <dsp:cNvSpPr/>
      </dsp:nvSpPr>
      <dsp:spPr>
        <a:xfrm>
          <a:off x="3912369" y="1482508"/>
          <a:ext cx="1555439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Инфраструктурная интеграция ВИЭ и развитие сетей</a:t>
          </a:r>
        </a:p>
      </dsp:txBody>
      <dsp:txXfrm>
        <a:off x="3912369" y="1482508"/>
        <a:ext cx="1555439" cy="777719"/>
      </dsp:txXfrm>
    </dsp:sp>
    <dsp:sp modelId="{F636D4F0-326A-43EC-B338-140AA8F82298}">
      <dsp:nvSpPr>
        <dsp:cNvPr id="0" name=""/>
        <dsp:cNvSpPr/>
      </dsp:nvSpPr>
      <dsp:spPr>
        <a:xfrm>
          <a:off x="1648613" y="3836938"/>
          <a:ext cx="2662337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УСТОЙЧИВЫЙ ЭНЕРГЕТИЧЕСКИЙ ЦИКЛ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8613" y="3836938"/>
        <a:ext cx="2662337" cy="777719"/>
      </dsp:txXfrm>
    </dsp:sp>
    <dsp:sp modelId="{D99BDD19-C6EF-4ADD-BDE9-B94CEC9E1229}">
      <dsp:nvSpPr>
        <dsp:cNvPr id="0" name=""/>
        <dsp:cNvSpPr/>
      </dsp:nvSpPr>
      <dsp:spPr>
        <a:xfrm>
          <a:off x="3201891" y="2561112"/>
          <a:ext cx="1555439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Институциональное обеспечение и координация участников рынка ВИЭ</a:t>
          </a:r>
        </a:p>
      </dsp:txBody>
      <dsp:txXfrm>
        <a:off x="3201891" y="2561112"/>
        <a:ext cx="1555439" cy="777719"/>
      </dsp:txXfrm>
    </dsp:sp>
    <dsp:sp modelId="{F857E7DA-8FC6-47AB-A934-F32BE41071AD}">
      <dsp:nvSpPr>
        <dsp:cNvPr id="0" name=""/>
        <dsp:cNvSpPr/>
      </dsp:nvSpPr>
      <dsp:spPr>
        <a:xfrm>
          <a:off x="0" y="2575539"/>
          <a:ext cx="1555439" cy="777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Энергетическая безопасность и диверсификация источников</a:t>
          </a:r>
        </a:p>
      </dsp:txBody>
      <dsp:txXfrm>
        <a:off x="0" y="2575539"/>
        <a:ext cx="1555439" cy="77771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5A2893-30E0-480A-AB68-5D5125C6B98C}">
      <dsp:nvSpPr>
        <dsp:cNvPr id="0" name=""/>
        <dsp:cNvSpPr/>
      </dsp:nvSpPr>
      <dsp:spPr>
        <a:xfrm>
          <a:off x="0" y="3032898"/>
          <a:ext cx="5581649" cy="9954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Цифровизация и интеллектуальное управление энергией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3032898"/>
        <a:ext cx="5581649" cy="537551"/>
      </dsp:txXfrm>
    </dsp:sp>
    <dsp:sp modelId="{8B95A504-C78B-4CA9-92DC-6ECF3D3D2FA4}">
      <dsp:nvSpPr>
        <dsp:cNvPr id="0" name=""/>
        <dsp:cNvSpPr/>
      </dsp:nvSpPr>
      <dsp:spPr>
        <a:xfrm>
          <a:off x="2725" y="3550539"/>
          <a:ext cx="1858733" cy="45791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Умные сети (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Smart Grids)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Цифровые платформы 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25" y="3550539"/>
        <a:ext cx="1858733" cy="457913"/>
      </dsp:txXfrm>
    </dsp:sp>
    <dsp:sp modelId="{09904F48-8F00-4CCD-9F3C-F53E0B6F0513}">
      <dsp:nvSpPr>
        <dsp:cNvPr id="0" name=""/>
        <dsp:cNvSpPr/>
      </dsp:nvSpPr>
      <dsp:spPr>
        <a:xfrm>
          <a:off x="1861458" y="3550539"/>
          <a:ext cx="1858733" cy="45791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Интеллектуальный учёт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Автоматизация 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61458" y="3550539"/>
        <a:ext cx="1858733" cy="457913"/>
      </dsp:txXfrm>
    </dsp:sp>
    <dsp:sp modelId="{C3D23F17-F479-4EA8-B176-F7A517A3E6F1}">
      <dsp:nvSpPr>
        <dsp:cNvPr id="0" name=""/>
        <dsp:cNvSpPr/>
      </dsp:nvSpPr>
      <dsp:spPr>
        <a:xfrm>
          <a:off x="3720191" y="3550539"/>
          <a:ext cx="1858733" cy="45791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Искусственный интеллект в прогнозировании</a:t>
          </a:r>
        </a:p>
      </dsp:txBody>
      <dsp:txXfrm>
        <a:off x="3720191" y="3550539"/>
        <a:ext cx="1858733" cy="457913"/>
      </dsp:txXfrm>
    </dsp:sp>
    <dsp:sp modelId="{542D7C37-34B0-4C05-85A8-D1A7C39D2488}">
      <dsp:nvSpPr>
        <dsp:cNvPr id="0" name=""/>
        <dsp:cNvSpPr/>
      </dsp:nvSpPr>
      <dsp:spPr>
        <a:xfrm rot="10800000">
          <a:off x="0" y="1516805"/>
          <a:ext cx="5581649" cy="153102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Альтернативные направления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10800000">
        <a:off x="0" y="1516805"/>
        <a:ext cx="5581649" cy="537389"/>
      </dsp:txXfrm>
    </dsp:sp>
    <dsp:sp modelId="{EE32F7E8-46EB-4721-A412-DC57817A1C0A}">
      <dsp:nvSpPr>
        <dsp:cNvPr id="0" name=""/>
        <dsp:cNvSpPr/>
      </dsp:nvSpPr>
      <dsp:spPr>
        <a:xfrm>
          <a:off x="0" y="2054194"/>
          <a:ext cx="2790824" cy="4577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Энергия из биомассы 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2054194"/>
        <a:ext cx="2790824" cy="457776"/>
      </dsp:txXfrm>
    </dsp:sp>
    <dsp:sp modelId="{A9C54126-5A5C-44AB-A629-EC02D52AD32A}">
      <dsp:nvSpPr>
        <dsp:cNvPr id="0" name=""/>
        <dsp:cNvSpPr/>
      </dsp:nvSpPr>
      <dsp:spPr>
        <a:xfrm>
          <a:off x="2790824" y="2054194"/>
          <a:ext cx="2790824" cy="4577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Аккумуляторные технологии 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90824" y="2054194"/>
        <a:ext cx="2790824" cy="457776"/>
      </dsp:txXfrm>
    </dsp:sp>
    <dsp:sp modelId="{435F8921-B8F8-4D98-9B81-F66270EB0995}">
      <dsp:nvSpPr>
        <dsp:cNvPr id="0" name=""/>
        <dsp:cNvSpPr/>
      </dsp:nvSpPr>
      <dsp:spPr>
        <a:xfrm rot="10800000">
          <a:off x="0" y="712"/>
          <a:ext cx="5581649" cy="153102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Секторальные направления ВИЭ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10800000">
        <a:off x="0" y="712"/>
        <a:ext cx="5581649" cy="537389"/>
      </dsp:txXfrm>
    </dsp:sp>
    <dsp:sp modelId="{22414F32-748F-40E8-A850-DBEA4A02A564}">
      <dsp:nvSpPr>
        <dsp:cNvPr id="0" name=""/>
        <dsp:cNvSpPr/>
      </dsp:nvSpPr>
      <dsp:spPr>
        <a:xfrm>
          <a:off x="2725" y="538101"/>
          <a:ext cx="1858733" cy="4577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Солнечная энергетика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25" y="538101"/>
        <a:ext cx="1858733" cy="457776"/>
      </dsp:txXfrm>
    </dsp:sp>
    <dsp:sp modelId="{EC53D607-B296-4874-ACCE-3421AD5CB59F}">
      <dsp:nvSpPr>
        <dsp:cNvPr id="0" name=""/>
        <dsp:cNvSpPr/>
      </dsp:nvSpPr>
      <dsp:spPr>
        <a:xfrm>
          <a:off x="1861458" y="538101"/>
          <a:ext cx="1858733" cy="4577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Ветроэнергетика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61458" y="538101"/>
        <a:ext cx="1858733" cy="457776"/>
      </dsp:txXfrm>
    </dsp:sp>
    <dsp:sp modelId="{58939286-5E3D-4240-9ACB-9DCF1DE12DE6}">
      <dsp:nvSpPr>
        <dsp:cNvPr id="0" name=""/>
        <dsp:cNvSpPr/>
      </dsp:nvSpPr>
      <dsp:spPr>
        <a:xfrm>
          <a:off x="3720191" y="538101"/>
          <a:ext cx="1858733" cy="4577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Гидроэнергетика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20191" y="538101"/>
        <a:ext cx="1858733" cy="457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9339A-6C66-4328-9FD6-E352B5C32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139</Pages>
  <Words>48710</Words>
  <Characters>277650</Characters>
  <Application>Microsoft Office Word</Application>
  <DocSecurity>0</DocSecurity>
  <Lines>2313</Lines>
  <Paragraphs>651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Айжана Малдынова</dc:creator>
  <cp:keywords/>
  <dc:description/>
  <cp:lastModifiedBy>Айжана Малдынова</cp:lastModifiedBy>
  <cp:revision>21</cp:revision>
  <dcterms:created xsi:type="dcterms:W3CDTF">2025-11-26T10:03:00Z</dcterms:created>
  <dcterms:modified xsi:type="dcterms:W3CDTF">2025-11-27T02:54:00Z</dcterms:modified>
</cp:coreProperties>
</file>