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iagrams/colors1.xml" ContentType="application/vnd.openxmlformats-officedocument.drawingml.diagramColors+xml"/>
  <Override PartName="/word/diagrams/colors2.xml" ContentType="application/vnd.openxmlformats-officedocument.drawingml.diagramColors+xml"/>
  <Override PartName="/word/diagrams/colors3.xml" ContentType="application/vnd.openxmlformats-officedocument.drawingml.diagramColors+xml"/>
  <Override PartName="/word/diagrams/colors4.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ata3.xml" ContentType="application/vnd.openxmlformats-officedocument.drawingml.diagramData+xml"/>
  <Override PartName="/word/diagrams/data4.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drawing3.xml" ContentType="application/vnd.ms-office.drawingml.diagramDrawing+xml"/>
  <Override PartName="/word/diagrams/drawing4.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iagrams/quickStyle3.xml" ContentType="application/vnd.openxmlformats-officedocument.drawingml.diagramStyle+xml"/>
  <Override PartName="/word/diagrams/quickStyle4.xml" ContentType="application/vnd.openxmlformats-officedocument.drawingml.diagram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12EBFB">
      <w:pPr>
        <w:tabs>
          <w:tab w:val="left" w:pos="709"/>
        </w:tabs>
        <w:spacing w:after="0" w:line="240" w:lineRule="auto"/>
        <w:jc w:val="center"/>
        <w:rPr>
          <w:rFonts w:ascii="Times New Roman" w:hAnsi="Times New Roman"/>
          <w:sz w:val="28"/>
          <w:szCs w:val="28"/>
        </w:rPr>
      </w:pPr>
      <w:bookmarkStart w:id="39" w:name="_GoBack"/>
      <w:bookmarkEnd w:id="39"/>
      <w:r>
        <w:rPr>
          <w:rFonts w:ascii="Times New Roman" w:hAnsi="Times New Roman"/>
          <w:sz w:val="28"/>
          <w:szCs w:val="28"/>
        </w:rPr>
        <w:t>Казахский национальный университет</w:t>
      </w:r>
    </w:p>
    <w:p w14:paraId="26F3CAEF">
      <w:pPr>
        <w:tabs>
          <w:tab w:val="left" w:pos="709"/>
        </w:tabs>
        <w:spacing w:after="0" w:line="240" w:lineRule="auto"/>
        <w:jc w:val="center"/>
        <w:rPr>
          <w:rFonts w:ascii="Times New Roman" w:hAnsi="Times New Roman"/>
          <w:sz w:val="28"/>
          <w:szCs w:val="28"/>
        </w:rPr>
      </w:pPr>
      <w:r>
        <w:rPr>
          <w:rFonts w:ascii="Times New Roman" w:hAnsi="Times New Roman"/>
          <w:sz w:val="28"/>
          <w:szCs w:val="28"/>
        </w:rPr>
        <w:t>имени аль-Фараби</w:t>
      </w:r>
    </w:p>
    <w:p w14:paraId="71BD08FD">
      <w:pPr>
        <w:tabs>
          <w:tab w:val="left" w:pos="709"/>
        </w:tabs>
        <w:spacing w:after="0" w:line="240" w:lineRule="auto"/>
        <w:jc w:val="center"/>
        <w:rPr>
          <w:rFonts w:ascii="Times New Roman" w:hAnsi="Times New Roman"/>
          <w:sz w:val="28"/>
          <w:szCs w:val="28"/>
        </w:rPr>
      </w:pPr>
    </w:p>
    <w:p w14:paraId="7C0ECDC3">
      <w:pPr>
        <w:tabs>
          <w:tab w:val="left" w:pos="709"/>
        </w:tabs>
        <w:spacing w:after="0" w:line="240" w:lineRule="auto"/>
        <w:jc w:val="center"/>
        <w:rPr>
          <w:rFonts w:ascii="Times New Roman" w:hAnsi="Times New Roman"/>
          <w:sz w:val="28"/>
          <w:szCs w:val="28"/>
        </w:rPr>
      </w:pPr>
    </w:p>
    <w:p w14:paraId="5EF8BBC8">
      <w:pPr>
        <w:tabs>
          <w:tab w:val="left" w:pos="709"/>
        </w:tabs>
        <w:spacing w:after="0" w:line="240" w:lineRule="auto"/>
        <w:rPr>
          <w:rFonts w:ascii="Times New Roman" w:hAnsi="Times New Roman"/>
          <w:sz w:val="28"/>
          <w:szCs w:val="28"/>
        </w:rPr>
      </w:pPr>
      <w:r>
        <w:rPr>
          <w:rFonts w:ascii="Times New Roman" w:hAnsi="Times New Roman"/>
          <w:sz w:val="28"/>
          <w:szCs w:val="28"/>
        </w:rPr>
        <w:t xml:space="preserve">УДК </w:t>
      </w:r>
      <w:r>
        <w:rPr>
          <w:rFonts w:hint="default" w:ascii="Times New Roman" w:hAnsi="Times New Roman"/>
          <w:sz w:val="28"/>
          <w:szCs w:val="28"/>
          <w:lang w:val="ru-RU"/>
        </w:rPr>
        <w:t>336.7(574)(043)</w:t>
      </w:r>
      <w:r>
        <w:rPr>
          <w:rFonts w:ascii="Times New Roman" w:hAnsi="Times New Roman"/>
          <w:sz w:val="28"/>
          <w:szCs w:val="28"/>
        </w:rPr>
        <w:t xml:space="preserve">                                                                   На правах рукописи</w:t>
      </w:r>
    </w:p>
    <w:p w14:paraId="0748D0EF">
      <w:pPr>
        <w:tabs>
          <w:tab w:val="left" w:pos="709"/>
        </w:tabs>
        <w:spacing w:after="0" w:line="240" w:lineRule="auto"/>
        <w:jc w:val="center"/>
        <w:rPr>
          <w:rFonts w:ascii="Times New Roman" w:hAnsi="Times New Roman"/>
          <w:b/>
          <w:sz w:val="28"/>
          <w:szCs w:val="28"/>
        </w:rPr>
      </w:pPr>
    </w:p>
    <w:p w14:paraId="0F841C2C">
      <w:pPr>
        <w:tabs>
          <w:tab w:val="left" w:pos="709"/>
        </w:tabs>
        <w:spacing w:after="0" w:line="240" w:lineRule="auto"/>
        <w:jc w:val="center"/>
        <w:rPr>
          <w:rFonts w:ascii="Times New Roman" w:hAnsi="Times New Roman"/>
          <w:b/>
          <w:sz w:val="28"/>
          <w:szCs w:val="28"/>
        </w:rPr>
      </w:pPr>
    </w:p>
    <w:p w14:paraId="5A397210">
      <w:pPr>
        <w:tabs>
          <w:tab w:val="left" w:pos="709"/>
        </w:tabs>
        <w:spacing w:after="0" w:line="240" w:lineRule="auto"/>
        <w:jc w:val="center"/>
        <w:rPr>
          <w:rFonts w:ascii="Times New Roman" w:hAnsi="Times New Roman"/>
          <w:b/>
          <w:sz w:val="28"/>
          <w:szCs w:val="28"/>
        </w:rPr>
      </w:pPr>
    </w:p>
    <w:p w14:paraId="68D9C4D9">
      <w:pPr>
        <w:tabs>
          <w:tab w:val="left" w:pos="709"/>
        </w:tabs>
        <w:spacing w:after="0" w:line="240" w:lineRule="auto"/>
        <w:jc w:val="center"/>
        <w:rPr>
          <w:rFonts w:ascii="Times New Roman" w:hAnsi="Times New Roman"/>
          <w:b/>
          <w:sz w:val="28"/>
          <w:szCs w:val="28"/>
        </w:rPr>
      </w:pPr>
    </w:p>
    <w:p w14:paraId="0561AE66">
      <w:pPr>
        <w:tabs>
          <w:tab w:val="left" w:pos="709"/>
        </w:tabs>
        <w:spacing w:after="0" w:line="240" w:lineRule="auto"/>
        <w:jc w:val="center"/>
        <w:rPr>
          <w:rFonts w:ascii="Times New Roman" w:hAnsi="Times New Roman"/>
          <w:b/>
          <w:sz w:val="28"/>
          <w:szCs w:val="28"/>
        </w:rPr>
      </w:pPr>
    </w:p>
    <w:p w14:paraId="0F6C324F">
      <w:pPr>
        <w:tabs>
          <w:tab w:val="left" w:pos="709"/>
        </w:tabs>
        <w:spacing w:after="0" w:line="240" w:lineRule="auto"/>
        <w:jc w:val="center"/>
        <w:rPr>
          <w:rFonts w:ascii="Times New Roman" w:hAnsi="Times New Roman"/>
          <w:b/>
          <w:sz w:val="28"/>
          <w:szCs w:val="28"/>
        </w:rPr>
      </w:pPr>
    </w:p>
    <w:p w14:paraId="44D2BD77">
      <w:pPr>
        <w:tabs>
          <w:tab w:val="left" w:pos="709"/>
        </w:tabs>
        <w:spacing w:after="0" w:line="240" w:lineRule="auto"/>
        <w:jc w:val="center"/>
        <w:rPr>
          <w:rFonts w:ascii="Times New Roman" w:hAnsi="Times New Roman"/>
          <w:b/>
          <w:sz w:val="28"/>
          <w:szCs w:val="28"/>
        </w:rPr>
      </w:pPr>
    </w:p>
    <w:p w14:paraId="63BB63FB">
      <w:pPr>
        <w:tabs>
          <w:tab w:val="left" w:pos="709"/>
        </w:tabs>
        <w:spacing w:after="0" w:line="240" w:lineRule="auto"/>
        <w:jc w:val="center"/>
        <w:rPr>
          <w:rFonts w:ascii="Times New Roman" w:hAnsi="Times New Roman"/>
          <w:b/>
          <w:sz w:val="28"/>
          <w:szCs w:val="28"/>
        </w:rPr>
      </w:pPr>
    </w:p>
    <w:p w14:paraId="26F787A6">
      <w:pPr>
        <w:tabs>
          <w:tab w:val="left" w:pos="709"/>
        </w:tabs>
        <w:spacing w:after="0" w:line="240" w:lineRule="auto"/>
        <w:jc w:val="center"/>
        <w:rPr>
          <w:rFonts w:ascii="Times New Roman" w:hAnsi="Times New Roman"/>
          <w:sz w:val="28"/>
          <w:szCs w:val="28"/>
        </w:rPr>
      </w:pPr>
    </w:p>
    <w:p w14:paraId="011BC1A0">
      <w:pPr>
        <w:pStyle w:val="2"/>
        <w:spacing w:before="0" w:line="240" w:lineRule="auto"/>
        <w:jc w:val="center"/>
        <w:rPr>
          <w:rFonts w:ascii="Times New Roman" w:hAnsi="Times New Roman" w:cs="Times New Roman"/>
          <w:color w:val="auto"/>
        </w:rPr>
      </w:pPr>
      <w:r>
        <w:rPr>
          <w:rFonts w:ascii="Times New Roman" w:hAnsi="Times New Roman" w:cs="Times New Roman"/>
          <w:color w:val="auto"/>
        </w:rPr>
        <w:t>КАЛИМОЛДАЕВ АЛМАС МАКСАТОВИЧ</w:t>
      </w:r>
    </w:p>
    <w:p w14:paraId="20DFD432">
      <w:pPr>
        <w:tabs>
          <w:tab w:val="left" w:pos="709"/>
        </w:tabs>
        <w:spacing w:after="0" w:line="240" w:lineRule="auto"/>
        <w:jc w:val="center"/>
        <w:rPr>
          <w:rFonts w:ascii="Times New Roman" w:hAnsi="Times New Roman"/>
          <w:b/>
          <w:bCs/>
          <w:sz w:val="28"/>
          <w:szCs w:val="28"/>
        </w:rPr>
      </w:pPr>
    </w:p>
    <w:p w14:paraId="45DC3711">
      <w:pPr>
        <w:tabs>
          <w:tab w:val="left" w:pos="709"/>
        </w:tabs>
        <w:spacing w:after="0" w:line="240" w:lineRule="auto"/>
        <w:jc w:val="center"/>
        <w:rPr>
          <w:rFonts w:ascii="Times New Roman" w:hAnsi="Times New Roman"/>
          <w:b/>
          <w:sz w:val="28"/>
          <w:szCs w:val="28"/>
        </w:rPr>
      </w:pPr>
      <w:r>
        <w:rPr>
          <w:rFonts w:ascii="Times New Roman" w:hAnsi="Times New Roman"/>
          <w:b/>
          <w:sz w:val="28"/>
          <w:szCs w:val="28"/>
        </w:rPr>
        <w:t>Развитие проектного подхода в управлении проблемными активами банков, кредитующих реальный сектор экономики Республики Казахстан</w:t>
      </w:r>
    </w:p>
    <w:p w14:paraId="2C394F4C">
      <w:pPr>
        <w:tabs>
          <w:tab w:val="left" w:pos="709"/>
        </w:tabs>
        <w:spacing w:after="0" w:line="240" w:lineRule="auto"/>
        <w:jc w:val="center"/>
        <w:rPr>
          <w:rFonts w:ascii="Times New Roman" w:hAnsi="Times New Roman"/>
          <w:b/>
          <w:sz w:val="28"/>
          <w:szCs w:val="28"/>
        </w:rPr>
      </w:pPr>
    </w:p>
    <w:p w14:paraId="2DA3D6C0">
      <w:pPr>
        <w:tabs>
          <w:tab w:val="left" w:pos="709"/>
        </w:tabs>
        <w:spacing w:after="0" w:line="240" w:lineRule="auto"/>
        <w:jc w:val="center"/>
        <w:rPr>
          <w:rFonts w:ascii="Times New Roman" w:hAnsi="Times New Roman"/>
          <w:b/>
          <w:sz w:val="28"/>
          <w:szCs w:val="28"/>
        </w:rPr>
      </w:pPr>
    </w:p>
    <w:p w14:paraId="017249D0">
      <w:pPr>
        <w:tabs>
          <w:tab w:val="left" w:pos="709"/>
        </w:tabs>
        <w:spacing w:after="0" w:line="240" w:lineRule="auto"/>
        <w:jc w:val="center"/>
        <w:rPr>
          <w:rFonts w:ascii="Times New Roman" w:hAnsi="Times New Roman"/>
          <w:sz w:val="28"/>
          <w:szCs w:val="28"/>
        </w:rPr>
      </w:pPr>
      <w:r>
        <w:rPr>
          <w:rFonts w:ascii="Times New Roman" w:hAnsi="Times New Roman"/>
          <w:sz w:val="28"/>
          <w:szCs w:val="28"/>
        </w:rPr>
        <w:t>6D051800 – Управление проектами</w:t>
      </w:r>
    </w:p>
    <w:p w14:paraId="18865DAC">
      <w:pPr>
        <w:tabs>
          <w:tab w:val="left" w:pos="709"/>
        </w:tabs>
        <w:spacing w:after="0" w:line="240" w:lineRule="auto"/>
        <w:jc w:val="center"/>
        <w:rPr>
          <w:rFonts w:ascii="Times New Roman" w:hAnsi="Times New Roman"/>
          <w:sz w:val="28"/>
          <w:szCs w:val="28"/>
        </w:rPr>
      </w:pPr>
    </w:p>
    <w:p w14:paraId="75C4504C">
      <w:pPr>
        <w:tabs>
          <w:tab w:val="left" w:pos="709"/>
        </w:tabs>
        <w:spacing w:after="0" w:line="240" w:lineRule="auto"/>
        <w:jc w:val="center"/>
        <w:rPr>
          <w:rFonts w:ascii="Times New Roman" w:hAnsi="Times New Roman"/>
          <w:sz w:val="28"/>
          <w:szCs w:val="28"/>
        </w:rPr>
      </w:pPr>
    </w:p>
    <w:p w14:paraId="07495D86">
      <w:pPr>
        <w:tabs>
          <w:tab w:val="left" w:pos="709"/>
        </w:tabs>
        <w:spacing w:after="0" w:line="240" w:lineRule="auto"/>
        <w:jc w:val="center"/>
        <w:rPr>
          <w:rFonts w:ascii="Times New Roman" w:hAnsi="Times New Roman"/>
          <w:sz w:val="28"/>
          <w:szCs w:val="28"/>
        </w:rPr>
      </w:pPr>
      <w:r>
        <w:rPr>
          <w:rFonts w:ascii="Times New Roman" w:hAnsi="Times New Roman"/>
          <w:sz w:val="28"/>
          <w:szCs w:val="28"/>
        </w:rPr>
        <w:t>Диссертация на соискание степени доктора философии (PhD)</w:t>
      </w:r>
    </w:p>
    <w:p w14:paraId="24959AC0">
      <w:pPr>
        <w:tabs>
          <w:tab w:val="left" w:pos="709"/>
        </w:tabs>
        <w:spacing w:after="0" w:line="240" w:lineRule="auto"/>
        <w:rPr>
          <w:rFonts w:ascii="Times New Roman" w:hAnsi="Times New Roman"/>
          <w:sz w:val="28"/>
          <w:szCs w:val="28"/>
        </w:rPr>
      </w:pPr>
    </w:p>
    <w:p w14:paraId="1A5E6CA7">
      <w:pPr>
        <w:tabs>
          <w:tab w:val="left" w:pos="709"/>
        </w:tabs>
        <w:spacing w:after="0" w:line="240" w:lineRule="auto"/>
        <w:rPr>
          <w:rFonts w:ascii="Times New Roman" w:hAnsi="Times New Roman"/>
          <w:sz w:val="28"/>
          <w:szCs w:val="28"/>
        </w:rPr>
      </w:pPr>
    </w:p>
    <w:p w14:paraId="337AFF49">
      <w:pPr>
        <w:tabs>
          <w:tab w:val="left" w:pos="709"/>
        </w:tabs>
        <w:spacing w:after="0" w:line="240" w:lineRule="auto"/>
        <w:rPr>
          <w:rFonts w:ascii="Times New Roman" w:hAnsi="Times New Roman"/>
          <w:sz w:val="28"/>
          <w:szCs w:val="28"/>
        </w:rPr>
      </w:pPr>
    </w:p>
    <w:p w14:paraId="10A06B57">
      <w:pPr>
        <w:tabs>
          <w:tab w:val="left" w:pos="709"/>
        </w:tabs>
        <w:spacing w:after="0" w:line="240" w:lineRule="auto"/>
        <w:rPr>
          <w:rFonts w:ascii="Times New Roman" w:hAnsi="Times New Roman"/>
          <w:sz w:val="28"/>
          <w:szCs w:val="28"/>
        </w:rPr>
      </w:pPr>
    </w:p>
    <w:p w14:paraId="75429795">
      <w:pPr>
        <w:tabs>
          <w:tab w:val="left" w:pos="709"/>
        </w:tabs>
        <w:spacing w:after="0" w:line="240" w:lineRule="auto"/>
        <w:ind w:firstLine="5103"/>
        <w:jc w:val="right"/>
        <w:rPr>
          <w:rFonts w:ascii="Times New Roman" w:hAnsi="Times New Roman"/>
          <w:sz w:val="28"/>
          <w:szCs w:val="28"/>
        </w:rPr>
      </w:pPr>
      <w:r>
        <w:rPr>
          <w:rFonts w:ascii="Times New Roman" w:hAnsi="Times New Roman"/>
          <w:sz w:val="28"/>
          <w:szCs w:val="28"/>
        </w:rPr>
        <w:t>Научный консультант:</w:t>
      </w:r>
    </w:p>
    <w:p w14:paraId="16BE2B10">
      <w:pPr>
        <w:tabs>
          <w:tab w:val="left" w:pos="709"/>
        </w:tabs>
        <w:spacing w:after="0" w:line="240" w:lineRule="auto"/>
        <w:ind w:firstLine="5103"/>
        <w:jc w:val="right"/>
        <w:rPr>
          <w:rFonts w:ascii="Times New Roman" w:hAnsi="Times New Roman"/>
          <w:sz w:val="28"/>
          <w:szCs w:val="28"/>
        </w:rPr>
      </w:pPr>
      <w:bookmarkStart w:id="0" w:name="_Hlk222301961"/>
      <w:r>
        <w:rPr>
          <w:rFonts w:ascii="Times New Roman" w:hAnsi="Times New Roman"/>
          <w:sz w:val="28"/>
          <w:szCs w:val="28"/>
        </w:rPr>
        <w:t>д.э.н., профессор</w:t>
      </w:r>
    </w:p>
    <w:bookmarkEnd w:id="0"/>
    <w:p w14:paraId="1886C913">
      <w:pPr>
        <w:tabs>
          <w:tab w:val="left" w:pos="709"/>
        </w:tabs>
        <w:spacing w:after="0" w:line="240" w:lineRule="auto"/>
        <w:ind w:firstLine="5103"/>
        <w:jc w:val="right"/>
        <w:rPr>
          <w:rFonts w:ascii="Times New Roman" w:hAnsi="Times New Roman"/>
          <w:sz w:val="28"/>
          <w:szCs w:val="28"/>
        </w:rPr>
      </w:pPr>
      <w:r>
        <w:rPr>
          <w:rFonts w:ascii="Times New Roman" w:hAnsi="Times New Roman"/>
          <w:sz w:val="28"/>
          <w:szCs w:val="28"/>
        </w:rPr>
        <w:t>Мухамедиев Б.M.</w:t>
      </w:r>
    </w:p>
    <w:p w14:paraId="05DCA397">
      <w:pPr>
        <w:tabs>
          <w:tab w:val="left" w:pos="709"/>
        </w:tabs>
        <w:spacing w:after="0" w:line="240" w:lineRule="auto"/>
        <w:ind w:firstLine="5103"/>
        <w:jc w:val="right"/>
        <w:rPr>
          <w:rFonts w:ascii="Times New Roman" w:hAnsi="Times New Roman"/>
          <w:sz w:val="28"/>
          <w:szCs w:val="28"/>
        </w:rPr>
      </w:pPr>
      <w:r>
        <w:rPr>
          <w:rFonts w:ascii="Times New Roman" w:hAnsi="Times New Roman"/>
          <w:sz w:val="28"/>
          <w:szCs w:val="28"/>
        </w:rPr>
        <w:t>Зарубежных научный консультант:</w:t>
      </w:r>
    </w:p>
    <w:p w14:paraId="7C7C887B">
      <w:pPr>
        <w:tabs>
          <w:tab w:val="left" w:pos="709"/>
        </w:tabs>
        <w:spacing w:after="0" w:line="240" w:lineRule="auto"/>
        <w:ind w:firstLine="5103"/>
        <w:jc w:val="center"/>
        <w:rPr>
          <w:rFonts w:ascii="Times New Roman" w:hAnsi="Times New Roman"/>
          <w:sz w:val="28"/>
          <w:szCs w:val="28"/>
        </w:rPr>
      </w:pPr>
      <w:r>
        <w:rPr>
          <w:rFonts w:ascii="Times New Roman" w:hAnsi="Times New Roman"/>
          <w:sz w:val="28"/>
          <w:szCs w:val="28"/>
        </w:rPr>
        <w:t xml:space="preserve">                              д.э.н., профессор </w:t>
      </w:r>
    </w:p>
    <w:p w14:paraId="508CD277">
      <w:pPr>
        <w:tabs>
          <w:tab w:val="left" w:pos="709"/>
        </w:tabs>
        <w:spacing w:after="0" w:line="240" w:lineRule="auto"/>
        <w:ind w:firstLine="5103"/>
        <w:jc w:val="center"/>
        <w:rPr>
          <w:rFonts w:ascii="Times New Roman" w:hAnsi="Times New Roman"/>
          <w:sz w:val="28"/>
          <w:szCs w:val="28"/>
        </w:rPr>
      </w:pPr>
      <w:r>
        <w:rPr>
          <w:rFonts w:ascii="Times New Roman" w:hAnsi="Times New Roman"/>
          <w:sz w:val="28"/>
          <w:szCs w:val="28"/>
        </w:rPr>
        <w:t xml:space="preserve">                       Чурсин А.А.</w:t>
      </w:r>
    </w:p>
    <w:p w14:paraId="4572FBC4">
      <w:pPr>
        <w:tabs>
          <w:tab w:val="left" w:pos="709"/>
        </w:tabs>
        <w:spacing w:after="0" w:line="240" w:lineRule="auto"/>
        <w:ind w:firstLine="5103"/>
        <w:jc w:val="center"/>
        <w:rPr>
          <w:rFonts w:ascii="Times New Roman" w:hAnsi="Times New Roman"/>
          <w:sz w:val="28"/>
          <w:szCs w:val="28"/>
        </w:rPr>
      </w:pPr>
    </w:p>
    <w:p w14:paraId="6731748E">
      <w:pPr>
        <w:tabs>
          <w:tab w:val="left" w:pos="709"/>
        </w:tabs>
        <w:spacing w:after="0" w:line="240" w:lineRule="auto"/>
        <w:rPr>
          <w:rFonts w:ascii="Times New Roman" w:hAnsi="Times New Roman"/>
          <w:sz w:val="28"/>
          <w:szCs w:val="28"/>
        </w:rPr>
      </w:pPr>
    </w:p>
    <w:p w14:paraId="6F514A11">
      <w:pPr>
        <w:tabs>
          <w:tab w:val="left" w:pos="709"/>
        </w:tabs>
        <w:spacing w:after="0" w:line="240" w:lineRule="auto"/>
        <w:rPr>
          <w:rFonts w:ascii="Times New Roman" w:hAnsi="Times New Roman"/>
          <w:sz w:val="28"/>
          <w:szCs w:val="28"/>
        </w:rPr>
      </w:pPr>
    </w:p>
    <w:p w14:paraId="1C937041">
      <w:pPr>
        <w:tabs>
          <w:tab w:val="left" w:pos="709"/>
        </w:tabs>
        <w:spacing w:after="0" w:line="240" w:lineRule="auto"/>
        <w:rPr>
          <w:rFonts w:ascii="Times New Roman" w:hAnsi="Times New Roman"/>
          <w:sz w:val="28"/>
          <w:szCs w:val="28"/>
        </w:rPr>
      </w:pPr>
    </w:p>
    <w:p w14:paraId="5F462DAD">
      <w:pPr>
        <w:tabs>
          <w:tab w:val="left" w:pos="709"/>
        </w:tabs>
        <w:spacing w:after="0" w:line="240" w:lineRule="auto"/>
        <w:rPr>
          <w:rFonts w:ascii="Times New Roman" w:hAnsi="Times New Roman"/>
          <w:sz w:val="28"/>
          <w:szCs w:val="28"/>
        </w:rPr>
      </w:pPr>
    </w:p>
    <w:p w14:paraId="22532B4D">
      <w:pPr>
        <w:tabs>
          <w:tab w:val="left" w:pos="709"/>
        </w:tabs>
        <w:spacing w:after="0" w:line="240" w:lineRule="auto"/>
        <w:rPr>
          <w:rFonts w:ascii="Times New Roman" w:hAnsi="Times New Roman"/>
          <w:sz w:val="28"/>
          <w:szCs w:val="28"/>
        </w:rPr>
      </w:pPr>
    </w:p>
    <w:p w14:paraId="6BB10090">
      <w:pPr>
        <w:tabs>
          <w:tab w:val="left" w:pos="709"/>
        </w:tabs>
        <w:spacing w:after="0" w:line="240" w:lineRule="auto"/>
        <w:rPr>
          <w:rFonts w:ascii="Times New Roman" w:hAnsi="Times New Roman"/>
          <w:sz w:val="28"/>
          <w:szCs w:val="28"/>
        </w:rPr>
      </w:pPr>
    </w:p>
    <w:p w14:paraId="006F7B1E">
      <w:pPr>
        <w:tabs>
          <w:tab w:val="left" w:pos="709"/>
        </w:tabs>
        <w:spacing w:after="0" w:line="240" w:lineRule="auto"/>
        <w:jc w:val="center"/>
        <w:rPr>
          <w:rFonts w:ascii="Times New Roman" w:hAnsi="Times New Roman"/>
          <w:sz w:val="28"/>
          <w:szCs w:val="28"/>
        </w:rPr>
      </w:pPr>
      <w:r>
        <w:rPr>
          <w:rFonts w:ascii="Times New Roman" w:hAnsi="Times New Roman"/>
          <w:sz w:val="28"/>
          <w:szCs w:val="28"/>
        </w:rPr>
        <w:t>Республика Казақстан</w:t>
      </w:r>
    </w:p>
    <w:p w14:paraId="4FD2E977">
      <w:pPr>
        <w:tabs>
          <w:tab w:val="left" w:pos="709"/>
        </w:tabs>
        <w:spacing w:after="0" w:line="240" w:lineRule="auto"/>
        <w:jc w:val="center"/>
        <w:rPr>
          <w:sz w:val="28"/>
          <w:szCs w:val="28"/>
        </w:rPr>
      </w:pPr>
      <w:r>
        <w:rPr>
          <w:rFonts w:ascii="Times New Roman" w:hAnsi="Times New Roman"/>
          <w:sz w:val="28"/>
          <w:szCs w:val="28"/>
        </w:rPr>
        <w:t>Алматы, 2026</w:t>
      </w:r>
    </w:p>
    <w:p w14:paraId="69536394">
      <w:pPr>
        <w:rPr>
          <w:rFonts w:ascii="Times New Roman" w:hAnsi="Times New Roman"/>
          <w:b/>
          <w:sz w:val="28"/>
          <w:szCs w:val="28"/>
        </w:rPr>
      </w:pPr>
      <w:r>
        <w:rPr>
          <w:rFonts w:ascii="Times New Roman" w:hAnsi="Times New Roman"/>
          <w:b/>
          <w:sz w:val="28"/>
          <w:szCs w:val="28"/>
        </w:rPr>
        <w:br w:type="page"/>
      </w:r>
    </w:p>
    <w:p w14:paraId="4D684496">
      <w:pPr>
        <w:spacing w:after="0" w:line="240" w:lineRule="auto"/>
        <w:jc w:val="center"/>
        <w:rPr>
          <w:rFonts w:ascii="Times New Roman" w:hAnsi="Times New Roman"/>
          <w:sz w:val="28"/>
          <w:szCs w:val="28"/>
        </w:rPr>
      </w:pPr>
      <w:r>
        <w:rPr>
          <w:rFonts w:ascii="Times New Roman" w:hAnsi="Times New Roman"/>
          <w:b/>
          <w:sz w:val="28"/>
          <w:szCs w:val="28"/>
        </w:rPr>
        <w:t>СОДЕРЖАНИЕ</w:t>
      </w:r>
    </w:p>
    <w:p w14:paraId="341C1332">
      <w:pPr>
        <w:spacing w:after="0" w:line="240" w:lineRule="auto"/>
        <w:rPr>
          <w:sz w:val="28"/>
          <w:szCs w:val="28"/>
        </w:rPr>
      </w:pPr>
    </w:p>
    <w:tbl>
      <w:tblPr>
        <w:tblStyle w:val="7"/>
        <w:tblW w:w="938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6"/>
        <w:gridCol w:w="709"/>
      </w:tblGrid>
      <w:tr w14:paraId="7984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8676" w:type="dxa"/>
          </w:tcPr>
          <w:p w14:paraId="341943CD">
            <w:pPr>
              <w:spacing w:after="0" w:line="240" w:lineRule="auto"/>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НОРМАТИВНЫЕ ССЫЛКИ……………………………………………</w:t>
            </w:r>
          </w:p>
        </w:tc>
        <w:tc>
          <w:tcPr>
            <w:tcW w:w="709" w:type="dxa"/>
          </w:tcPr>
          <w:p w14:paraId="484AD2C2">
            <w:pPr>
              <w:spacing w:after="0" w:line="240" w:lineRule="auto"/>
              <w:rPr>
                <w:rFonts w:ascii="Times New Roman" w:hAnsi="Times New Roman" w:eastAsia="Times New Roman"/>
                <w:sz w:val="28"/>
                <w:szCs w:val="28"/>
                <w:lang w:eastAsia="ru-RU"/>
              </w:rPr>
            </w:pPr>
            <w:r>
              <w:rPr>
                <w:rFonts w:ascii="Times New Roman" w:hAnsi="Times New Roman" w:eastAsia="Times New Roman"/>
                <w:sz w:val="28"/>
                <w:szCs w:val="28"/>
                <w:lang w:eastAsia="ru-RU"/>
              </w:rPr>
              <w:t>4</w:t>
            </w:r>
          </w:p>
        </w:tc>
      </w:tr>
      <w:tr w14:paraId="503EB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8676" w:type="dxa"/>
          </w:tcPr>
          <w:p w14:paraId="60CB4B98">
            <w:pPr>
              <w:spacing w:after="0" w:line="240" w:lineRule="auto"/>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ОПРЕДЕЛЕНИЯ…………………………………………………………</w:t>
            </w:r>
          </w:p>
        </w:tc>
        <w:tc>
          <w:tcPr>
            <w:tcW w:w="709" w:type="dxa"/>
          </w:tcPr>
          <w:p w14:paraId="721FFD21">
            <w:pPr>
              <w:spacing w:after="0" w:line="240" w:lineRule="auto"/>
              <w:rPr>
                <w:rFonts w:ascii="Times New Roman" w:hAnsi="Times New Roman" w:eastAsia="Times New Roman"/>
                <w:sz w:val="28"/>
                <w:szCs w:val="28"/>
                <w:lang w:eastAsia="ru-RU"/>
              </w:rPr>
            </w:pPr>
            <w:r>
              <w:rPr>
                <w:rFonts w:ascii="Times New Roman" w:hAnsi="Times New Roman" w:eastAsia="Times New Roman"/>
                <w:sz w:val="28"/>
                <w:szCs w:val="28"/>
                <w:lang w:eastAsia="ru-RU"/>
              </w:rPr>
              <w:t>7</w:t>
            </w:r>
          </w:p>
        </w:tc>
      </w:tr>
      <w:tr w14:paraId="79338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8676" w:type="dxa"/>
          </w:tcPr>
          <w:p w14:paraId="12300962">
            <w:pPr>
              <w:spacing w:after="0" w:line="240" w:lineRule="auto"/>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ОБОЗНАЧЕНИЯ И СОКРАЩЕНИЯ……………………………………</w:t>
            </w:r>
          </w:p>
        </w:tc>
        <w:tc>
          <w:tcPr>
            <w:tcW w:w="709" w:type="dxa"/>
          </w:tcPr>
          <w:p w14:paraId="57E4A24F">
            <w:pPr>
              <w:spacing w:after="0" w:line="240" w:lineRule="auto"/>
              <w:rPr>
                <w:rFonts w:ascii="Times New Roman" w:hAnsi="Times New Roman" w:eastAsia="Times New Roman"/>
                <w:sz w:val="28"/>
                <w:szCs w:val="28"/>
                <w:lang w:eastAsia="ru-RU"/>
              </w:rPr>
            </w:pPr>
            <w:r>
              <w:rPr>
                <w:rFonts w:ascii="Times New Roman" w:hAnsi="Times New Roman" w:eastAsia="Times New Roman"/>
                <w:sz w:val="28"/>
                <w:szCs w:val="28"/>
                <w:lang w:eastAsia="ru-RU"/>
              </w:rPr>
              <w:t>10</w:t>
            </w:r>
          </w:p>
        </w:tc>
      </w:tr>
      <w:tr w14:paraId="4FC0C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8676" w:type="dxa"/>
          </w:tcPr>
          <w:p w14:paraId="48316EFF">
            <w:pPr>
              <w:spacing w:after="0" w:line="240" w:lineRule="auto"/>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ВВЕДЕНИЕ………………………………………………………………</w:t>
            </w:r>
          </w:p>
        </w:tc>
        <w:tc>
          <w:tcPr>
            <w:tcW w:w="709" w:type="dxa"/>
          </w:tcPr>
          <w:p w14:paraId="2B7C0461">
            <w:pPr>
              <w:spacing w:after="0" w:line="240" w:lineRule="auto"/>
              <w:rPr>
                <w:rFonts w:ascii="Times New Roman" w:hAnsi="Times New Roman" w:eastAsia="Times New Roman"/>
                <w:sz w:val="28"/>
                <w:szCs w:val="28"/>
                <w:lang w:eastAsia="ru-RU"/>
              </w:rPr>
            </w:pPr>
            <w:r>
              <w:rPr>
                <w:rFonts w:ascii="Times New Roman" w:hAnsi="Times New Roman" w:eastAsia="Times New Roman"/>
                <w:sz w:val="28"/>
                <w:szCs w:val="28"/>
                <w:lang w:eastAsia="ru-RU"/>
              </w:rPr>
              <w:t>12</w:t>
            </w:r>
          </w:p>
        </w:tc>
      </w:tr>
      <w:tr w14:paraId="29AC3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8676" w:type="dxa"/>
          </w:tcPr>
          <w:p w14:paraId="32501FBA">
            <w:pPr>
              <w:spacing w:after="0" w:line="240" w:lineRule="auto"/>
              <w:jc w:val="both"/>
              <w:rPr>
                <w:rFonts w:ascii="Times New Roman" w:hAnsi="Times New Roman" w:eastAsia="Times New Roman"/>
                <w:sz w:val="28"/>
                <w:szCs w:val="28"/>
                <w:lang w:eastAsia="ru-RU"/>
              </w:rPr>
            </w:pPr>
            <w:r>
              <w:rPr>
                <w:rFonts w:ascii="Times New Roman" w:hAnsi="Times New Roman" w:eastAsia="Times New Roman"/>
                <w:bCs/>
                <w:sz w:val="28"/>
                <w:szCs w:val="28"/>
                <w:lang w:eastAsia="ru-RU"/>
              </w:rPr>
              <w:t>1 ТЕОРЕТИКО-МЕТОДОЛОГИЧЕСКИЕ ОСНОВЫ УПРАВЛЕНИЯ ПРОБЛЕМНЫМИ АКТИВАМИ БАНКА………………………………</w:t>
            </w:r>
          </w:p>
        </w:tc>
        <w:tc>
          <w:tcPr>
            <w:tcW w:w="709" w:type="dxa"/>
          </w:tcPr>
          <w:p w14:paraId="46DDE64E">
            <w:pPr>
              <w:spacing w:after="0" w:line="240" w:lineRule="auto"/>
              <w:rPr>
                <w:rFonts w:ascii="Times New Roman" w:hAnsi="Times New Roman" w:eastAsia="Times New Roman"/>
                <w:sz w:val="28"/>
                <w:szCs w:val="28"/>
                <w:lang w:eastAsia="ru-RU"/>
              </w:rPr>
            </w:pPr>
          </w:p>
          <w:p w14:paraId="49D91FF8">
            <w:pPr>
              <w:spacing w:after="0" w:line="240" w:lineRule="auto"/>
              <w:rPr>
                <w:rFonts w:ascii="Times New Roman" w:hAnsi="Times New Roman" w:eastAsia="Times New Roman"/>
                <w:sz w:val="28"/>
                <w:szCs w:val="28"/>
                <w:lang w:eastAsia="ru-RU"/>
              </w:rPr>
            </w:pPr>
            <w:r>
              <w:rPr>
                <w:rFonts w:ascii="Times New Roman" w:hAnsi="Times New Roman" w:eastAsia="Times New Roman"/>
                <w:sz w:val="28"/>
                <w:szCs w:val="28"/>
                <w:lang w:eastAsia="ru-RU"/>
              </w:rPr>
              <w:t>18</w:t>
            </w:r>
          </w:p>
        </w:tc>
      </w:tr>
      <w:tr w14:paraId="6E399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6" w:type="dxa"/>
          </w:tcPr>
          <w:p w14:paraId="4F4FC5D6">
            <w:pPr>
              <w:spacing w:after="0" w:line="240" w:lineRule="auto"/>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1.1 Проблемные активы банка как объект проектного управления: сущность и классификация……………….................................................</w:t>
            </w:r>
          </w:p>
        </w:tc>
        <w:tc>
          <w:tcPr>
            <w:tcW w:w="709" w:type="dxa"/>
          </w:tcPr>
          <w:p w14:paraId="42657191">
            <w:pPr>
              <w:spacing w:after="0" w:line="240" w:lineRule="auto"/>
              <w:rPr>
                <w:rFonts w:ascii="Times New Roman" w:hAnsi="Times New Roman" w:eastAsia="Times New Roman"/>
                <w:sz w:val="28"/>
                <w:szCs w:val="28"/>
                <w:lang w:eastAsia="ru-RU"/>
              </w:rPr>
            </w:pPr>
          </w:p>
          <w:p w14:paraId="48C2A4D0">
            <w:pPr>
              <w:spacing w:after="0" w:line="240" w:lineRule="auto"/>
              <w:rPr>
                <w:rFonts w:ascii="Times New Roman" w:hAnsi="Times New Roman" w:eastAsia="Times New Roman"/>
                <w:sz w:val="28"/>
                <w:szCs w:val="28"/>
                <w:lang w:eastAsia="ru-RU"/>
              </w:rPr>
            </w:pPr>
            <w:r>
              <w:rPr>
                <w:rFonts w:ascii="Times New Roman" w:hAnsi="Times New Roman" w:eastAsia="Times New Roman"/>
                <w:sz w:val="28"/>
                <w:szCs w:val="28"/>
                <w:lang w:eastAsia="ru-RU"/>
              </w:rPr>
              <w:t>18</w:t>
            </w:r>
          </w:p>
        </w:tc>
      </w:tr>
      <w:tr w14:paraId="53BA5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6" w:type="dxa"/>
          </w:tcPr>
          <w:p w14:paraId="317A04B4">
            <w:pPr>
              <w:spacing w:after="0" w:line="240" w:lineRule="auto"/>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1.2 Причины формирования проблемных активов при кредитовании реального сектора экономики............................</w:t>
            </w:r>
          </w:p>
        </w:tc>
        <w:tc>
          <w:tcPr>
            <w:tcW w:w="709" w:type="dxa"/>
          </w:tcPr>
          <w:p w14:paraId="31134C2D">
            <w:pPr>
              <w:spacing w:after="0" w:line="240" w:lineRule="auto"/>
              <w:rPr>
                <w:rFonts w:ascii="Times New Roman" w:hAnsi="Times New Roman" w:eastAsia="Times New Roman"/>
                <w:sz w:val="28"/>
                <w:szCs w:val="28"/>
                <w:lang w:eastAsia="ru-RU"/>
              </w:rPr>
            </w:pPr>
          </w:p>
          <w:p w14:paraId="4C5E2B92">
            <w:pPr>
              <w:spacing w:after="0" w:line="240" w:lineRule="auto"/>
              <w:rPr>
                <w:rFonts w:ascii="Times New Roman" w:hAnsi="Times New Roman" w:eastAsia="Times New Roman"/>
                <w:sz w:val="28"/>
                <w:szCs w:val="28"/>
                <w:lang w:val="en-US" w:eastAsia="ru-RU"/>
              </w:rPr>
            </w:pPr>
            <w:r>
              <w:rPr>
                <w:rFonts w:ascii="Times New Roman" w:hAnsi="Times New Roman" w:eastAsia="Times New Roman"/>
                <w:sz w:val="28"/>
                <w:szCs w:val="28"/>
                <w:lang w:eastAsia="ru-RU"/>
              </w:rPr>
              <w:t>2</w:t>
            </w:r>
            <w:r>
              <w:rPr>
                <w:rFonts w:ascii="Times New Roman" w:hAnsi="Times New Roman" w:eastAsia="Times New Roman"/>
                <w:sz w:val="28"/>
                <w:szCs w:val="28"/>
                <w:lang w:val="en-US" w:eastAsia="ru-RU"/>
              </w:rPr>
              <w:t>7</w:t>
            </w:r>
          </w:p>
        </w:tc>
      </w:tr>
      <w:tr w14:paraId="61957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6" w:type="dxa"/>
          </w:tcPr>
          <w:p w14:paraId="2E816523">
            <w:pPr>
              <w:spacing w:after="0" w:line="240" w:lineRule="auto"/>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1.3 Эволюция подходов к управлению проблемными активами в мировой банковской практике...................................................................</w:t>
            </w:r>
          </w:p>
        </w:tc>
        <w:tc>
          <w:tcPr>
            <w:tcW w:w="709" w:type="dxa"/>
          </w:tcPr>
          <w:p w14:paraId="3511B938">
            <w:pPr>
              <w:spacing w:after="0" w:line="240" w:lineRule="auto"/>
              <w:rPr>
                <w:rFonts w:ascii="Times New Roman" w:hAnsi="Times New Roman" w:eastAsia="Times New Roman"/>
                <w:sz w:val="28"/>
                <w:szCs w:val="28"/>
                <w:lang w:eastAsia="ru-RU"/>
              </w:rPr>
            </w:pPr>
          </w:p>
          <w:p w14:paraId="03FB7A74">
            <w:pPr>
              <w:spacing w:after="0" w:line="240" w:lineRule="auto"/>
              <w:rPr>
                <w:rFonts w:ascii="Times New Roman" w:hAnsi="Times New Roman" w:eastAsia="Times New Roman"/>
                <w:sz w:val="28"/>
                <w:szCs w:val="28"/>
                <w:lang w:val="en-US" w:eastAsia="ru-RU"/>
              </w:rPr>
            </w:pPr>
            <w:r>
              <w:rPr>
                <w:rFonts w:ascii="Times New Roman" w:hAnsi="Times New Roman" w:eastAsia="Times New Roman"/>
                <w:sz w:val="28"/>
                <w:szCs w:val="28"/>
                <w:lang w:val="en-US" w:eastAsia="ru-RU"/>
              </w:rPr>
              <w:t>30</w:t>
            </w:r>
          </w:p>
        </w:tc>
      </w:tr>
      <w:tr w14:paraId="5D6D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6" w:type="dxa"/>
          </w:tcPr>
          <w:p w14:paraId="3E0ACF2C">
            <w:pPr>
              <w:spacing w:after="0" w:line="240" w:lineRule="auto"/>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1.4 Проектный подход в управлении проблемными активами как инструмент повышения эффективности банковского управления……</w:t>
            </w:r>
          </w:p>
        </w:tc>
        <w:tc>
          <w:tcPr>
            <w:tcW w:w="709" w:type="dxa"/>
          </w:tcPr>
          <w:p w14:paraId="3FBA9730">
            <w:pPr>
              <w:spacing w:after="0" w:line="240" w:lineRule="auto"/>
              <w:rPr>
                <w:rFonts w:ascii="Times New Roman" w:hAnsi="Times New Roman" w:eastAsia="Times New Roman"/>
                <w:sz w:val="28"/>
                <w:szCs w:val="28"/>
                <w:lang w:eastAsia="ru-RU"/>
              </w:rPr>
            </w:pPr>
          </w:p>
          <w:p w14:paraId="7446DBDC">
            <w:pPr>
              <w:spacing w:after="0" w:line="240" w:lineRule="auto"/>
              <w:rPr>
                <w:rFonts w:ascii="Times New Roman" w:hAnsi="Times New Roman" w:eastAsia="Times New Roman"/>
                <w:sz w:val="28"/>
                <w:szCs w:val="28"/>
                <w:lang w:eastAsia="ru-RU"/>
              </w:rPr>
            </w:pPr>
            <w:r>
              <w:rPr>
                <w:rFonts w:ascii="Times New Roman" w:hAnsi="Times New Roman" w:eastAsia="Times New Roman"/>
                <w:sz w:val="28"/>
                <w:szCs w:val="28"/>
                <w:lang w:eastAsia="ru-RU"/>
              </w:rPr>
              <w:t>42</w:t>
            </w:r>
          </w:p>
        </w:tc>
      </w:tr>
      <w:tr w14:paraId="0B18B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6" w:type="dxa"/>
          </w:tcPr>
          <w:p w14:paraId="4B3F46E4">
            <w:pPr>
              <w:spacing w:after="0" w:line="240" w:lineRule="auto"/>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2 АНАЛИЗ СИСТЕМЫ УПРАВЛЕНИЯ ПРОБЛЕМНЫМИ АКТИВАМИ БАНКОВ РЕСПУБЛИКИ КАЗАХСТАН...............................................................................................</w:t>
            </w:r>
          </w:p>
        </w:tc>
        <w:tc>
          <w:tcPr>
            <w:tcW w:w="709" w:type="dxa"/>
          </w:tcPr>
          <w:p w14:paraId="558F86AC">
            <w:pPr>
              <w:spacing w:after="0" w:line="240" w:lineRule="auto"/>
              <w:rPr>
                <w:rFonts w:ascii="Times New Roman" w:hAnsi="Times New Roman" w:eastAsia="Times New Roman"/>
                <w:sz w:val="28"/>
                <w:szCs w:val="28"/>
                <w:lang w:eastAsia="ru-RU"/>
              </w:rPr>
            </w:pPr>
          </w:p>
          <w:p w14:paraId="7E2E5942">
            <w:pPr>
              <w:spacing w:after="0" w:line="240" w:lineRule="auto"/>
              <w:rPr>
                <w:rFonts w:ascii="Times New Roman" w:hAnsi="Times New Roman" w:eastAsia="Times New Roman"/>
                <w:sz w:val="28"/>
                <w:szCs w:val="28"/>
                <w:lang w:eastAsia="ru-RU"/>
              </w:rPr>
            </w:pPr>
          </w:p>
          <w:p w14:paraId="532344F1">
            <w:pPr>
              <w:spacing w:after="0" w:line="240" w:lineRule="auto"/>
              <w:rPr>
                <w:rFonts w:ascii="Times New Roman" w:hAnsi="Times New Roman" w:eastAsia="Times New Roman"/>
                <w:sz w:val="28"/>
                <w:szCs w:val="28"/>
                <w:lang w:eastAsia="ru-RU"/>
              </w:rPr>
            </w:pPr>
            <w:r>
              <w:rPr>
                <w:rFonts w:ascii="Times New Roman" w:hAnsi="Times New Roman" w:eastAsia="Times New Roman"/>
                <w:sz w:val="28"/>
                <w:szCs w:val="28"/>
                <w:lang w:eastAsia="ru-RU"/>
              </w:rPr>
              <w:t>49</w:t>
            </w:r>
          </w:p>
        </w:tc>
      </w:tr>
      <w:tr w14:paraId="24F0B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6" w:type="dxa"/>
          </w:tcPr>
          <w:p w14:paraId="4E3458D3">
            <w:pPr>
              <w:spacing w:after="0" w:line="240" w:lineRule="auto"/>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2.1 </w:t>
            </w:r>
            <w:r>
              <w:rPr>
                <w:rFonts w:ascii="Times New Roman" w:hAnsi="Times New Roman" w:eastAsia="TimesNewRomanPSMT"/>
                <w:bCs/>
                <w:sz w:val="28"/>
                <w:szCs w:val="28"/>
                <w:lang w:eastAsia="ru-RU"/>
              </w:rPr>
              <w:t>Анализ кредитования реального сектора экономики и его значение в успешной реализации проектов развития...............................................</w:t>
            </w:r>
          </w:p>
        </w:tc>
        <w:tc>
          <w:tcPr>
            <w:tcW w:w="709" w:type="dxa"/>
          </w:tcPr>
          <w:p w14:paraId="49407955">
            <w:pPr>
              <w:spacing w:after="0" w:line="240" w:lineRule="auto"/>
              <w:rPr>
                <w:rFonts w:ascii="Times New Roman" w:hAnsi="Times New Roman" w:eastAsia="Times New Roman"/>
                <w:sz w:val="28"/>
                <w:szCs w:val="28"/>
                <w:lang w:eastAsia="ru-RU"/>
              </w:rPr>
            </w:pPr>
          </w:p>
          <w:p w14:paraId="497B942F">
            <w:pPr>
              <w:spacing w:after="0" w:line="240" w:lineRule="auto"/>
              <w:rPr>
                <w:rFonts w:ascii="Times New Roman" w:hAnsi="Times New Roman" w:eastAsia="Times New Roman"/>
                <w:sz w:val="28"/>
                <w:szCs w:val="28"/>
                <w:lang w:eastAsia="ru-RU"/>
              </w:rPr>
            </w:pPr>
            <w:r>
              <w:rPr>
                <w:rFonts w:ascii="Times New Roman" w:hAnsi="Times New Roman" w:eastAsia="Times New Roman"/>
                <w:sz w:val="28"/>
                <w:szCs w:val="28"/>
                <w:lang w:eastAsia="ru-RU"/>
              </w:rPr>
              <w:t>49</w:t>
            </w:r>
          </w:p>
        </w:tc>
      </w:tr>
      <w:tr w14:paraId="438AF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6" w:type="dxa"/>
          </w:tcPr>
          <w:p w14:paraId="4158D5FD">
            <w:pPr>
              <w:spacing w:after="0" w:line="240" w:lineRule="auto"/>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2.2 Проблемные активы банков: структура и динамика с учетом проектного подхода………………………………………………………</w:t>
            </w:r>
          </w:p>
        </w:tc>
        <w:tc>
          <w:tcPr>
            <w:tcW w:w="709" w:type="dxa"/>
          </w:tcPr>
          <w:p w14:paraId="08161D1C">
            <w:pPr>
              <w:spacing w:after="0" w:line="240" w:lineRule="auto"/>
              <w:rPr>
                <w:rFonts w:ascii="Times New Roman" w:hAnsi="Times New Roman" w:eastAsia="Times New Roman"/>
                <w:sz w:val="28"/>
                <w:szCs w:val="28"/>
                <w:lang w:eastAsia="ru-RU"/>
              </w:rPr>
            </w:pPr>
          </w:p>
          <w:p w14:paraId="5367789D">
            <w:pPr>
              <w:spacing w:after="0" w:line="240" w:lineRule="auto"/>
              <w:rPr>
                <w:rFonts w:ascii="Times New Roman" w:hAnsi="Times New Roman" w:eastAsia="Times New Roman"/>
                <w:sz w:val="28"/>
                <w:szCs w:val="28"/>
                <w:lang w:eastAsia="ru-RU"/>
              </w:rPr>
            </w:pPr>
            <w:r>
              <w:rPr>
                <w:rFonts w:ascii="Times New Roman" w:hAnsi="Times New Roman" w:eastAsia="Times New Roman"/>
                <w:sz w:val="28"/>
                <w:szCs w:val="28"/>
                <w:lang w:eastAsia="ru-RU"/>
              </w:rPr>
              <w:t>55</w:t>
            </w:r>
          </w:p>
        </w:tc>
      </w:tr>
      <w:tr w14:paraId="0154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6" w:type="dxa"/>
          </w:tcPr>
          <w:p w14:paraId="4529FEAB">
            <w:pPr>
              <w:spacing w:after="0" w:line="240" w:lineRule="auto"/>
              <w:rPr>
                <w:rFonts w:ascii="Times New Roman" w:hAnsi="Times New Roman" w:eastAsia="Times New Roman"/>
                <w:sz w:val="28"/>
                <w:szCs w:val="28"/>
                <w:lang w:eastAsia="ru-RU"/>
              </w:rPr>
            </w:pPr>
            <w:r>
              <w:rPr>
                <w:rFonts w:ascii="Times New Roman" w:hAnsi="Times New Roman" w:eastAsia="Times New Roman"/>
                <w:sz w:val="28"/>
                <w:szCs w:val="28"/>
                <w:lang w:eastAsia="ru-RU"/>
              </w:rPr>
              <w:t>2.3 Оценка действующих моделей управления проблемными активами банков в контексте реализации проектов................................</w:t>
            </w:r>
          </w:p>
        </w:tc>
        <w:tc>
          <w:tcPr>
            <w:tcW w:w="709" w:type="dxa"/>
          </w:tcPr>
          <w:p w14:paraId="771BBFCF">
            <w:pPr>
              <w:spacing w:after="0" w:line="240" w:lineRule="auto"/>
              <w:rPr>
                <w:rFonts w:ascii="Times New Roman" w:hAnsi="Times New Roman" w:eastAsia="Times New Roman"/>
                <w:sz w:val="28"/>
                <w:szCs w:val="28"/>
                <w:lang w:eastAsia="ru-RU"/>
              </w:rPr>
            </w:pPr>
          </w:p>
          <w:p w14:paraId="7E9A524B">
            <w:pPr>
              <w:spacing w:after="0" w:line="240" w:lineRule="auto"/>
              <w:rPr>
                <w:rFonts w:ascii="Times New Roman" w:hAnsi="Times New Roman" w:eastAsia="Times New Roman"/>
                <w:sz w:val="28"/>
                <w:szCs w:val="28"/>
                <w:lang w:eastAsia="ru-RU"/>
              </w:rPr>
            </w:pPr>
            <w:r>
              <w:rPr>
                <w:rFonts w:ascii="Times New Roman" w:hAnsi="Times New Roman" w:eastAsia="Times New Roman"/>
                <w:sz w:val="28"/>
                <w:szCs w:val="28"/>
                <w:lang w:eastAsia="ru-RU"/>
              </w:rPr>
              <w:t>62</w:t>
            </w:r>
          </w:p>
        </w:tc>
      </w:tr>
      <w:tr w14:paraId="2B2AB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6" w:type="dxa"/>
          </w:tcPr>
          <w:p w14:paraId="10D98B14">
            <w:pPr>
              <w:spacing w:after="0" w:line="240" w:lineRule="auto"/>
              <w:rPr>
                <w:rFonts w:ascii="Times New Roman" w:hAnsi="Times New Roman" w:eastAsia="Times New Roman"/>
                <w:sz w:val="28"/>
                <w:szCs w:val="28"/>
                <w:lang w:eastAsia="ru-RU"/>
              </w:rPr>
            </w:pPr>
            <w:r>
              <w:rPr>
                <w:rFonts w:ascii="Times New Roman" w:hAnsi="Times New Roman" w:eastAsia="Times New Roman"/>
                <w:sz w:val="28"/>
                <w:szCs w:val="28"/>
                <w:lang w:eastAsia="ru-RU"/>
              </w:rPr>
              <w:t>2.4 Ограничения и системные проблемы управления проблемными активами банков, кредитующих реальный сектор ……………………</w:t>
            </w:r>
          </w:p>
        </w:tc>
        <w:tc>
          <w:tcPr>
            <w:tcW w:w="709" w:type="dxa"/>
          </w:tcPr>
          <w:p w14:paraId="04B931AC">
            <w:pPr>
              <w:spacing w:after="0" w:line="240" w:lineRule="auto"/>
              <w:rPr>
                <w:rFonts w:ascii="Times New Roman" w:hAnsi="Times New Roman" w:eastAsia="Times New Roman"/>
                <w:sz w:val="28"/>
                <w:szCs w:val="28"/>
                <w:lang w:eastAsia="ru-RU"/>
              </w:rPr>
            </w:pPr>
          </w:p>
          <w:p w14:paraId="4FB34353">
            <w:pPr>
              <w:spacing w:after="0" w:line="240" w:lineRule="auto"/>
              <w:rPr>
                <w:rFonts w:ascii="Times New Roman" w:hAnsi="Times New Roman" w:eastAsia="Times New Roman"/>
                <w:sz w:val="28"/>
                <w:szCs w:val="28"/>
                <w:lang w:eastAsia="ru-RU"/>
              </w:rPr>
            </w:pPr>
            <w:r>
              <w:rPr>
                <w:rFonts w:ascii="Times New Roman" w:hAnsi="Times New Roman" w:eastAsia="Times New Roman"/>
                <w:sz w:val="28"/>
                <w:szCs w:val="28"/>
                <w:lang w:eastAsia="ru-RU"/>
              </w:rPr>
              <w:t>73</w:t>
            </w:r>
          </w:p>
        </w:tc>
      </w:tr>
      <w:tr w14:paraId="2F0C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6" w:type="dxa"/>
          </w:tcPr>
          <w:p w14:paraId="202DD24A">
            <w:pPr>
              <w:spacing w:after="0" w:line="240" w:lineRule="auto"/>
              <w:jc w:val="both"/>
              <w:rPr>
                <w:rFonts w:ascii="Times New Roman" w:hAnsi="Times New Roman" w:eastAsia="Times New Roman"/>
                <w:sz w:val="28"/>
                <w:szCs w:val="28"/>
                <w:lang w:eastAsia="ru-RU"/>
              </w:rPr>
            </w:pPr>
            <w:r>
              <w:rPr>
                <w:rFonts w:ascii="Times New Roman" w:hAnsi="Times New Roman" w:eastAsia="Times New Roman"/>
                <w:bCs/>
                <w:sz w:val="28"/>
                <w:szCs w:val="28"/>
                <w:lang w:eastAsia="ru-RU"/>
              </w:rPr>
              <w:t>3</w:t>
            </w:r>
            <w:r>
              <w:rPr>
                <w:rFonts w:ascii="Times New Roman" w:hAnsi="Times New Roman" w:eastAsia="Times New Roman"/>
                <w:b/>
                <w:sz w:val="28"/>
                <w:szCs w:val="28"/>
                <w:lang w:eastAsia="ru-RU"/>
              </w:rPr>
              <w:t xml:space="preserve"> </w:t>
            </w:r>
            <w:r>
              <w:rPr>
                <w:rFonts w:ascii="Times New Roman" w:hAnsi="Times New Roman" w:eastAsia="Times New Roman"/>
                <w:bCs/>
                <w:sz w:val="28"/>
                <w:szCs w:val="28"/>
                <w:lang w:eastAsia="ru-RU"/>
              </w:rPr>
              <w:t>АНАЛИЗ ВЛИЯНИЯ МАКРОЭКОНОМИЧЕСКИХ ФАКТОРОВ НА РЕАЛИЗАЦИЮ ПРОЕКТНОГО ПОДХОДА В УПРАВЛЕНИИ ПРОБЛЕМНЫМИ АКТИВАМИ БАНКОВ РЕСПУБЛИКИ КАЗАХСТАН..............................................................................................</w:t>
            </w:r>
          </w:p>
        </w:tc>
        <w:tc>
          <w:tcPr>
            <w:tcW w:w="709" w:type="dxa"/>
          </w:tcPr>
          <w:p w14:paraId="18E92CA3">
            <w:pPr>
              <w:spacing w:after="0" w:line="240" w:lineRule="auto"/>
              <w:rPr>
                <w:rFonts w:ascii="Times New Roman" w:hAnsi="Times New Roman" w:eastAsia="Times New Roman"/>
                <w:sz w:val="28"/>
                <w:szCs w:val="28"/>
                <w:lang w:eastAsia="ru-RU"/>
              </w:rPr>
            </w:pPr>
          </w:p>
          <w:p w14:paraId="44623531">
            <w:pPr>
              <w:spacing w:after="0" w:line="240" w:lineRule="auto"/>
              <w:rPr>
                <w:rFonts w:ascii="Times New Roman" w:hAnsi="Times New Roman" w:eastAsia="Times New Roman"/>
                <w:sz w:val="28"/>
                <w:szCs w:val="28"/>
                <w:lang w:eastAsia="ru-RU"/>
              </w:rPr>
            </w:pPr>
          </w:p>
          <w:p w14:paraId="069F79B0">
            <w:pPr>
              <w:spacing w:after="0" w:line="240" w:lineRule="auto"/>
              <w:rPr>
                <w:rFonts w:ascii="Times New Roman" w:hAnsi="Times New Roman" w:eastAsia="Times New Roman"/>
                <w:sz w:val="28"/>
                <w:szCs w:val="28"/>
                <w:lang w:val="en-US" w:eastAsia="ru-RU"/>
              </w:rPr>
            </w:pPr>
            <w:r>
              <w:rPr>
                <w:rFonts w:ascii="Times New Roman" w:hAnsi="Times New Roman" w:eastAsia="Times New Roman"/>
                <w:sz w:val="28"/>
                <w:szCs w:val="28"/>
                <w:lang w:eastAsia="ru-RU"/>
              </w:rPr>
              <w:t>8</w:t>
            </w:r>
            <w:r>
              <w:rPr>
                <w:rFonts w:ascii="Times New Roman" w:hAnsi="Times New Roman" w:eastAsia="Times New Roman"/>
                <w:sz w:val="28"/>
                <w:szCs w:val="28"/>
                <w:lang w:val="en-US" w:eastAsia="ru-RU"/>
              </w:rPr>
              <w:t>1</w:t>
            </w:r>
          </w:p>
        </w:tc>
      </w:tr>
      <w:tr w14:paraId="3C33D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6" w:type="dxa"/>
          </w:tcPr>
          <w:p w14:paraId="7ADF855C">
            <w:pPr>
              <w:spacing w:after="0" w:line="240" w:lineRule="auto"/>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3.1 Методологические подходы к анализу влияния макроэкономических факторов на NPL как объектов проектного управления.................................................…………………………………</w:t>
            </w:r>
          </w:p>
        </w:tc>
        <w:tc>
          <w:tcPr>
            <w:tcW w:w="709" w:type="dxa"/>
          </w:tcPr>
          <w:p w14:paraId="6C0C0BDC">
            <w:pPr>
              <w:spacing w:after="0" w:line="240" w:lineRule="auto"/>
              <w:rPr>
                <w:rFonts w:ascii="Times New Roman" w:hAnsi="Times New Roman" w:eastAsia="Times New Roman"/>
                <w:sz w:val="28"/>
                <w:szCs w:val="28"/>
                <w:lang w:eastAsia="ru-RU"/>
              </w:rPr>
            </w:pPr>
          </w:p>
          <w:p w14:paraId="252FF76D">
            <w:pPr>
              <w:spacing w:after="0" w:line="240" w:lineRule="auto"/>
              <w:rPr>
                <w:rFonts w:ascii="Times New Roman" w:hAnsi="Times New Roman" w:eastAsia="Times New Roman"/>
                <w:sz w:val="28"/>
                <w:szCs w:val="28"/>
                <w:lang w:eastAsia="ru-RU"/>
              </w:rPr>
            </w:pPr>
            <w:r>
              <w:rPr>
                <w:rFonts w:ascii="Times New Roman" w:hAnsi="Times New Roman" w:eastAsia="Times New Roman"/>
                <w:sz w:val="28"/>
                <w:szCs w:val="28"/>
                <w:lang w:eastAsia="ru-RU"/>
              </w:rPr>
              <w:t>81</w:t>
            </w:r>
          </w:p>
        </w:tc>
      </w:tr>
      <w:tr w14:paraId="5EA56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6" w:type="dxa"/>
          </w:tcPr>
          <w:p w14:paraId="2BECBC6F">
            <w:pPr>
              <w:spacing w:after="0" w:line="240" w:lineRule="auto"/>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3.2 Применение структурного моделирования (PLS-SEM) в анализе влияния макроэкономических факторов на уровень проблемных кредитов……………………………………………………...</w:t>
            </w:r>
          </w:p>
        </w:tc>
        <w:tc>
          <w:tcPr>
            <w:tcW w:w="709" w:type="dxa"/>
          </w:tcPr>
          <w:p w14:paraId="3405B9EE">
            <w:pPr>
              <w:spacing w:after="0" w:line="240" w:lineRule="auto"/>
              <w:rPr>
                <w:rFonts w:ascii="Times New Roman" w:hAnsi="Times New Roman" w:eastAsia="Times New Roman"/>
                <w:sz w:val="28"/>
                <w:szCs w:val="28"/>
                <w:lang w:eastAsia="ru-RU"/>
              </w:rPr>
            </w:pPr>
          </w:p>
          <w:p w14:paraId="5ABA9D80">
            <w:pPr>
              <w:spacing w:after="0" w:line="240" w:lineRule="auto"/>
              <w:rPr>
                <w:rFonts w:ascii="Times New Roman" w:hAnsi="Times New Roman" w:eastAsia="Times New Roman"/>
                <w:sz w:val="28"/>
                <w:szCs w:val="28"/>
                <w:lang w:eastAsia="ru-RU"/>
              </w:rPr>
            </w:pPr>
          </w:p>
          <w:p w14:paraId="443920A0">
            <w:pPr>
              <w:spacing w:after="0" w:line="240" w:lineRule="auto"/>
              <w:rPr>
                <w:rFonts w:ascii="Times New Roman" w:hAnsi="Times New Roman" w:eastAsia="Times New Roman"/>
                <w:sz w:val="28"/>
                <w:szCs w:val="28"/>
                <w:lang w:val="en-US" w:eastAsia="ru-RU"/>
              </w:rPr>
            </w:pPr>
            <w:r>
              <w:rPr>
                <w:rFonts w:ascii="Times New Roman" w:hAnsi="Times New Roman" w:eastAsia="Times New Roman"/>
                <w:sz w:val="28"/>
                <w:szCs w:val="28"/>
                <w:lang w:eastAsia="ru-RU"/>
              </w:rPr>
              <w:t>8</w:t>
            </w:r>
            <w:r>
              <w:rPr>
                <w:rFonts w:ascii="Times New Roman" w:hAnsi="Times New Roman" w:eastAsia="Times New Roman"/>
                <w:sz w:val="28"/>
                <w:szCs w:val="28"/>
                <w:lang w:val="en-US" w:eastAsia="ru-RU"/>
              </w:rPr>
              <w:t>4</w:t>
            </w:r>
          </w:p>
        </w:tc>
      </w:tr>
      <w:tr w14:paraId="1E38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6" w:type="dxa"/>
          </w:tcPr>
          <w:p w14:paraId="0B75C6E2">
            <w:pPr>
              <w:tabs>
                <w:tab w:val="right" w:leader="dot" w:pos="9345"/>
              </w:tabs>
              <w:spacing w:after="0" w:line="240" w:lineRule="auto"/>
              <w:jc w:val="both"/>
              <w:rPr>
                <w:rFonts w:ascii="Times New Roman" w:hAnsi="Times New Roman" w:eastAsia="Times New Roman"/>
                <w:sz w:val="28"/>
                <w:szCs w:val="28"/>
                <w:lang w:eastAsia="ru-RU"/>
              </w:rPr>
            </w:pPr>
            <w:r>
              <w:rPr>
                <w:rFonts w:ascii="Times New Roman" w:hAnsi="Times New Roman" w:eastAsia="Times New Roman"/>
                <w:bCs/>
                <w:sz w:val="28"/>
                <w:szCs w:val="28"/>
                <w:lang w:eastAsia="ru-RU"/>
              </w:rPr>
              <w:t>4 РАЗРАБОТКА МОДЕЛИ ПРОЕКТНОГО ПОДХОДА В УПРАВЛЕНИИ ПРОБЛЕМНЫМИ АКТИВАМИ БАНКОВ..........</w:t>
            </w:r>
            <w:r>
              <w:rPr>
                <w:rFonts w:ascii="Times New Roman" w:hAnsi="Times New Roman" w:eastAsia="Times New Roman"/>
                <w:sz w:val="28"/>
                <w:szCs w:val="28"/>
                <w:lang w:eastAsia="ru-RU"/>
              </w:rPr>
              <w:t>……</w:t>
            </w:r>
          </w:p>
        </w:tc>
        <w:tc>
          <w:tcPr>
            <w:tcW w:w="709" w:type="dxa"/>
          </w:tcPr>
          <w:p w14:paraId="405B73AA">
            <w:pPr>
              <w:spacing w:after="0" w:line="240" w:lineRule="auto"/>
              <w:rPr>
                <w:rFonts w:ascii="Times New Roman" w:hAnsi="Times New Roman" w:eastAsia="Times New Roman"/>
                <w:sz w:val="28"/>
                <w:szCs w:val="28"/>
                <w:lang w:eastAsia="ru-RU"/>
              </w:rPr>
            </w:pPr>
          </w:p>
          <w:p w14:paraId="0F711701">
            <w:pPr>
              <w:spacing w:after="0" w:line="240" w:lineRule="auto"/>
              <w:rPr>
                <w:rFonts w:ascii="Times New Roman" w:hAnsi="Times New Roman" w:eastAsia="Times New Roman"/>
                <w:sz w:val="28"/>
                <w:szCs w:val="28"/>
                <w:lang w:eastAsia="ru-RU"/>
              </w:rPr>
            </w:pPr>
          </w:p>
          <w:p w14:paraId="008C3777">
            <w:pPr>
              <w:spacing w:after="0" w:line="240" w:lineRule="auto"/>
              <w:rPr>
                <w:rFonts w:ascii="Times New Roman" w:hAnsi="Times New Roman" w:eastAsia="Times New Roman"/>
                <w:sz w:val="28"/>
                <w:szCs w:val="28"/>
                <w:lang w:eastAsia="ru-RU"/>
              </w:rPr>
            </w:pPr>
            <w:r>
              <w:rPr>
                <w:rFonts w:ascii="Times New Roman" w:hAnsi="Times New Roman" w:eastAsia="Times New Roman"/>
                <w:sz w:val="28"/>
                <w:szCs w:val="28"/>
                <w:lang w:eastAsia="ru-RU"/>
              </w:rPr>
              <w:t>104</w:t>
            </w:r>
          </w:p>
        </w:tc>
      </w:tr>
      <w:tr w14:paraId="5C50B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6" w:type="dxa"/>
          </w:tcPr>
          <w:p w14:paraId="79F63EDB">
            <w:pPr>
              <w:spacing w:after="0" w:line="240" w:lineRule="auto"/>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4.1 Математическая модель проектного подхода в банковской системе Казахстана………………………………………………………………</w:t>
            </w:r>
          </w:p>
        </w:tc>
        <w:tc>
          <w:tcPr>
            <w:tcW w:w="709" w:type="dxa"/>
          </w:tcPr>
          <w:p w14:paraId="76D63E65">
            <w:pPr>
              <w:spacing w:after="0" w:line="240" w:lineRule="auto"/>
              <w:rPr>
                <w:rFonts w:ascii="Times New Roman" w:hAnsi="Times New Roman" w:eastAsia="Times New Roman"/>
                <w:sz w:val="28"/>
                <w:szCs w:val="28"/>
                <w:lang w:eastAsia="ru-RU"/>
              </w:rPr>
            </w:pPr>
          </w:p>
          <w:p w14:paraId="1424A167">
            <w:pPr>
              <w:spacing w:after="0" w:line="240" w:lineRule="auto"/>
              <w:rPr>
                <w:rFonts w:ascii="Times New Roman" w:hAnsi="Times New Roman" w:eastAsia="Times New Roman"/>
                <w:sz w:val="28"/>
                <w:szCs w:val="28"/>
                <w:lang w:eastAsia="ru-RU"/>
              </w:rPr>
            </w:pPr>
            <w:r>
              <w:rPr>
                <w:rFonts w:ascii="Times New Roman" w:hAnsi="Times New Roman" w:eastAsia="Times New Roman"/>
                <w:sz w:val="28"/>
                <w:szCs w:val="28"/>
                <w:lang w:eastAsia="ru-RU"/>
              </w:rPr>
              <w:t>106</w:t>
            </w:r>
          </w:p>
        </w:tc>
      </w:tr>
      <w:tr w14:paraId="45CE8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6" w:type="dxa"/>
          </w:tcPr>
          <w:p w14:paraId="1FAABC7B">
            <w:pPr>
              <w:spacing w:after="0" w:line="240" w:lineRule="auto"/>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4.2 Алгоритм проектного управления проблемными активами в реальном секторе экономики.......................................................................</w:t>
            </w:r>
          </w:p>
        </w:tc>
        <w:tc>
          <w:tcPr>
            <w:tcW w:w="709" w:type="dxa"/>
          </w:tcPr>
          <w:p w14:paraId="740D85AF">
            <w:pPr>
              <w:spacing w:after="0" w:line="240" w:lineRule="auto"/>
              <w:rPr>
                <w:rFonts w:ascii="Times New Roman" w:hAnsi="Times New Roman" w:eastAsia="Times New Roman"/>
                <w:sz w:val="28"/>
                <w:szCs w:val="28"/>
                <w:lang w:eastAsia="ru-RU"/>
              </w:rPr>
            </w:pPr>
            <w:r>
              <w:rPr>
                <w:rFonts w:ascii="Times New Roman" w:hAnsi="Times New Roman" w:eastAsia="Times New Roman"/>
                <w:sz w:val="28"/>
                <w:szCs w:val="28"/>
                <w:lang w:eastAsia="ru-RU"/>
              </w:rPr>
              <w:t>132</w:t>
            </w:r>
          </w:p>
        </w:tc>
      </w:tr>
      <w:tr w14:paraId="1985E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6" w:type="dxa"/>
          </w:tcPr>
          <w:p w14:paraId="1EA931BC">
            <w:pPr>
              <w:tabs>
                <w:tab w:val="right" w:leader="dot" w:pos="9345"/>
              </w:tabs>
              <w:spacing w:after="0" w:line="240" w:lineRule="auto"/>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ЗАКЛЮЧЕНИЕ..........................................................................................</w:t>
            </w:r>
          </w:p>
        </w:tc>
        <w:tc>
          <w:tcPr>
            <w:tcW w:w="709" w:type="dxa"/>
          </w:tcPr>
          <w:p w14:paraId="5BE5CA11">
            <w:pPr>
              <w:spacing w:after="0" w:line="240" w:lineRule="auto"/>
              <w:rPr>
                <w:rFonts w:ascii="Times New Roman" w:hAnsi="Times New Roman"/>
                <w:sz w:val="28"/>
                <w:szCs w:val="28"/>
              </w:rPr>
            </w:pPr>
            <w:r>
              <w:rPr>
                <w:rFonts w:ascii="Times New Roman" w:hAnsi="Times New Roman"/>
                <w:sz w:val="28"/>
                <w:szCs w:val="28"/>
              </w:rPr>
              <w:t>137</w:t>
            </w:r>
          </w:p>
        </w:tc>
      </w:tr>
      <w:tr w14:paraId="3AC2F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6" w:type="dxa"/>
          </w:tcPr>
          <w:p w14:paraId="40FD1D96">
            <w:pPr>
              <w:tabs>
                <w:tab w:val="right" w:leader="dot" w:pos="9345"/>
              </w:tabs>
              <w:spacing w:after="0" w:line="240" w:lineRule="auto"/>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СПИСОК ИСПОЛЬЗОВАННЫХ ИСТОЧНИКОВ.............................</w:t>
            </w:r>
          </w:p>
        </w:tc>
        <w:tc>
          <w:tcPr>
            <w:tcW w:w="709" w:type="dxa"/>
          </w:tcPr>
          <w:p w14:paraId="4964CAC0">
            <w:pPr>
              <w:spacing w:after="0" w:line="240" w:lineRule="auto"/>
              <w:rPr>
                <w:rFonts w:ascii="Times New Roman" w:hAnsi="Times New Roman" w:eastAsia="Times New Roman"/>
                <w:sz w:val="28"/>
                <w:szCs w:val="28"/>
                <w:lang w:val="en-US" w:eastAsia="ru-RU"/>
              </w:rPr>
            </w:pPr>
            <w:r>
              <w:rPr>
                <w:rFonts w:ascii="Times New Roman" w:hAnsi="Times New Roman" w:eastAsia="Times New Roman"/>
                <w:sz w:val="28"/>
                <w:szCs w:val="28"/>
                <w:lang w:eastAsia="ru-RU"/>
              </w:rPr>
              <w:t>14</w:t>
            </w:r>
            <w:r>
              <w:rPr>
                <w:rFonts w:ascii="Times New Roman" w:hAnsi="Times New Roman" w:eastAsia="Times New Roman"/>
                <w:sz w:val="28"/>
                <w:szCs w:val="28"/>
                <w:lang w:val="en-US" w:eastAsia="ru-RU"/>
              </w:rPr>
              <w:t>7</w:t>
            </w:r>
          </w:p>
        </w:tc>
      </w:tr>
      <w:tr w14:paraId="43FC7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8676" w:type="dxa"/>
          </w:tcPr>
          <w:p w14:paraId="64A280BA">
            <w:pPr>
              <w:spacing w:after="0" w:line="240" w:lineRule="auto"/>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 xml:space="preserve">ПРИЛОЖЕНИЕ А </w:t>
            </w:r>
            <w:r>
              <w:rPr>
                <w:rFonts w:ascii="Times New Roman" w:hAnsi="Times New Roman" w:eastAsia="Times-Roman"/>
                <w:color w:val="000000"/>
                <w:sz w:val="28"/>
                <w:szCs w:val="28"/>
              </w:rPr>
              <w:t>Результаты обзора литературы по теме диссертационного исследования …………………………………………</w:t>
            </w:r>
          </w:p>
        </w:tc>
        <w:tc>
          <w:tcPr>
            <w:tcW w:w="709" w:type="dxa"/>
          </w:tcPr>
          <w:p w14:paraId="493143F9">
            <w:pPr>
              <w:spacing w:after="0" w:line="240" w:lineRule="auto"/>
              <w:rPr>
                <w:rFonts w:ascii="Times New Roman" w:hAnsi="Times New Roman" w:eastAsia="Times New Roman"/>
                <w:sz w:val="28"/>
                <w:szCs w:val="28"/>
                <w:lang w:eastAsia="ru-RU"/>
              </w:rPr>
            </w:pPr>
          </w:p>
          <w:p w14:paraId="02099096">
            <w:pPr>
              <w:spacing w:after="0" w:line="240" w:lineRule="auto"/>
              <w:rPr>
                <w:rFonts w:ascii="Times New Roman" w:hAnsi="Times New Roman" w:eastAsia="Times New Roman"/>
                <w:sz w:val="28"/>
                <w:szCs w:val="28"/>
                <w:lang w:val="en-US" w:eastAsia="ru-RU"/>
              </w:rPr>
            </w:pPr>
            <w:r>
              <w:rPr>
                <w:rFonts w:ascii="Times New Roman" w:hAnsi="Times New Roman" w:eastAsia="Times New Roman"/>
                <w:sz w:val="28"/>
                <w:szCs w:val="28"/>
                <w:lang w:eastAsia="ru-RU"/>
              </w:rPr>
              <w:t>16</w:t>
            </w:r>
            <w:r>
              <w:rPr>
                <w:rFonts w:ascii="Times New Roman" w:hAnsi="Times New Roman" w:eastAsia="Times New Roman"/>
                <w:sz w:val="28"/>
                <w:szCs w:val="28"/>
                <w:lang w:val="en-US" w:eastAsia="ru-RU"/>
              </w:rPr>
              <w:t>0</w:t>
            </w:r>
          </w:p>
        </w:tc>
      </w:tr>
      <w:tr w14:paraId="583A8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8676" w:type="dxa"/>
          </w:tcPr>
          <w:p w14:paraId="47908F3E">
            <w:pPr>
              <w:spacing w:after="0" w:line="240" w:lineRule="auto"/>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 xml:space="preserve">ПРИЛОЖЕНИЕ Б  </w:t>
            </w:r>
            <w:r>
              <w:rPr>
                <w:rFonts w:ascii="Times New Roman" w:hAnsi="Times New Roman"/>
                <w:sz w:val="28"/>
                <w:szCs w:val="28"/>
              </w:rPr>
              <w:t>Выборка данных для анализа PLS-SEM …………</w:t>
            </w:r>
          </w:p>
        </w:tc>
        <w:tc>
          <w:tcPr>
            <w:tcW w:w="709" w:type="dxa"/>
          </w:tcPr>
          <w:p w14:paraId="0FD42275">
            <w:pPr>
              <w:spacing w:after="0" w:line="240" w:lineRule="auto"/>
              <w:rPr>
                <w:rFonts w:ascii="Times New Roman" w:hAnsi="Times New Roman" w:eastAsia="Times New Roman"/>
                <w:sz w:val="28"/>
                <w:szCs w:val="28"/>
                <w:lang w:val="en-US" w:eastAsia="ru-RU"/>
              </w:rPr>
            </w:pPr>
            <w:r>
              <w:rPr>
                <w:rFonts w:ascii="Times New Roman" w:hAnsi="Times New Roman" w:eastAsia="Times New Roman"/>
                <w:sz w:val="28"/>
                <w:szCs w:val="28"/>
                <w:lang w:eastAsia="ru-RU"/>
              </w:rPr>
              <w:t>16</w:t>
            </w:r>
            <w:r>
              <w:rPr>
                <w:rFonts w:ascii="Times New Roman" w:hAnsi="Times New Roman" w:eastAsia="Times New Roman"/>
                <w:sz w:val="28"/>
                <w:szCs w:val="28"/>
                <w:lang w:val="en-US" w:eastAsia="ru-RU"/>
              </w:rPr>
              <w:t>3</w:t>
            </w:r>
          </w:p>
        </w:tc>
      </w:tr>
      <w:tr w14:paraId="1F329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8676" w:type="dxa"/>
          </w:tcPr>
          <w:p w14:paraId="58B2C5B6">
            <w:pPr>
              <w:autoSpaceDE w:val="0"/>
              <w:autoSpaceDN w:val="0"/>
              <w:adjustRightInd w:val="0"/>
              <w:spacing w:after="0" w:line="240" w:lineRule="auto"/>
              <w:contextualSpacing/>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 xml:space="preserve">ПРИЛОЖЕНИЕ В </w:t>
            </w:r>
            <w:r>
              <w:rPr>
                <w:rFonts w:ascii="Times New Roman" w:hAnsi="Times New Roman"/>
                <w:color w:val="000000"/>
                <w:sz w:val="28"/>
                <w:szCs w:val="28"/>
              </w:rPr>
              <w:t>Нормативно-правовая база развития вторичного рынка проблемных активов………………………………………………</w:t>
            </w:r>
          </w:p>
        </w:tc>
        <w:tc>
          <w:tcPr>
            <w:tcW w:w="709" w:type="dxa"/>
          </w:tcPr>
          <w:p w14:paraId="5D57B66D">
            <w:pPr>
              <w:spacing w:after="0" w:line="240" w:lineRule="auto"/>
              <w:rPr>
                <w:rFonts w:ascii="Times New Roman" w:hAnsi="Times New Roman" w:eastAsia="Times New Roman"/>
                <w:sz w:val="28"/>
                <w:szCs w:val="28"/>
                <w:lang w:eastAsia="ru-RU"/>
              </w:rPr>
            </w:pPr>
          </w:p>
          <w:p w14:paraId="08FE4F3D">
            <w:pPr>
              <w:spacing w:after="0" w:line="240" w:lineRule="auto"/>
              <w:rPr>
                <w:rFonts w:ascii="Times New Roman" w:hAnsi="Times New Roman" w:eastAsia="Times New Roman"/>
                <w:sz w:val="28"/>
                <w:szCs w:val="28"/>
                <w:lang w:val="en-US" w:eastAsia="ru-RU"/>
              </w:rPr>
            </w:pPr>
            <w:r>
              <w:rPr>
                <w:rFonts w:ascii="Times New Roman" w:hAnsi="Times New Roman" w:eastAsia="Times New Roman"/>
                <w:sz w:val="28"/>
                <w:szCs w:val="28"/>
                <w:lang w:eastAsia="ru-RU"/>
              </w:rPr>
              <w:t>16</w:t>
            </w:r>
            <w:r>
              <w:rPr>
                <w:rFonts w:ascii="Times New Roman" w:hAnsi="Times New Roman" w:eastAsia="Times New Roman"/>
                <w:sz w:val="28"/>
                <w:szCs w:val="28"/>
                <w:lang w:val="en-US" w:eastAsia="ru-RU"/>
              </w:rPr>
              <w:t>4</w:t>
            </w:r>
          </w:p>
        </w:tc>
      </w:tr>
    </w:tbl>
    <w:p w14:paraId="71D4F72F">
      <w:pPr>
        <w:spacing w:after="0" w:line="240" w:lineRule="auto"/>
        <w:jc w:val="both"/>
        <w:rPr>
          <w:rFonts w:ascii="Times New Roman" w:hAnsi="Times New Roman" w:cs="Times New Roman"/>
          <w:b/>
          <w:color w:val="FFFFFF" w:themeColor="background1"/>
          <w:sz w:val="28"/>
          <w:szCs w:val="28"/>
          <w14:textFill>
            <w14:solidFill>
              <w14:schemeClr w14:val="bg1"/>
            </w14:solidFill>
          </w14:textFill>
        </w:rPr>
      </w:pPr>
    </w:p>
    <w:p w14:paraId="121BC3A8">
      <w:pPr>
        <w:spacing w:after="0" w:line="240" w:lineRule="auto"/>
        <w:jc w:val="both"/>
        <w:rPr>
          <w:rFonts w:ascii="Times New Roman" w:hAnsi="Times New Roman" w:cs="Times New Roman"/>
          <w:sz w:val="28"/>
          <w:szCs w:val="28"/>
        </w:rPr>
      </w:pPr>
    </w:p>
    <w:p w14:paraId="4E2DC7FE">
      <w:pPr>
        <w:pStyle w:val="2"/>
        <w:spacing w:before="0" w:line="240" w:lineRule="auto"/>
        <w:jc w:val="both"/>
        <w:rPr>
          <w:rFonts w:ascii="Times New Roman" w:hAnsi="Times New Roman" w:cs="Times New Roman"/>
          <w:color w:val="auto"/>
        </w:rPr>
      </w:pPr>
    </w:p>
    <w:p w14:paraId="4D5E2B72"/>
    <w:p w14:paraId="30B59BE4">
      <w:pPr>
        <w:pStyle w:val="2"/>
        <w:spacing w:before="0" w:line="240" w:lineRule="auto"/>
        <w:jc w:val="center"/>
        <w:rPr>
          <w:rFonts w:ascii="Times New Roman" w:hAnsi="Times New Roman" w:cs="Times New Roman"/>
          <w:color w:val="auto"/>
        </w:rPr>
      </w:pPr>
      <w:bookmarkStart w:id="1" w:name="_Toc219671636"/>
    </w:p>
    <w:p w14:paraId="422A4DBF">
      <w:pPr>
        <w:pStyle w:val="2"/>
        <w:spacing w:before="0" w:line="240" w:lineRule="auto"/>
        <w:rPr>
          <w:rFonts w:ascii="Times New Roman" w:hAnsi="Times New Roman" w:cs="Times New Roman"/>
          <w:color w:val="auto"/>
        </w:rPr>
      </w:pPr>
    </w:p>
    <w:p w14:paraId="6BF58302"/>
    <w:p w14:paraId="44AFCFC6">
      <w:pPr>
        <w:pStyle w:val="2"/>
        <w:jc w:val="center"/>
        <w:rPr>
          <w:rFonts w:ascii="Times New Roman" w:hAnsi="Times New Roman" w:cs="Times New Roman"/>
          <w:color w:val="auto"/>
        </w:rPr>
      </w:pPr>
      <w:bookmarkStart w:id="2" w:name="_Toc219671635"/>
      <w:r>
        <w:rPr>
          <w:rFonts w:ascii="Times New Roman" w:hAnsi="Times New Roman" w:cs="Times New Roman"/>
          <w:color w:val="auto"/>
        </w:rPr>
        <w:t>НОРМАТИВНЫЕ ССЫЛКИ</w:t>
      </w:r>
      <w:bookmarkEnd w:id="2"/>
    </w:p>
    <w:p w14:paraId="27C2B613">
      <w:pPr>
        <w:pStyle w:val="2"/>
        <w:jc w:val="both"/>
        <w:rPr>
          <w:rFonts w:ascii="Times New Roman" w:hAnsi="Times New Roman" w:cs="Times New Roman"/>
          <w:b w:val="0"/>
          <w:bCs w:val="0"/>
          <w:color w:val="auto"/>
        </w:rPr>
      </w:pPr>
      <w:r>
        <w:rPr>
          <w:rFonts w:ascii="Times New Roman" w:hAnsi="Times New Roman" w:cs="Times New Roman"/>
          <w:b w:val="0"/>
          <w:bCs w:val="0"/>
          <w:color w:val="auto"/>
        </w:rPr>
        <w:t>В настоящей диссертации использованы ссылки на следующие нормативные стандарты:</w:t>
      </w:r>
    </w:p>
    <w:p w14:paraId="73CFB3E4">
      <w:pPr>
        <w:pStyle w:val="2"/>
        <w:spacing w:before="0" w:line="240" w:lineRule="auto"/>
        <w:jc w:val="both"/>
        <w:rPr>
          <w:rFonts w:ascii="Times New Roman" w:hAnsi="Times New Roman" w:cs="Times New Roman"/>
          <w:b w:val="0"/>
          <w:bCs w:val="0"/>
          <w:color w:val="auto"/>
        </w:rPr>
      </w:pPr>
      <w:r>
        <w:rPr>
          <w:rFonts w:ascii="Times New Roman" w:hAnsi="Times New Roman" w:cs="Times New Roman"/>
          <w:b w:val="0"/>
          <w:bCs w:val="0"/>
          <w:color w:val="auto"/>
        </w:rPr>
        <w:t>I. Основные законы Республики Казахстан (банковское, финансовое и гражданское право)</w:t>
      </w:r>
    </w:p>
    <w:p w14:paraId="02352C7D">
      <w:pPr>
        <w:pStyle w:val="2"/>
        <w:spacing w:before="0" w:line="240" w:lineRule="auto"/>
        <w:ind w:firstLine="851"/>
        <w:jc w:val="both"/>
        <w:rPr>
          <w:rFonts w:ascii="Times New Roman" w:hAnsi="Times New Roman" w:cs="Times New Roman"/>
          <w:b w:val="0"/>
          <w:bCs w:val="0"/>
          <w:color w:val="auto"/>
        </w:rPr>
      </w:pPr>
      <w:r>
        <w:rPr>
          <w:rFonts w:ascii="Times New Roman" w:hAnsi="Times New Roman" w:cs="Times New Roman"/>
          <w:b w:val="0"/>
          <w:bCs w:val="0"/>
          <w:color w:val="auto"/>
        </w:rPr>
        <w:t>1 Закон Республики Казахстан «О банках и банковской деятельности» — основополагающий акт регулирования банковской деятельности, включая вопросы классификации активов и управления рисками.</w:t>
      </w:r>
    </w:p>
    <w:p w14:paraId="4CF87839">
      <w:pPr>
        <w:pStyle w:val="2"/>
        <w:spacing w:before="0" w:line="240" w:lineRule="auto"/>
        <w:ind w:firstLine="851"/>
        <w:jc w:val="both"/>
        <w:rPr>
          <w:rFonts w:ascii="Times New Roman" w:hAnsi="Times New Roman" w:cs="Times New Roman"/>
          <w:b w:val="0"/>
          <w:bCs w:val="0"/>
          <w:color w:val="auto"/>
        </w:rPr>
      </w:pPr>
      <w:r>
        <w:rPr>
          <w:rFonts w:ascii="Times New Roman" w:hAnsi="Times New Roman" w:cs="Times New Roman"/>
          <w:b w:val="0"/>
          <w:bCs w:val="0"/>
          <w:color w:val="auto"/>
        </w:rPr>
        <w:t>2 Закон Республики Казахстан «О Национальном Банке Республики Казахстан» — определяет полномочия регулятора банковского сектора, включая надзор и регулирование рисков.</w:t>
      </w:r>
    </w:p>
    <w:p w14:paraId="7329011E">
      <w:pPr>
        <w:pStyle w:val="2"/>
        <w:spacing w:before="0" w:line="240" w:lineRule="auto"/>
        <w:ind w:firstLine="851"/>
        <w:jc w:val="both"/>
        <w:rPr>
          <w:rFonts w:ascii="Times New Roman" w:hAnsi="Times New Roman" w:cs="Times New Roman"/>
          <w:b w:val="0"/>
          <w:bCs w:val="0"/>
          <w:color w:val="auto"/>
        </w:rPr>
      </w:pPr>
      <w:r>
        <w:rPr>
          <w:rFonts w:ascii="Times New Roman" w:hAnsi="Times New Roman" w:cs="Times New Roman"/>
          <w:b w:val="0"/>
          <w:bCs w:val="0"/>
          <w:color w:val="auto"/>
        </w:rPr>
        <w:t>3 Закон Республики Казахстан «О бухгалтерском учёте и финансовой отчётности» — устанавливает правовые основы бухгалтерского учёта и формирования финансовой отчётности, включая отражение обесценения активов.</w:t>
      </w:r>
    </w:p>
    <w:p w14:paraId="071CC7A6">
      <w:pPr>
        <w:pStyle w:val="2"/>
        <w:numPr>
          <w:ilvl w:val="0"/>
          <w:numId w:val="1"/>
        </w:numPr>
        <w:spacing w:before="0" w:line="240" w:lineRule="auto"/>
        <w:ind w:left="0" w:firstLine="851"/>
        <w:jc w:val="both"/>
        <w:rPr>
          <w:rFonts w:ascii="Times New Roman" w:hAnsi="Times New Roman" w:cs="Times New Roman"/>
          <w:b w:val="0"/>
          <w:bCs w:val="0"/>
          <w:color w:val="auto"/>
        </w:rPr>
      </w:pPr>
      <w:r>
        <w:rPr>
          <w:rFonts w:ascii="Times New Roman" w:hAnsi="Times New Roman" w:cs="Times New Roman"/>
          <w:b w:val="0"/>
          <w:bCs w:val="0"/>
          <w:color w:val="auto"/>
        </w:rPr>
        <w:t>Гражданский кодекс Республики Казахстан (Общая часть) и Гражданский кодекс Республики Казахстан (Особенная часть) — содержат общие нормы гражданского законодательства, применимые к банковским договорам.</w:t>
      </w:r>
    </w:p>
    <w:p w14:paraId="7623E692">
      <w:pPr>
        <w:pStyle w:val="2"/>
        <w:numPr>
          <w:ilvl w:val="0"/>
          <w:numId w:val="1"/>
        </w:numPr>
        <w:spacing w:before="0" w:line="240" w:lineRule="auto"/>
        <w:ind w:left="0" w:firstLine="851"/>
        <w:jc w:val="both"/>
        <w:rPr>
          <w:rFonts w:ascii="Times New Roman" w:hAnsi="Times New Roman" w:cs="Times New Roman"/>
          <w:b w:val="0"/>
          <w:bCs w:val="0"/>
          <w:color w:val="auto"/>
        </w:rPr>
      </w:pPr>
      <w:r>
        <w:rPr>
          <w:rFonts w:ascii="Times New Roman" w:hAnsi="Times New Roman" w:cs="Times New Roman"/>
          <w:b w:val="0"/>
          <w:bCs w:val="0"/>
          <w:color w:val="auto"/>
        </w:rPr>
        <w:t>Закон Республики Казахстан «О кредитных бюро и формировании кредитных историй» — регулирует формирование кредитных историй, важное при оценке кредитного риска клиентов.</w:t>
      </w:r>
    </w:p>
    <w:p w14:paraId="5A5162E0">
      <w:pPr>
        <w:pStyle w:val="2"/>
        <w:numPr>
          <w:ilvl w:val="0"/>
          <w:numId w:val="1"/>
        </w:numPr>
        <w:spacing w:before="0" w:line="240" w:lineRule="auto"/>
        <w:ind w:left="0" w:firstLine="709"/>
        <w:jc w:val="both"/>
        <w:rPr>
          <w:rFonts w:ascii="Times New Roman" w:hAnsi="Times New Roman" w:cs="Times New Roman"/>
          <w:b w:val="0"/>
          <w:bCs w:val="0"/>
          <w:color w:val="auto"/>
        </w:rPr>
      </w:pPr>
      <w:r>
        <w:rPr>
          <w:rFonts w:ascii="Times New Roman" w:hAnsi="Times New Roman" w:cs="Times New Roman"/>
          <w:b w:val="0"/>
          <w:bCs w:val="0"/>
          <w:color w:val="auto"/>
        </w:rPr>
        <w:t>Закон Республики Казахстан «Об обязательном гарантировании депозитов» — устанавливает гарантии вкладчиков в случае банкротства банков.</w:t>
      </w:r>
    </w:p>
    <w:p w14:paraId="7F4B24AE">
      <w:pPr>
        <w:pStyle w:val="2"/>
        <w:spacing w:before="0" w:line="240" w:lineRule="auto"/>
        <w:ind w:firstLine="709"/>
        <w:jc w:val="both"/>
        <w:rPr>
          <w:rFonts w:ascii="Times New Roman" w:hAnsi="Times New Roman" w:cs="Times New Roman"/>
          <w:b w:val="0"/>
          <w:bCs w:val="0"/>
          <w:color w:val="auto"/>
        </w:rPr>
      </w:pPr>
      <w:r>
        <w:rPr>
          <w:rFonts w:ascii="Times New Roman" w:hAnsi="Times New Roman" w:cs="Times New Roman"/>
          <w:b w:val="0"/>
          <w:bCs w:val="0"/>
          <w:color w:val="auto"/>
        </w:rPr>
        <w:t>II. Регулирование риск</w:t>
      </w:r>
      <w:r>
        <w:rPr>
          <w:rFonts w:ascii="Times New Roman" w:hAnsi="Times New Roman" w:cs="Times New Roman"/>
          <w:b w:val="0"/>
          <w:bCs w:val="0"/>
          <w:color w:val="auto"/>
        </w:rPr>
        <w:noBreakHyphen/>
      </w:r>
      <w:r>
        <w:rPr>
          <w:rFonts w:ascii="Times New Roman" w:hAnsi="Times New Roman" w:cs="Times New Roman"/>
          <w:b w:val="0"/>
          <w:bCs w:val="0"/>
          <w:color w:val="auto"/>
        </w:rPr>
        <w:t>менеджмента и управления проблемными активами:</w:t>
      </w:r>
    </w:p>
    <w:p w14:paraId="00CB2A57">
      <w:pPr>
        <w:pStyle w:val="2"/>
        <w:numPr>
          <w:ilvl w:val="0"/>
          <w:numId w:val="1"/>
        </w:numPr>
        <w:spacing w:before="0" w:line="240" w:lineRule="auto"/>
        <w:ind w:left="0" w:firstLine="851"/>
        <w:jc w:val="both"/>
        <w:rPr>
          <w:rFonts w:ascii="Times New Roman" w:hAnsi="Times New Roman" w:cs="Times New Roman"/>
          <w:b w:val="0"/>
          <w:bCs w:val="0"/>
          <w:color w:val="auto"/>
        </w:rPr>
      </w:pPr>
      <w:r>
        <w:rPr>
          <w:rFonts w:ascii="Times New Roman" w:hAnsi="Times New Roman" w:cs="Times New Roman"/>
          <w:b w:val="0"/>
          <w:bCs w:val="0"/>
          <w:color w:val="auto"/>
        </w:rPr>
        <w:t xml:space="preserve">Постановление Правления Агентства Республики Казахстан по регулированию и развитию финансового рынка (АРРФР) от 24 июля 2025 г. № 28 — о внесении изменений в нормативные правовые акты по вопросам регулирования банковской деятельности, включая требования к управлению проблемными активами (например, утверждение политики управления проблемными активами, методы управления и взаимодействия подразделений внутри банка). </w:t>
      </w:r>
      <w:r>
        <w:fldChar w:fldCharType="begin"/>
      </w:r>
      <w:r>
        <w:instrText xml:space="preserve"> HYPERLINK "https://adilet.zan.kz/rus/docs/V2400034582?utm_source=chatgpt.com" \t "_blank" </w:instrText>
      </w:r>
      <w:r>
        <w:fldChar w:fldCharType="separate"/>
      </w:r>
      <w:r>
        <w:rPr>
          <w:rStyle w:val="12"/>
          <w:rFonts w:ascii="Times New Roman" w:hAnsi="Times New Roman" w:cs="Times New Roman"/>
          <w:b w:val="0"/>
          <w:bCs w:val="0"/>
          <w:color w:val="auto"/>
        </w:rPr>
        <w:t>Адилет</w:t>
      </w:r>
      <w:r>
        <w:rPr>
          <w:rStyle w:val="12"/>
          <w:rFonts w:ascii="Times New Roman" w:hAnsi="Times New Roman" w:cs="Times New Roman"/>
          <w:b w:val="0"/>
          <w:bCs w:val="0"/>
          <w:color w:val="auto"/>
        </w:rPr>
        <w:fldChar w:fldCharType="end"/>
      </w:r>
    </w:p>
    <w:p w14:paraId="0D23FA4A">
      <w:pPr>
        <w:pStyle w:val="2"/>
        <w:numPr>
          <w:ilvl w:val="0"/>
          <w:numId w:val="1"/>
        </w:numPr>
        <w:tabs>
          <w:tab w:val="left" w:pos="720"/>
        </w:tabs>
        <w:spacing w:before="0" w:line="240" w:lineRule="auto"/>
        <w:ind w:left="0" w:firstLine="993"/>
        <w:jc w:val="both"/>
        <w:rPr>
          <w:rFonts w:ascii="Times New Roman" w:hAnsi="Times New Roman" w:cs="Times New Roman"/>
          <w:b w:val="0"/>
          <w:bCs w:val="0"/>
          <w:color w:val="auto"/>
        </w:rPr>
      </w:pPr>
      <w:r>
        <w:rPr>
          <w:rFonts w:ascii="Times New Roman" w:hAnsi="Times New Roman" w:cs="Times New Roman"/>
          <w:b w:val="0"/>
          <w:bCs w:val="0"/>
          <w:color w:val="auto"/>
        </w:rPr>
        <w:t>Постановление Агентства Республики Казахстан по регулированию и развитию финансового рынка от 27 декабря 2024 г. № 90 — об изменениях в нормативы банковской деятельности (включает обновление требований к управлению рисками, пруденциальным показателям, классификации активов, в том числе проблемных).</w:t>
      </w:r>
    </w:p>
    <w:p w14:paraId="3845A294">
      <w:pPr>
        <w:pStyle w:val="2"/>
        <w:numPr>
          <w:ilvl w:val="0"/>
          <w:numId w:val="1"/>
        </w:numPr>
        <w:tabs>
          <w:tab w:val="left" w:pos="720"/>
        </w:tabs>
        <w:spacing w:before="0" w:line="240" w:lineRule="auto"/>
        <w:ind w:left="0" w:firstLine="993"/>
        <w:jc w:val="both"/>
        <w:rPr>
          <w:rFonts w:ascii="Times New Roman" w:hAnsi="Times New Roman" w:cs="Times New Roman"/>
          <w:b w:val="0"/>
          <w:bCs w:val="0"/>
          <w:color w:val="auto"/>
        </w:rPr>
      </w:pPr>
      <w:r>
        <w:rPr>
          <w:rFonts w:ascii="Times New Roman" w:hAnsi="Times New Roman" w:cs="Times New Roman"/>
          <w:b w:val="0"/>
          <w:bCs w:val="0"/>
          <w:color w:val="auto"/>
        </w:rPr>
        <w:t>Постановление Правления АРРФР от 22 августа 2025 г. № 41 — о внесении изменений в НПА по регулированию банковской и микрофинансовой деятельности (влияние на классификацию и надзор за кредитным риском).</w:t>
      </w:r>
    </w:p>
    <w:p w14:paraId="627AE7DC">
      <w:pPr>
        <w:pStyle w:val="2"/>
        <w:numPr>
          <w:ilvl w:val="0"/>
          <w:numId w:val="1"/>
        </w:numPr>
        <w:tabs>
          <w:tab w:val="left" w:pos="360"/>
        </w:tabs>
        <w:spacing w:before="0" w:line="240" w:lineRule="auto"/>
        <w:ind w:left="0" w:firstLine="709"/>
        <w:jc w:val="both"/>
        <w:rPr>
          <w:rFonts w:ascii="Times New Roman" w:hAnsi="Times New Roman" w:cs="Times New Roman"/>
          <w:b w:val="0"/>
          <w:bCs w:val="0"/>
          <w:color w:val="auto"/>
        </w:rPr>
      </w:pPr>
      <w:r>
        <w:rPr>
          <w:rFonts w:ascii="Times New Roman" w:hAnsi="Times New Roman" w:cs="Times New Roman"/>
          <w:b w:val="0"/>
          <w:bCs w:val="0"/>
          <w:color w:val="auto"/>
        </w:rPr>
        <w:t>Постановление Правления Национального Банка Республики Казахстан от 27 апреля 2018 г. № 80 — об установлении видов пруденциальных нормативов и показателей для финансовых организаций (в том числе требований по оценке качества активов).</w:t>
      </w:r>
    </w:p>
    <w:p w14:paraId="201DCE39">
      <w:pPr>
        <w:pStyle w:val="2"/>
        <w:numPr>
          <w:ilvl w:val="0"/>
          <w:numId w:val="1"/>
        </w:numPr>
        <w:tabs>
          <w:tab w:val="left" w:pos="720"/>
        </w:tabs>
        <w:spacing w:before="0" w:line="240" w:lineRule="auto"/>
        <w:ind w:left="0" w:firstLine="851"/>
        <w:jc w:val="both"/>
        <w:rPr>
          <w:rFonts w:ascii="Times New Roman" w:hAnsi="Times New Roman" w:cs="Times New Roman"/>
          <w:b w:val="0"/>
          <w:bCs w:val="0"/>
          <w:color w:val="auto"/>
        </w:rPr>
      </w:pPr>
      <w:r>
        <w:rPr>
          <w:rFonts w:ascii="Times New Roman" w:hAnsi="Times New Roman" w:cs="Times New Roman"/>
          <w:b w:val="0"/>
          <w:bCs w:val="0"/>
          <w:color w:val="auto"/>
        </w:rPr>
        <w:t>Правила формирования системы управления рисками и внутреннего контроля для банков второго уровня (утверждены нормативными актами регулятора; обязательны при построении системы управления рисками и активами).</w:t>
      </w:r>
    </w:p>
    <w:p w14:paraId="327D1861">
      <w:pPr>
        <w:pStyle w:val="2"/>
        <w:spacing w:before="0" w:line="240" w:lineRule="auto"/>
        <w:ind w:firstLine="993"/>
        <w:jc w:val="both"/>
        <w:rPr>
          <w:rFonts w:ascii="Times New Roman" w:hAnsi="Times New Roman" w:cs="Times New Roman"/>
          <w:b w:val="0"/>
          <w:bCs w:val="0"/>
          <w:color w:val="auto"/>
        </w:rPr>
      </w:pPr>
      <w:r>
        <w:rPr>
          <w:rFonts w:ascii="Times New Roman" w:hAnsi="Times New Roman" w:cs="Times New Roman"/>
          <w:b w:val="0"/>
          <w:bCs w:val="0"/>
          <w:color w:val="auto"/>
        </w:rPr>
        <w:t>III. Нормативы по оценке и реализации проблемных (стрессовых) активов:</w:t>
      </w:r>
    </w:p>
    <w:p w14:paraId="041D1982">
      <w:pPr>
        <w:pStyle w:val="2"/>
        <w:numPr>
          <w:ilvl w:val="0"/>
          <w:numId w:val="1"/>
        </w:numPr>
        <w:tabs>
          <w:tab w:val="left" w:pos="360"/>
        </w:tabs>
        <w:spacing w:before="0" w:line="240" w:lineRule="auto"/>
        <w:ind w:left="0" w:firstLine="709"/>
        <w:jc w:val="both"/>
        <w:rPr>
          <w:rFonts w:ascii="Times New Roman" w:hAnsi="Times New Roman" w:cs="Times New Roman"/>
          <w:b w:val="0"/>
          <w:bCs w:val="0"/>
          <w:color w:val="auto"/>
        </w:rPr>
      </w:pPr>
      <w:r>
        <w:rPr>
          <w:rFonts w:ascii="Times New Roman" w:hAnsi="Times New Roman" w:cs="Times New Roman"/>
          <w:b w:val="0"/>
          <w:bCs w:val="0"/>
          <w:color w:val="auto"/>
        </w:rPr>
        <w:t xml:space="preserve">Актуализированная система классификации активов по уровню кредитного риска банков — содержащая требования к детализации анализа активов, раннему реагированию на ухудшение качества, порядку предоставления отчетности внутри банка и методикам формирования провизий. </w:t>
      </w:r>
      <w:r>
        <w:fldChar w:fldCharType="begin"/>
      </w:r>
      <w:r>
        <w:instrText xml:space="preserve"> HYPERLINK "https://adilet.zan.kz/rus/docs/V2100026402?utm_source=chatgpt.com" \t "_blank" </w:instrText>
      </w:r>
      <w:r>
        <w:fldChar w:fldCharType="separate"/>
      </w:r>
      <w:r>
        <w:rPr>
          <w:rStyle w:val="12"/>
          <w:rFonts w:ascii="Times New Roman" w:hAnsi="Times New Roman" w:cs="Times New Roman"/>
          <w:b w:val="0"/>
          <w:bCs w:val="0"/>
          <w:color w:val="auto"/>
        </w:rPr>
        <w:t>Адилет</w:t>
      </w:r>
      <w:r>
        <w:rPr>
          <w:rStyle w:val="12"/>
          <w:rFonts w:ascii="Times New Roman" w:hAnsi="Times New Roman" w:cs="Times New Roman"/>
          <w:b w:val="0"/>
          <w:bCs w:val="0"/>
          <w:color w:val="auto"/>
        </w:rPr>
        <w:fldChar w:fldCharType="end"/>
      </w:r>
    </w:p>
    <w:p w14:paraId="6B6842A7">
      <w:pPr>
        <w:pStyle w:val="2"/>
        <w:numPr>
          <w:ilvl w:val="0"/>
          <w:numId w:val="1"/>
        </w:numPr>
        <w:tabs>
          <w:tab w:val="left" w:pos="720"/>
        </w:tabs>
        <w:spacing w:before="0" w:line="240" w:lineRule="auto"/>
        <w:ind w:left="0" w:firstLine="993"/>
        <w:jc w:val="both"/>
        <w:rPr>
          <w:rFonts w:ascii="Times New Roman" w:hAnsi="Times New Roman" w:cs="Times New Roman"/>
          <w:b w:val="0"/>
          <w:bCs w:val="0"/>
          <w:color w:val="auto"/>
        </w:rPr>
      </w:pPr>
      <w:r>
        <w:rPr>
          <w:rFonts w:ascii="Times New Roman" w:hAnsi="Times New Roman" w:cs="Times New Roman"/>
          <w:b w:val="0"/>
          <w:bCs w:val="0"/>
          <w:color w:val="auto"/>
        </w:rPr>
        <w:t xml:space="preserve">Урегулированные меры по работе со стрессовыми активами (NPL) — включая разработку индивидуальных планов сокращения проблемных активов банков, ограничение сроков нахождения стрессовых активов на балансах и стимулирование участия частных инвесторов на рынке NPL; эти меры согласованы с АРРФР и отражены в практических планах банков. </w:t>
      </w:r>
      <w:r>
        <w:fldChar w:fldCharType="begin"/>
      </w:r>
      <w:r>
        <w:instrText xml:space="preserve"> HYPERLINK "https://www.gov.kz/memleket/entities/ardfm/press/article/details/50234?utm_source=chatgpt.com" \t "_blank" </w:instrText>
      </w:r>
      <w:r>
        <w:fldChar w:fldCharType="separate"/>
      </w:r>
      <w:r>
        <w:rPr>
          <w:rStyle w:val="12"/>
          <w:rFonts w:ascii="Times New Roman" w:hAnsi="Times New Roman" w:cs="Times New Roman"/>
          <w:b w:val="0"/>
          <w:bCs w:val="0"/>
          <w:color w:val="auto"/>
        </w:rPr>
        <w:t>Правительство Казахстана</w:t>
      </w:r>
      <w:r>
        <w:rPr>
          <w:rStyle w:val="12"/>
          <w:rFonts w:ascii="Times New Roman" w:hAnsi="Times New Roman" w:cs="Times New Roman"/>
          <w:b w:val="0"/>
          <w:bCs w:val="0"/>
          <w:color w:val="auto"/>
        </w:rPr>
        <w:fldChar w:fldCharType="end"/>
      </w:r>
    </w:p>
    <w:p w14:paraId="19D1E3E0">
      <w:pPr>
        <w:pStyle w:val="2"/>
        <w:numPr>
          <w:ilvl w:val="0"/>
          <w:numId w:val="1"/>
        </w:numPr>
        <w:tabs>
          <w:tab w:val="left" w:pos="720"/>
        </w:tabs>
        <w:spacing w:before="0" w:line="240" w:lineRule="auto"/>
        <w:ind w:left="0" w:firstLine="851"/>
        <w:jc w:val="both"/>
        <w:rPr>
          <w:rFonts w:ascii="Times New Roman" w:hAnsi="Times New Roman" w:cs="Times New Roman"/>
          <w:b w:val="0"/>
          <w:bCs w:val="0"/>
          <w:color w:val="auto"/>
        </w:rPr>
      </w:pPr>
      <w:r>
        <w:rPr>
          <w:rFonts w:ascii="Times New Roman" w:hAnsi="Times New Roman" w:cs="Times New Roman"/>
          <w:b w:val="0"/>
          <w:bCs w:val="0"/>
          <w:color w:val="auto"/>
        </w:rPr>
        <w:t xml:space="preserve">Регламент проведения регулярной оценки качества активов (AQR) — реализуется Агентством совместно с Национальным Банком и направлен на объективную оценку и мониторинг качества активов банков, включая проблемные кредиты (основание для корректировки стратегии управления NPL). </w:t>
      </w:r>
      <w:r>
        <w:fldChar w:fldCharType="begin"/>
      </w:r>
      <w:r>
        <w:instrText xml:space="preserve"> HYPERLINK "https://kz.kursiv.media/en/2025-01-23/engk-yeri-non-performing-loans-on-the-rise-in-kazakhstan/?utm_source=chatgpt.com" \t "_blank" </w:instrText>
      </w:r>
      <w:r>
        <w:fldChar w:fldCharType="separate"/>
      </w:r>
      <w:r>
        <w:rPr>
          <w:rStyle w:val="12"/>
          <w:rFonts w:ascii="Times New Roman" w:hAnsi="Times New Roman" w:cs="Times New Roman"/>
          <w:b w:val="0"/>
          <w:bCs w:val="0"/>
          <w:color w:val="auto"/>
        </w:rPr>
        <w:t>Курсив</w:t>
      </w:r>
      <w:r>
        <w:rPr>
          <w:rStyle w:val="12"/>
          <w:rFonts w:ascii="Times New Roman" w:hAnsi="Times New Roman" w:cs="Times New Roman"/>
          <w:b w:val="0"/>
          <w:bCs w:val="0"/>
          <w:color w:val="auto"/>
        </w:rPr>
        <w:fldChar w:fldCharType="end"/>
      </w:r>
    </w:p>
    <w:p w14:paraId="241FCEBC">
      <w:pPr>
        <w:pStyle w:val="2"/>
        <w:numPr>
          <w:ilvl w:val="0"/>
          <w:numId w:val="1"/>
        </w:numPr>
        <w:tabs>
          <w:tab w:val="left" w:pos="720"/>
        </w:tabs>
        <w:spacing w:before="0" w:line="240" w:lineRule="auto"/>
        <w:ind w:left="0" w:firstLine="851"/>
        <w:jc w:val="both"/>
        <w:rPr>
          <w:rFonts w:ascii="Times New Roman" w:hAnsi="Times New Roman" w:cs="Times New Roman"/>
          <w:b w:val="0"/>
          <w:bCs w:val="0"/>
          <w:color w:val="auto"/>
        </w:rPr>
      </w:pPr>
      <w:r>
        <w:rPr>
          <w:rFonts w:ascii="Times New Roman" w:hAnsi="Times New Roman" w:cs="Times New Roman"/>
          <w:b w:val="0"/>
          <w:bCs w:val="0"/>
          <w:color w:val="auto"/>
        </w:rPr>
        <w:t xml:space="preserve">Закон Республики Казахстан «О проектном финансировании и секьюритизации» и связанные подзаконные акты — предоставляют правовые возможности для секьюритизации проблемных активов, их реорганизации и продажи на рынке (часто используемый механизм в проектном управлении NPL). </w:t>
      </w:r>
      <w:r>
        <w:fldChar w:fldCharType="begin"/>
      </w:r>
      <w:r>
        <w:instrText xml:space="preserve"> HYPERLINK "https://adilet.zan.kz/rus/docs/V2200030341?utm_source=chatgpt.com" \t "_blank" </w:instrText>
      </w:r>
      <w:r>
        <w:fldChar w:fldCharType="separate"/>
      </w:r>
      <w:r>
        <w:rPr>
          <w:rStyle w:val="12"/>
          <w:rFonts w:ascii="Times New Roman" w:hAnsi="Times New Roman" w:cs="Times New Roman"/>
          <w:b w:val="0"/>
          <w:bCs w:val="0"/>
          <w:color w:val="auto"/>
        </w:rPr>
        <w:t>Адилет</w:t>
      </w:r>
      <w:r>
        <w:rPr>
          <w:rStyle w:val="12"/>
          <w:rFonts w:ascii="Times New Roman" w:hAnsi="Times New Roman" w:cs="Times New Roman"/>
          <w:b w:val="0"/>
          <w:bCs w:val="0"/>
          <w:color w:val="auto"/>
        </w:rPr>
        <w:fldChar w:fldCharType="end"/>
      </w:r>
    </w:p>
    <w:p w14:paraId="734ACB46">
      <w:pPr>
        <w:pStyle w:val="2"/>
        <w:spacing w:before="0" w:line="240" w:lineRule="auto"/>
        <w:ind w:firstLine="851"/>
        <w:jc w:val="both"/>
        <w:rPr>
          <w:rFonts w:ascii="Times New Roman" w:hAnsi="Times New Roman" w:cs="Times New Roman"/>
          <w:b w:val="0"/>
          <w:bCs w:val="0"/>
          <w:color w:val="auto"/>
        </w:rPr>
      </w:pPr>
      <w:r>
        <w:rPr>
          <w:rFonts w:ascii="Times New Roman" w:hAnsi="Times New Roman" w:cs="Times New Roman"/>
          <w:b w:val="0"/>
          <w:bCs w:val="0"/>
          <w:color w:val="auto"/>
        </w:rPr>
        <w:t>IV. Стандарты финансовой отчётности и оценки рисков:</w:t>
      </w:r>
    </w:p>
    <w:p w14:paraId="1765397D">
      <w:pPr>
        <w:pStyle w:val="2"/>
        <w:numPr>
          <w:ilvl w:val="0"/>
          <w:numId w:val="1"/>
        </w:numPr>
        <w:spacing w:before="0" w:line="240" w:lineRule="auto"/>
        <w:ind w:left="0" w:firstLine="709"/>
        <w:jc w:val="both"/>
        <w:rPr>
          <w:rFonts w:ascii="Times New Roman" w:hAnsi="Times New Roman" w:cs="Times New Roman"/>
          <w:b w:val="0"/>
          <w:bCs w:val="0"/>
          <w:color w:val="auto"/>
        </w:rPr>
      </w:pPr>
      <w:r>
        <w:rPr>
          <w:rFonts w:ascii="Times New Roman" w:hAnsi="Times New Roman" w:cs="Times New Roman"/>
          <w:b w:val="0"/>
          <w:bCs w:val="0"/>
          <w:color w:val="auto"/>
        </w:rPr>
        <w:t>Международный стандарт финансовой отчётности (IFRS) 9 «Финансовые инструменты» — ключевой стандарт для признания, оценивания и учета обесценения финансовых активов (включая классификацию Stage 3 — NPL).</w:t>
      </w:r>
    </w:p>
    <w:p w14:paraId="215B2A08">
      <w:pPr>
        <w:pStyle w:val="2"/>
        <w:numPr>
          <w:ilvl w:val="0"/>
          <w:numId w:val="1"/>
        </w:numPr>
        <w:tabs>
          <w:tab w:val="left" w:pos="720"/>
        </w:tabs>
        <w:spacing w:before="0" w:line="240" w:lineRule="auto"/>
        <w:ind w:left="0" w:firstLine="851"/>
        <w:jc w:val="both"/>
        <w:rPr>
          <w:rFonts w:ascii="Times New Roman" w:hAnsi="Times New Roman" w:cs="Times New Roman"/>
          <w:b w:val="0"/>
          <w:bCs w:val="0"/>
          <w:color w:val="auto"/>
        </w:rPr>
      </w:pPr>
      <w:r>
        <w:rPr>
          <w:rFonts w:ascii="Times New Roman" w:hAnsi="Times New Roman" w:cs="Times New Roman"/>
          <w:b w:val="0"/>
          <w:bCs w:val="0"/>
          <w:color w:val="auto"/>
        </w:rPr>
        <w:t>IAS 2 «Запасы» и IAS 16 «Основные средства» — применимы при оценке и учете активов, возникающих после взыскания залогового обеспечения по проблемным кредитам.</w:t>
      </w:r>
    </w:p>
    <w:p w14:paraId="41684288">
      <w:pPr>
        <w:pStyle w:val="2"/>
        <w:spacing w:before="0" w:line="240" w:lineRule="auto"/>
        <w:ind w:firstLine="851"/>
        <w:jc w:val="both"/>
        <w:rPr>
          <w:rFonts w:ascii="Times New Roman" w:hAnsi="Times New Roman" w:cs="Times New Roman"/>
          <w:b w:val="0"/>
          <w:bCs w:val="0"/>
          <w:color w:val="auto"/>
        </w:rPr>
      </w:pPr>
      <w:r>
        <w:rPr>
          <w:rFonts w:ascii="Times New Roman" w:hAnsi="Times New Roman" w:cs="Times New Roman"/>
          <w:b w:val="0"/>
          <w:bCs w:val="0"/>
          <w:color w:val="auto"/>
        </w:rPr>
        <w:t>V. Стандарты и методология проектного управления:</w:t>
      </w:r>
    </w:p>
    <w:p w14:paraId="57CD3C23">
      <w:pPr>
        <w:pStyle w:val="2"/>
        <w:numPr>
          <w:ilvl w:val="0"/>
          <w:numId w:val="1"/>
        </w:numPr>
        <w:spacing w:before="0" w:line="240" w:lineRule="auto"/>
        <w:ind w:left="0" w:firstLine="851"/>
        <w:jc w:val="both"/>
        <w:rPr>
          <w:rFonts w:ascii="Times New Roman" w:hAnsi="Times New Roman" w:cs="Times New Roman"/>
          <w:b w:val="0"/>
          <w:bCs w:val="0"/>
          <w:color w:val="auto"/>
        </w:rPr>
      </w:pPr>
      <w:r>
        <w:rPr>
          <w:rFonts w:ascii="Times New Roman" w:hAnsi="Times New Roman" w:cs="Times New Roman"/>
          <w:b w:val="0"/>
          <w:bCs w:val="0"/>
          <w:color w:val="auto"/>
        </w:rPr>
        <w:t>ISO 21500:2012 — Руководство по управлению проектами — международный стандарт по основам проектного менеджмента.</w:t>
      </w:r>
    </w:p>
    <w:p w14:paraId="7788F7A8">
      <w:pPr>
        <w:pStyle w:val="2"/>
        <w:numPr>
          <w:ilvl w:val="0"/>
          <w:numId w:val="1"/>
        </w:numPr>
        <w:tabs>
          <w:tab w:val="left" w:pos="720"/>
        </w:tabs>
        <w:spacing w:before="0" w:line="240" w:lineRule="auto"/>
        <w:ind w:left="0" w:firstLine="851"/>
        <w:jc w:val="both"/>
        <w:rPr>
          <w:rFonts w:ascii="Times New Roman" w:hAnsi="Times New Roman" w:cs="Times New Roman"/>
          <w:b w:val="0"/>
          <w:bCs w:val="0"/>
          <w:color w:val="auto"/>
        </w:rPr>
      </w:pPr>
      <w:r>
        <w:rPr>
          <w:rFonts w:ascii="Times New Roman" w:hAnsi="Times New Roman" w:cs="Times New Roman"/>
          <w:b w:val="0"/>
          <w:bCs w:val="0"/>
          <w:color w:val="auto"/>
        </w:rPr>
        <w:t>СТ РК ISO 21500</w:t>
      </w:r>
      <w:r>
        <w:rPr>
          <w:rFonts w:ascii="Times New Roman" w:hAnsi="Times New Roman" w:cs="Times New Roman"/>
          <w:b w:val="0"/>
          <w:bCs w:val="0"/>
          <w:color w:val="auto"/>
        </w:rPr>
        <w:noBreakHyphen/>
      </w:r>
      <w:r>
        <w:rPr>
          <w:rFonts w:ascii="Times New Roman" w:hAnsi="Times New Roman" w:cs="Times New Roman"/>
          <w:b w:val="0"/>
          <w:bCs w:val="0"/>
          <w:color w:val="auto"/>
        </w:rPr>
        <w:t>2014 — Руководство по управлению проектами — национальная адаптация ISO 21500 для РК.</w:t>
      </w:r>
    </w:p>
    <w:p w14:paraId="5C91EC47">
      <w:pPr>
        <w:pStyle w:val="2"/>
        <w:numPr>
          <w:ilvl w:val="0"/>
          <w:numId w:val="1"/>
        </w:numPr>
        <w:tabs>
          <w:tab w:val="left" w:pos="720"/>
        </w:tabs>
        <w:spacing w:before="0" w:line="240" w:lineRule="auto"/>
        <w:ind w:left="0" w:firstLine="709"/>
        <w:jc w:val="both"/>
        <w:rPr>
          <w:rFonts w:ascii="Times New Roman" w:hAnsi="Times New Roman" w:cs="Times New Roman"/>
          <w:b w:val="0"/>
          <w:bCs w:val="0"/>
          <w:color w:val="auto"/>
        </w:rPr>
      </w:pPr>
      <w:r>
        <w:rPr>
          <w:rFonts w:ascii="Times New Roman" w:hAnsi="Times New Roman" w:cs="Times New Roman"/>
          <w:b w:val="0"/>
          <w:bCs w:val="0"/>
          <w:color w:val="auto"/>
        </w:rPr>
        <w:t>СТ РК 2831</w:t>
      </w:r>
      <w:r>
        <w:rPr>
          <w:rFonts w:ascii="Times New Roman" w:hAnsi="Times New Roman" w:cs="Times New Roman"/>
          <w:b w:val="0"/>
          <w:bCs w:val="0"/>
          <w:color w:val="auto"/>
        </w:rPr>
        <w:noBreakHyphen/>
      </w:r>
      <w:r>
        <w:rPr>
          <w:rFonts w:ascii="Times New Roman" w:hAnsi="Times New Roman" w:cs="Times New Roman"/>
          <w:b w:val="0"/>
          <w:bCs w:val="0"/>
          <w:color w:val="auto"/>
        </w:rPr>
        <w:t>2016 «Проектный менеджмент» — национальный стандарт Республики Казахстан по проектному управлению.</w:t>
      </w:r>
    </w:p>
    <w:p w14:paraId="6522508F">
      <w:pPr>
        <w:pStyle w:val="2"/>
        <w:spacing w:before="0" w:line="240" w:lineRule="auto"/>
        <w:ind w:firstLine="851"/>
        <w:jc w:val="both"/>
        <w:rPr>
          <w:rFonts w:ascii="Times New Roman" w:hAnsi="Times New Roman" w:cs="Times New Roman"/>
          <w:b w:val="0"/>
          <w:bCs w:val="0"/>
          <w:color w:val="auto"/>
        </w:rPr>
      </w:pPr>
      <w:r>
        <w:rPr>
          <w:rFonts w:ascii="Times New Roman" w:hAnsi="Times New Roman" w:cs="Times New Roman"/>
          <w:b w:val="0"/>
          <w:bCs w:val="0"/>
          <w:color w:val="auto"/>
        </w:rPr>
        <w:t>VI. Стратегические и институциональные документы (в части развития финансового рынка и управления рисками):</w:t>
      </w:r>
    </w:p>
    <w:p w14:paraId="707965F2">
      <w:pPr>
        <w:pStyle w:val="2"/>
        <w:numPr>
          <w:ilvl w:val="0"/>
          <w:numId w:val="1"/>
        </w:numPr>
        <w:tabs>
          <w:tab w:val="left" w:pos="1070"/>
        </w:tabs>
        <w:spacing w:before="0" w:line="240" w:lineRule="auto"/>
        <w:ind w:left="0" w:firstLine="709"/>
        <w:jc w:val="both"/>
        <w:rPr>
          <w:rFonts w:ascii="Times New Roman" w:hAnsi="Times New Roman" w:cs="Times New Roman"/>
          <w:b w:val="0"/>
          <w:bCs w:val="0"/>
          <w:color w:val="auto"/>
        </w:rPr>
      </w:pPr>
      <w:r>
        <w:rPr>
          <w:rFonts w:ascii="Times New Roman" w:hAnsi="Times New Roman" w:cs="Times New Roman"/>
          <w:b w:val="0"/>
          <w:bCs w:val="0"/>
          <w:color w:val="auto"/>
        </w:rPr>
        <w:t>Концепция защиты и развития конкуренции в Республике Казахстан на 2022–2026 годы — включает стратегические цели для финансового сектора.</w:t>
      </w:r>
    </w:p>
    <w:p w14:paraId="7C48F99C">
      <w:pPr>
        <w:pStyle w:val="2"/>
        <w:numPr>
          <w:ilvl w:val="0"/>
          <w:numId w:val="1"/>
        </w:numPr>
        <w:tabs>
          <w:tab w:val="left" w:pos="1070"/>
        </w:tabs>
        <w:spacing w:before="0" w:line="240" w:lineRule="auto"/>
        <w:ind w:left="0" w:firstLine="851"/>
        <w:jc w:val="both"/>
        <w:rPr>
          <w:rFonts w:ascii="Times New Roman" w:hAnsi="Times New Roman" w:cs="Times New Roman"/>
          <w:b w:val="0"/>
          <w:bCs w:val="0"/>
          <w:color w:val="auto"/>
        </w:rPr>
      </w:pPr>
      <w:r>
        <w:rPr>
          <w:rFonts w:ascii="Times New Roman" w:hAnsi="Times New Roman" w:cs="Times New Roman"/>
          <w:b w:val="0"/>
          <w:bCs w:val="0"/>
          <w:color w:val="auto"/>
        </w:rPr>
        <w:t>Государственные программы и стратегические планы по развитию финансового сектора — включая инициативы по цифровизации, улучшению качества активов, риск</w:t>
      </w:r>
      <w:r>
        <w:rPr>
          <w:rFonts w:ascii="Times New Roman" w:hAnsi="Times New Roman" w:cs="Times New Roman"/>
          <w:b w:val="0"/>
          <w:bCs w:val="0"/>
          <w:color w:val="auto"/>
        </w:rPr>
        <w:noBreakHyphen/>
      </w:r>
      <w:r>
        <w:rPr>
          <w:rFonts w:ascii="Times New Roman" w:hAnsi="Times New Roman" w:cs="Times New Roman"/>
          <w:b w:val="0"/>
          <w:bCs w:val="0"/>
          <w:color w:val="auto"/>
        </w:rPr>
        <w:t>ориентированному надзору и подходы к управлению стрессовыми активами.</w:t>
      </w:r>
    </w:p>
    <w:p w14:paraId="169CC9E3">
      <w:pPr>
        <w:pStyle w:val="2"/>
        <w:numPr>
          <w:ilvl w:val="0"/>
          <w:numId w:val="1"/>
        </w:numPr>
        <w:tabs>
          <w:tab w:val="left" w:pos="1070"/>
        </w:tabs>
        <w:spacing w:before="0" w:line="240" w:lineRule="auto"/>
        <w:ind w:left="0" w:firstLine="851"/>
        <w:jc w:val="both"/>
        <w:rPr>
          <w:rFonts w:ascii="Times New Roman" w:hAnsi="Times New Roman" w:cs="Times New Roman"/>
          <w:b w:val="0"/>
          <w:bCs w:val="0"/>
          <w:color w:val="auto"/>
        </w:rPr>
      </w:pPr>
      <w:r>
        <w:rPr>
          <w:rFonts w:ascii="Times New Roman" w:hAnsi="Times New Roman" w:cs="Times New Roman"/>
          <w:b w:val="0"/>
          <w:bCs w:val="0"/>
          <w:color w:val="auto"/>
        </w:rPr>
        <w:t>Индивидуальные планы банков по снижению уровня проблемных активов — согласованные с АРРФР и ориентированные на поэтапное сокращение NPL и вовлечение их в экономический оборот; такие планы являются частью проектного управления в банковской практике.</w:t>
      </w:r>
    </w:p>
    <w:p w14:paraId="17F9D8D1"/>
    <w:p w14:paraId="66FF8B1D"/>
    <w:p w14:paraId="7488B26C"/>
    <w:p w14:paraId="3B31BFBD">
      <w:r>
        <w:br w:type="page"/>
      </w:r>
    </w:p>
    <w:p w14:paraId="7E957BB7">
      <w:pPr>
        <w:pStyle w:val="2"/>
        <w:spacing w:before="0" w:line="240" w:lineRule="auto"/>
        <w:jc w:val="center"/>
        <w:rPr>
          <w:rFonts w:ascii="Times New Roman" w:hAnsi="Times New Roman" w:cs="Times New Roman"/>
          <w:b w:val="0"/>
          <w:color w:val="auto"/>
        </w:rPr>
      </w:pPr>
      <w:r>
        <w:rPr>
          <w:rFonts w:ascii="Times New Roman" w:hAnsi="Times New Roman" w:cs="Times New Roman"/>
          <w:color w:val="auto"/>
        </w:rPr>
        <w:t>ОПРЕДЕЛЕНИЯ</w:t>
      </w:r>
      <w:bookmarkEnd w:id="1"/>
    </w:p>
    <w:p w14:paraId="47B81550">
      <w:pPr>
        <w:spacing w:after="0" w:line="240" w:lineRule="auto"/>
        <w:jc w:val="both"/>
        <w:rPr>
          <w:rFonts w:ascii="Times New Roman" w:hAnsi="Times New Roman" w:cs="Times New Roman"/>
          <w:b/>
          <w:sz w:val="28"/>
          <w:szCs w:val="28"/>
        </w:rPr>
      </w:pPr>
    </w:p>
    <w:p w14:paraId="7C1685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настоящей диссертации применены следующие термины с соответствующими определениями:</w:t>
      </w:r>
    </w:p>
    <w:p w14:paraId="0708135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Активы банка — это все принадлежащие ему объекты, имеющие денежную оценку (деньги, кредиты, ценные бумаги, имущество), в которые банк размещает собственные и заемные ресурсы для получения прибыли</w:t>
      </w:r>
    </w:p>
    <w:p w14:paraId="5BD9B0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Банковский лаг (lag - запаздывание) – задержка между экономическим событием (выдача кредита) и поступлением средств.</w:t>
      </w:r>
    </w:p>
    <w:p w14:paraId="495D2F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Банковский риск –вероятность финансовых потерь, уменьшения активов или возникновения дополнительных расходов банка из-за внутренних или внешних факторов</w:t>
      </w:r>
    </w:p>
    <w:p w14:paraId="16EE65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Банкротство (несостоятельность) – неспособность должника удовлетворить в полном объёме требования кредиторов по денежным обстоятельствам</w:t>
      </w:r>
    </w:p>
    <w:p w14:paraId="52B845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Быстро реализуемые активы (группа А2) – это активы, которые могут быть преобразованы в денежные средства (реализованы) в течение короткого времени обычно до трех месяцев</w:t>
      </w:r>
    </w:p>
    <w:p w14:paraId="024C385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Валовые активы –     это   вся   совокупность   активов   предприятия, сформированных за счет собственного и заемного капитала</w:t>
      </w:r>
    </w:p>
    <w:p w14:paraId="411A685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Депозит – это денежные средства или иные активы, переданные физическими или юридическими лицами в банк (или иную организацию) на хранение с целью их сохранения и получения дохода в виде процентов. Это инструмент для гарантированного приумножения сбережений, где банк использует средства для кредитования, начисляя клиенту вознаграждение</w:t>
      </w:r>
    </w:p>
    <w:p w14:paraId="2D2128A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Допустимый риск – это обоснованный уровень потенциальных убытков, который банк готов принять для реализации своей стратегии и получения прибыли, не ставя под угрозу свою финансовую устойчивость</w:t>
      </w:r>
    </w:p>
    <w:p w14:paraId="6C203EE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Залог – это обеспечение исполнения обязательств по кредиту. В случае неисполнения банк имеет право изъять заложенное имущество через суд. </w:t>
      </w:r>
    </w:p>
    <w:p w14:paraId="2C19969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Индекс Джини – ключевой статистический показатель степени расслоения общества по уровню доходов и богатству от 0 до 1 (или 0-100%)</w:t>
      </w:r>
    </w:p>
    <w:p w14:paraId="6CB29F6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Информационные банковские услуги – это дистанционные сервисы, представляемые банками через электронные каналы связи (интернет-банкинг, мобильные приложения, SMS, терминалы), позволяющие клиентам получать данные о счетах, операциях, курсах валют и другие консультационные сведения без визита в отделение банка</w:t>
      </w:r>
    </w:p>
    <w:p w14:paraId="1B99307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Капитальная достаточность (Capital Adequacy Ratio, CAR) – показатель финансовой устойчивости банка, определяющий его способность покрывать возможные убытки и риски за счет собственных средств </w:t>
      </w:r>
    </w:p>
    <w:p w14:paraId="5EE62D1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Катастрофические риски — это угрозы, ведущие к неплатежеспособности, когда потери равны собственному имуществу (стихийные бедствия, теракты или системные финансовые кризисы)</w:t>
      </w:r>
    </w:p>
    <w:p w14:paraId="3F5D751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Квинтильный коэффициент – показатель экономического неравенства, отражающий соотношение средних доходов 20% самого богатого населения к 20% самых бедных (квинтильные группы)</w:t>
      </w:r>
    </w:p>
    <w:p w14:paraId="7F62F9F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Кредитный портфель банка – это совокупность остатков задолженности по всем кредитам, выданным банками физическим и юридическим лицам на определенную дату.</w:t>
      </w:r>
    </w:p>
    <w:p w14:paraId="131C01B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Кредитный риск – неисполнение должником обязательств (невозврат кредита)</w:t>
      </w:r>
    </w:p>
    <w:p w14:paraId="347AE84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Медленнореализуемые активы (группа А3) – это активы, с низкой ликвидностью, требующие длительного времени (обычно от 3 до 12 месяцев) для превращения в денежные средства</w:t>
      </w:r>
    </w:p>
    <w:p w14:paraId="6A2CDB7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Мультипликативный эффект – экономическое явление, при котором первоначальные инвестиции или расходы приводят к многократному увеличению конечного дохода за счет цепной реакции многократного обращения денег</w:t>
      </w:r>
    </w:p>
    <w:p w14:paraId="55ECDDA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Обязательства банка (пассивы) </w:t>
      </w:r>
      <w:bookmarkStart w:id="3" w:name="_Hlk90240365"/>
      <w:r>
        <w:rPr>
          <w:rFonts w:ascii="Times New Roman" w:hAnsi="Times New Roman" w:cs="Times New Roman"/>
          <w:sz w:val="28"/>
          <w:szCs w:val="28"/>
        </w:rPr>
        <w:t>–</w:t>
      </w:r>
      <w:bookmarkEnd w:id="3"/>
      <w:r>
        <w:rPr>
          <w:rFonts w:ascii="Times New Roman" w:hAnsi="Times New Roman" w:cs="Times New Roman"/>
          <w:sz w:val="28"/>
          <w:szCs w:val="28"/>
        </w:rPr>
        <w:t xml:space="preserve"> это совокупность всех денежных средств, которые банк заимствовал у клиентов, других финансовых организаций, государства и которые он обязан вернуть в срок</w:t>
      </w:r>
    </w:p>
    <w:p w14:paraId="7B00B6B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Операционный риск – риск потерь вследствие ошибок сотрудников, сбоев в IT- системах, мошенничества или кибератак</w:t>
      </w:r>
    </w:p>
    <w:p w14:paraId="656F9E1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Правовой (комплаенс) риск – убытки из-за несоблюдения законодательства, условий договоров или изменений в нормативных актах</w:t>
      </w:r>
    </w:p>
    <w:p w14:paraId="0611D1E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Проблемные активы банка («стрессовые» или «плохие») – это ресурсы, которые престали приносить доход или имеют высокую вероятность невозврата.  Основную часть таких активов составляют неработающие кредиты (NPL)</w:t>
      </w:r>
    </w:p>
    <w:p w14:paraId="74AF093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Процикличность кредитования – тенденция объемов кредитования расти во время экономического подъема и сокращения во время спада</w:t>
      </w:r>
    </w:p>
    <w:p w14:paraId="7A01BC4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Пруденциальные нормативы —обязательные экономические требования, (коэффициенты), устанавливаемые регулятором для банков</w:t>
      </w:r>
    </w:p>
    <w:p w14:paraId="2FA0D14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Регулятивный капитал – минимальный объем собственных средств, который банк обязан поддерживать по требованиям регулятора для покрытия рисков и обеспечения платежеспособности</w:t>
      </w:r>
    </w:p>
    <w:p w14:paraId="478950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Репутационный риск – риск потери доверия к банку со стороны клиентов, акционеров и регуляторов</w:t>
      </w:r>
    </w:p>
    <w:p w14:paraId="79DE87C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Риск - аверсия (склонность к избеганию риска) – стратегия, когда банки отдают приоритет сохранению капитала и ликвидности перед получением высокой доходности.</w:t>
      </w:r>
    </w:p>
    <w:p w14:paraId="690C1A5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Рыночный риск – вероятность убытков из-за колебаний рыночных цен (валютный, процентный, фондовый).</w:t>
      </w:r>
    </w:p>
    <w:p w14:paraId="105B39E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Стрессовые активы («токсичные» или «дистресс-активы») – активы, стоимость которых значительно снизилась (NPL, имущество, забранное у должников, компании – банкроты и т.п.)</w:t>
      </w:r>
    </w:p>
    <w:p w14:paraId="16C7F7A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Стресс-тестирование банков – это метод оценки финансовой устойчивости банка к экстремальным, но вероятным негативным событиям (кризисы, экономический спад, пандемия, резкое изменение ставок), оценивающий риски на горизонте в 5-7 лет</w:t>
      </w:r>
    </w:p>
    <w:p w14:paraId="1075959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Субъект управления – это группа лиц, или специализированных органов, которые принимают управленческие решения и воздействуют на объект (ресурсы, персонал, процессы), для достижения целей банка</w:t>
      </w:r>
    </w:p>
    <w:p w14:paraId="09F9AC3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Труднореализуемые активы — это активы, которые сложнее всего превратить в денежные средства без существенной потери их стоимости (группа А4)</w:t>
      </w:r>
    </w:p>
    <w:p w14:paraId="4A5056F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Умеренный риск – финансовые инструменты, предлагающие доходность выше классических депозитов при сохранении высокого уровня защиты</w:t>
      </w:r>
    </w:p>
    <w:p w14:paraId="072599F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Управление активами — это систематический процесс планирования, модернизации и утилизации активов с целью оптимизации затрат, минимизации рисков и повышение доходности и конкурентоспособности  </w:t>
      </w:r>
    </w:p>
    <w:p w14:paraId="4890C78A">
      <w:pPr>
        <w:spacing w:after="0" w:line="240" w:lineRule="auto"/>
        <w:jc w:val="center"/>
        <w:rPr>
          <w:rFonts w:ascii="Times New Roman" w:hAnsi="Times New Roman" w:cs="Times New Roman"/>
          <w:b/>
          <w:sz w:val="28"/>
          <w:szCs w:val="28"/>
        </w:rPr>
      </w:pPr>
    </w:p>
    <w:p w14:paraId="7543CA0D">
      <w:pPr>
        <w:spacing w:after="0" w:line="240" w:lineRule="auto"/>
        <w:jc w:val="center"/>
        <w:rPr>
          <w:rFonts w:ascii="Times New Roman" w:hAnsi="Times New Roman" w:cs="Times New Roman"/>
          <w:b/>
          <w:sz w:val="28"/>
          <w:szCs w:val="28"/>
        </w:rPr>
      </w:pPr>
    </w:p>
    <w:p w14:paraId="44AB5B85">
      <w:pPr>
        <w:spacing w:after="0" w:line="240" w:lineRule="auto"/>
        <w:jc w:val="center"/>
        <w:rPr>
          <w:rFonts w:ascii="Times New Roman" w:hAnsi="Times New Roman" w:cs="Times New Roman"/>
          <w:b/>
          <w:sz w:val="28"/>
          <w:szCs w:val="28"/>
        </w:rPr>
      </w:pPr>
    </w:p>
    <w:p w14:paraId="7CE2CE76">
      <w:pPr>
        <w:rPr>
          <w:rFonts w:ascii="Times New Roman" w:hAnsi="Times New Roman" w:cs="Times New Roman"/>
          <w:b/>
          <w:sz w:val="28"/>
          <w:szCs w:val="28"/>
        </w:rPr>
      </w:pPr>
      <w:r>
        <w:rPr>
          <w:rFonts w:ascii="Times New Roman" w:hAnsi="Times New Roman" w:cs="Times New Roman"/>
          <w:b/>
          <w:sz w:val="28"/>
          <w:szCs w:val="28"/>
        </w:rPr>
        <w:br w:type="page"/>
      </w:r>
    </w:p>
    <w:p w14:paraId="24177A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ОБОЗНАЧЕНИЯ И СОКРАЩЕНИЯ</w:t>
      </w:r>
    </w:p>
    <w:p w14:paraId="33B8081D">
      <w:pPr>
        <w:spacing w:after="0" w:line="240" w:lineRule="auto"/>
        <w:jc w:val="both"/>
        <w:rPr>
          <w:rFonts w:ascii="Times New Roman" w:hAnsi="Times New Roman" w:cs="Times New Roman"/>
          <w:b/>
          <w:sz w:val="28"/>
          <w:szCs w:val="28"/>
        </w:rPr>
      </w:pPr>
    </w:p>
    <w:p w14:paraId="361C179A">
      <w:pPr>
        <w:pStyle w:val="30"/>
        <w:spacing w:before="0" w:beforeAutospacing="0" w:after="0" w:afterAutospacing="0"/>
        <w:jc w:val="both"/>
        <w:rPr>
          <w:sz w:val="28"/>
          <w:szCs w:val="28"/>
        </w:rPr>
      </w:pPr>
      <w:r>
        <w:rPr>
          <w:sz w:val="28"/>
          <w:szCs w:val="28"/>
        </w:rPr>
        <w:t>АО – акционерное общество</w:t>
      </w:r>
    </w:p>
    <w:p w14:paraId="6EC24B54">
      <w:pPr>
        <w:pStyle w:val="30"/>
        <w:spacing w:before="0" w:beforeAutospacing="0" w:after="0" w:afterAutospacing="0"/>
        <w:jc w:val="both"/>
        <w:rPr>
          <w:sz w:val="28"/>
          <w:szCs w:val="28"/>
        </w:rPr>
      </w:pPr>
      <w:r>
        <w:rPr>
          <w:sz w:val="28"/>
          <w:szCs w:val="28"/>
        </w:rPr>
        <w:t>АРРФР - Агентство Республики Казахстан по регулированию и развитию финансового рынка</w:t>
      </w:r>
    </w:p>
    <w:p w14:paraId="2ED0D44C">
      <w:pPr>
        <w:pStyle w:val="30"/>
        <w:spacing w:before="0" w:beforeAutospacing="0" w:after="0" w:afterAutospacing="0"/>
        <w:jc w:val="both"/>
        <w:rPr>
          <w:sz w:val="28"/>
          <w:szCs w:val="28"/>
        </w:rPr>
      </w:pPr>
      <w:r>
        <w:rPr>
          <w:sz w:val="28"/>
          <w:szCs w:val="28"/>
        </w:rPr>
        <w:t>БВУ – банки второго уровня</w:t>
      </w:r>
    </w:p>
    <w:p w14:paraId="1C6D27FA">
      <w:pPr>
        <w:pStyle w:val="30"/>
        <w:spacing w:before="0" w:beforeAutospacing="0" w:after="0" w:afterAutospacing="0"/>
        <w:jc w:val="both"/>
        <w:rPr>
          <w:sz w:val="28"/>
          <w:szCs w:val="28"/>
        </w:rPr>
      </w:pPr>
      <w:r>
        <w:rPr>
          <w:sz w:val="28"/>
          <w:szCs w:val="28"/>
        </w:rPr>
        <w:t>БРИКС – объединение стран Бразилия, Россия, Индия, Китай, Южно-Африканская Республика</w:t>
      </w:r>
    </w:p>
    <w:p w14:paraId="22A3566C">
      <w:pPr>
        <w:pStyle w:val="30"/>
        <w:spacing w:before="0" w:beforeAutospacing="0" w:after="0" w:afterAutospacing="0"/>
        <w:jc w:val="both"/>
        <w:rPr>
          <w:sz w:val="28"/>
          <w:szCs w:val="28"/>
        </w:rPr>
      </w:pPr>
      <w:r>
        <w:rPr>
          <w:sz w:val="28"/>
          <w:szCs w:val="28"/>
        </w:rPr>
        <w:t>CPM (Corporate Performance Management) – Управление эффективностью деятельности</w:t>
      </w:r>
    </w:p>
    <w:p w14:paraId="6F373457">
      <w:pPr>
        <w:pStyle w:val="30"/>
        <w:spacing w:before="0" w:beforeAutospacing="0" w:after="0" w:afterAutospacing="0"/>
        <w:jc w:val="both"/>
        <w:rPr>
          <w:sz w:val="28"/>
          <w:szCs w:val="28"/>
        </w:rPr>
      </w:pPr>
      <w:r>
        <w:rPr>
          <w:sz w:val="28"/>
          <w:szCs w:val="28"/>
        </w:rPr>
        <w:t>CRR (Capital Requirement Regulation) – Регламент о требованиях к капиталу</w:t>
      </w:r>
    </w:p>
    <w:p w14:paraId="33DFD5E8">
      <w:pPr>
        <w:pStyle w:val="30"/>
        <w:spacing w:before="0" w:beforeAutospacing="0" w:after="0" w:afterAutospacing="0"/>
        <w:jc w:val="both"/>
        <w:rPr>
          <w:sz w:val="28"/>
          <w:szCs w:val="28"/>
        </w:rPr>
      </w:pPr>
      <w:r>
        <w:rPr>
          <w:sz w:val="28"/>
          <w:szCs w:val="28"/>
        </w:rPr>
        <w:t>EBITDA (Earnings Before Interest, Taxes, Depreciation, and Amortization) - Прибыль до вычета процентов по кредитам, налогам, износу и амортизации</w:t>
      </w:r>
    </w:p>
    <w:p w14:paraId="2D1DF921">
      <w:pPr>
        <w:pStyle w:val="30"/>
        <w:spacing w:before="0" w:beforeAutospacing="0" w:after="0" w:afterAutospacing="0"/>
        <w:jc w:val="both"/>
        <w:rPr>
          <w:sz w:val="28"/>
          <w:szCs w:val="28"/>
        </w:rPr>
      </w:pPr>
      <w:r>
        <w:rPr>
          <w:sz w:val="28"/>
          <w:szCs w:val="28"/>
        </w:rPr>
        <w:t>ESG (Environmental Social and Governance)- Экологическое, социальное и корпоративное управление</w:t>
      </w:r>
    </w:p>
    <w:p w14:paraId="71EB2447">
      <w:pPr>
        <w:pStyle w:val="30"/>
        <w:spacing w:before="0" w:beforeAutospacing="0" w:after="0" w:afterAutospacing="0"/>
        <w:jc w:val="both"/>
        <w:rPr>
          <w:sz w:val="28"/>
          <w:szCs w:val="28"/>
        </w:rPr>
      </w:pPr>
      <w:r>
        <w:rPr>
          <w:sz w:val="28"/>
          <w:szCs w:val="28"/>
        </w:rPr>
        <w:t>ФПК – Фонд проблемных кредитов</w:t>
      </w:r>
    </w:p>
    <w:p w14:paraId="64DBA7F5">
      <w:pPr>
        <w:pStyle w:val="30"/>
        <w:spacing w:before="0" w:beforeAutospacing="0" w:after="0" w:afterAutospacing="0"/>
        <w:jc w:val="both"/>
        <w:rPr>
          <w:sz w:val="28"/>
          <w:szCs w:val="28"/>
        </w:rPr>
      </w:pPr>
      <w:r>
        <w:rPr>
          <w:sz w:val="28"/>
          <w:szCs w:val="28"/>
        </w:rPr>
        <w:t>ФРГ – Федеративная Республика Германия</w:t>
      </w:r>
    </w:p>
    <w:p w14:paraId="59C75F0F">
      <w:pPr>
        <w:pStyle w:val="30"/>
        <w:spacing w:before="0" w:beforeAutospacing="0" w:after="0" w:afterAutospacing="0"/>
        <w:jc w:val="both"/>
        <w:rPr>
          <w:sz w:val="28"/>
          <w:szCs w:val="28"/>
        </w:rPr>
      </w:pPr>
      <w:r>
        <w:rPr>
          <w:sz w:val="28"/>
          <w:szCs w:val="28"/>
        </w:rPr>
        <w:t xml:space="preserve">ФРС – Федеральная резервная система, </w:t>
      </w:r>
    </w:p>
    <w:p w14:paraId="5096A25B">
      <w:pPr>
        <w:pStyle w:val="30"/>
        <w:spacing w:before="0" w:beforeAutospacing="0" w:after="0" w:afterAutospacing="0"/>
        <w:jc w:val="both"/>
        <w:rPr>
          <w:sz w:val="28"/>
          <w:szCs w:val="28"/>
        </w:rPr>
      </w:pPr>
      <w:r>
        <w:rPr>
          <w:sz w:val="28"/>
          <w:szCs w:val="28"/>
        </w:rPr>
        <w:t>Финрегулятор – финансовый регулятор</w:t>
      </w:r>
    </w:p>
    <w:p w14:paraId="3DDF6A14">
      <w:pPr>
        <w:pStyle w:val="30"/>
        <w:spacing w:before="0" w:beforeAutospacing="0" w:after="0" w:afterAutospacing="0"/>
        <w:jc w:val="both"/>
        <w:rPr>
          <w:sz w:val="28"/>
          <w:szCs w:val="28"/>
        </w:rPr>
      </w:pPr>
      <w:r>
        <w:rPr>
          <w:sz w:val="28"/>
          <w:szCs w:val="28"/>
        </w:rPr>
        <w:t>гг. – годы</w:t>
      </w:r>
    </w:p>
    <w:p w14:paraId="3EF5661F">
      <w:pPr>
        <w:pStyle w:val="30"/>
        <w:spacing w:before="0" w:beforeAutospacing="0" w:after="0" w:afterAutospacing="0"/>
        <w:jc w:val="both"/>
        <w:rPr>
          <w:sz w:val="28"/>
          <w:szCs w:val="28"/>
        </w:rPr>
      </w:pPr>
      <w:r>
        <w:rPr>
          <w:sz w:val="28"/>
          <w:szCs w:val="28"/>
        </w:rPr>
        <w:t>ВВП – валовой внутренний продукт</w:t>
      </w:r>
    </w:p>
    <w:p w14:paraId="675B7978">
      <w:pPr>
        <w:pStyle w:val="30"/>
        <w:spacing w:before="0" w:beforeAutospacing="0" w:after="0" w:afterAutospacing="0"/>
        <w:jc w:val="both"/>
        <w:rPr>
          <w:sz w:val="28"/>
          <w:szCs w:val="28"/>
        </w:rPr>
      </w:pPr>
      <w:r>
        <w:rPr>
          <w:sz w:val="28"/>
          <w:szCs w:val="28"/>
        </w:rPr>
        <w:t>ИС – информационные системы</w:t>
      </w:r>
    </w:p>
    <w:p w14:paraId="3B4FD200">
      <w:pPr>
        <w:pStyle w:val="30"/>
        <w:spacing w:before="0" w:beforeAutospacing="0" w:after="0" w:afterAutospacing="0"/>
        <w:jc w:val="both"/>
        <w:rPr>
          <w:sz w:val="28"/>
          <w:szCs w:val="28"/>
        </w:rPr>
      </w:pPr>
      <w:r>
        <w:rPr>
          <w:sz w:val="28"/>
          <w:szCs w:val="28"/>
        </w:rPr>
        <w:t>ИПМА – IPMA, (International Project Management Association) - Международная ассоциация управления проектами</w:t>
      </w:r>
    </w:p>
    <w:p w14:paraId="003828F0">
      <w:pPr>
        <w:pStyle w:val="30"/>
        <w:spacing w:before="0" w:beforeAutospacing="0" w:after="0" w:afterAutospacing="0"/>
        <w:jc w:val="both"/>
        <w:rPr>
          <w:sz w:val="28"/>
          <w:szCs w:val="28"/>
        </w:rPr>
      </w:pPr>
      <w:r>
        <w:rPr>
          <w:sz w:val="28"/>
          <w:szCs w:val="28"/>
        </w:rPr>
        <w:t>IT (Information Technology) – Информационные технологии</w:t>
      </w:r>
    </w:p>
    <w:p w14:paraId="058737FD">
      <w:pPr>
        <w:pStyle w:val="30"/>
        <w:spacing w:before="0" w:beforeAutospacing="0" w:after="0" w:afterAutospacing="0"/>
        <w:jc w:val="both"/>
        <w:rPr>
          <w:sz w:val="28"/>
          <w:szCs w:val="28"/>
        </w:rPr>
      </w:pPr>
      <w:r>
        <w:rPr>
          <w:sz w:val="28"/>
          <w:szCs w:val="28"/>
        </w:rPr>
        <w:t>КНР – Китайская Народная Республика</w:t>
      </w:r>
    </w:p>
    <w:p w14:paraId="2F7B8C40">
      <w:pPr>
        <w:pStyle w:val="30"/>
        <w:spacing w:before="0" w:beforeAutospacing="0" w:after="0" w:afterAutospacing="0"/>
        <w:jc w:val="both"/>
        <w:rPr>
          <w:sz w:val="28"/>
          <w:szCs w:val="28"/>
        </w:rPr>
      </w:pPr>
      <w:r>
        <w:rPr>
          <w:sz w:val="28"/>
          <w:szCs w:val="28"/>
        </w:rPr>
        <w:t>ЛПР – лицо, принимающее решение</w:t>
      </w:r>
    </w:p>
    <w:p w14:paraId="31C042F6">
      <w:pPr>
        <w:pStyle w:val="30"/>
        <w:spacing w:before="0" w:beforeAutospacing="0" w:after="0" w:afterAutospacing="0"/>
        <w:jc w:val="both"/>
        <w:rPr>
          <w:sz w:val="28"/>
          <w:szCs w:val="28"/>
        </w:rPr>
      </w:pPr>
      <w:r>
        <w:rPr>
          <w:sz w:val="28"/>
          <w:szCs w:val="28"/>
        </w:rPr>
        <w:t>МВФ – Международный Валютный Фонд</w:t>
      </w:r>
    </w:p>
    <w:p w14:paraId="37D5A482">
      <w:pPr>
        <w:pStyle w:val="30"/>
        <w:spacing w:before="0" w:beforeAutospacing="0" w:after="0" w:afterAutospacing="0"/>
        <w:jc w:val="both"/>
        <w:rPr>
          <w:sz w:val="28"/>
          <w:szCs w:val="28"/>
        </w:rPr>
      </w:pPr>
      <w:r>
        <w:rPr>
          <w:sz w:val="28"/>
          <w:szCs w:val="28"/>
        </w:rPr>
        <w:t>МКП – метод критического пути</w:t>
      </w:r>
    </w:p>
    <w:p w14:paraId="1A14D5D9">
      <w:pPr>
        <w:pStyle w:val="30"/>
        <w:spacing w:before="0" w:beforeAutospacing="0" w:after="0" w:afterAutospacing="0"/>
        <w:jc w:val="both"/>
        <w:rPr>
          <w:sz w:val="28"/>
          <w:szCs w:val="28"/>
        </w:rPr>
      </w:pPr>
      <w:r>
        <w:rPr>
          <w:sz w:val="28"/>
          <w:szCs w:val="28"/>
        </w:rPr>
        <w:t>МСФО (IFRS) – Международные стандарты финансовой отчётности (International Financial Reporting Standards)</w:t>
      </w:r>
    </w:p>
    <w:p w14:paraId="2C5CB40F">
      <w:pPr>
        <w:pStyle w:val="30"/>
        <w:spacing w:before="0" w:beforeAutospacing="0" w:after="0" w:afterAutospacing="0"/>
        <w:rPr>
          <w:sz w:val="28"/>
          <w:szCs w:val="28"/>
        </w:rPr>
      </w:pPr>
      <w:r>
        <w:rPr>
          <w:sz w:val="28"/>
          <w:szCs w:val="28"/>
        </w:rPr>
        <w:t xml:space="preserve">Нацбанк – Национальный банк  </w:t>
      </w:r>
    </w:p>
    <w:p w14:paraId="7B746F33">
      <w:pPr>
        <w:pStyle w:val="30"/>
        <w:spacing w:before="0" w:beforeAutospacing="0" w:after="0" w:afterAutospacing="0"/>
        <w:rPr>
          <w:sz w:val="28"/>
          <w:szCs w:val="28"/>
        </w:rPr>
      </w:pPr>
      <w:r>
        <w:rPr>
          <w:sz w:val="28"/>
          <w:szCs w:val="28"/>
        </w:rPr>
        <w:t xml:space="preserve">NPA- </w:t>
      </w:r>
      <w:r>
        <w:fldChar w:fldCharType="begin"/>
      </w:r>
      <w:r>
        <w:instrText xml:space="preserve"> HYPERLINK "https://www.google.com/search?q=Non-Performing+Assets&amp;sca_esv=38e0e84ee873df40&amp;biw=1920&amp;bih=919&amp;aic=0&amp;ei=5dmCacjFD4-xwPAPnf6cmAM&amp;ved=2ahUKEwjk7Mfkjr-SAxV6LBAIHceaO_UQgK4QegQIARAC&amp;uact=5&amp;oq=NPA&amp;gs_lp=Egxnd3Mtd2l6LXNlcnAiA05QQTIFEAAYgAQyBRAAGIAEMgUQABiABDIFEAAYgAQyBRAAGIAEMgsQLhiABBjRAxjHATIFEAAYgAQyBRAAGIAEMgUQABiABDIFEAAYgARIyRVQAFj0CnAAeAGQAQCYAZMBoAGYA6oBAzAuM7gBA8gBAPgBAZgCA6ACuwPCAgsQABiABBiRAhiKBcICBRAuGIAEmAMAkgcDMC4zoAeIHbIHAzAuM7gHuwPCBwUyLTEuMsgHHIAIAA&amp;sclient=gws-wiz-serp&amp;mstk=AUtExfDV4u55afBjHCT7wa88kpBZ-16390n-AanZFomjgw0kAKPGGmPIeaDDLxyxuIUTbq8tksLnqk_zvQfQNSb6Jh-aZlJWs_acem27jlhPB7zF9X76zcTKiuWl07--cWEQP5I&amp;csui=3" </w:instrText>
      </w:r>
      <w:r>
        <w:fldChar w:fldCharType="separate"/>
      </w:r>
      <w:r>
        <w:rPr>
          <w:rStyle w:val="12"/>
          <w:color w:val="auto"/>
          <w:sz w:val="28"/>
          <w:szCs w:val="28"/>
          <w:u w:val="none"/>
        </w:rPr>
        <w:t>Non-Performing Assets</w:t>
      </w:r>
      <w:r>
        <w:rPr>
          <w:rStyle w:val="12"/>
          <w:color w:val="auto"/>
          <w:sz w:val="28"/>
          <w:szCs w:val="28"/>
          <w:u w:val="none"/>
        </w:rPr>
        <w:fldChar w:fldCharType="end"/>
      </w:r>
      <w:r>
        <w:rPr>
          <w:sz w:val="28"/>
          <w:szCs w:val="28"/>
        </w:rPr>
        <w:t xml:space="preserve"> (неработающий актив)</w:t>
      </w:r>
      <w:r>
        <w:rPr>
          <w:sz w:val="28"/>
          <w:szCs w:val="28"/>
        </w:rPr>
        <w:br w:type="textWrapping"/>
      </w:r>
      <w:r>
        <w:rPr>
          <w:sz w:val="28"/>
          <w:szCs w:val="28"/>
        </w:rPr>
        <w:t>NPL – Non-Performing Loan (проблемный кредит)</w:t>
      </w:r>
    </w:p>
    <w:p w14:paraId="3CDAE9DE">
      <w:pPr>
        <w:pStyle w:val="30"/>
        <w:spacing w:before="0" w:beforeAutospacing="0" w:after="0" w:afterAutospacing="0"/>
        <w:rPr>
          <w:sz w:val="28"/>
          <w:szCs w:val="28"/>
        </w:rPr>
      </w:pPr>
      <w:r>
        <w:rPr>
          <w:sz w:val="28"/>
          <w:szCs w:val="28"/>
        </w:rPr>
        <w:t>NPL 90+ (Non-Performing Loans) – просроченные кредиты, по которым платежи не производились более 90 дней (высокий риск невозврата)</w:t>
      </w:r>
    </w:p>
    <w:p w14:paraId="354ACAAE">
      <w:pPr>
        <w:pStyle w:val="30"/>
        <w:spacing w:before="0" w:beforeAutospacing="0" w:after="0" w:afterAutospacing="0"/>
        <w:jc w:val="both"/>
        <w:rPr>
          <w:sz w:val="28"/>
          <w:szCs w:val="28"/>
          <w:lang w:val="en-US"/>
        </w:rPr>
      </w:pPr>
      <w:r>
        <w:rPr>
          <w:sz w:val="28"/>
          <w:szCs w:val="28"/>
          <w:lang w:val="en-US"/>
        </w:rPr>
        <w:t xml:space="preserve">PERT (Program Evaluation and Review Technique) – </w:t>
      </w:r>
      <w:r>
        <w:rPr>
          <w:sz w:val="28"/>
          <w:szCs w:val="28"/>
        </w:rPr>
        <w:t>Метод</w:t>
      </w:r>
      <w:r>
        <w:rPr>
          <w:sz w:val="28"/>
          <w:szCs w:val="28"/>
          <w:lang w:val="en-US"/>
        </w:rPr>
        <w:t xml:space="preserve"> </w:t>
      </w:r>
      <w:r>
        <w:rPr>
          <w:sz w:val="28"/>
          <w:szCs w:val="28"/>
        </w:rPr>
        <w:t>оценки</w:t>
      </w:r>
      <w:r>
        <w:rPr>
          <w:sz w:val="28"/>
          <w:szCs w:val="28"/>
          <w:lang w:val="en-US"/>
        </w:rPr>
        <w:t xml:space="preserve"> </w:t>
      </w:r>
      <w:r>
        <w:rPr>
          <w:sz w:val="28"/>
          <w:szCs w:val="28"/>
        </w:rPr>
        <w:t>и</w:t>
      </w:r>
      <w:r>
        <w:rPr>
          <w:sz w:val="28"/>
          <w:szCs w:val="28"/>
          <w:lang w:val="en-US"/>
        </w:rPr>
        <w:t xml:space="preserve"> </w:t>
      </w:r>
      <w:r>
        <w:rPr>
          <w:sz w:val="28"/>
          <w:szCs w:val="28"/>
        </w:rPr>
        <w:t>анализа</w:t>
      </w:r>
      <w:r>
        <w:rPr>
          <w:sz w:val="28"/>
          <w:szCs w:val="28"/>
          <w:lang w:val="en-US"/>
        </w:rPr>
        <w:t xml:space="preserve"> </w:t>
      </w:r>
      <w:r>
        <w:rPr>
          <w:sz w:val="28"/>
          <w:szCs w:val="28"/>
        </w:rPr>
        <w:t>программ</w:t>
      </w:r>
    </w:p>
    <w:p w14:paraId="114E57AB">
      <w:pPr>
        <w:pStyle w:val="30"/>
        <w:spacing w:before="0" w:beforeAutospacing="0" w:after="0" w:afterAutospacing="0"/>
        <w:jc w:val="both"/>
        <w:rPr>
          <w:sz w:val="28"/>
          <w:szCs w:val="28"/>
          <w:lang w:val="en-US"/>
        </w:rPr>
      </w:pPr>
      <w:r>
        <w:rPr>
          <w:sz w:val="28"/>
          <w:szCs w:val="28"/>
          <w:lang w:val="en-US"/>
        </w:rPr>
        <w:t>PMI – Project Management Institute</w:t>
      </w:r>
    </w:p>
    <w:p w14:paraId="05860887">
      <w:pPr>
        <w:pStyle w:val="30"/>
        <w:spacing w:before="0" w:beforeAutospacing="0" w:after="0" w:afterAutospacing="0"/>
        <w:jc w:val="both"/>
        <w:rPr>
          <w:sz w:val="28"/>
          <w:szCs w:val="28"/>
          <w:lang w:val="en-US"/>
        </w:rPr>
      </w:pPr>
      <w:r>
        <w:rPr>
          <w:sz w:val="28"/>
          <w:szCs w:val="28"/>
          <w:lang w:val="en-US"/>
        </w:rPr>
        <w:t xml:space="preserve">PMBoK (Project Management Body of Knowledge) – </w:t>
      </w:r>
      <w:r>
        <w:rPr>
          <w:sz w:val="28"/>
          <w:szCs w:val="28"/>
        </w:rPr>
        <w:t>Свод</w:t>
      </w:r>
      <w:r>
        <w:rPr>
          <w:sz w:val="28"/>
          <w:szCs w:val="28"/>
          <w:lang w:val="en-US"/>
        </w:rPr>
        <w:t xml:space="preserve"> </w:t>
      </w:r>
      <w:r>
        <w:rPr>
          <w:sz w:val="28"/>
          <w:szCs w:val="28"/>
        </w:rPr>
        <w:t>знаний</w:t>
      </w:r>
      <w:r>
        <w:rPr>
          <w:sz w:val="28"/>
          <w:szCs w:val="28"/>
          <w:lang w:val="en-US"/>
        </w:rPr>
        <w:t xml:space="preserve"> </w:t>
      </w:r>
      <w:r>
        <w:rPr>
          <w:sz w:val="28"/>
          <w:szCs w:val="28"/>
        </w:rPr>
        <w:t>по</w:t>
      </w:r>
      <w:r>
        <w:rPr>
          <w:sz w:val="28"/>
          <w:szCs w:val="28"/>
          <w:lang w:val="en-US"/>
        </w:rPr>
        <w:t xml:space="preserve"> </w:t>
      </w:r>
      <w:r>
        <w:rPr>
          <w:sz w:val="28"/>
          <w:szCs w:val="28"/>
        </w:rPr>
        <w:t>управлению</w:t>
      </w:r>
      <w:r>
        <w:rPr>
          <w:sz w:val="28"/>
          <w:szCs w:val="28"/>
          <w:lang w:val="en-US"/>
        </w:rPr>
        <w:t xml:space="preserve"> </w:t>
      </w:r>
      <w:r>
        <w:rPr>
          <w:sz w:val="28"/>
          <w:szCs w:val="28"/>
        </w:rPr>
        <w:t>проектами</w:t>
      </w:r>
      <w:r>
        <w:rPr>
          <w:sz w:val="28"/>
          <w:szCs w:val="28"/>
          <w:lang w:val="en-US"/>
        </w:rPr>
        <w:t xml:space="preserve"> </w:t>
      </w:r>
    </w:p>
    <w:p w14:paraId="0201C883">
      <w:pPr>
        <w:pStyle w:val="30"/>
        <w:spacing w:before="0" w:beforeAutospacing="0" w:after="0" w:afterAutospacing="0"/>
        <w:jc w:val="both"/>
        <w:rPr>
          <w:sz w:val="28"/>
          <w:szCs w:val="28"/>
        </w:rPr>
      </w:pPr>
      <w:r>
        <w:rPr>
          <w:sz w:val="28"/>
          <w:szCs w:val="28"/>
        </w:rPr>
        <w:t>РК – Республика Казахстан</w:t>
      </w:r>
    </w:p>
    <w:p w14:paraId="1975F62D">
      <w:pPr>
        <w:pStyle w:val="30"/>
        <w:spacing w:before="0" w:beforeAutospacing="0" w:after="0" w:afterAutospacing="0"/>
        <w:jc w:val="both"/>
        <w:rPr>
          <w:sz w:val="28"/>
          <w:szCs w:val="28"/>
        </w:rPr>
      </w:pPr>
      <w:r>
        <w:rPr>
          <w:sz w:val="28"/>
          <w:szCs w:val="28"/>
        </w:rPr>
        <w:t>РФ – Российская Федерация</w:t>
      </w:r>
    </w:p>
    <w:p w14:paraId="5D71D2BF">
      <w:pPr>
        <w:pStyle w:val="30"/>
        <w:spacing w:before="0" w:beforeAutospacing="0" w:after="0" w:afterAutospacing="0"/>
        <w:jc w:val="both"/>
        <w:rPr>
          <w:sz w:val="28"/>
          <w:szCs w:val="28"/>
        </w:rPr>
      </w:pPr>
      <w:r>
        <w:rPr>
          <w:sz w:val="28"/>
          <w:szCs w:val="28"/>
        </w:rPr>
        <w:t>США – Соединённые Штаты Америки</w:t>
      </w:r>
    </w:p>
    <w:p w14:paraId="72AED548">
      <w:pPr>
        <w:pStyle w:val="30"/>
        <w:spacing w:before="0" w:beforeAutospacing="0" w:after="0" w:afterAutospacing="0"/>
        <w:jc w:val="both"/>
        <w:rPr>
          <w:sz w:val="28"/>
          <w:szCs w:val="28"/>
        </w:rPr>
      </w:pPr>
      <w:r>
        <w:rPr>
          <w:sz w:val="28"/>
          <w:szCs w:val="28"/>
        </w:rPr>
        <w:t>SPV (Special Purpose Vehicle) – Компания специального назначения</w:t>
      </w:r>
    </w:p>
    <w:p w14:paraId="38391A93">
      <w:pPr>
        <w:pStyle w:val="30"/>
        <w:spacing w:before="0" w:beforeAutospacing="0" w:after="0" w:afterAutospacing="0"/>
        <w:jc w:val="both"/>
        <w:rPr>
          <w:sz w:val="28"/>
          <w:szCs w:val="28"/>
          <w:lang w:val="en-US"/>
        </w:rPr>
      </w:pPr>
      <w:r>
        <w:rPr>
          <w:sz w:val="28"/>
          <w:szCs w:val="28"/>
          <w:lang w:val="en-US"/>
        </w:rPr>
        <w:t xml:space="preserve">SFAC (Statement of Financial Accounting Concepts)- </w:t>
      </w:r>
      <w:r>
        <w:rPr>
          <w:sz w:val="28"/>
          <w:szCs w:val="28"/>
        </w:rPr>
        <w:t>Положения</w:t>
      </w:r>
      <w:r>
        <w:rPr>
          <w:sz w:val="28"/>
          <w:szCs w:val="28"/>
          <w:lang w:val="en-US"/>
        </w:rPr>
        <w:t xml:space="preserve"> </w:t>
      </w:r>
      <w:r>
        <w:rPr>
          <w:sz w:val="28"/>
          <w:szCs w:val="28"/>
        </w:rPr>
        <w:t>о</w:t>
      </w:r>
      <w:r>
        <w:rPr>
          <w:sz w:val="28"/>
          <w:szCs w:val="28"/>
          <w:lang w:val="en-US"/>
        </w:rPr>
        <w:t xml:space="preserve"> </w:t>
      </w:r>
      <w:r>
        <w:rPr>
          <w:sz w:val="28"/>
          <w:szCs w:val="28"/>
        </w:rPr>
        <w:t>концепциях</w:t>
      </w:r>
      <w:r>
        <w:rPr>
          <w:sz w:val="28"/>
          <w:szCs w:val="28"/>
          <w:lang w:val="en-US"/>
        </w:rPr>
        <w:t xml:space="preserve"> </w:t>
      </w:r>
      <w:r>
        <w:rPr>
          <w:sz w:val="28"/>
          <w:szCs w:val="28"/>
        </w:rPr>
        <w:t>финансового</w:t>
      </w:r>
      <w:r>
        <w:rPr>
          <w:sz w:val="28"/>
          <w:szCs w:val="28"/>
          <w:lang w:val="en-US"/>
        </w:rPr>
        <w:t xml:space="preserve"> </w:t>
      </w:r>
      <w:r>
        <w:rPr>
          <w:sz w:val="28"/>
          <w:szCs w:val="28"/>
        </w:rPr>
        <w:t>учета</w:t>
      </w:r>
    </w:p>
    <w:p w14:paraId="01BD5724">
      <w:pPr>
        <w:pStyle w:val="30"/>
        <w:spacing w:before="0" w:beforeAutospacing="0" w:after="0" w:afterAutospacing="0"/>
        <w:jc w:val="both"/>
        <w:rPr>
          <w:sz w:val="28"/>
          <w:szCs w:val="28"/>
        </w:rPr>
      </w:pPr>
      <w:r>
        <w:rPr>
          <w:sz w:val="28"/>
          <w:szCs w:val="28"/>
        </w:rPr>
        <w:t>тг – тенге</w:t>
      </w:r>
    </w:p>
    <w:p w14:paraId="57C4BC78">
      <w:pPr>
        <w:pStyle w:val="30"/>
        <w:spacing w:before="0" w:beforeAutospacing="0" w:after="0" w:afterAutospacing="0"/>
        <w:jc w:val="both"/>
        <w:rPr>
          <w:sz w:val="28"/>
          <w:szCs w:val="28"/>
        </w:rPr>
      </w:pPr>
      <w:r>
        <w:rPr>
          <w:sz w:val="28"/>
          <w:szCs w:val="28"/>
        </w:rPr>
        <w:t>трлн – триллионов</w:t>
      </w:r>
    </w:p>
    <w:p w14:paraId="317F30DF">
      <w:pPr>
        <w:pStyle w:val="30"/>
        <w:spacing w:before="0" w:beforeAutospacing="0" w:after="0" w:afterAutospacing="0"/>
        <w:jc w:val="both"/>
        <w:rPr>
          <w:sz w:val="28"/>
          <w:szCs w:val="28"/>
        </w:rPr>
      </w:pPr>
      <w:r>
        <w:rPr>
          <w:sz w:val="28"/>
          <w:szCs w:val="28"/>
        </w:rPr>
        <w:t>тыс – тысяч</w:t>
      </w:r>
    </w:p>
    <w:p w14:paraId="7782AD5B">
      <w:pPr>
        <w:pStyle w:val="30"/>
        <w:spacing w:before="0" w:beforeAutospacing="0" w:after="0" w:afterAutospacing="0"/>
        <w:jc w:val="both"/>
        <w:rPr>
          <w:sz w:val="28"/>
          <w:szCs w:val="28"/>
        </w:rPr>
      </w:pPr>
      <w:r>
        <w:rPr>
          <w:sz w:val="28"/>
          <w:szCs w:val="28"/>
        </w:rPr>
        <w:t>УП – управление проектами</w:t>
      </w:r>
    </w:p>
    <w:p w14:paraId="6B416DCC">
      <w:pPr>
        <w:pStyle w:val="30"/>
        <w:spacing w:before="0" w:beforeAutospacing="0" w:after="0" w:afterAutospacing="0"/>
        <w:jc w:val="both"/>
        <w:rPr>
          <w:sz w:val="28"/>
          <w:szCs w:val="28"/>
        </w:rPr>
      </w:pPr>
      <w:r>
        <w:rPr>
          <w:sz w:val="28"/>
          <w:szCs w:val="28"/>
        </w:rPr>
        <w:t>ISO (International Organization for Standardization) – Международная организация по стандартизации</w:t>
      </w:r>
    </w:p>
    <w:p w14:paraId="481E211F">
      <w:pPr>
        <w:pStyle w:val="30"/>
        <w:spacing w:before="0" w:beforeAutospacing="0" w:after="0" w:afterAutospacing="0"/>
        <w:jc w:val="both"/>
        <w:rPr>
          <w:sz w:val="28"/>
          <w:szCs w:val="28"/>
        </w:rPr>
      </w:pPr>
      <w:r>
        <w:rPr>
          <w:sz w:val="28"/>
          <w:szCs w:val="28"/>
        </w:rPr>
        <w:t>ICB (International Competence Baseline) – Базовые требования к компетентности</w:t>
      </w:r>
    </w:p>
    <w:p w14:paraId="46E97F66">
      <w:pPr>
        <w:spacing w:after="0" w:line="240" w:lineRule="auto"/>
        <w:jc w:val="both"/>
        <w:rPr>
          <w:rFonts w:ascii="Times New Roman" w:hAnsi="Times New Roman" w:cs="Times New Roman"/>
          <w:b/>
          <w:sz w:val="28"/>
          <w:szCs w:val="28"/>
        </w:rPr>
      </w:pPr>
    </w:p>
    <w:p w14:paraId="06C93D6E">
      <w:bookmarkStart w:id="4" w:name="_Toc219671637"/>
    </w:p>
    <w:p w14:paraId="71466279"/>
    <w:p w14:paraId="343CC108">
      <w:r>
        <w:br w:type="page"/>
      </w:r>
    </w:p>
    <w:p w14:paraId="19C61A2A">
      <w:pPr>
        <w:pStyle w:val="2"/>
        <w:spacing w:before="0" w:line="240" w:lineRule="auto"/>
        <w:jc w:val="center"/>
        <w:rPr>
          <w:rFonts w:ascii="Times New Roman" w:hAnsi="Times New Roman" w:cs="Times New Roman"/>
          <w:b w:val="0"/>
          <w:color w:val="auto"/>
        </w:rPr>
      </w:pPr>
      <w:r>
        <w:rPr>
          <w:rFonts w:ascii="Times New Roman" w:hAnsi="Times New Roman" w:cs="Times New Roman"/>
          <w:color w:val="auto"/>
        </w:rPr>
        <w:t>ВВЕДЕНИЕ</w:t>
      </w:r>
      <w:bookmarkEnd w:id="4"/>
    </w:p>
    <w:p w14:paraId="5FE670F5">
      <w:pPr>
        <w:spacing w:after="0" w:line="240" w:lineRule="auto"/>
        <w:jc w:val="both"/>
        <w:rPr>
          <w:rFonts w:ascii="Times New Roman" w:hAnsi="Times New Roman" w:cs="Times New Roman"/>
          <w:b/>
          <w:sz w:val="28"/>
          <w:szCs w:val="28"/>
        </w:rPr>
      </w:pPr>
    </w:p>
    <w:p w14:paraId="26884D95">
      <w:pPr>
        <w:spacing w:after="0" w:line="240" w:lineRule="auto"/>
        <w:ind w:firstLine="708"/>
        <w:jc w:val="both"/>
        <w:rPr>
          <w:rFonts w:ascii="Times New Roman" w:hAnsi="Times New Roman" w:cs="Times New Roman"/>
          <w:bCs/>
          <w:sz w:val="28"/>
          <w:szCs w:val="28"/>
        </w:rPr>
      </w:pPr>
      <w:r>
        <w:rPr>
          <w:rFonts w:ascii="Times New Roman" w:hAnsi="Times New Roman" w:cs="Times New Roman"/>
          <w:b/>
          <w:sz w:val="28"/>
          <w:szCs w:val="28"/>
        </w:rPr>
        <w:t>Актуальность и новизна темы исследования.</w:t>
      </w:r>
      <w:r>
        <w:rPr>
          <w:rFonts w:ascii="Times New Roman" w:hAnsi="Times New Roman" w:cs="Times New Roman"/>
          <w:bCs/>
          <w:sz w:val="28"/>
          <w:szCs w:val="28"/>
        </w:rPr>
        <w:t xml:space="preserve"> </w:t>
      </w:r>
    </w:p>
    <w:p w14:paraId="56151A27">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Несмотря на то, что в условиях затянувшегося мирового финансового кризиса и геополитической нестабильности государство и финрегулятор уделяют большое внимание вопросам сокращения объемов проблемных активов хозяйствующих субъектов, ситуация в банковском секторе остается напряженной.</w:t>
      </w:r>
    </w:p>
    <w:p w14:paraId="02993FE2">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Основной функцией банков второго уровня является перераспределение временно аккумулированных денежных средств, полученных от клиентов, которые при этом переходят в разряд банковских активов (потенциально проблемных). Фактически ни один банк не может осуществлять свою деятельность в безрисковой зоне. Сдерживающим фактором роста деловой активности предприятия является также нежелание банков направлять свободные финансовые средства в реальный сектор экономики, что связано с опасностью кредитного риска (невозврат займа), риска ликвидности, отраслевых и операционных рисков.</w:t>
      </w:r>
    </w:p>
    <w:p w14:paraId="4C34824A">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В условиях растущей конкуренции и глобальной цифровизации казахстанские банки все чаще стали использовать методы и приемы проектного управления, позволяющие перейти от операционной и реактивной деятельности к результат-ориентированным технологиям и управлению развитием. Проектный подход обусловлен необходимостью получения быстрых эффективных результатов при наименьших затратах. Вместе с тем, необходимо признать, что внедрение проектного подхода в деятельность казахстанских банков сопряжено с рядом ограничений (дефицит опытных и квалифицированных кадров, увеличение времени на планирование и внесение изменений в документацию, отсутствие единых стандартов и формальный подход, а также слабый контроль за выполнением проектов).</w:t>
      </w:r>
    </w:p>
    <w:p w14:paraId="15772BC7">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Использование проектного подхода позволяет структурировать процессы работы с проблемными активами, снизить уровень неработающих кредитов (NPL), обеспечить чёткое планирование и контроль сроков, ресурсов и результатов, а также повысить прозрачность и результативность управленческих решений. Кроме того, проектный подход создаёт условия для интеграции современных цифровых решений, аналитических инструментов и ESG-принципов в систему риск-менеджмента банков.</w:t>
      </w:r>
    </w:p>
    <w:p w14:paraId="17D72213">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Дополнительную значимость теме придаёт недостаточная разработанность методологических основ применения проектного подхода в управлении проблемными активами банков, ориентированных на кредитование реального сектора экономики Республики Казахстан. Указанные обстоятельства определяют необходимость научного обоснования и разработки практических рекомендаций по развитию и внедрению проектных методов в данной сфере.</w:t>
      </w:r>
    </w:p>
    <w:p w14:paraId="3342EFE5">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Теоретические и методологические основы взаимодействия банковского и реального секторов экономики, а также роль государства в данном процессе получили широкое освещение в научных трудах отечественных и зарубежных исследователей. Существенный вклад в развитие данной проблематики внесли А. Смит, К. Маркс, Р. Гильфердинг, Дж. М. Кейнс, М. Фридмен, Й. Шумпетер, Дж. Стиглиц, Р. Харрод, Х. Мински, К. Перес, О. И. Лаврушин, Л. Н. Красавина, С. Ю. Глазьев, Н. Е. Егорова, А. М. Смулова, А. Е. Дворецкий, Г. С. Панова, М. А. Абрамова, О. С. Сухарева, В. М. Маевский, В. Горегляд, А. Басов, С. А. Андрюшин, Н.Н. Оленёв, Т. М. Рыскина, С. Е. Дубовая, С. М. Дробышевский, А. Г. Мовсесян, И. Н. Юдина, И. Н. Рыкова, Я. В. Сергиенко, И. В. Галанцева и О. И. Москвина.</w:t>
      </w:r>
    </w:p>
    <w:p w14:paraId="29F9F8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Вопросы формирования и закономерностей развития систем управления проектами различной отраслевой направленности нашли широкое отражение в трудах известных зарубежных исследователей, таких как Г. Дитхельм, Р. Арчибальд, Э. Йордон, Э. Ферн, О.И. Боткин, В.И. Голиков, Г. Джафари, В.В. Ильин, Д. Милошевич, В.И. Некрасов, Ю.К. Перский, Е.В. Попов, А.Н. Пыткин, М.Л. Разу, О.А. Романова, А.И. Татаркин и др.</w:t>
      </w:r>
    </w:p>
    <w:p w14:paraId="75BE94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Отдельные аспекты управления проблемной задолженностью в банковской сфере Казахстана отражены в трудах отечественных экономистов: У.Б. Баймуратова, А. Есентугелова, Н.К. Кучуковой, М.Б. Кенжегузина, Г.Т. Калиевой и др.</w:t>
      </w:r>
    </w:p>
    <w:p w14:paraId="2B464D3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Теория проектного управления, являющаяся относительно новым направлением в отечественной экономической науке, в Казахстане получила активное развитие за последние десять лет. Значительный вклад в её становление внесли А.Ф. Цеховой, Т.С. Саткалиева, А.Н. Саханова, К.С. Мухтарова, О.С. Сабден, С.Т. Купешова, С.Б. Абдыгаппарова, А.Б. Майдырова и др.</w:t>
      </w:r>
    </w:p>
    <w:p w14:paraId="430E42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Несмотря на существенные достижения отечественных и зарубежных исследователей в области теории и практики управления проблемными активами банков, многие теоретические положения и прикладные подходы по-прежнему остаются недостаточно разработанными, а часть из них вызывает научные дискуссии. При этом, несмотря на явную востребованность применения проектных методов в управлении банковской задолженностью, как проблемной, так и стандартной, приходится констатировать, что данное направление в отечественной науке и практике практически не получило должного развития.</w:t>
      </w:r>
    </w:p>
    <w:p w14:paraId="152689C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Вопросы кредитования предприятий реального сектора и проектного управления проблемными активами банков, являющихся их кредиторами, в отечественной научной литературе изучены фрагментарно, а некоторые аспекты оказались вне поля зрения ученых-экономистов.  Отсутствие комплексных казахстанских исследований по построению системы управления проблемными активами банков второго уровня, участвующих в инвестиционных процессах реального сектора, предопределило выбор темы диссертационного исследования, её актуальность, цель и задачи.</w:t>
      </w:r>
    </w:p>
    <w:p w14:paraId="0281153B">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Цель исследования </w:t>
      </w:r>
      <w:r>
        <w:rPr>
          <w:rFonts w:ascii="Times New Roman" w:hAnsi="Times New Roman" w:cs="Times New Roman"/>
          <w:sz w:val="28"/>
          <w:szCs w:val="28"/>
        </w:rPr>
        <w:t>заключается в разработке методологически обоснованного проектного подхода к управлению проблемными активами банков, кредитующих реальный сектор экономики Республики Казахстан, с учетом макроэкономических факторов, особенностей банковской системы и специфики реального сектора экономики.</w:t>
      </w:r>
    </w:p>
    <w:p w14:paraId="2D181B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достижения поставленной цели были определены следующие</w:t>
      </w:r>
      <w:r>
        <w:rPr>
          <w:rFonts w:ascii="Times New Roman" w:hAnsi="Times New Roman" w:cs="Times New Roman"/>
          <w:b/>
          <w:bCs/>
          <w:sz w:val="28"/>
          <w:szCs w:val="28"/>
        </w:rPr>
        <w:t xml:space="preserve"> </w:t>
      </w:r>
      <w:r>
        <w:rPr>
          <w:rFonts w:ascii="Times New Roman" w:hAnsi="Times New Roman" w:cs="Times New Roman"/>
          <w:sz w:val="28"/>
          <w:szCs w:val="28"/>
        </w:rPr>
        <w:t>задачи исследования:</w:t>
      </w:r>
    </w:p>
    <w:p w14:paraId="10EF5721">
      <w:pPr>
        <w:tabs>
          <w:tab w:val="left" w:pos="709"/>
        </w:tabs>
        <w:spacing w:after="0" w:line="240" w:lineRule="auto"/>
        <w:ind w:firstLine="567"/>
        <w:jc w:val="both"/>
        <w:rPr>
          <w:rFonts w:ascii="Times New Roman" w:hAnsi="Times New Roman"/>
          <w:sz w:val="28"/>
          <w:szCs w:val="28"/>
        </w:rPr>
      </w:pPr>
      <w:r>
        <w:rPr>
          <w:rFonts w:ascii="Times New Roman" w:hAnsi="Times New Roman"/>
          <w:sz w:val="28"/>
          <w:szCs w:val="28"/>
        </w:rPr>
        <w:t>- Исследовать экономическую сущность и классификацию проблемных активов банков;</w:t>
      </w:r>
    </w:p>
    <w:p w14:paraId="48EE3453">
      <w:pPr>
        <w:tabs>
          <w:tab w:val="left" w:pos="709"/>
        </w:tabs>
        <w:spacing w:after="0" w:line="240" w:lineRule="auto"/>
        <w:ind w:firstLine="567"/>
        <w:jc w:val="both"/>
        <w:rPr>
          <w:rFonts w:ascii="Times New Roman" w:hAnsi="Times New Roman"/>
          <w:sz w:val="28"/>
          <w:szCs w:val="28"/>
        </w:rPr>
      </w:pPr>
      <w:r>
        <w:rPr>
          <w:rFonts w:ascii="Times New Roman" w:hAnsi="Times New Roman"/>
          <w:sz w:val="28"/>
          <w:szCs w:val="28"/>
        </w:rPr>
        <w:t>-Выявить причины формирования проблемных активов при кредитовании реального сектора экономики;</w:t>
      </w:r>
    </w:p>
    <w:p w14:paraId="755A3BDA">
      <w:pPr>
        <w:tabs>
          <w:tab w:val="left" w:pos="709"/>
        </w:tabs>
        <w:spacing w:after="0" w:line="240" w:lineRule="auto"/>
        <w:ind w:firstLine="567"/>
        <w:jc w:val="both"/>
        <w:rPr>
          <w:rFonts w:ascii="Times New Roman" w:hAnsi="Times New Roman"/>
          <w:sz w:val="28"/>
          <w:szCs w:val="28"/>
        </w:rPr>
      </w:pPr>
      <w:r>
        <w:rPr>
          <w:rFonts w:ascii="Times New Roman" w:hAnsi="Times New Roman"/>
          <w:sz w:val="28"/>
          <w:szCs w:val="28"/>
        </w:rPr>
        <w:t>-Проследить эволюцию подходов к управлению проблемными активами в мировой практике;</w:t>
      </w:r>
    </w:p>
    <w:p w14:paraId="21B70306">
      <w:pPr>
        <w:tabs>
          <w:tab w:val="left" w:pos="709"/>
        </w:tabs>
        <w:spacing w:after="0" w:line="240" w:lineRule="auto"/>
        <w:ind w:firstLine="567"/>
        <w:jc w:val="both"/>
        <w:rPr>
          <w:rFonts w:ascii="Times New Roman" w:hAnsi="Times New Roman"/>
          <w:sz w:val="28"/>
          <w:szCs w:val="28"/>
        </w:rPr>
      </w:pPr>
      <w:r>
        <w:rPr>
          <w:rFonts w:ascii="Times New Roman" w:hAnsi="Times New Roman"/>
          <w:sz w:val="28"/>
          <w:szCs w:val="28"/>
        </w:rPr>
        <w:t>-Рассмотреть проектный подход как инструмент повышения эффективности управления проблемными активами;</w:t>
      </w:r>
    </w:p>
    <w:p w14:paraId="04FBB528">
      <w:pPr>
        <w:tabs>
          <w:tab w:val="left" w:pos="709"/>
        </w:tabs>
        <w:spacing w:after="0" w:line="240" w:lineRule="auto"/>
        <w:ind w:firstLine="567"/>
        <w:jc w:val="both"/>
        <w:rPr>
          <w:rFonts w:ascii="Times New Roman" w:hAnsi="Times New Roman"/>
          <w:sz w:val="28"/>
          <w:szCs w:val="28"/>
        </w:rPr>
      </w:pPr>
      <w:r>
        <w:rPr>
          <w:rFonts w:ascii="Times New Roman" w:hAnsi="Times New Roman"/>
          <w:sz w:val="28"/>
          <w:szCs w:val="28"/>
        </w:rPr>
        <w:t>-Провести анализ состояния кредитования реального сектора и динамики проблемных активов банков Республики Казахстан;</w:t>
      </w:r>
    </w:p>
    <w:p w14:paraId="476166F2">
      <w:pPr>
        <w:tabs>
          <w:tab w:val="left" w:pos="709"/>
        </w:tabs>
        <w:spacing w:after="0" w:line="240" w:lineRule="auto"/>
        <w:ind w:firstLine="567"/>
        <w:jc w:val="both"/>
        <w:rPr>
          <w:rFonts w:ascii="Times New Roman" w:hAnsi="Times New Roman"/>
          <w:sz w:val="28"/>
          <w:szCs w:val="28"/>
        </w:rPr>
      </w:pPr>
      <w:r>
        <w:rPr>
          <w:rFonts w:ascii="Times New Roman" w:hAnsi="Times New Roman"/>
          <w:sz w:val="28"/>
          <w:szCs w:val="28"/>
        </w:rPr>
        <w:t>-Оценить действующие модели управления проблемными активами и выявить системные ограничения;</w:t>
      </w:r>
    </w:p>
    <w:p w14:paraId="7EB71A37">
      <w:pPr>
        <w:tabs>
          <w:tab w:val="left" w:pos="709"/>
        </w:tabs>
        <w:spacing w:after="0" w:line="240" w:lineRule="auto"/>
        <w:ind w:firstLine="567"/>
        <w:jc w:val="both"/>
        <w:rPr>
          <w:rFonts w:ascii="Times New Roman" w:hAnsi="Times New Roman"/>
          <w:sz w:val="28"/>
          <w:szCs w:val="28"/>
        </w:rPr>
      </w:pPr>
      <w:r>
        <w:rPr>
          <w:rFonts w:ascii="Times New Roman" w:hAnsi="Times New Roman"/>
          <w:sz w:val="28"/>
          <w:szCs w:val="28"/>
        </w:rPr>
        <w:t>-Исследовать влияние макроэкономических факторов на формирование проблемных активов с применением структурного моделирования (PLS-SEM);</w:t>
      </w:r>
    </w:p>
    <w:p w14:paraId="5175BB0C">
      <w:pPr>
        <w:tabs>
          <w:tab w:val="left" w:pos="709"/>
        </w:tabs>
        <w:spacing w:after="0" w:line="240" w:lineRule="auto"/>
        <w:ind w:firstLine="567"/>
        <w:jc w:val="both"/>
        <w:rPr>
          <w:rFonts w:ascii="Times New Roman" w:hAnsi="Times New Roman"/>
          <w:sz w:val="28"/>
          <w:szCs w:val="28"/>
        </w:rPr>
      </w:pPr>
      <w:r>
        <w:rPr>
          <w:rFonts w:ascii="Times New Roman" w:hAnsi="Times New Roman"/>
          <w:sz w:val="28"/>
          <w:szCs w:val="28"/>
        </w:rPr>
        <w:t>-Разработать математическую и организационную модель проектного управления проблемными активами с выделением ключевых агентов и сценариев управления;</w:t>
      </w:r>
    </w:p>
    <w:p w14:paraId="2C9599FF">
      <w:pPr>
        <w:tabs>
          <w:tab w:val="left" w:pos="709"/>
        </w:tabs>
        <w:spacing w:after="0" w:line="240" w:lineRule="auto"/>
        <w:ind w:firstLine="567"/>
        <w:jc w:val="both"/>
        <w:rPr>
          <w:rFonts w:ascii="Times New Roman" w:hAnsi="Times New Roman"/>
          <w:sz w:val="28"/>
          <w:szCs w:val="28"/>
        </w:rPr>
      </w:pPr>
      <w:r>
        <w:rPr>
          <w:rFonts w:ascii="Times New Roman" w:hAnsi="Times New Roman"/>
          <w:sz w:val="28"/>
          <w:szCs w:val="28"/>
        </w:rPr>
        <w:t>-Предложить рекомендации по внедрению проектного подхода для повышения эффективности реструктуризации и стабилизации банковской системы.</w:t>
      </w:r>
    </w:p>
    <w:p w14:paraId="02418EE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Общая проверяемая гипотеза: интеграция макроэкономических детерминант и проектного подхода в управлении проблемными активами банков позволяет одновременно повышать эффективность реструктуризации проблемных кредитов, снижать финансовые потери банков и обеспечивать устойчивость кредитования реального сектора экономики Республики Казахстан.</w:t>
      </w:r>
    </w:p>
    <w:p w14:paraId="2814D1EC">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Объект исследования — </w:t>
      </w:r>
      <w:r>
        <w:rPr>
          <w:rFonts w:ascii="Times New Roman" w:hAnsi="Times New Roman" w:cs="Times New Roman"/>
          <w:sz w:val="28"/>
          <w:szCs w:val="28"/>
        </w:rPr>
        <w:t>проблемные активы банков как объекты проектного управления.</w:t>
      </w:r>
    </w:p>
    <w:p w14:paraId="41C60A93">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Предмет исследования — </w:t>
      </w:r>
      <w:r>
        <w:rPr>
          <w:rFonts w:ascii="Times New Roman" w:hAnsi="Times New Roman" w:cs="Times New Roman"/>
          <w:sz w:val="28"/>
          <w:szCs w:val="28"/>
        </w:rPr>
        <w:t>методологические и практические аспекты проектного управления проблемными активами, включая классификацию активов, методы их отбора, организационную модель и сценарии реструктуризации.</w:t>
      </w:r>
    </w:p>
    <w:p w14:paraId="659090F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исследования были изучены статистические данные по предприятиям реального сектора, материалы Национального Банка РК, государственных органов, международных организаций и рейтинговых агентств.</w:t>
      </w:r>
    </w:p>
    <w:p w14:paraId="7615BB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Информационная база включала законодательные и нормативные акты Республики Казахстан, указы Президента, постановления Правительства, официальную отчетность государственных и финансовых институтов, а также международные стандарты управления проектами.</w:t>
      </w:r>
    </w:p>
    <w:p w14:paraId="3AC810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Методы исследования: логический и сравнительный анализ, системный и структурный подход, экономико-математическое моделирование, статистические методы, экспертная оценка и метод классификации.</w:t>
      </w:r>
    </w:p>
    <w:p w14:paraId="282F90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Научная новизна диссертационной работы состоит в разработке и теоретическом обосновании применения проектного подхода при управлении проблемными активами банков, кредитующих реальный сектор экономики Казахстана, а также в предложении алгоритма его реализации.</w:t>
      </w:r>
    </w:p>
    <w:p w14:paraId="43D75A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 числу основных результатов, обладающих научной новизной, относятся:</w:t>
      </w:r>
    </w:p>
    <w:p w14:paraId="37C4D148">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Разработан подход к проектному управлению проблемными активами банков, основанный на комплексной оценке макроэкономических условий и существующих подходов к кредитованию реального сектора экономики Казахстана.</w:t>
      </w:r>
    </w:p>
    <w:p w14:paraId="149D9592">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основе структурного моделирования выявлены взаимосвязи между макроэкономическими, социальными, внешнеэкономическими факторами и риск-параметрами проектного подхода в управлении проблемными активами в условиях экономических шоков.</w:t>
      </w:r>
    </w:p>
    <w:p w14:paraId="7C7FB06B">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Разработана многоагентная математическая модель проектного управления проблемными активами, учитывающая взаимодействие банков второго уровня, специализированных компаний, Национального банка и Фонда проблемных активов, по работе с NPL.</w:t>
      </w:r>
    </w:p>
    <w:p w14:paraId="499FE36B">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Разработаны концептуальные и методические основы проектно-ориентированного управления проблемными активами реального сектора экономики на основе международных стандартов проектного менеджмента.</w:t>
      </w:r>
    </w:p>
    <w:p w14:paraId="15E4651A">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Основные положения, выносимые на защиту</w:t>
      </w:r>
    </w:p>
    <w:p w14:paraId="76075921">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Разработана концептуальная модель проектного управления проблемными активами банков, включающая методику классификации объектов управления по отрасли, стадии проблемности и экономической жизнеспособности заемщика, что обеспечивает целенаправленный контроль и эффективную реструктуризацию NPL.</w:t>
      </w:r>
    </w:p>
    <w:p w14:paraId="12F33A28">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Предложена методика интеграции макроэкономических детерминант (инфляция, процентные ставки, темпы роста ВВП, валютные колебания) в оценку уровня проблемных активов, позволяющая прогнозировать динамику NPL и принимать управленческие решения на основе количественных данных.</w:t>
      </w:r>
    </w:p>
    <w:p w14:paraId="180ACB0E">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Создана математическая модель банковской системы Республики Казахстан с выделением ключевых агентов — банки с нормальными активами, «плохой» банк, Центральный банк и Фонд проблемных активов — для анализа различных сценариев управления проблемными кредитами.</w:t>
      </w:r>
    </w:p>
    <w:p w14:paraId="711C863D">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Разработаны сценарии управления проблемными активами, включая реструктуризацию, новое кредитование, продажу и перевыкуп токсичных активов, что позволяет минимизировать потери банков и государства и повышает эффективность проектного подхода.</w:t>
      </w:r>
    </w:p>
    <w:p w14:paraId="6E56CE2A">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Предложены практические рекомендации по внедрению проектного подхода в управление проблемными активами, направленные на повышение прозрачности процессов, сокращение времени реагирования и обеспечение устойчивости кредитования реального сектора экономики Республики Казахстан.</w:t>
      </w:r>
    </w:p>
    <w:p w14:paraId="133012C7">
      <w:pPr>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rPr>
        <w:t>Теоретическая значимость</w:t>
      </w:r>
      <w:r>
        <w:rPr>
          <w:rFonts w:ascii="Times New Roman" w:hAnsi="Times New Roman" w:cs="Times New Roman"/>
          <w:b/>
          <w:bCs/>
          <w:sz w:val="28"/>
          <w:szCs w:val="28"/>
        </w:rPr>
        <w:t xml:space="preserve"> </w:t>
      </w:r>
      <w:r>
        <w:rPr>
          <w:rFonts w:ascii="Times New Roman" w:hAnsi="Times New Roman" w:cs="Times New Roman"/>
          <w:sz w:val="28"/>
          <w:szCs w:val="28"/>
        </w:rPr>
        <w:t>исследования заключается в разработке концептуальных положений и методических основ проектного подхода к управлению проблемными активами банков, интегрированных с макроэкономическими детерминантами. Полученные результаты позволяют расширить научное понимание механизмов формирования и реструктуризации проблемных кредитов в реальном секторе экономики. Работа вносит вклад в теорию банковского управления и проектного подхода с целью снижения рисков проблемных активов.</w:t>
      </w:r>
    </w:p>
    <w:p w14:paraId="364D16F6">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Практическая значимость</w:t>
      </w:r>
      <w:r>
        <w:rPr>
          <w:rFonts w:ascii="Times New Roman" w:hAnsi="Times New Roman" w:cs="Times New Roman"/>
          <w:sz w:val="28"/>
          <w:szCs w:val="28"/>
        </w:rPr>
        <w:t xml:space="preserve"> выполненного исследования заключается в возможности внедрения разработанной модели проектного подхода в деятельность банков второго уровня и органов регулирования. Она переводит портфель проблемных активов в разряд управляемых проектов, повышая эффективность реструктуризации и минимизируя финансовые потери банков. Разработанные сценарии управления проблемными активами обеспечивают прозрачность принятия решений и сокращают сроки реагирования на риски ухудшения качества кредитного портфеля. Математическая модель взаимодействия четырех ключевых агентов позволяет прогнозировать последствия применения различных стратегий для поддержания устойчивости банковской системы. Результаты исследования могут быть использованы для внедрения проектного подхода в управление проблемными активами банков второго уровня, Фонда проблемных кредитов и предприятий реального сектора. </w:t>
      </w:r>
    </w:p>
    <w:p w14:paraId="4676BDD3">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Вклад диссертанта</w:t>
      </w:r>
      <w:r>
        <w:rPr>
          <w:rFonts w:ascii="Times New Roman" w:hAnsi="Times New Roman" w:cs="Times New Roman"/>
          <w:sz w:val="28"/>
          <w:szCs w:val="28"/>
        </w:rPr>
        <w:t xml:space="preserve"> заключается в разработке концептуальной модели проектного управления проблемными активами банков с учетом макроэкономических факторов и специфики кредитования реального сектора экономики Республики Казахстан. Автором предложена методика формирования выборки объектов проектного управления и сценариев реструктуризации проблемных кредитов с выделением ключевых агентов банковской системы. Разработана математическая модель взаимодействия банков с нормальными и проблемными активами, Центрального банка и Фонда проблемных активов для оптимизации управления NPL. Диссертантом проведена оценка влияния макроэкономических детерминант на уровень проблемных активов с применением структурного моделирования PLS-SEM. Полученные результаты позволили выработать рекомендации по повышению эффективности реструктуризации кредитов и обеспечению устойчивости банковской системы.</w:t>
      </w:r>
    </w:p>
    <w:p w14:paraId="545D150D">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b/>
          <w:bCs/>
          <w:sz w:val="28"/>
          <w:szCs w:val="28"/>
        </w:rPr>
        <w:t>Апробация</w:t>
      </w:r>
      <w:r>
        <w:rPr>
          <w:rFonts w:ascii="Times New Roman" w:hAnsi="Times New Roman" w:cs="Times New Roman"/>
          <w:b/>
          <w:bCs/>
          <w:sz w:val="28"/>
          <w:szCs w:val="28"/>
          <w:lang w:val="en-US"/>
        </w:rPr>
        <w:t xml:space="preserve"> </w:t>
      </w:r>
      <w:r>
        <w:rPr>
          <w:rFonts w:ascii="Times New Roman" w:hAnsi="Times New Roman" w:cs="Times New Roman"/>
          <w:b/>
          <w:bCs/>
          <w:sz w:val="28"/>
          <w:szCs w:val="28"/>
        </w:rPr>
        <w:t>результатов</w:t>
      </w:r>
      <w:r>
        <w:rPr>
          <w:rFonts w:ascii="Times New Roman" w:hAnsi="Times New Roman" w:cs="Times New Roman"/>
          <w:b/>
          <w:bCs/>
          <w:sz w:val="28"/>
          <w:szCs w:val="28"/>
          <w:lang w:val="en-US"/>
        </w:rPr>
        <w:t xml:space="preserve"> </w:t>
      </w:r>
      <w:r>
        <w:rPr>
          <w:rFonts w:ascii="Times New Roman" w:hAnsi="Times New Roman" w:cs="Times New Roman"/>
          <w:b/>
          <w:bCs/>
          <w:sz w:val="28"/>
          <w:szCs w:val="28"/>
        </w:rPr>
        <w:t>исследования</w:t>
      </w:r>
      <w:r>
        <w:rPr>
          <w:rFonts w:ascii="Times New Roman" w:hAnsi="Times New Roman" w:cs="Times New Roman"/>
          <w:sz w:val="28"/>
          <w:szCs w:val="28"/>
          <w:lang w:val="en-US"/>
        </w:rPr>
        <w:t xml:space="preserve">. </w:t>
      </w:r>
      <w:r>
        <w:rPr>
          <w:rFonts w:ascii="Times New Roman" w:hAnsi="Times New Roman" w:cs="Times New Roman"/>
          <w:sz w:val="28"/>
          <w:szCs w:val="28"/>
        </w:rPr>
        <w:t>Материалы</w:t>
      </w:r>
      <w:r>
        <w:rPr>
          <w:rFonts w:ascii="Times New Roman" w:hAnsi="Times New Roman" w:cs="Times New Roman"/>
          <w:sz w:val="28"/>
          <w:szCs w:val="28"/>
          <w:lang w:val="en-US"/>
        </w:rPr>
        <w:t xml:space="preserve"> </w:t>
      </w:r>
      <w:r>
        <w:rPr>
          <w:rFonts w:ascii="Times New Roman" w:hAnsi="Times New Roman" w:cs="Times New Roman"/>
          <w:sz w:val="28"/>
          <w:szCs w:val="28"/>
        </w:rPr>
        <w:t>исследования</w:t>
      </w:r>
      <w:r>
        <w:rPr>
          <w:rFonts w:ascii="Times New Roman" w:hAnsi="Times New Roman" w:cs="Times New Roman"/>
          <w:sz w:val="28"/>
          <w:szCs w:val="28"/>
          <w:lang w:val="en-US"/>
        </w:rPr>
        <w:t xml:space="preserve"> </w:t>
      </w:r>
      <w:r>
        <w:rPr>
          <w:rFonts w:ascii="Times New Roman" w:hAnsi="Times New Roman" w:cs="Times New Roman"/>
          <w:sz w:val="28"/>
          <w:szCs w:val="28"/>
        </w:rPr>
        <w:t>доложены</w:t>
      </w:r>
      <w:r>
        <w:rPr>
          <w:rFonts w:ascii="Times New Roman" w:hAnsi="Times New Roman" w:cs="Times New Roman"/>
          <w:sz w:val="28"/>
          <w:szCs w:val="28"/>
          <w:lang w:val="en-US"/>
        </w:rPr>
        <w:t xml:space="preserve"> </w:t>
      </w:r>
      <w:r>
        <w:rPr>
          <w:rFonts w:ascii="Times New Roman" w:hAnsi="Times New Roman" w:cs="Times New Roman"/>
          <w:sz w:val="28"/>
          <w:szCs w:val="28"/>
        </w:rPr>
        <w:t>и</w:t>
      </w:r>
      <w:r>
        <w:rPr>
          <w:rFonts w:ascii="Times New Roman" w:hAnsi="Times New Roman" w:cs="Times New Roman"/>
          <w:sz w:val="28"/>
          <w:szCs w:val="28"/>
          <w:lang w:val="en-US"/>
        </w:rPr>
        <w:t xml:space="preserve"> </w:t>
      </w:r>
      <w:r>
        <w:rPr>
          <w:rFonts w:ascii="Times New Roman" w:hAnsi="Times New Roman" w:cs="Times New Roman"/>
          <w:sz w:val="28"/>
          <w:szCs w:val="28"/>
        </w:rPr>
        <w:t>опубликованы</w:t>
      </w:r>
      <w:r>
        <w:rPr>
          <w:rFonts w:ascii="Times New Roman" w:hAnsi="Times New Roman" w:cs="Times New Roman"/>
          <w:sz w:val="28"/>
          <w:szCs w:val="28"/>
          <w:lang w:val="en-US"/>
        </w:rPr>
        <w:t xml:space="preserve"> </w:t>
      </w:r>
      <w:r>
        <w:rPr>
          <w:rFonts w:ascii="Times New Roman" w:hAnsi="Times New Roman" w:cs="Times New Roman"/>
          <w:sz w:val="28"/>
          <w:szCs w:val="28"/>
        </w:rPr>
        <w:t>на</w:t>
      </w:r>
      <w:r>
        <w:rPr>
          <w:rFonts w:ascii="Times New Roman" w:hAnsi="Times New Roman" w:cs="Times New Roman"/>
          <w:sz w:val="28"/>
          <w:szCs w:val="28"/>
          <w:lang w:val="en-US"/>
        </w:rPr>
        <w:t xml:space="preserve"> IX </w:t>
      </w:r>
      <w:r>
        <w:rPr>
          <w:rFonts w:ascii="Times New Roman" w:hAnsi="Times New Roman" w:cs="Times New Roman"/>
          <w:sz w:val="28"/>
          <w:szCs w:val="28"/>
        </w:rPr>
        <w:t>Международной</w:t>
      </w:r>
      <w:r>
        <w:rPr>
          <w:rFonts w:ascii="Times New Roman" w:hAnsi="Times New Roman" w:cs="Times New Roman"/>
          <w:sz w:val="28"/>
          <w:szCs w:val="28"/>
          <w:lang w:val="en-US"/>
        </w:rPr>
        <w:t xml:space="preserve"> </w:t>
      </w:r>
      <w:r>
        <w:rPr>
          <w:rFonts w:ascii="Times New Roman" w:hAnsi="Times New Roman" w:cs="Times New Roman"/>
          <w:sz w:val="28"/>
          <w:szCs w:val="28"/>
        </w:rPr>
        <w:t>научной</w:t>
      </w:r>
      <w:r>
        <w:rPr>
          <w:rFonts w:ascii="Times New Roman" w:hAnsi="Times New Roman" w:cs="Times New Roman"/>
          <w:sz w:val="28"/>
          <w:szCs w:val="28"/>
          <w:lang w:val="en-US"/>
        </w:rPr>
        <w:t xml:space="preserve"> </w:t>
      </w:r>
      <w:r>
        <w:rPr>
          <w:rFonts w:ascii="Times New Roman" w:hAnsi="Times New Roman" w:cs="Times New Roman"/>
          <w:sz w:val="28"/>
          <w:szCs w:val="28"/>
        </w:rPr>
        <w:t>конференции</w:t>
      </w:r>
      <w:r>
        <w:rPr>
          <w:rFonts w:ascii="Times New Roman" w:hAnsi="Times New Roman" w:cs="Times New Roman"/>
          <w:sz w:val="28"/>
          <w:szCs w:val="28"/>
          <w:lang w:val="en-US"/>
        </w:rPr>
        <w:t xml:space="preserve"> «Optimization and applications» (</w:t>
      </w:r>
      <w:r>
        <w:rPr>
          <w:rFonts w:ascii="Times New Roman" w:hAnsi="Times New Roman" w:cs="Times New Roman"/>
          <w:sz w:val="28"/>
          <w:szCs w:val="28"/>
        </w:rPr>
        <w:t>Оптима</w:t>
      </w:r>
      <w:r>
        <w:rPr>
          <w:rFonts w:ascii="Times New Roman" w:hAnsi="Times New Roman" w:cs="Times New Roman"/>
          <w:sz w:val="28"/>
          <w:szCs w:val="28"/>
          <w:lang w:val="en-US"/>
        </w:rPr>
        <w:t xml:space="preserve">-2018), </w:t>
      </w:r>
      <w:r>
        <w:rPr>
          <w:rFonts w:ascii="Times New Roman" w:hAnsi="Times New Roman" w:cs="Times New Roman"/>
          <w:sz w:val="28"/>
          <w:szCs w:val="28"/>
        </w:rPr>
        <w:t>в</w:t>
      </w:r>
      <w:r>
        <w:rPr>
          <w:rFonts w:ascii="Times New Roman" w:hAnsi="Times New Roman" w:cs="Times New Roman"/>
          <w:sz w:val="28"/>
          <w:szCs w:val="28"/>
          <w:lang w:val="en-US"/>
        </w:rPr>
        <w:t xml:space="preserve"> </w:t>
      </w:r>
      <w:r>
        <w:rPr>
          <w:rFonts w:ascii="Times New Roman" w:hAnsi="Times New Roman" w:cs="Times New Roman"/>
          <w:sz w:val="28"/>
          <w:szCs w:val="28"/>
        </w:rPr>
        <w:t>докладе</w:t>
      </w:r>
      <w:r>
        <w:rPr>
          <w:rFonts w:ascii="Times New Roman" w:hAnsi="Times New Roman" w:cs="Times New Roman"/>
          <w:sz w:val="28"/>
          <w:szCs w:val="28"/>
          <w:lang w:val="en-US"/>
        </w:rPr>
        <w:t xml:space="preserve"> «Distressed assets in a normative dynamic model of Kazakh economy» (Petrovac, Montenegro, October, 2018), «Book of abstracts» (Moscow, Dorodnicyn Computing Centre, FRC CSCRAS, 2018</w:t>
      </w:r>
      <w:r>
        <w:rPr>
          <w:rFonts w:ascii="Times New Roman" w:hAnsi="Times New Roman" w:cs="Times New Roman"/>
          <w:color w:val="222222"/>
          <w:sz w:val="28"/>
          <w:szCs w:val="28"/>
          <w:shd w:val="clear" w:color="auto" w:fill="FFFFFF"/>
          <w:lang w:val="en-US"/>
        </w:rPr>
        <w:t xml:space="preserve">, </w:t>
      </w:r>
      <w:r>
        <w:rPr>
          <w:rFonts w:ascii="Times New Roman" w:hAnsi="Times New Roman" w:cs="Times New Roman"/>
          <w:color w:val="222222"/>
          <w:sz w:val="28"/>
          <w:szCs w:val="28"/>
          <w:shd w:val="clear" w:color="auto" w:fill="FFFFFF"/>
        </w:rPr>
        <w:t>на</w:t>
      </w:r>
      <w:r>
        <w:rPr>
          <w:rFonts w:ascii="Times New Roman" w:hAnsi="Times New Roman" w:cs="Times New Roman"/>
          <w:color w:val="222222"/>
          <w:sz w:val="28"/>
          <w:szCs w:val="28"/>
          <w:shd w:val="clear" w:color="auto" w:fill="FFFFFF"/>
          <w:lang w:val="en-US"/>
        </w:rPr>
        <w:t xml:space="preserve"> 11 </w:t>
      </w:r>
      <w:r>
        <w:rPr>
          <w:rFonts w:ascii="Times New Roman" w:hAnsi="Times New Roman" w:cs="Times New Roman"/>
          <w:color w:val="222222"/>
          <w:sz w:val="28"/>
          <w:szCs w:val="28"/>
          <w:shd w:val="clear" w:color="auto" w:fill="FFFFFF"/>
        </w:rPr>
        <w:t>Международном</w:t>
      </w:r>
      <w:r>
        <w:rPr>
          <w:rFonts w:ascii="Times New Roman" w:hAnsi="Times New Roman" w:cs="Times New Roman"/>
          <w:color w:val="222222"/>
          <w:sz w:val="28"/>
          <w:szCs w:val="28"/>
          <w:shd w:val="clear" w:color="auto" w:fill="FFFFFF"/>
          <w:lang w:val="en-US"/>
        </w:rPr>
        <w:t xml:space="preserve"> </w:t>
      </w:r>
      <w:r>
        <w:rPr>
          <w:rFonts w:ascii="Times New Roman" w:hAnsi="Times New Roman" w:cs="Times New Roman"/>
          <w:color w:val="222222"/>
          <w:sz w:val="28"/>
          <w:szCs w:val="28"/>
          <w:shd w:val="clear" w:color="auto" w:fill="FFFFFF"/>
        </w:rPr>
        <w:t>научном</w:t>
      </w:r>
      <w:r>
        <w:rPr>
          <w:rFonts w:ascii="Times New Roman" w:hAnsi="Times New Roman" w:cs="Times New Roman"/>
          <w:color w:val="222222"/>
          <w:sz w:val="28"/>
          <w:szCs w:val="28"/>
          <w:shd w:val="clear" w:color="auto" w:fill="FFFFFF"/>
          <w:lang w:val="en-US"/>
        </w:rPr>
        <w:t xml:space="preserve"> </w:t>
      </w:r>
      <w:r>
        <w:rPr>
          <w:rFonts w:ascii="Times New Roman" w:hAnsi="Times New Roman" w:cs="Times New Roman"/>
          <w:color w:val="222222"/>
          <w:sz w:val="28"/>
          <w:szCs w:val="28"/>
          <w:shd w:val="clear" w:color="auto" w:fill="FFFFFF"/>
        </w:rPr>
        <w:t>симпозиуме</w:t>
      </w:r>
      <w:r>
        <w:rPr>
          <w:rFonts w:ascii="Times New Roman" w:hAnsi="Times New Roman" w:cs="Times New Roman"/>
          <w:color w:val="222222"/>
          <w:sz w:val="28"/>
          <w:szCs w:val="28"/>
          <w:shd w:val="clear" w:color="auto" w:fill="FFFFFF"/>
          <w:lang w:val="en-US"/>
        </w:rPr>
        <w:t xml:space="preserve"> «Economics, </w:t>
      </w:r>
      <w:bookmarkStart w:id="5" w:name="_Hlk222910106"/>
      <w:r>
        <w:rPr>
          <w:rFonts w:ascii="Times New Roman" w:hAnsi="Times New Roman" w:cs="Times New Roman"/>
          <w:color w:val="222222"/>
          <w:sz w:val="28"/>
          <w:szCs w:val="28"/>
          <w:shd w:val="clear" w:color="auto" w:fill="FFFFFF"/>
          <w:lang w:val="en-US"/>
        </w:rPr>
        <w:t>Business &amp; Finance</w:t>
      </w:r>
      <w:bookmarkEnd w:id="5"/>
      <w:r>
        <w:rPr>
          <w:rFonts w:ascii="Times New Roman" w:hAnsi="Times New Roman" w:cs="Times New Roman"/>
          <w:color w:val="222222"/>
          <w:sz w:val="28"/>
          <w:szCs w:val="28"/>
          <w:shd w:val="clear" w:color="auto" w:fill="FFFFFF"/>
          <w:lang w:val="en-US"/>
        </w:rPr>
        <w:t xml:space="preserve">», Latvia, Jurmala, Juli 15-19, </w:t>
      </w:r>
      <w:r>
        <w:rPr>
          <w:rFonts w:ascii="Times New Roman" w:hAnsi="Times New Roman" w:cs="Times New Roman"/>
          <w:color w:val="222222"/>
          <w:sz w:val="28"/>
          <w:szCs w:val="28"/>
          <w:shd w:val="clear" w:color="auto" w:fill="FFFFFF"/>
        </w:rPr>
        <w:t>в</w:t>
      </w:r>
      <w:r>
        <w:rPr>
          <w:rFonts w:ascii="Times New Roman" w:hAnsi="Times New Roman" w:cs="Times New Roman"/>
          <w:color w:val="222222"/>
          <w:sz w:val="28"/>
          <w:szCs w:val="28"/>
          <w:shd w:val="clear" w:color="auto" w:fill="FFFFFF"/>
          <w:lang w:val="en-US"/>
        </w:rPr>
        <w:t xml:space="preserve"> </w:t>
      </w:r>
      <w:r>
        <w:rPr>
          <w:rFonts w:ascii="Times New Roman" w:hAnsi="Times New Roman" w:cs="Times New Roman"/>
          <w:color w:val="222222"/>
          <w:sz w:val="28"/>
          <w:szCs w:val="28"/>
          <w:shd w:val="clear" w:color="auto" w:fill="FFFFFF"/>
        </w:rPr>
        <w:t>докладе</w:t>
      </w:r>
      <w:r>
        <w:rPr>
          <w:rFonts w:ascii="Times New Roman" w:hAnsi="Times New Roman" w:cs="Times New Roman"/>
          <w:color w:val="222222"/>
          <w:sz w:val="28"/>
          <w:szCs w:val="28"/>
          <w:shd w:val="clear" w:color="auto" w:fill="FFFFFF"/>
          <w:lang w:val="en-US"/>
        </w:rPr>
        <w:t xml:space="preserve"> «Impact of macroeconomic indicators on non-performing  loans (NPLS)»,  </w:t>
      </w:r>
      <w:r>
        <w:rPr>
          <w:rFonts w:ascii="Times New Roman" w:hAnsi="Times New Roman" w:cs="Times New Roman"/>
          <w:color w:val="222222"/>
          <w:sz w:val="28"/>
          <w:szCs w:val="28"/>
          <w:shd w:val="clear" w:color="auto" w:fill="FFFFFF"/>
        </w:rPr>
        <w:t>в</w:t>
      </w:r>
      <w:r>
        <w:rPr>
          <w:rFonts w:ascii="Times New Roman" w:hAnsi="Times New Roman" w:cs="Times New Roman"/>
          <w:color w:val="222222"/>
          <w:sz w:val="28"/>
          <w:szCs w:val="28"/>
          <w:shd w:val="clear" w:color="auto" w:fill="FFFFFF"/>
          <w:lang w:val="en-US"/>
        </w:rPr>
        <w:t xml:space="preserve"> </w:t>
      </w:r>
      <w:r>
        <w:rPr>
          <w:rFonts w:ascii="Times New Roman" w:hAnsi="Times New Roman" w:cs="Times New Roman"/>
          <w:color w:val="222222"/>
          <w:sz w:val="28"/>
          <w:szCs w:val="28"/>
          <w:shd w:val="clear" w:color="auto" w:fill="FFFFFF"/>
        </w:rPr>
        <w:t>докладе</w:t>
      </w:r>
      <w:r>
        <w:rPr>
          <w:rFonts w:ascii="Times New Roman" w:hAnsi="Times New Roman" w:cs="Times New Roman"/>
          <w:color w:val="222222"/>
          <w:sz w:val="28"/>
          <w:szCs w:val="28"/>
          <w:shd w:val="clear" w:color="auto" w:fill="FFFFFF"/>
          <w:lang w:val="en-US"/>
        </w:rPr>
        <w:t xml:space="preserve"> «Algorithm of the project approach to anti -crisis management of bancs problem assets at the 11</w:t>
      </w:r>
      <w:r>
        <w:rPr>
          <w:rFonts w:ascii="Times New Roman" w:hAnsi="Times New Roman" w:cs="Times New Roman"/>
          <w:color w:val="222222"/>
          <w:sz w:val="28"/>
          <w:szCs w:val="28"/>
          <w:shd w:val="clear" w:color="auto" w:fill="FFFFFF"/>
          <w:vertAlign w:val="superscript"/>
          <w:lang w:val="en-US"/>
        </w:rPr>
        <w:t>th</w:t>
      </w:r>
      <w:r>
        <w:rPr>
          <w:rFonts w:ascii="Times New Roman" w:hAnsi="Times New Roman" w:cs="Times New Roman"/>
          <w:color w:val="222222"/>
          <w:sz w:val="28"/>
          <w:szCs w:val="28"/>
          <w:shd w:val="clear" w:color="auto" w:fill="FFFFFF"/>
          <w:lang w:val="en-US"/>
        </w:rPr>
        <w:t xml:space="preserve"> International Scientific Symposium «Economics Business &amp; Finance» Latvia, Jurmala, Juli 15-19; </w:t>
      </w:r>
      <w:r>
        <w:rPr>
          <w:rFonts w:ascii="Times New Roman" w:hAnsi="Times New Roman" w:cs="Times New Roman"/>
          <w:color w:val="222222"/>
          <w:sz w:val="28"/>
          <w:szCs w:val="28"/>
          <w:shd w:val="clear" w:color="auto" w:fill="FFFFFF"/>
        </w:rPr>
        <w:t>в</w:t>
      </w:r>
      <w:r>
        <w:rPr>
          <w:rFonts w:ascii="Times New Roman" w:hAnsi="Times New Roman" w:cs="Times New Roman"/>
          <w:color w:val="222222"/>
          <w:sz w:val="28"/>
          <w:szCs w:val="28"/>
          <w:shd w:val="clear" w:color="auto" w:fill="FFFFFF"/>
          <w:lang w:val="en-US"/>
        </w:rPr>
        <w:t xml:space="preserve"> </w:t>
      </w:r>
      <w:r>
        <w:rPr>
          <w:rFonts w:ascii="Times New Roman" w:hAnsi="Times New Roman" w:cs="Times New Roman"/>
          <w:color w:val="222222"/>
          <w:sz w:val="28"/>
          <w:szCs w:val="28"/>
          <w:shd w:val="clear" w:color="auto" w:fill="FFFFFF"/>
        </w:rPr>
        <w:t>докладе</w:t>
      </w:r>
      <w:r>
        <w:rPr>
          <w:rFonts w:ascii="Times New Roman" w:hAnsi="Times New Roman" w:cs="Times New Roman"/>
          <w:color w:val="222222"/>
          <w:sz w:val="28"/>
          <w:szCs w:val="28"/>
          <w:shd w:val="clear" w:color="auto" w:fill="FFFFFF"/>
          <w:lang w:val="en-US"/>
        </w:rPr>
        <w:t xml:space="preserve"> «Analysis of International Project Managements Standards in Economics» at the X International Scientific -Practical Conference «Membership in the WTO: Prospects of Scientific Researches and International Technology Marcet», October 22-24, 2025, Ottawa, Canada.</w:t>
      </w:r>
    </w:p>
    <w:p w14:paraId="11FD85EB">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Публикации.</w:t>
      </w:r>
      <w:r>
        <w:rPr>
          <w:rFonts w:ascii="Times New Roman" w:hAnsi="Times New Roman" w:cs="Times New Roman"/>
          <w:sz w:val="28"/>
          <w:szCs w:val="28"/>
        </w:rPr>
        <w:t xml:space="preserve"> Результаты диссертационного исследования нашли отражение и были опубликованы в 20 научных работах (из них 4 статьи опубликованы в изданиях, рекомендованных Комитетом по контролю в сфере образования и науки МОН РК, 6 статей в изданиях, индексированных в базе данных Scopus).</w:t>
      </w:r>
    </w:p>
    <w:p w14:paraId="460734F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диссертации соответствует логике исследования и состоит из четырех глав.</w:t>
      </w:r>
    </w:p>
    <w:p w14:paraId="1D8751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Глава 1 раскрывает теоретико-методологические основы управления проблемными активами банков, включая их экономическую сущность, классификацию, причины формирования и эволюцию мировых подходов, а также рассматривает проектный подход как инструмент повышения эффективности управления.</w:t>
      </w:r>
    </w:p>
    <w:p w14:paraId="6B4AB1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Глава 2 посвящена анализу системы управления проблемными активами банков Казахстана, современному состоянию кредитования реального сектора, динамике проблемных активов, оценке действующих моделей управления и выявлению системных ограничений.</w:t>
      </w:r>
    </w:p>
    <w:p w14:paraId="2B811C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Глава 3 исследует влияние макроэкономических факторов на формирование проблемных активов с применением структурного моделирования (PLS-SEM), проводит проверку гипотез, анализ внешней и внутренней моделей и оценивает последствия выявленных детерминант.</w:t>
      </w:r>
    </w:p>
    <w:p w14:paraId="132313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Глава 4 содержит разработку модели проектного подхода в управлении проблемными активами, включая методологические основания, принципы управления, формирование выборки объектов, математическую модель банковской системы с выделением ключевых агентов, сценарии управления проблемными активами, расчет ожидаемых расходов и рекомендации по восстановлению стабильности банковского сектора.</w:t>
      </w:r>
    </w:p>
    <w:p w14:paraId="43BFAD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введение обосновывает актуальность, цель и задачи исследования, определяет объект и предмет, раскрывает научную новизну и практическую значимость работы, а также описывает структуру диссертации, создавая логическую основу для последующего анализа и разработки проектного подхода к управлению проблемными активами банков в Республике Казахстан.</w:t>
      </w:r>
    </w:p>
    <w:p w14:paraId="2B70223A">
      <w:pPr>
        <w:spacing w:after="0" w:line="240" w:lineRule="auto"/>
        <w:jc w:val="both"/>
        <w:rPr>
          <w:rFonts w:ascii="Times New Roman" w:hAnsi="Times New Roman" w:cs="Times New Roman"/>
          <w:b/>
          <w:sz w:val="28"/>
          <w:szCs w:val="28"/>
        </w:rPr>
      </w:pPr>
    </w:p>
    <w:p w14:paraId="07DDE849">
      <w:pPr>
        <w:rPr>
          <w:rFonts w:ascii="Times New Roman" w:hAnsi="Times New Roman" w:cs="Times New Roman"/>
        </w:rPr>
      </w:pPr>
      <w:bookmarkStart w:id="6" w:name="_Toc219671638"/>
    </w:p>
    <w:p w14:paraId="6724EA7F">
      <w:pPr>
        <w:pStyle w:val="2"/>
        <w:spacing w:before="0" w:line="240" w:lineRule="auto"/>
        <w:ind w:firstLine="567"/>
        <w:jc w:val="both"/>
        <w:rPr>
          <w:rFonts w:ascii="Times New Roman" w:hAnsi="Times New Roman" w:cs="Times New Roman"/>
          <w:color w:val="auto"/>
        </w:rPr>
      </w:pPr>
      <w:r>
        <w:rPr>
          <w:rFonts w:ascii="Times New Roman" w:hAnsi="Times New Roman" w:cs="Times New Roman"/>
          <w:color w:val="auto"/>
        </w:rPr>
        <w:t>1 ТЕОРЕТИКО-МЕТОДОЛОГИЧЕСКИЕ ОСНОВЫ УПРАВЛЕНИЯ ПРОБЛЕМНЫМИ АКТИВАМИ БАНКОВ</w:t>
      </w:r>
      <w:bookmarkEnd w:id="6"/>
    </w:p>
    <w:p w14:paraId="0E44E9E6">
      <w:pPr>
        <w:pStyle w:val="2"/>
        <w:numPr>
          <w:ilvl w:val="1"/>
          <w:numId w:val="4"/>
        </w:numPr>
        <w:ind w:left="-142" w:firstLine="851"/>
        <w:jc w:val="both"/>
        <w:rPr>
          <w:rFonts w:ascii="Times New Roman" w:hAnsi="Times New Roman" w:cs="Times New Roman"/>
          <w:color w:val="auto"/>
        </w:rPr>
      </w:pPr>
      <w:r>
        <w:rPr>
          <w:rFonts w:ascii="Times New Roman" w:hAnsi="Times New Roman" w:eastAsia="Times New Roman"/>
          <w:color w:val="auto"/>
          <w:lang w:eastAsia="ru-RU"/>
        </w:rPr>
        <w:t>Проблемные активы банка как объект проектного управления: сущность и классификация</w:t>
      </w:r>
    </w:p>
    <w:p w14:paraId="04CDD548">
      <w:pPr>
        <w:spacing w:after="0" w:line="240" w:lineRule="auto"/>
        <w:jc w:val="both"/>
        <w:rPr>
          <w:rFonts w:ascii="Times New Roman" w:hAnsi="Times New Roman" w:cs="Times New Roman"/>
          <w:sz w:val="28"/>
          <w:szCs w:val="28"/>
        </w:rPr>
      </w:pPr>
    </w:p>
    <w:p w14:paraId="677BCB86">
      <w:pPr>
        <w:pStyle w:val="30"/>
        <w:spacing w:before="0" w:beforeAutospacing="0" w:after="0" w:afterAutospacing="0"/>
        <w:ind w:firstLine="709"/>
        <w:jc w:val="both"/>
        <w:rPr>
          <w:sz w:val="28"/>
          <w:szCs w:val="28"/>
        </w:rPr>
      </w:pPr>
      <w:r>
        <w:rPr>
          <w:sz w:val="28"/>
          <w:szCs w:val="28"/>
        </w:rPr>
        <w:t xml:space="preserve">В условиях финансовых кризисов банковская система Казахстана сталкивается с ростом доли проблемных активов, включая неработающие кредиты (NPL), что напрямую снижает доходность и рентабельность банков, ограничивает возможности нового кредитования и отвлекает средства банков на содержание проблемных активов [1, 2]. </w:t>
      </w:r>
    </w:p>
    <w:p w14:paraId="133BBF81">
      <w:pPr>
        <w:pStyle w:val="30"/>
        <w:spacing w:before="0" w:beforeAutospacing="0" w:after="0" w:afterAutospacing="0"/>
        <w:ind w:firstLine="709"/>
        <w:jc w:val="both"/>
        <w:rPr>
          <w:sz w:val="28"/>
          <w:szCs w:val="28"/>
        </w:rPr>
      </w:pPr>
      <w:r>
        <w:rPr>
          <w:sz w:val="28"/>
          <w:szCs w:val="28"/>
        </w:rPr>
        <w:t>Эффективное управление проблемными активами становится ключевым фактором поддержания финансовой устойчивости банков и стабильности всей системы. Современные методы включают раннее выявление проблемных кредитов, оценку финансового состояния заемщиков, реструктуризацию задолженности и применение риск-ориентированных подходов, позволяющих минимизировать возможные потери [1-3].</w:t>
      </w:r>
    </w:p>
    <w:p w14:paraId="762E79F2">
      <w:pPr>
        <w:pStyle w:val="30"/>
        <w:spacing w:before="0" w:beforeAutospacing="0" w:after="0" w:afterAutospacing="0"/>
        <w:ind w:firstLine="708"/>
        <w:jc w:val="both"/>
        <w:rPr>
          <w:sz w:val="28"/>
          <w:szCs w:val="28"/>
        </w:rPr>
      </w:pPr>
      <w:r>
        <w:rPr>
          <w:sz w:val="28"/>
          <w:szCs w:val="28"/>
        </w:rPr>
        <w:t xml:space="preserve">Для Казахстана управление проблемными активами носит системный характер, поскольку их динамика зависит от макроэкономической конъюнктуры, состояния реального сектора и концентрации кредитных рисков. Даже при умеренных показателях формального NPL сохраняются скрытые риски, связанные с реструктурированной задолженностью и качеством обеспечения [7]. Современные подходы требуют опережающего выявления рисков и формирования резервов заранее, что повышает устойчивость банковской системы, но предъявляет высокие требования к качеству риск-менеджмента [6]. </w:t>
      </w:r>
    </w:p>
    <w:p w14:paraId="7009410E">
      <w:pPr>
        <w:pStyle w:val="30"/>
        <w:spacing w:before="0" w:beforeAutospacing="0" w:after="0" w:afterAutospacing="0"/>
        <w:ind w:firstLine="708"/>
        <w:jc w:val="both"/>
        <w:rPr>
          <w:sz w:val="28"/>
          <w:szCs w:val="28"/>
        </w:rPr>
      </w:pPr>
      <w:r>
        <w:rPr>
          <w:sz w:val="28"/>
          <w:szCs w:val="28"/>
        </w:rPr>
        <w:t>Экономическая сущность проблемных активов заключается в том, что они перестают генерировать доход и представляют финансовый риск для владельца. К ним относятся не только кредиты, но и недвижимость, оборудование и другие ресурсы, которые невозможно быстро и выгодно реализовать из-за неликвидности, юридических ограничений или экономических факторов [2, 3].</w:t>
      </w:r>
    </w:p>
    <w:p w14:paraId="2E11B7F0">
      <w:pPr>
        <w:pStyle w:val="30"/>
        <w:spacing w:before="0" w:beforeAutospacing="0" w:after="0" w:afterAutospacing="0"/>
        <w:ind w:firstLine="709"/>
        <w:jc w:val="both"/>
        <w:rPr>
          <w:sz w:val="28"/>
          <w:szCs w:val="28"/>
        </w:rPr>
      </w:pPr>
      <w:r>
        <w:rPr>
          <w:sz w:val="28"/>
          <w:szCs w:val="28"/>
        </w:rPr>
        <w:t>В международной практике NPL определяется как кредит, по которому заемщик не выполняет обязательства по погашению долга или процентов в течение установленного срока либо существует высокая вероятность невозврата вне зависимости от формальной просрочки [4]. При этом более широкая категория «проблемные активы» включает кредиты с дефолтными признаками, активы с ухудшением качества, реструктурированные долги, а также активы, утратившие ликвидность или экономическую целесообразность удержания на балансе [3-5].</w:t>
      </w:r>
    </w:p>
    <w:p w14:paraId="78CA43C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Просроченной считается задолженность по кредиту, включающая основной долг, начисленные проценты, штрафные санкции и пени, не уплаченные в сроки, установленные кредитным договором. Даже однодневная задержка платежа официально трактуется как просрочка, поскольку должник не выполнил обязательства вовремя. Таким образом, понятия «просроченный платёж» и «просроченная задолженность» эквивалентны, а просрочка является одной из форм такой задолженности [6, 7].</w:t>
      </w:r>
    </w:p>
    <w:p w14:paraId="0297487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целом термины «просроченная задолженность» и «проблемный кредит» применяются как синонимы. В западной литературе часто используется термин bad credit («плохой кредит»), однако он не в полной мере отражает сущность данного явления [8]. До недавнего времени единое определение понятия «проблемный кредит» отсутствовало.</w:t>
      </w:r>
    </w:p>
    <w:p w14:paraId="00C2E9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Международные стандарты финансовой отчётности (МСФО) предусматривают два метода определения длительности просрочки: абсолютный (ZIFO) и относительный (FIFO). При этом конкретный способ банк выбирает самостоятельно [6, 13]. Основным критерием просроченной задолженности служит сумма невыполненных обязательств, выраженная в денежном эквиваленте и соотнесённая с общим объёмом кредитного портфеля [8-10].</w:t>
      </w:r>
    </w:p>
    <w:p w14:paraId="5080B96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Управление проблемными кредитами требует не только профессиональной оценки, но и участия независимой группы специалистов, обеспечивающих объективность решений и контроль за ситуацией заемщика. Поэтому ключевым элементом управления такими кредитами является постоянный мониторинг кредитного портфеля. Своевременное выявление рисков достигается за счёт регулярного анализа финансовых отчётов, а также отслеживания состояния заемщиков, поручителей и связанных организаций.</w:t>
      </w:r>
    </w:p>
    <w:p w14:paraId="7556BD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Несвоевременная и недостоверная информация может привести к убыткам, которых можно было бы избежать, используя программы по управлению проблемными кредитами. В условиях повышенной киберопасности необходим усиленный контроль за рисковыми сегментами и высокая скорость оперативного реагирования [9-11].</w:t>
      </w:r>
    </w:p>
    <w:p w14:paraId="1BBCFA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 всех дефинициях проблемного кредита главным определением является обязательство по долгу и срокам его исполнения [9,10]. В месте с тем, </w:t>
      </w:r>
      <w:r>
        <w:rPr>
          <w:rStyle w:val="14"/>
          <w:rFonts w:ascii="Times New Roman" w:hAnsi="Times New Roman" w:cs="Times New Roman"/>
          <w:b w:val="0"/>
          <w:bCs w:val="0"/>
          <w:sz w:val="28"/>
          <w:szCs w:val="28"/>
        </w:rPr>
        <w:t>невозможность или задержка заемщика своевременно выполнять свои обязательства</w:t>
      </w:r>
      <w:r>
        <w:rPr>
          <w:rFonts w:ascii="Times New Roman" w:hAnsi="Times New Roman" w:cs="Times New Roman"/>
          <w:sz w:val="28"/>
          <w:szCs w:val="28"/>
        </w:rPr>
        <w:t xml:space="preserve">, что проявляется в просрочке платежей, частичном погашении долга или нарушении условий кредитного договора также относится к категории проблемных кредитов. </w:t>
      </w:r>
    </w:p>
    <w:p w14:paraId="3BE6D3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Проблемный кредит существенным образом ухудшает </w:t>
      </w:r>
      <w:r>
        <w:rPr>
          <w:rStyle w:val="14"/>
          <w:rFonts w:ascii="Times New Roman" w:hAnsi="Times New Roman" w:cs="Times New Roman"/>
          <w:b w:val="0"/>
          <w:bCs w:val="0"/>
          <w:sz w:val="28"/>
          <w:szCs w:val="28"/>
        </w:rPr>
        <w:t xml:space="preserve">качество кредитного портфеля </w:t>
      </w:r>
      <w:r>
        <w:rPr>
          <w:rFonts w:ascii="Times New Roman" w:hAnsi="Times New Roman" w:cs="Times New Roman"/>
          <w:sz w:val="28"/>
          <w:szCs w:val="28"/>
        </w:rPr>
        <w:t>и снижает финансовую устойчивость банка.</w:t>
      </w:r>
    </w:p>
    <w:p w14:paraId="214F318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литературы показывает, что трактовка термина «проблемный кредит» отличается в разных странах. Например, в США кредит признаётся проблемным при просрочке свыше 90 дней, по потребительским займам — свыше180 дней [11, 13]. В России и Казахстане действуют аналогичные нормы [12], тогда как в Хорватии этот срок составляет 30 дней, а в Португалии — даже один пропущенный платёж.</w:t>
      </w:r>
    </w:p>
    <w:p w14:paraId="762CB9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Признаки проблемности кредита условно делятся на две группы:</w:t>
      </w:r>
    </w:p>
    <w:p w14:paraId="2CE1B80F">
      <w:pPr>
        <w:pStyle w:val="32"/>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финансовые, к которым относят нецелевое использование средств, перекредитование, снижение стоимости залога, задержки по выплатам процентов, ухудшение состояния гарантов и ликвидности;</w:t>
      </w:r>
    </w:p>
    <w:p w14:paraId="6A5EDA35">
      <w:pPr>
        <w:pStyle w:val="32"/>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нефинансовые, включая замедление оборота денежных средств, рост остатков нереализованной продукции, изменение формы залога и сигналы о возможной неплатёжеспособности клиента [8, 10].</w:t>
      </w:r>
    </w:p>
    <w:p w14:paraId="53E61D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Проблемные активы чаще всего появляются в периоды экономического спада, когда снижается спрос, растёт количество вакансий и падает рыночная стоимость имущества. </w:t>
      </w:r>
    </w:p>
    <w:p w14:paraId="3E023B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Именно в такие моменты у опытных инвесторов возникают возможности приобрести активы по заниженной цене и восстановить их стоимость за счёт реструктуризации, продажи или улучшения управления.</w:t>
      </w:r>
    </w:p>
    <w:p w14:paraId="76B7439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 понятие «проблемные активы» неоднородно по своей сути, в связи с чем, по всей видимости, нет его универсального определения. Многофакторность определения проблемных активов также диктует необходимость разработки новых управленческих подходов</w:t>
      </w:r>
    </w:p>
    <w:p w14:paraId="6FA8F475">
      <w:pPr>
        <w:pStyle w:val="30"/>
        <w:spacing w:before="0" w:beforeAutospacing="0" w:after="0" w:afterAutospacing="0"/>
        <w:ind w:firstLine="708"/>
        <w:jc w:val="both"/>
        <w:rPr>
          <w:sz w:val="28"/>
          <w:szCs w:val="28"/>
        </w:rPr>
      </w:pPr>
      <w:r>
        <w:rPr>
          <w:sz w:val="28"/>
          <w:szCs w:val="28"/>
        </w:rPr>
        <w:t xml:space="preserve">С учётом вышеизложенного, представляется обоснованным рассматривать NPL как центральный, но не исчерпывающий элемент системы проблемных активов. </w:t>
      </w:r>
    </w:p>
    <w:p w14:paraId="3FB72F67">
      <w:pPr>
        <w:pStyle w:val="30"/>
        <w:spacing w:before="0" w:beforeAutospacing="0" w:after="0" w:afterAutospacing="0"/>
        <w:ind w:firstLine="708"/>
        <w:jc w:val="both"/>
        <w:rPr>
          <w:sz w:val="28"/>
          <w:szCs w:val="28"/>
        </w:rPr>
      </w:pPr>
      <w:r>
        <w:rPr>
          <w:sz w:val="28"/>
          <w:szCs w:val="28"/>
        </w:rPr>
        <w:t xml:space="preserve">Эффективное управление данной категорией кредитов требует </w:t>
      </w:r>
      <w:r>
        <w:rPr>
          <w:rStyle w:val="14"/>
          <w:b w:val="0"/>
          <w:bCs w:val="0"/>
          <w:sz w:val="28"/>
          <w:szCs w:val="28"/>
        </w:rPr>
        <w:t>комплексного подхода</w:t>
      </w:r>
      <w:r>
        <w:rPr>
          <w:sz w:val="28"/>
          <w:szCs w:val="28"/>
        </w:rPr>
        <w:t xml:space="preserve">, сочетающего </w:t>
      </w:r>
      <w:r>
        <w:rPr>
          <w:rStyle w:val="14"/>
          <w:b w:val="0"/>
          <w:bCs w:val="0"/>
          <w:sz w:val="28"/>
          <w:szCs w:val="28"/>
        </w:rPr>
        <w:t>регуляторные требования, внутренние процедуры банков и стратегические инструменты работы с рисковыми активами</w:t>
      </w:r>
      <w:r>
        <w:rPr>
          <w:sz w:val="28"/>
          <w:szCs w:val="28"/>
        </w:rPr>
        <w:t xml:space="preserve"> [1–7].</w:t>
      </w:r>
    </w:p>
    <w:p w14:paraId="71A268D8">
      <w:pPr>
        <w:pStyle w:val="30"/>
        <w:spacing w:before="0" w:beforeAutospacing="0" w:after="0" w:afterAutospacing="0"/>
        <w:ind w:firstLine="708"/>
        <w:jc w:val="both"/>
        <w:rPr>
          <w:sz w:val="28"/>
          <w:szCs w:val="28"/>
        </w:rPr>
      </w:pPr>
      <w:r>
        <w:rPr>
          <w:sz w:val="28"/>
          <w:szCs w:val="28"/>
        </w:rPr>
        <w:t>Классификация проблемных активов позволяет систематизировать информацию, выявить наиболее рискованные сегменты кредитного портфеля и определить приоритетные направления для работы с задолженностью.</w:t>
      </w:r>
    </w:p>
    <w:p w14:paraId="7E9D0BEB">
      <w:pPr>
        <w:pStyle w:val="30"/>
        <w:spacing w:before="0" w:beforeAutospacing="0" w:after="0" w:afterAutospacing="0"/>
        <w:ind w:firstLine="708"/>
        <w:jc w:val="both"/>
        <w:rPr>
          <w:sz w:val="28"/>
          <w:szCs w:val="28"/>
        </w:rPr>
      </w:pPr>
      <w:r>
        <w:rPr>
          <w:sz w:val="28"/>
          <w:szCs w:val="28"/>
        </w:rPr>
        <w:t xml:space="preserve">Наиболее распространенный подход к классификации NPA основывается на </w:t>
      </w:r>
      <w:r>
        <w:rPr>
          <w:rStyle w:val="14"/>
          <w:b w:val="0"/>
          <w:bCs w:val="0"/>
          <w:sz w:val="28"/>
          <w:szCs w:val="28"/>
        </w:rPr>
        <w:t>оценке риска дефолта</w:t>
      </w:r>
      <w:r>
        <w:rPr>
          <w:sz w:val="28"/>
          <w:szCs w:val="28"/>
        </w:rPr>
        <w:t xml:space="preserve"> заемщика. Международная практика и национальные регуляторы выделяют четыре основные категории (таблица 1):</w:t>
      </w:r>
    </w:p>
    <w:p w14:paraId="69DF3479">
      <w:pPr>
        <w:pStyle w:val="30"/>
        <w:numPr>
          <w:ilvl w:val="0"/>
          <w:numId w:val="6"/>
        </w:numPr>
        <w:spacing w:before="0" w:beforeAutospacing="0" w:after="0" w:afterAutospacing="0"/>
        <w:jc w:val="both"/>
        <w:rPr>
          <w:sz w:val="28"/>
          <w:szCs w:val="28"/>
        </w:rPr>
      </w:pPr>
      <w:r>
        <w:rPr>
          <w:rStyle w:val="14"/>
          <w:b w:val="0"/>
          <w:bCs w:val="0"/>
          <w:sz w:val="28"/>
          <w:szCs w:val="28"/>
        </w:rPr>
        <w:t>Стандартные активы (performing assets)</w:t>
      </w:r>
      <w:r>
        <w:rPr>
          <w:sz w:val="28"/>
          <w:szCs w:val="28"/>
        </w:rPr>
        <w:t xml:space="preserve"> – кредиты и финансовые инструменты с регулярным погашением процентов и основной суммы долга. Риск невозврата минимален, эти активы не требуют усиленного мониторинга.</w:t>
      </w:r>
    </w:p>
    <w:p w14:paraId="32ECFAC5">
      <w:pPr>
        <w:pStyle w:val="30"/>
        <w:numPr>
          <w:ilvl w:val="0"/>
          <w:numId w:val="6"/>
        </w:numPr>
        <w:spacing w:before="0" w:beforeAutospacing="0" w:after="0" w:afterAutospacing="0"/>
        <w:jc w:val="both"/>
        <w:rPr>
          <w:sz w:val="28"/>
          <w:szCs w:val="28"/>
        </w:rPr>
      </w:pPr>
      <w:r>
        <w:rPr>
          <w:rStyle w:val="14"/>
          <w:b w:val="0"/>
          <w:bCs w:val="0"/>
          <w:sz w:val="28"/>
          <w:szCs w:val="28"/>
        </w:rPr>
        <w:t>Сомнительные активы (substandard)</w:t>
      </w:r>
      <w:r>
        <w:rPr>
          <w:sz w:val="28"/>
          <w:szCs w:val="28"/>
        </w:rPr>
        <w:t xml:space="preserve"> – кредиты с просрочкой до 90 дней. Существует реальная угроза дефолта, поэтому банки создают резервы под возможные потери.</w:t>
      </w:r>
    </w:p>
    <w:p w14:paraId="485D3839">
      <w:pPr>
        <w:pStyle w:val="30"/>
        <w:numPr>
          <w:ilvl w:val="0"/>
          <w:numId w:val="6"/>
        </w:numPr>
        <w:spacing w:before="0" w:beforeAutospacing="0" w:after="0" w:afterAutospacing="0"/>
        <w:jc w:val="both"/>
        <w:rPr>
          <w:sz w:val="28"/>
          <w:szCs w:val="28"/>
        </w:rPr>
      </w:pPr>
      <w:r>
        <w:rPr>
          <w:rStyle w:val="14"/>
          <w:b w:val="0"/>
          <w:bCs w:val="0"/>
          <w:sz w:val="28"/>
          <w:szCs w:val="28"/>
        </w:rPr>
        <w:t>Неплатежеспособные активы (doubtful)</w:t>
      </w:r>
      <w:r>
        <w:rPr>
          <w:sz w:val="28"/>
          <w:szCs w:val="28"/>
        </w:rPr>
        <w:t xml:space="preserve"> – просрочка платежей более 90 дней, высокая вероятность невозврата. Эти кредиты требуют активной работы по реструктуризации или взысканию.</w:t>
      </w:r>
    </w:p>
    <w:p w14:paraId="3B42C8AF">
      <w:pPr>
        <w:pStyle w:val="30"/>
        <w:numPr>
          <w:ilvl w:val="0"/>
          <w:numId w:val="6"/>
        </w:numPr>
        <w:spacing w:before="0" w:beforeAutospacing="0" w:after="0" w:afterAutospacing="0"/>
        <w:jc w:val="both"/>
        <w:rPr>
          <w:sz w:val="28"/>
          <w:szCs w:val="28"/>
        </w:rPr>
      </w:pPr>
      <w:r>
        <w:rPr>
          <w:rStyle w:val="14"/>
          <w:b w:val="0"/>
          <w:bCs w:val="0"/>
          <w:sz w:val="28"/>
          <w:szCs w:val="28"/>
        </w:rPr>
        <w:t>Безнадежные активы (loss)</w:t>
      </w:r>
      <w:r>
        <w:rPr>
          <w:sz w:val="28"/>
          <w:szCs w:val="28"/>
        </w:rPr>
        <w:t xml:space="preserve"> – кредиты, по которым вероятность возврата крайне низка. Обычно списываются с баланса, их анализ важен для оценки качества кредитного портфеля [14].</w:t>
      </w:r>
    </w:p>
    <w:p w14:paraId="0C19C395">
      <w:pPr>
        <w:pStyle w:val="30"/>
        <w:tabs>
          <w:tab w:val="left" w:pos="720"/>
        </w:tabs>
        <w:spacing w:before="0" w:beforeAutospacing="0" w:after="0" w:afterAutospacing="0"/>
        <w:jc w:val="both"/>
        <w:rPr>
          <w:sz w:val="28"/>
          <w:szCs w:val="28"/>
        </w:rPr>
      </w:pPr>
    </w:p>
    <w:p w14:paraId="5370F515">
      <w:pPr>
        <w:pStyle w:val="30"/>
        <w:tabs>
          <w:tab w:val="left" w:pos="720"/>
        </w:tabs>
        <w:spacing w:before="0" w:beforeAutospacing="0" w:after="0" w:afterAutospacing="0"/>
        <w:jc w:val="both"/>
        <w:rPr>
          <w:sz w:val="28"/>
          <w:szCs w:val="28"/>
        </w:rPr>
      </w:pPr>
    </w:p>
    <w:p w14:paraId="2F770B2F">
      <w:pPr>
        <w:pStyle w:val="30"/>
        <w:tabs>
          <w:tab w:val="left" w:pos="720"/>
        </w:tabs>
        <w:spacing w:before="0" w:beforeAutospacing="0" w:after="0" w:afterAutospacing="0"/>
        <w:jc w:val="both"/>
        <w:rPr>
          <w:sz w:val="28"/>
          <w:szCs w:val="28"/>
        </w:rPr>
      </w:pPr>
    </w:p>
    <w:p w14:paraId="04F4DAC7">
      <w:pPr>
        <w:spacing w:after="0" w:line="240" w:lineRule="auto"/>
        <w:jc w:val="both"/>
        <w:rPr>
          <w:rFonts w:ascii="Times New Roman" w:hAnsi="Times New Roman" w:eastAsia="Times New Roman" w:cs="Times New Roman"/>
          <w:sz w:val="28"/>
          <w:szCs w:val="28"/>
          <w:lang w:eastAsia="zh-CN"/>
        </w:rPr>
      </w:pPr>
    </w:p>
    <w:p w14:paraId="4079A975">
      <w:pPr>
        <w:spacing w:after="0" w:line="240" w:lineRule="auto"/>
        <w:jc w:val="both"/>
        <w:rPr>
          <w:rFonts w:ascii="Times New Roman" w:hAnsi="Times New Roman" w:eastAsia="Times New Roman" w:cs="Times New Roman"/>
          <w:sz w:val="28"/>
          <w:szCs w:val="28"/>
          <w:lang w:eastAsia="zh-CN"/>
        </w:rPr>
      </w:pPr>
    </w:p>
    <w:p w14:paraId="1666CAF1">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Таблица 1- Классификация NPA по уровню риска невозврата</w:t>
      </w:r>
    </w:p>
    <w:p w14:paraId="00844670">
      <w:pPr>
        <w:spacing w:after="0" w:line="240" w:lineRule="auto"/>
        <w:jc w:val="both"/>
        <w:rPr>
          <w:rFonts w:ascii="Times New Roman" w:hAnsi="Times New Roman" w:eastAsia="Times New Roman" w:cs="Times New Roman"/>
          <w:sz w:val="28"/>
          <w:szCs w:val="28"/>
          <w:lang w:eastAsia="zh-CN"/>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4"/>
        <w:gridCol w:w="1966"/>
        <w:gridCol w:w="2054"/>
        <w:gridCol w:w="3030"/>
      </w:tblGrid>
      <w:tr w14:paraId="78CBB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D8EE3B8">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Категория</w:t>
            </w:r>
          </w:p>
        </w:tc>
        <w:tc>
          <w:tcPr>
            <w:tcW w:w="0" w:type="auto"/>
          </w:tcPr>
          <w:p w14:paraId="1DC2EA0E">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Просрочка платежей</w:t>
            </w:r>
          </w:p>
        </w:tc>
        <w:tc>
          <w:tcPr>
            <w:tcW w:w="0" w:type="auto"/>
          </w:tcPr>
          <w:p w14:paraId="5999E2CB">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Риск невозврата</w:t>
            </w:r>
          </w:p>
        </w:tc>
        <w:tc>
          <w:tcPr>
            <w:tcW w:w="0" w:type="auto"/>
          </w:tcPr>
          <w:p w14:paraId="7F9E5910">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Действия банка</w:t>
            </w:r>
          </w:p>
        </w:tc>
      </w:tr>
      <w:tr w14:paraId="36C21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tcPr>
          <w:p w14:paraId="3ABB5B3C">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Стандартные</w:t>
            </w:r>
          </w:p>
        </w:tc>
        <w:tc>
          <w:tcPr>
            <w:tcW w:w="0" w:type="auto"/>
          </w:tcPr>
          <w:p w14:paraId="40A7E7D6">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Нет</w:t>
            </w:r>
          </w:p>
        </w:tc>
        <w:tc>
          <w:tcPr>
            <w:tcW w:w="0" w:type="auto"/>
          </w:tcPr>
          <w:p w14:paraId="0475CAD2">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Минимальный</w:t>
            </w:r>
          </w:p>
        </w:tc>
        <w:tc>
          <w:tcPr>
            <w:tcW w:w="0" w:type="auto"/>
          </w:tcPr>
          <w:p w14:paraId="35F2981B">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мониторинг</w:t>
            </w:r>
          </w:p>
        </w:tc>
      </w:tr>
      <w:tr w14:paraId="33B5B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F20A4AD">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Сомнительные</w:t>
            </w:r>
          </w:p>
        </w:tc>
        <w:tc>
          <w:tcPr>
            <w:tcW w:w="0" w:type="auto"/>
          </w:tcPr>
          <w:p w14:paraId="325A5C69">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до 90 дней</w:t>
            </w:r>
          </w:p>
        </w:tc>
        <w:tc>
          <w:tcPr>
            <w:tcW w:w="0" w:type="auto"/>
          </w:tcPr>
          <w:p w14:paraId="4F9800A2">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Средний</w:t>
            </w:r>
          </w:p>
        </w:tc>
        <w:tc>
          <w:tcPr>
            <w:tcW w:w="0" w:type="auto"/>
          </w:tcPr>
          <w:p w14:paraId="155D348D">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резервы, контроль</w:t>
            </w:r>
          </w:p>
        </w:tc>
      </w:tr>
      <w:tr w14:paraId="5CEAF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D0881DF">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Неплатежеспособные</w:t>
            </w:r>
          </w:p>
        </w:tc>
        <w:tc>
          <w:tcPr>
            <w:tcW w:w="0" w:type="auto"/>
          </w:tcPr>
          <w:p w14:paraId="2A6B2CCB">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90–180 дней</w:t>
            </w:r>
          </w:p>
        </w:tc>
        <w:tc>
          <w:tcPr>
            <w:tcW w:w="0" w:type="auto"/>
          </w:tcPr>
          <w:p w14:paraId="6CA226FC">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Высокий</w:t>
            </w:r>
          </w:p>
        </w:tc>
        <w:tc>
          <w:tcPr>
            <w:tcW w:w="0" w:type="auto"/>
          </w:tcPr>
          <w:p w14:paraId="23BE7714">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реструктуризация, взыскание</w:t>
            </w:r>
          </w:p>
        </w:tc>
      </w:tr>
      <w:tr w14:paraId="58264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0" w:type="auto"/>
          </w:tcPr>
          <w:p w14:paraId="3C675B6B">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Безнадежные</w:t>
            </w:r>
          </w:p>
        </w:tc>
        <w:tc>
          <w:tcPr>
            <w:tcW w:w="0" w:type="auto"/>
          </w:tcPr>
          <w:p w14:paraId="642AF60E">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&gt;180 дней</w:t>
            </w:r>
          </w:p>
        </w:tc>
        <w:tc>
          <w:tcPr>
            <w:tcW w:w="0" w:type="auto"/>
          </w:tcPr>
          <w:p w14:paraId="5F2E5D49">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крайне высокий</w:t>
            </w:r>
          </w:p>
        </w:tc>
        <w:tc>
          <w:tcPr>
            <w:tcW w:w="0" w:type="auto"/>
          </w:tcPr>
          <w:p w14:paraId="10BDB06F">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списание, юридические меры</w:t>
            </w:r>
          </w:p>
        </w:tc>
      </w:tr>
    </w:tbl>
    <w:p w14:paraId="50D4A9AF">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[14]</w:t>
      </w:r>
    </w:p>
    <w:p w14:paraId="097E8B13">
      <w:pPr>
        <w:pStyle w:val="30"/>
        <w:spacing w:before="0" w:beforeAutospacing="0" w:after="0" w:afterAutospacing="0"/>
        <w:ind w:firstLine="360"/>
        <w:jc w:val="both"/>
        <w:rPr>
          <w:sz w:val="28"/>
          <w:szCs w:val="28"/>
        </w:rPr>
      </w:pPr>
    </w:p>
    <w:p w14:paraId="56AA0BFA">
      <w:pPr>
        <w:pStyle w:val="30"/>
        <w:spacing w:before="0" w:beforeAutospacing="0" w:after="0" w:afterAutospacing="0"/>
        <w:ind w:firstLine="360"/>
        <w:jc w:val="both"/>
        <w:rPr>
          <w:sz w:val="28"/>
          <w:szCs w:val="28"/>
        </w:rPr>
      </w:pPr>
      <w:r>
        <w:rPr>
          <w:sz w:val="28"/>
          <w:szCs w:val="28"/>
        </w:rPr>
        <w:t>Проблемные активы различаются и в зависимости от категории заемщика (таблица 2):</w:t>
      </w:r>
    </w:p>
    <w:p w14:paraId="549A58E0">
      <w:pPr>
        <w:pStyle w:val="30"/>
        <w:spacing w:before="0" w:beforeAutospacing="0" w:after="0" w:afterAutospacing="0"/>
        <w:ind w:left="360" w:firstLine="207"/>
        <w:jc w:val="both"/>
        <w:rPr>
          <w:sz w:val="28"/>
          <w:szCs w:val="28"/>
        </w:rPr>
      </w:pPr>
      <w:r>
        <w:rPr>
          <w:rStyle w:val="14"/>
          <w:b w:val="0"/>
          <w:bCs w:val="0"/>
          <w:sz w:val="28"/>
          <w:szCs w:val="28"/>
        </w:rPr>
        <w:t>- Корпоративные кредиты</w:t>
      </w:r>
      <w:r>
        <w:rPr>
          <w:sz w:val="28"/>
          <w:szCs w:val="28"/>
        </w:rPr>
        <w:t xml:space="preserve"> – выданы юридическим лицам. Их структура и объем часто зависят от отрасли и финансового состояния компании. Риск дефолта повышается в период экономической нестабильности [15, 17].</w:t>
      </w:r>
    </w:p>
    <w:p w14:paraId="40506829">
      <w:pPr>
        <w:pStyle w:val="30"/>
        <w:spacing w:before="0" w:beforeAutospacing="0" w:after="0" w:afterAutospacing="0"/>
        <w:ind w:left="360" w:firstLine="207"/>
        <w:jc w:val="both"/>
        <w:rPr>
          <w:sz w:val="28"/>
          <w:szCs w:val="28"/>
        </w:rPr>
      </w:pPr>
      <w:r>
        <w:rPr>
          <w:rStyle w:val="14"/>
          <w:b w:val="0"/>
          <w:bCs w:val="0"/>
          <w:sz w:val="28"/>
          <w:szCs w:val="28"/>
        </w:rPr>
        <w:t>- Малый и средний бизнес (МСБ)</w:t>
      </w:r>
      <w:r>
        <w:rPr>
          <w:sz w:val="28"/>
          <w:szCs w:val="28"/>
        </w:rPr>
        <w:t xml:space="preserve"> – кредиты предпринимателям и малым предприятиям. Высокая чувствительность к колебаниям спроса и сезонности доходов делает этот сегмент более рискованным.</w:t>
      </w:r>
    </w:p>
    <w:p w14:paraId="67B8BE1D">
      <w:pPr>
        <w:pStyle w:val="30"/>
        <w:spacing w:before="0" w:beforeAutospacing="0" w:after="0" w:afterAutospacing="0"/>
        <w:ind w:left="142" w:firstLine="207"/>
        <w:jc w:val="both"/>
        <w:rPr>
          <w:sz w:val="28"/>
          <w:szCs w:val="28"/>
        </w:rPr>
      </w:pPr>
      <w:r>
        <w:rPr>
          <w:rStyle w:val="14"/>
          <w:b w:val="0"/>
          <w:bCs w:val="0"/>
          <w:sz w:val="28"/>
          <w:szCs w:val="28"/>
        </w:rPr>
        <w:t xml:space="preserve">    - Индивидуальные кредиты (retail)</w:t>
      </w:r>
      <w:r>
        <w:rPr>
          <w:sz w:val="28"/>
          <w:szCs w:val="28"/>
        </w:rPr>
        <w:t xml:space="preserve"> – ипотека, автокредиты, потребительские займы. Уровень дефолта зависит от дохода и кредитной истории заемщика. Банки применяют скоринговые системы для оценки риска (Рисунок 1). </w:t>
      </w:r>
    </w:p>
    <w:p w14:paraId="35625AD8">
      <w:pPr>
        <w:pStyle w:val="30"/>
        <w:spacing w:before="0" w:beforeAutospacing="0" w:after="0" w:afterAutospacing="0"/>
        <w:ind w:left="142" w:firstLine="207"/>
        <w:jc w:val="both"/>
        <w:rPr>
          <w:sz w:val="28"/>
          <w:szCs w:val="28"/>
        </w:rPr>
      </w:pPr>
    </w:p>
    <w:p w14:paraId="1943D10F">
      <w:pPr>
        <w:pStyle w:val="30"/>
        <w:spacing w:before="0" w:beforeAutospacing="0" w:after="0" w:afterAutospacing="0"/>
        <w:jc w:val="both"/>
        <w:rPr>
          <w:sz w:val="28"/>
          <w:szCs w:val="28"/>
        </w:rPr>
      </w:pPr>
      <w:r>
        <w:rPr>
          <w:sz w:val="28"/>
          <w:szCs w:val="28"/>
        </w:rPr>
        <w:t>Таблица 2 - Классификация проблемных активов по типу заемщика</w:t>
      </w:r>
    </w:p>
    <w:p w14:paraId="59B7F5F4">
      <w:pPr>
        <w:pStyle w:val="30"/>
        <w:spacing w:before="0" w:beforeAutospacing="0" w:after="0" w:afterAutospacing="0"/>
        <w:ind w:firstLine="708"/>
        <w:jc w:val="both"/>
        <w:rPr>
          <w:sz w:val="28"/>
          <w:szCs w:val="28"/>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4"/>
        <w:gridCol w:w="3758"/>
        <w:gridCol w:w="3812"/>
      </w:tblGrid>
      <w:tr w14:paraId="2361D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16372C0">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Тип заемщика</w:t>
            </w:r>
          </w:p>
        </w:tc>
        <w:tc>
          <w:tcPr>
            <w:tcW w:w="0" w:type="auto"/>
          </w:tcPr>
          <w:p w14:paraId="5F35F2CF">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Доля проблемных активов, %</w:t>
            </w:r>
          </w:p>
        </w:tc>
        <w:tc>
          <w:tcPr>
            <w:tcW w:w="0" w:type="auto"/>
          </w:tcPr>
          <w:p w14:paraId="33B0DED8">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Основные риски</w:t>
            </w:r>
          </w:p>
        </w:tc>
      </w:tr>
      <w:tr w14:paraId="7CD43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C46F21E">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Корпоративные</w:t>
            </w:r>
          </w:p>
        </w:tc>
        <w:tc>
          <w:tcPr>
            <w:tcW w:w="0" w:type="auto"/>
          </w:tcPr>
          <w:p w14:paraId="48C36D12">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40</w:t>
            </w:r>
          </w:p>
        </w:tc>
        <w:tc>
          <w:tcPr>
            <w:tcW w:w="0" w:type="auto"/>
          </w:tcPr>
          <w:p w14:paraId="0C3C3544">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Концентрация, дефолт</w:t>
            </w:r>
          </w:p>
        </w:tc>
      </w:tr>
      <w:tr w14:paraId="48647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35533DA">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МСБ</w:t>
            </w:r>
          </w:p>
        </w:tc>
        <w:tc>
          <w:tcPr>
            <w:tcW w:w="0" w:type="auto"/>
          </w:tcPr>
          <w:p w14:paraId="26B3298F">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35</w:t>
            </w:r>
          </w:p>
        </w:tc>
        <w:tc>
          <w:tcPr>
            <w:tcW w:w="0" w:type="auto"/>
          </w:tcPr>
          <w:p w14:paraId="424E1410">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Недостаток ликвидности</w:t>
            </w:r>
          </w:p>
        </w:tc>
      </w:tr>
      <w:tr w14:paraId="10198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238598E">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Розничные</w:t>
            </w:r>
          </w:p>
        </w:tc>
        <w:tc>
          <w:tcPr>
            <w:tcW w:w="0" w:type="auto"/>
          </w:tcPr>
          <w:p w14:paraId="56D088A2">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25</w:t>
            </w:r>
          </w:p>
        </w:tc>
        <w:tc>
          <w:tcPr>
            <w:tcW w:w="0" w:type="auto"/>
          </w:tcPr>
          <w:p w14:paraId="191685D9">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Просрочки, реструктуризация</w:t>
            </w:r>
          </w:p>
        </w:tc>
      </w:tr>
    </w:tbl>
    <w:p w14:paraId="3E0BD500">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[16]</w:t>
      </w:r>
    </w:p>
    <w:p w14:paraId="66F7475A">
      <w:pPr>
        <w:pStyle w:val="30"/>
        <w:spacing w:before="0" w:beforeAutospacing="0" w:after="0" w:afterAutospacing="0"/>
        <w:jc w:val="both"/>
        <w:rPr>
          <w:sz w:val="28"/>
          <w:szCs w:val="28"/>
        </w:rPr>
      </w:pPr>
    </w:p>
    <w:p w14:paraId="3779262E">
      <w:pPr>
        <w:pStyle w:val="30"/>
        <w:spacing w:before="0" w:beforeAutospacing="0" w:after="0" w:afterAutospacing="0"/>
        <w:ind w:firstLine="1701"/>
        <w:jc w:val="both"/>
        <w:rPr>
          <w:sz w:val="28"/>
          <w:szCs w:val="28"/>
        </w:rPr>
      </w:pPr>
      <w:r>
        <w:rPr>
          <w:sz w:val="28"/>
          <w:szCs w:val="28"/>
        </w:rPr>
        <w:drawing>
          <wp:inline distT="0" distB="0" distL="0" distR="0">
            <wp:extent cx="3371850" cy="2514600"/>
            <wp:effectExtent l="0" t="0" r="0" b="0"/>
            <wp:docPr id="103998456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984564" name="Рисунок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371850" cy="2514600"/>
                    </a:xfrm>
                    <a:prstGeom prst="rect">
                      <a:avLst/>
                    </a:prstGeom>
                    <a:noFill/>
                    <a:ln>
                      <a:noFill/>
                    </a:ln>
                  </pic:spPr>
                </pic:pic>
              </a:graphicData>
            </a:graphic>
          </wp:inline>
        </w:drawing>
      </w:r>
    </w:p>
    <w:p w14:paraId="3DBA8E6C">
      <w:pPr>
        <w:pStyle w:val="30"/>
        <w:spacing w:before="0" w:beforeAutospacing="0" w:after="0" w:afterAutospacing="0"/>
        <w:ind w:firstLine="708"/>
        <w:jc w:val="both"/>
        <w:rPr>
          <w:rStyle w:val="14"/>
          <w:b w:val="0"/>
          <w:bCs w:val="0"/>
          <w:sz w:val="28"/>
          <w:szCs w:val="28"/>
        </w:rPr>
      </w:pPr>
      <w:r>
        <w:rPr>
          <w:rStyle w:val="14"/>
          <w:b w:val="0"/>
          <w:bCs w:val="0"/>
          <w:sz w:val="28"/>
          <w:szCs w:val="28"/>
        </w:rPr>
        <w:t>Рисунок 1 - Распределение проблемных активов по типу заемщика</w:t>
      </w:r>
    </w:p>
    <w:p w14:paraId="38F6ABA9">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[16]</w:t>
      </w:r>
    </w:p>
    <w:p w14:paraId="6A2457D8">
      <w:pPr>
        <w:pStyle w:val="30"/>
        <w:spacing w:before="0" w:beforeAutospacing="0" w:after="0" w:afterAutospacing="0"/>
        <w:ind w:firstLine="708"/>
        <w:jc w:val="both"/>
        <w:rPr>
          <w:sz w:val="28"/>
          <w:szCs w:val="28"/>
        </w:rPr>
      </w:pPr>
      <w:r>
        <w:rPr>
          <w:sz w:val="28"/>
          <w:szCs w:val="28"/>
        </w:rPr>
        <w:t xml:space="preserve">Классификация проблемных активов по типу заемщика позволяет банкам дифференцировать стратегии управления задолженностью, оптимизировать резервы под ожидаемые кредитные потери и повысить эффективность риск-менеджмента [16]. В условиях роста проблемных активов в кредитовании реального сектора экономики Республики Казахстан особое значение приобретает применение </w:t>
      </w:r>
      <w:r>
        <w:rPr>
          <w:rStyle w:val="14"/>
          <w:b w:val="0"/>
          <w:bCs w:val="0"/>
          <w:sz w:val="28"/>
          <w:szCs w:val="28"/>
        </w:rPr>
        <w:t>проектного подхода</w:t>
      </w:r>
      <w:r>
        <w:rPr>
          <w:sz w:val="28"/>
          <w:szCs w:val="28"/>
        </w:rPr>
        <w:t>, адаптированного к специфике каждой группы заемщиков (таблица 3).</w:t>
      </w:r>
    </w:p>
    <w:p w14:paraId="0F4AF76D">
      <w:pPr>
        <w:spacing w:after="0" w:line="240" w:lineRule="auto"/>
        <w:jc w:val="both"/>
        <w:rPr>
          <w:rFonts w:ascii="Times New Roman" w:hAnsi="Times New Roman" w:cs="Times New Roman"/>
          <w:sz w:val="28"/>
          <w:szCs w:val="28"/>
        </w:rPr>
      </w:pPr>
    </w:p>
    <w:p w14:paraId="4A02D109">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Таблица 3 - Классификация проблемных активов банков с позиции проектного подхода</w:t>
      </w:r>
    </w:p>
    <w:p w14:paraId="691A2833">
      <w:pPr>
        <w:spacing w:after="0" w:line="240" w:lineRule="auto"/>
        <w:rPr>
          <w:rFonts w:ascii="Times New Roman" w:hAnsi="Times New Roman" w:eastAsia="Times New Roman" w:cs="Times New Roman"/>
          <w:sz w:val="28"/>
          <w:szCs w:val="28"/>
          <w:lang w:eastAsia="zh-CN"/>
        </w:rPr>
      </w:pPr>
    </w:p>
    <w:tbl>
      <w:tblPr>
        <w:tblStyle w:val="31"/>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0"/>
        <w:gridCol w:w="2091"/>
        <w:gridCol w:w="2572"/>
        <w:gridCol w:w="2771"/>
      </w:tblGrid>
      <w:tr w14:paraId="544C7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0" w:type="dxa"/>
          </w:tcPr>
          <w:p w14:paraId="2B8515E1">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Критерий классификации</w:t>
            </w:r>
          </w:p>
        </w:tc>
        <w:tc>
          <w:tcPr>
            <w:tcW w:w="2091" w:type="dxa"/>
          </w:tcPr>
          <w:p w14:paraId="2BA51B0D">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Вид проблемных активов</w:t>
            </w:r>
          </w:p>
        </w:tc>
        <w:tc>
          <w:tcPr>
            <w:tcW w:w="2572" w:type="dxa"/>
          </w:tcPr>
          <w:p w14:paraId="780B920B">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Характеристика проекта</w:t>
            </w:r>
          </w:p>
        </w:tc>
        <w:tc>
          <w:tcPr>
            <w:tcW w:w="2771" w:type="dxa"/>
          </w:tcPr>
          <w:p w14:paraId="6EEEA568">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Управленческие инструменты</w:t>
            </w:r>
          </w:p>
        </w:tc>
      </w:tr>
      <w:tr w14:paraId="3225B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0" w:type="dxa"/>
          </w:tcPr>
          <w:p w14:paraId="14C6DB9C">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Степень сложности</w:t>
            </w:r>
          </w:p>
        </w:tc>
        <w:tc>
          <w:tcPr>
            <w:tcW w:w="2091" w:type="dxa"/>
          </w:tcPr>
          <w:p w14:paraId="2BE3B129">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Простые</w:t>
            </w:r>
          </w:p>
        </w:tc>
        <w:tc>
          <w:tcPr>
            <w:tcW w:w="2572" w:type="dxa"/>
          </w:tcPr>
          <w:p w14:paraId="5910424B">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Низкий объём задолженности, стандартные процедуры</w:t>
            </w:r>
          </w:p>
        </w:tc>
        <w:tc>
          <w:tcPr>
            <w:tcW w:w="2771" w:type="dxa"/>
          </w:tcPr>
          <w:p w14:paraId="5FCC0D43">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Регламентные проекты</w:t>
            </w:r>
          </w:p>
        </w:tc>
      </w:tr>
      <w:tr w14:paraId="2634B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0" w:type="dxa"/>
          </w:tcPr>
          <w:p w14:paraId="6B0E1CB9">
            <w:pPr>
              <w:spacing w:after="0" w:line="240" w:lineRule="auto"/>
              <w:jc w:val="both"/>
              <w:rPr>
                <w:rFonts w:ascii="Times New Roman" w:hAnsi="Times New Roman" w:eastAsia="Times New Roman" w:cs="Times New Roman"/>
                <w:sz w:val="28"/>
                <w:szCs w:val="28"/>
                <w:lang w:eastAsia="zh-CN"/>
              </w:rPr>
            </w:pPr>
          </w:p>
        </w:tc>
        <w:tc>
          <w:tcPr>
            <w:tcW w:w="2091" w:type="dxa"/>
          </w:tcPr>
          <w:p w14:paraId="1770C6B1">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Средней сложности</w:t>
            </w:r>
          </w:p>
        </w:tc>
        <w:tc>
          <w:tcPr>
            <w:tcW w:w="2572" w:type="dxa"/>
          </w:tcPr>
          <w:p w14:paraId="5C8333EA">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Необходимость реструктуризации, переговоров</w:t>
            </w:r>
          </w:p>
        </w:tc>
        <w:tc>
          <w:tcPr>
            <w:tcW w:w="2771" w:type="dxa"/>
          </w:tcPr>
          <w:p w14:paraId="306B7A04">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Проекты с контрольными точками</w:t>
            </w:r>
          </w:p>
        </w:tc>
      </w:tr>
      <w:tr w14:paraId="2C64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0" w:type="dxa"/>
          </w:tcPr>
          <w:p w14:paraId="4F203B56">
            <w:pPr>
              <w:spacing w:after="0" w:line="240" w:lineRule="auto"/>
              <w:jc w:val="both"/>
              <w:rPr>
                <w:rFonts w:ascii="Times New Roman" w:hAnsi="Times New Roman" w:eastAsia="Times New Roman" w:cs="Times New Roman"/>
                <w:sz w:val="28"/>
                <w:szCs w:val="28"/>
                <w:lang w:eastAsia="zh-CN"/>
              </w:rPr>
            </w:pPr>
          </w:p>
        </w:tc>
        <w:tc>
          <w:tcPr>
            <w:tcW w:w="2091" w:type="dxa"/>
          </w:tcPr>
          <w:p w14:paraId="229122F1">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Сложные</w:t>
            </w:r>
          </w:p>
        </w:tc>
        <w:tc>
          <w:tcPr>
            <w:tcW w:w="2572" w:type="dxa"/>
          </w:tcPr>
          <w:p w14:paraId="34F64314">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Крупные корпоративные заёмщики, судебные процедуры</w:t>
            </w:r>
          </w:p>
        </w:tc>
        <w:tc>
          <w:tcPr>
            <w:tcW w:w="2771" w:type="dxa"/>
          </w:tcPr>
          <w:p w14:paraId="667833B3">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Комплексные проектные программы</w:t>
            </w:r>
          </w:p>
        </w:tc>
      </w:tr>
      <w:tr w14:paraId="6A90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0" w:type="dxa"/>
            <w:tcBorders>
              <w:bottom w:val="single" w:color="auto" w:sz="4" w:space="0"/>
            </w:tcBorders>
          </w:tcPr>
          <w:p w14:paraId="1E0F1BD4">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Срок реализации</w:t>
            </w:r>
          </w:p>
        </w:tc>
        <w:tc>
          <w:tcPr>
            <w:tcW w:w="2091" w:type="dxa"/>
            <w:tcBorders>
              <w:bottom w:val="single" w:color="auto" w:sz="4" w:space="0"/>
            </w:tcBorders>
          </w:tcPr>
          <w:p w14:paraId="44AB4DDC">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Краткосрочные</w:t>
            </w:r>
          </w:p>
        </w:tc>
        <w:tc>
          <w:tcPr>
            <w:tcW w:w="2572" w:type="dxa"/>
            <w:tcBorders>
              <w:bottom w:val="single" w:color="auto" w:sz="4" w:space="0"/>
            </w:tcBorders>
          </w:tcPr>
          <w:p w14:paraId="7AD6D373">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До 1 года</w:t>
            </w:r>
          </w:p>
        </w:tc>
        <w:tc>
          <w:tcPr>
            <w:tcW w:w="2771" w:type="dxa"/>
            <w:tcBorders>
              <w:bottom w:val="single" w:color="auto" w:sz="4" w:space="0"/>
            </w:tcBorders>
          </w:tcPr>
          <w:p w14:paraId="1E7ADD83">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Ускоренные проекты</w:t>
            </w:r>
          </w:p>
        </w:tc>
      </w:tr>
      <w:tr w14:paraId="6687D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0" w:type="dxa"/>
            <w:tcBorders>
              <w:bottom w:val="single" w:color="auto" w:sz="4" w:space="0"/>
            </w:tcBorders>
          </w:tcPr>
          <w:p w14:paraId="4C1AA0AC">
            <w:pPr>
              <w:spacing w:after="0" w:line="240" w:lineRule="auto"/>
              <w:jc w:val="both"/>
              <w:rPr>
                <w:rFonts w:ascii="Times New Roman" w:hAnsi="Times New Roman" w:eastAsia="Times New Roman" w:cs="Times New Roman"/>
                <w:sz w:val="28"/>
                <w:szCs w:val="28"/>
                <w:lang w:eastAsia="zh-CN"/>
              </w:rPr>
            </w:pPr>
          </w:p>
        </w:tc>
        <w:tc>
          <w:tcPr>
            <w:tcW w:w="2091" w:type="dxa"/>
            <w:tcBorders>
              <w:bottom w:val="single" w:color="auto" w:sz="4" w:space="0"/>
            </w:tcBorders>
          </w:tcPr>
          <w:p w14:paraId="3492B77C">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Среднесрочные</w:t>
            </w:r>
          </w:p>
        </w:tc>
        <w:tc>
          <w:tcPr>
            <w:tcW w:w="2572" w:type="dxa"/>
            <w:tcBorders>
              <w:bottom w:val="single" w:color="auto" w:sz="4" w:space="0"/>
            </w:tcBorders>
          </w:tcPr>
          <w:p w14:paraId="7B95D115">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1–3 года</w:t>
            </w:r>
          </w:p>
        </w:tc>
        <w:tc>
          <w:tcPr>
            <w:tcW w:w="2771" w:type="dxa"/>
            <w:tcBorders>
              <w:bottom w:val="single" w:color="auto" w:sz="4" w:space="0"/>
            </w:tcBorders>
          </w:tcPr>
          <w:p w14:paraId="3D8305F2">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Проектное планирование</w:t>
            </w:r>
          </w:p>
        </w:tc>
      </w:tr>
      <w:tr w14:paraId="2902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4"/>
            <w:tcBorders>
              <w:top w:val="single" w:color="auto" w:sz="4" w:space="0"/>
              <w:left w:val="nil"/>
              <w:bottom w:val="nil"/>
              <w:right w:val="nil"/>
            </w:tcBorders>
          </w:tcPr>
          <w:p w14:paraId="054451CB">
            <w:pPr>
              <w:spacing w:after="0" w:line="240" w:lineRule="auto"/>
              <w:jc w:val="both"/>
              <w:rPr>
                <w:rFonts w:ascii="Times New Roman" w:hAnsi="Times New Roman" w:eastAsia="Times New Roman" w:cs="Times New Roman"/>
                <w:sz w:val="24"/>
                <w:szCs w:val="24"/>
                <w:lang w:eastAsia="zh-CN"/>
              </w:rPr>
            </w:pPr>
          </w:p>
        </w:tc>
      </w:tr>
      <w:tr w14:paraId="553AB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4"/>
            <w:tcBorders>
              <w:top w:val="nil"/>
              <w:left w:val="nil"/>
              <w:bottom w:val="single" w:color="auto" w:sz="4" w:space="0"/>
              <w:right w:val="nil"/>
            </w:tcBorders>
          </w:tcPr>
          <w:p w14:paraId="6145FE53">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Продолжение таблицы 3</w:t>
            </w:r>
          </w:p>
        </w:tc>
      </w:tr>
      <w:tr w14:paraId="411A3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0" w:type="dxa"/>
            <w:tcBorders>
              <w:top w:val="single" w:color="auto" w:sz="4" w:space="0"/>
            </w:tcBorders>
          </w:tcPr>
          <w:p w14:paraId="480B1763">
            <w:pPr>
              <w:spacing w:after="0" w:line="240" w:lineRule="auto"/>
              <w:jc w:val="both"/>
              <w:rPr>
                <w:rFonts w:ascii="Times New Roman" w:hAnsi="Times New Roman" w:eastAsia="Times New Roman" w:cs="Times New Roman"/>
                <w:sz w:val="28"/>
                <w:szCs w:val="28"/>
                <w:lang w:eastAsia="zh-CN"/>
              </w:rPr>
            </w:pPr>
          </w:p>
        </w:tc>
        <w:tc>
          <w:tcPr>
            <w:tcW w:w="2091" w:type="dxa"/>
            <w:tcBorders>
              <w:top w:val="single" w:color="auto" w:sz="4" w:space="0"/>
            </w:tcBorders>
          </w:tcPr>
          <w:p w14:paraId="6C8D0542">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Долгосрочные</w:t>
            </w:r>
          </w:p>
        </w:tc>
        <w:tc>
          <w:tcPr>
            <w:tcW w:w="2572" w:type="dxa"/>
            <w:tcBorders>
              <w:top w:val="single" w:color="auto" w:sz="4" w:space="0"/>
            </w:tcBorders>
          </w:tcPr>
          <w:p w14:paraId="790F9C13">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Более 3 лет</w:t>
            </w:r>
          </w:p>
        </w:tc>
        <w:tc>
          <w:tcPr>
            <w:tcW w:w="2771" w:type="dxa"/>
            <w:tcBorders>
              <w:top w:val="single" w:color="auto" w:sz="4" w:space="0"/>
            </w:tcBorders>
          </w:tcPr>
          <w:p w14:paraId="66E382B4">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Программное управление</w:t>
            </w:r>
          </w:p>
        </w:tc>
      </w:tr>
      <w:tr w14:paraId="25063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0" w:type="dxa"/>
          </w:tcPr>
          <w:p w14:paraId="2517A172">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Объём ресурсов</w:t>
            </w:r>
          </w:p>
        </w:tc>
        <w:tc>
          <w:tcPr>
            <w:tcW w:w="2091" w:type="dxa"/>
          </w:tcPr>
          <w:p w14:paraId="16995088">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Низкий</w:t>
            </w:r>
          </w:p>
        </w:tc>
        <w:tc>
          <w:tcPr>
            <w:tcW w:w="2572" w:type="dxa"/>
          </w:tcPr>
          <w:p w14:paraId="12B33B24">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Ограниченные затраты</w:t>
            </w:r>
          </w:p>
        </w:tc>
        <w:tc>
          <w:tcPr>
            <w:tcW w:w="2771" w:type="dxa"/>
          </w:tcPr>
          <w:p w14:paraId="00F07D5E">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Локальные проектные команды</w:t>
            </w:r>
          </w:p>
        </w:tc>
      </w:tr>
      <w:tr w14:paraId="5498D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0" w:type="dxa"/>
          </w:tcPr>
          <w:p w14:paraId="7A4C903C">
            <w:pPr>
              <w:spacing w:after="0" w:line="240" w:lineRule="auto"/>
              <w:jc w:val="both"/>
              <w:rPr>
                <w:rFonts w:ascii="Times New Roman" w:hAnsi="Times New Roman" w:eastAsia="Times New Roman" w:cs="Times New Roman"/>
                <w:sz w:val="28"/>
                <w:szCs w:val="28"/>
                <w:lang w:eastAsia="zh-CN"/>
              </w:rPr>
            </w:pPr>
          </w:p>
        </w:tc>
        <w:tc>
          <w:tcPr>
            <w:tcW w:w="2091" w:type="dxa"/>
          </w:tcPr>
          <w:p w14:paraId="6646414C">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Высокий</w:t>
            </w:r>
          </w:p>
        </w:tc>
        <w:tc>
          <w:tcPr>
            <w:tcW w:w="2572" w:type="dxa"/>
          </w:tcPr>
          <w:p w14:paraId="3043EDA2">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Существенные финансовые и трудовые ресурсы</w:t>
            </w:r>
          </w:p>
        </w:tc>
        <w:tc>
          <w:tcPr>
            <w:tcW w:w="2771" w:type="dxa"/>
          </w:tcPr>
          <w:p w14:paraId="39001E58">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Межфункциональные команды</w:t>
            </w:r>
          </w:p>
        </w:tc>
      </w:tr>
    </w:tbl>
    <w:p w14:paraId="07438BC2">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[16]</w:t>
      </w:r>
    </w:p>
    <w:p w14:paraId="45554A0C">
      <w:pPr>
        <w:spacing w:after="0" w:line="240" w:lineRule="auto"/>
        <w:ind w:firstLine="709"/>
        <w:jc w:val="both"/>
        <w:rPr>
          <w:rFonts w:ascii="Times New Roman" w:hAnsi="Times New Roman" w:cs="Times New Roman"/>
          <w:sz w:val="28"/>
          <w:szCs w:val="28"/>
        </w:rPr>
      </w:pPr>
    </w:p>
    <w:p w14:paraId="74068D84">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 xml:space="preserve">Международные стандарты IFRS и Basel III устанавливают системный подход к классификации кредитов на основе кредитного риска. </w:t>
      </w:r>
      <w:r>
        <w:rPr>
          <w:rFonts w:ascii="Times New Roman" w:hAnsi="Times New Roman" w:cs="Times New Roman"/>
          <w:sz w:val="28"/>
          <w:szCs w:val="28"/>
        </w:rPr>
        <w:t>Согласно МСФО 9, классификация кредитов (финансовых активов) предусматривает три</w:t>
      </w:r>
      <w:r>
        <w:rPr>
          <w:rStyle w:val="14"/>
          <w:rFonts w:ascii="Times New Roman" w:hAnsi="Times New Roman" w:cs="Times New Roman"/>
          <w:b w:val="0"/>
          <w:bCs w:val="0"/>
          <w:color w:val="0A0A0A"/>
          <w:sz w:val="28"/>
          <w:szCs w:val="28"/>
          <w:shd w:val="clear" w:color="auto" w:fill="FFFFFF"/>
        </w:rPr>
        <w:t xml:space="preserve"> стадии</w:t>
      </w:r>
      <w:r>
        <w:rPr>
          <w:rFonts w:ascii="Times New Roman" w:hAnsi="Times New Roman" w:cs="Times New Roman"/>
          <w:color w:val="0A0A0A"/>
          <w:sz w:val="28"/>
          <w:szCs w:val="28"/>
          <w:shd w:val="clear" w:color="auto" w:fill="FFFFFF"/>
        </w:rPr>
        <w:t> по степени</w:t>
      </w:r>
      <w:r>
        <w:rPr>
          <w:rStyle w:val="14"/>
          <w:rFonts w:ascii="Times New Roman" w:hAnsi="Times New Roman" w:cs="Times New Roman"/>
          <w:b w:val="0"/>
          <w:bCs w:val="0"/>
          <w:color w:val="0A0A0A"/>
          <w:sz w:val="28"/>
          <w:szCs w:val="28"/>
          <w:shd w:val="clear" w:color="auto" w:fill="FFFFFF"/>
        </w:rPr>
        <w:t xml:space="preserve"> увеличения кредитного риска</w:t>
      </w:r>
      <w:r>
        <w:rPr>
          <w:rFonts w:ascii="Times New Roman" w:hAnsi="Times New Roman" w:cs="Times New Roman"/>
          <w:color w:val="0A0A0A"/>
          <w:sz w:val="28"/>
          <w:szCs w:val="28"/>
          <w:shd w:val="clear" w:color="auto" w:fill="FFFFFF"/>
        </w:rPr>
        <w:t>, а не только по сроку просрочки, с резервированием под ожидаемые кредитные убытки за 12 месяцев (Стадия 1) или за весь срок (Стадии 2 и 3, включая дефолтные), что требует оценки вероятности дефолта и убытка при дефолте для адекватного резервирования [17-19].</w:t>
      </w:r>
      <w:r>
        <w:rPr>
          <w:rStyle w:val="74"/>
          <w:rFonts w:ascii="Times New Roman" w:hAnsi="Times New Roman" w:cs="Times New Roman"/>
          <w:color w:val="0A0A0A"/>
          <w:sz w:val="28"/>
          <w:szCs w:val="28"/>
          <w:shd w:val="clear" w:color="auto" w:fill="FFFFFF"/>
        </w:rPr>
        <w:t> </w:t>
      </w:r>
      <w:r>
        <w:rPr>
          <w:rFonts w:ascii="Times New Roman" w:hAnsi="Times New Roman" w:eastAsia="Times New Roman" w:cs="Times New Roman"/>
          <w:sz w:val="28"/>
          <w:szCs w:val="28"/>
          <w:lang w:eastAsia="zh-CN"/>
        </w:rPr>
        <w:t xml:space="preserve"> Международные стандарты IFRS вводят концепцию трех стадий кредитного риска (Expected Credit Loss, ECL):</w:t>
      </w:r>
    </w:p>
    <w:p w14:paraId="3A6FF505">
      <w:pPr>
        <w:pStyle w:val="32"/>
        <w:numPr>
          <w:ilvl w:val="0"/>
          <w:numId w:val="5"/>
        </w:numPr>
        <w:spacing w:after="0" w:line="240" w:lineRule="auto"/>
        <w:ind w:left="0" w:firstLine="709"/>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Стадия 1 – активы без значительного увеличения риска, резервы на 12 месяцев;</w:t>
      </w:r>
    </w:p>
    <w:p w14:paraId="7417823A">
      <w:pPr>
        <w:spacing w:after="0" w:line="240" w:lineRule="auto"/>
        <w:ind w:firstLine="567"/>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  Стадия 2 – активы с повышенным кредитным риском, резервы на весь срок;</w:t>
      </w:r>
    </w:p>
    <w:p w14:paraId="44EBDADD">
      <w:pPr>
        <w:spacing w:after="0" w:line="240" w:lineRule="auto"/>
        <w:ind w:firstLine="709"/>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  Стадия 3 – дефолтные активы, резервы на всю сумму ожидаемого убытка.</w:t>
      </w:r>
    </w:p>
    <w:p w14:paraId="27382A6D">
      <w:pPr>
        <w:spacing w:after="0" w:line="240" w:lineRule="auto"/>
        <w:ind w:firstLine="360"/>
        <w:jc w:val="both"/>
        <w:rPr>
          <w:rFonts w:ascii="Times New Roman" w:hAnsi="Times New Roman" w:eastAsia="Times New Roman" w:cs="Times New Roman"/>
          <w:sz w:val="28"/>
          <w:szCs w:val="28"/>
          <w:lang w:eastAsia="zh-CN"/>
        </w:rPr>
      </w:pPr>
      <w:r>
        <w:rPr>
          <w:rFonts w:ascii="Times New Roman" w:hAnsi="Times New Roman" w:cs="Times New Roman"/>
          <w:sz w:val="28"/>
          <w:szCs w:val="28"/>
        </w:rPr>
        <w:t> </w:t>
      </w:r>
      <w:r>
        <w:rPr>
          <w:rStyle w:val="14"/>
          <w:rFonts w:ascii="Times New Roman" w:hAnsi="Times New Roman" w:cs="Times New Roman"/>
          <w:b w:val="0"/>
          <w:bCs w:val="0"/>
          <w:color w:val="0A0A0A"/>
          <w:sz w:val="28"/>
          <w:szCs w:val="28"/>
          <w:shd w:val="clear" w:color="auto" w:fill="FFFFFF"/>
        </w:rPr>
        <w:t>Базель III</w:t>
      </w:r>
      <w:r>
        <w:rPr>
          <w:rFonts w:ascii="Times New Roman" w:hAnsi="Times New Roman" w:cs="Times New Roman"/>
          <w:color w:val="0A0A0A"/>
          <w:sz w:val="28"/>
          <w:szCs w:val="28"/>
          <w:shd w:val="clear" w:color="auto" w:fill="FFFFFF"/>
        </w:rPr>
        <w:t xml:space="preserve"> является ответом на кризис 2008 года [20], проблемные кредиты рассматриваются через призму усиления требований к капиталу и управлению рисками банков: банки должны держать больше высококачественного капитала для покрытия возможных убытков от таких кредитов, а также улучшать оценку кредитного риска, чтобы повысить устойчивость системы к финансовым шокам, снижая системные риски, связанные с некачественными активами.</w:t>
      </w:r>
      <w:r>
        <w:rPr>
          <w:rStyle w:val="74"/>
          <w:rFonts w:ascii="Times New Roman" w:hAnsi="Times New Roman" w:cs="Times New Roman"/>
          <w:color w:val="0A0A0A"/>
          <w:sz w:val="28"/>
          <w:szCs w:val="28"/>
          <w:shd w:val="clear" w:color="auto" w:fill="FFFFFF"/>
        </w:rPr>
        <w:t> </w:t>
      </w:r>
      <w:r>
        <w:rPr>
          <w:rFonts w:ascii="Times New Roman" w:hAnsi="Times New Roman" w:eastAsia="Times New Roman" w:cs="Times New Roman"/>
          <w:sz w:val="28"/>
          <w:szCs w:val="28"/>
          <w:lang w:eastAsia="zh-CN"/>
        </w:rPr>
        <w:t xml:space="preserve"> В рамках Basel III проблемные кредиты классифицируются как:</w:t>
      </w:r>
    </w:p>
    <w:p w14:paraId="30C05EC8">
      <w:pPr>
        <w:pStyle w:val="32"/>
        <w:numPr>
          <w:ilvl w:val="0"/>
          <w:numId w:val="7"/>
        </w:num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Performing Loans – активы без признаков дефолта;</w:t>
      </w:r>
    </w:p>
    <w:p w14:paraId="5F00E78F">
      <w:pPr>
        <w:numPr>
          <w:ilvl w:val="0"/>
          <w:numId w:val="7"/>
        </w:num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Underperforming / Special Mention – ухудшение качества, но не дефолт;</w:t>
      </w:r>
    </w:p>
    <w:p w14:paraId="40C04F09">
      <w:pPr>
        <w:numPr>
          <w:ilvl w:val="0"/>
          <w:numId w:val="7"/>
        </w:numPr>
        <w:spacing w:after="0" w:line="240" w:lineRule="auto"/>
        <w:jc w:val="both"/>
        <w:rPr>
          <w:rFonts w:ascii="Times New Roman" w:hAnsi="Times New Roman" w:eastAsia="Times New Roman" w:cs="Times New Roman"/>
          <w:sz w:val="28"/>
          <w:szCs w:val="28"/>
          <w:lang w:val="en-US" w:eastAsia="zh-CN"/>
        </w:rPr>
      </w:pPr>
      <w:r>
        <w:rPr>
          <w:rFonts w:ascii="Times New Roman" w:hAnsi="Times New Roman" w:eastAsia="Times New Roman" w:cs="Times New Roman"/>
          <w:sz w:val="28"/>
          <w:szCs w:val="28"/>
          <w:lang w:val="en-US" w:eastAsia="zh-CN"/>
        </w:rPr>
        <w:t xml:space="preserve">Non-Performing Loans (NPL) – </w:t>
      </w:r>
      <w:r>
        <w:rPr>
          <w:rFonts w:ascii="Times New Roman" w:hAnsi="Times New Roman" w:eastAsia="Times New Roman" w:cs="Times New Roman"/>
          <w:sz w:val="28"/>
          <w:szCs w:val="28"/>
          <w:lang w:eastAsia="zh-CN"/>
        </w:rPr>
        <w:t>просрочка</w:t>
      </w:r>
      <w:r>
        <w:rPr>
          <w:rFonts w:ascii="Times New Roman" w:hAnsi="Times New Roman" w:eastAsia="Times New Roman" w:cs="Times New Roman"/>
          <w:sz w:val="28"/>
          <w:szCs w:val="28"/>
          <w:lang w:val="en-US" w:eastAsia="zh-CN"/>
        </w:rPr>
        <w:t xml:space="preserve"> </w:t>
      </w:r>
      <w:r>
        <w:rPr>
          <w:rFonts w:ascii="Times New Roman" w:hAnsi="Times New Roman" w:eastAsia="Times New Roman" w:cs="Times New Roman"/>
          <w:sz w:val="28"/>
          <w:szCs w:val="28"/>
          <w:lang w:eastAsia="zh-CN"/>
        </w:rPr>
        <w:t>свыше</w:t>
      </w:r>
      <w:r>
        <w:rPr>
          <w:rFonts w:ascii="Times New Roman" w:hAnsi="Times New Roman" w:eastAsia="Times New Roman" w:cs="Times New Roman"/>
          <w:sz w:val="28"/>
          <w:szCs w:val="28"/>
          <w:lang w:val="en-US" w:eastAsia="zh-CN"/>
        </w:rPr>
        <w:t xml:space="preserve"> 90 </w:t>
      </w:r>
      <w:r>
        <w:rPr>
          <w:rFonts w:ascii="Times New Roman" w:hAnsi="Times New Roman" w:eastAsia="Times New Roman" w:cs="Times New Roman"/>
          <w:sz w:val="28"/>
          <w:szCs w:val="28"/>
          <w:lang w:eastAsia="zh-CN"/>
        </w:rPr>
        <w:t>дней</w:t>
      </w:r>
      <w:r>
        <w:rPr>
          <w:rFonts w:ascii="Times New Roman" w:hAnsi="Times New Roman" w:eastAsia="Times New Roman" w:cs="Times New Roman"/>
          <w:sz w:val="28"/>
          <w:szCs w:val="28"/>
          <w:lang w:val="en-US" w:eastAsia="zh-CN"/>
        </w:rPr>
        <w:t>;</w:t>
      </w:r>
    </w:p>
    <w:p w14:paraId="2CA4F04D">
      <w:pPr>
        <w:numPr>
          <w:ilvl w:val="0"/>
          <w:numId w:val="7"/>
        </w:numPr>
        <w:spacing w:after="0" w:line="240" w:lineRule="auto"/>
        <w:jc w:val="both"/>
        <w:rPr>
          <w:rFonts w:ascii="Times New Roman" w:hAnsi="Times New Roman" w:eastAsia="Times New Roman" w:cs="Times New Roman"/>
          <w:sz w:val="28"/>
          <w:szCs w:val="28"/>
          <w:lang w:val="en-US" w:eastAsia="zh-CN"/>
        </w:rPr>
      </w:pPr>
      <w:r>
        <w:rPr>
          <w:rFonts w:ascii="Times New Roman" w:hAnsi="Times New Roman" w:eastAsia="Times New Roman" w:cs="Times New Roman"/>
          <w:sz w:val="28"/>
          <w:szCs w:val="28"/>
          <w:lang w:val="en-US" w:eastAsia="zh-CN"/>
        </w:rPr>
        <w:t xml:space="preserve">Written-Off / Loss – </w:t>
      </w:r>
      <w:r>
        <w:rPr>
          <w:rFonts w:ascii="Times New Roman" w:hAnsi="Times New Roman" w:eastAsia="Times New Roman" w:cs="Times New Roman"/>
          <w:sz w:val="28"/>
          <w:szCs w:val="28"/>
          <w:lang w:eastAsia="zh-CN"/>
        </w:rPr>
        <w:t>кредиты</w:t>
      </w:r>
      <w:r>
        <w:rPr>
          <w:rFonts w:ascii="Times New Roman" w:hAnsi="Times New Roman" w:eastAsia="Times New Roman" w:cs="Times New Roman"/>
          <w:sz w:val="28"/>
          <w:szCs w:val="28"/>
          <w:lang w:val="en-US" w:eastAsia="zh-CN"/>
        </w:rPr>
        <w:t xml:space="preserve"> </w:t>
      </w:r>
      <w:r>
        <w:rPr>
          <w:rFonts w:ascii="Times New Roman" w:hAnsi="Times New Roman" w:eastAsia="Times New Roman" w:cs="Times New Roman"/>
          <w:sz w:val="28"/>
          <w:szCs w:val="28"/>
          <w:lang w:eastAsia="zh-CN"/>
        </w:rPr>
        <w:t>списаны</w:t>
      </w:r>
      <w:r>
        <w:rPr>
          <w:rFonts w:ascii="Times New Roman" w:hAnsi="Times New Roman" w:eastAsia="Times New Roman" w:cs="Times New Roman"/>
          <w:sz w:val="28"/>
          <w:szCs w:val="28"/>
          <w:lang w:val="en-US" w:eastAsia="zh-CN"/>
        </w:rPr>
        <w:t>.</w:t>
      </w:r>
    </w:p>
    <w:p w14:paraId="4EA38041">
      <w:pPr>
        <w:spacing w:after="0" w:line="240" w:lineRule="auto"/>
        <w:ind w:firstLine="360"/>
        <w:jc w:val="both"/>
        <w:rPr>
          <w:rFonts w:ascii="Times New Roman" w:hAnsi="Times New Roman" w:eastAsia="Times New Roman" w:cs="Times New Roman"/>
          <w:sz w:val="28"/>
          <w:szCs w:val="28"/>
          <w:lang w:eastAsia="zh-CN"/>
        </w:rPr>
      </w:pPr>
      <w:r>
        <w:rPr>
          <w:rFonts w:ascii="Times New Roman" w:hAnsi="Times New Roman" w:cs="Times New Roman"/>
          <w:color w:val="0A0A0A"/>
          <w:sz w:val="28"/>
          <w:szCs w:val="28"/>
          <w:shd w:val="clear" w:color="auto" w:fill="FFFFFF"/>
        </w:rPr>
        <w:t>МСФО 9 фокусируется на ожидаемых кредитных убытках  и классифицирует активы по бизнес-модели и денежным потокам, переходя от «понесенных убытков» к «ожидаемым», что требует создания резервов с момента выдачи кредита, в то время как Базель III больше направлен на достаточность капитала и использует оценку убытков с учетом экстремальных сценариев для покрытия непредвиденных рисков, а не только для отчетности (рис. 2).</w:t>
      </w:r>
    </w:p>
    <w:p w14:paraId="717C25FC">
      <w:pPr>
        <w:spacing w:after="0" w:line="240" w:lineRule="auto"/>
        <w:jc w:val="center"/>
        <w:rPr>
          <w:rFonts w:ascii="Times New Roman" w:hAnsi="Times New Roman" w:eastAsia="Times New Roman" w:cs="Times New Roman"/>
          <w:b/>
          <w:bCs/>
          <w:sz w:val="28"/>
          <w:szCs w:val="28"/>
          <w:lang w:eastAsia="zh-CN"/>
        </w:rPr>
      </w:pPr>
      <w:r>
        <w:rPr>
          <w:rFonts w:ascii="Times New Roman" w:hAnsi="Times New Roman" w:eastAsia="Times New Roman" w:cs="Times New Roman"/>
          <w:b/>
          <w:bCs/>
          <w:sz w:val="28"/>
          <w:szCs w:val="28"/>
          <w:lang w:eastAsia="zh-CN"/>
        </w:rPr>
        <w:drawing>
          <wp:inline distT="0" distB="0" distL="0" distR="0">
            <wp:extent cx="5516880" cy="3139440"/>
            <wp:effectExtent l="0" t="0" r="0" b="0"/>
            <wp:docPr id="211266982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669825" name="Рисунок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516880" cy="3139440"/>
                    </a:xfrm>
                    <a:prstGeom prst="rect">
                      <a:avLst/>
                    </a:prstGeom>
                    <a:noFill/>
                    <a:ln>
                      <a:noFill/>
                    </a:ln>
                  </pic:spPr>
                </pic:pic>
              </a:graphicData>
            </a:graphic>
          </wp:inline>
        </w:drawing>
      </w:r>
    </w:p>
    <w:p w14:paraId="42CA35B9">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Рисунок 2 - Сравнение классификации по IFRS 9 и Basel III</w:t>
      </w:r>
    </w:p>
    <w:p w14:paraId="627BD9BD">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[20]</w:t>
      </w:r>
    </w:p>
    <w:p w14:paraId="445D1834">
      <w:pPr>
        <w:spacing w:after="0" w:line="240" w:lineRule="auto"/>
        <w:jc w:val="both"/>
        <w:rPr>
          <w:rFonts w:ascii="Times New Roman" w:hAnsi="Times New Roman" w:eastAsia="Times New Roman" w:cs="Times New Roman"/>
          <w:sz w:val="28"/>
          <w:szCs w:val="28"/>
          <w:lang w:eastAsia="zh-CN"/>
        </w:rPr>
      </w:pPr>
    </w:p>
    <w:p w14:paraId="427655FC">
      <w:pPr>
        <w:pStyle w:val="30"/>
        <w:spacing w:before="0" w:beforeAutospacing="0" w:after="0" w:afterAutospacing="0"/>
        <w:ind w:firstLine="708"/>
        <w:jc w:val="both"/>
        <w:rPr>
          <w:sz w:val="28"/>
          <w:szCs w:val="28"/>
        </w:rPr>
      </w:pPr>
      <w:r>
        <w:rPr>
          <w:sz w:val="28"/>
          <w:szCs w:val="28"/>
        </w:rPr>
        <w:t xml:space="preserve">Классификация проблемных активов является фундаментальным инструментом управления банковским портфелем. Она обеспечивает систематизацию информации, повышает прозрачность работы банка, позволяет выявлять проблемные сегменты и снижать финансовые потери [21]. </w:t>
      </w:r>
    </w:p>
    <w:p w14:paraId="50CD8F3E">
      <w:pPr>
        <w:pStyle w:val="30"/>
        <w:spacing w:before="0" w:beforeAutospacing="0" w:after="0" w:afterAutospacing="0"/>
        <w:ind w:firstLine="360"/>
        <w:jc w:val="both"/>
        <w:rPr>
          <w:sz w:val="28"/>
          <w:szCs w:val="28"/>
        </w:rPr>
      </w:pPr>
      <w:r>
        <w:rPr>
          <w:sz w:val="28"/>
          <w:szCs w:val="28"/>
        </w:rPr>
        <w:t>Экономическая отрасль заемщика также влияет на вероятность возникновения проблемных активов (Рисунок 3) [21-23]:</w:t>
      </w:r>
    </w:p>
    <w:p w14:paraId="78FD3089">
      <w:pPr>
        <w:pStyle w:val="30"/>
        <w:spacing w:before="0" w:beforeAutospacing="0" w:after="0" w:afterAutospacing="0"/>
        <w:ind w:firstLine="426"/>
        <w:jc w:val="both"/>
        <w:rPr>
          <w:sz w:val="28"/>
          <w:szCs w:val="28"/>
        </w:rPr>
      </w:pPr>
      <w:r>
        <w:rPr>
          <w:rStyle w:val="14"/>
          <w:b w:val="0"/>
          <w:bCs w:val="0"/>
          <w:sz w:val="28"/>
          <w:szCs w:val="28"/>
        </w:rPr>
        <w:t>- Сельское хозяйство</w:t>
      </w:r>
      <w:r>
        <w:rPr>
          <w:sz w:val="28"/>
          <w:szCs w:val="28"/>
        </w:rPr>
        <w:t xml:space="preserve"> – сезонные и погодные риски.</w:t>
      </w:r>
    </w:p>
    <w:p w14:paraId="243BF101">
      <w:pPr>
        <w:pStyle w:val="30"/>
        <w:spacing w:before="0" w:beforeAutospacing="0" w:after="0" w:afterAutospacing="0"/>
        <w:ind w:firstLine="426"/>
        <w:jc w:val="both"/>
        <w:rPr>
          <w:sz w:val="28"/>
          <w:szCs w:val="28"/>
        </w:rPr>
      </w:pPr>
      <w:r>
        <w:rPr>
          <w:rStyle w:val="14"/>
          <w:b w:val="0"/>
          <w:bCs w:val="0"/>
          <w:sz w:val="28"/>
          <w:szCs w:val="28"/>
        </w:rPr>
        <w:t>-Промышленность</w:t>
      </w:r>
      <w:r>
        <w:rPr>
          <w:sz w:val="28"/>
          <w:szCs w:val="28"/>
        </w:rPr>
        <w:t xml:space="preserve"> – инвестиционные циклы и конъюнктура рынка.</w:t>
      </w:r>
    </w:p>
    <w:p w14:paraId="2A99894F">
      <w:pPr>
        <w:pStyle w:val="30"/>
        <w:spacing w:before="0" w:beforeAutospacing="0" w:after="0" w:afterAutospacing="0"/>
        <w:ind w:firstLine="426"/>
        <w:jc w:val="both"/>
        <w:rPr>
          <w:sz w:val="28"/>
          <w:szCs w:val="28"/>
        </w:rPr>
      </w:pPr>
      <w:r>
        <w:rPr>
          <w:rStyle w:val="14"/>
          <w:b w:val="0"/>
          <w:bCs w:val="0"/>
          <w:sz w:val="28"/>
          <w:szCs w:val="28"/>
        </w:rPr>
        <w:t>-Строительство и недвижимость</w:t>
      </w:r>
      <w:r>
        <w:rPr>
          <w:sz w:val="28"/>
          <w:szCs w:val="28"/>
        </w:rPr>
        <w:t xml:space="preserve"> – высокая волатильность цен и зависимость от спроса.</w:t>
      </w:r>
    </w:p>
    <w:p w14:paraId="5F355C49">
      <w:pPr>
        <w:pStyle w:val="30"/>
        <w:spacing w:before="0" w:beforeAutospacing="0" w:after="0" w:afterAutospacing="0"/>
        <w:ind w:firstLine="426"/>
        <w:jc w:val="both"/>
        <w:rPr>
          <w:sz w:val="28"/>
          <w:szCs w:val="28"/>
        </w:rPr>
      </w:pPr>
      <w:r>
        <w:rPr>
          <w:rStyle w:val="14"/>
          <w:b w:val="0"/>
          <w:bCs w:val="0"/>
          <w:sz w:val="28"/>
          <w:szCs w:val="28"/>
        </w:rPr>
        <w:t>-Торговля и услуги</w:t>
      </w:r>
      <w:r>
        <w:rPr>
          <w:sz w:val="28"/>
          <w:szCs w:val="28"/>
        </w:rPr>
        <w:t xml:space="preserve"> – чувствительность к потребительскому спросу.</w:t>
      </w:r>
    </w:p>
    <w:p w14:paraId="1D224C64">
      <w:pPr>
        <w:pStyle w:val="30"/>
        <w:spacing w:before="0" w:beforeAutospacing="0" w:after="0" w:afterAutospacing="0"/>
        <w:ind w:firstLine="426"/>
        <w:jc w:val="both"/>
        <w:rPr>
          <w:sz w:val="28"/>
          <w:szCs w:val="28"/>
        </w:rPr>
      </w:pPr>
      <w:r>
        <w:rPr>
          <w:rStyle w:val="14"/>
          <w:b w:val="0"/>
          <w:bCs w:val="0"/>
          <w:sz w:val="28"/>
          <w:szCs w:val="28"/>
        </w:rPr>
        <w:t>-Энергетика и инфраструктура</w:t>
      </w:r>
      <w:r>
        <w:rPr>
          <w:sz w:val="28"/>
          <w:szCs w:val="28"/>
        </w:rPr>
        <w:t xml:space="preserve"> – долгосрочные проекты с высокой капиталоемкостью.</w:t>
      </w:r>
      <w:r>
        <w:rPr>
          <w:sz w:val="28"/>
          <w:szCs w:val="28"/>
        </w:rPr>
        <w:tab/>
      </w:r>
    </w:p>
    <w:p w14:paraId="47D95312">
      <w:pPr>
        <w:pStyle w:val="30"/>
        <w:spacing w:before="0" w:beforeAutospacing="0" w:after="0" w:afterAutospacing="0"/>
        <w:ind w:firstLine="360"/>
        <w:jc w:val="both"/>
        <w:rPr>
          <w:sz w:val="28"/>
          <w:szCs w:val="28"/>
        </w:rPr>
      </w:pPr>
      <w:r>
        <w:rPr>
          <w:sz w:val="28"/>
          <w:szCs w:val="28"/>
        </w:rPr>
        <w:t>Традиционные подходы разделяют проблемные активы по степени ухудшения качества, экономической природе и субъектам возникновения рисков [24, 25–27].</w:t>
      </w:r>
    </w:p>
    <w:p w14:paraId="7754C2F6">
      <w:pPr>
        <w:pStyle w:val="30"/>
        <w:spacing w:before="0" w:beforeAutospacing="0" w:after="0" w:afterAutospacing="0"/>
        <w:ind w:firstLine="360"/>
        <w:jc w:val="both"/>
        <w:rPr>
          <w:sz w:val="28"/>
          <w:szCs w:val="28"/>
        </w:rPr>
      </w:pPr>
      <w:r>
        <w:rPr>
          <w:sz w:val="28"/>
          <w:szCs w:val="28"/>
        </w:rPr>
        <w:t>Широко применяется классификация по степени ухудшения качества активов, отражающая динамику кредитного риска и изменение вероятности исполнения обязательств заёмщиками. Такой подход предполагает последовательное выделение активов с незначительными признаками ухудшения, активов с существенным ростом кредитного риска, а также обесцененных и фактически безнадёжных требований банка. Данная градация лежит в основе современных моделей оценки ожидаемых кредитных потерь и используется в системах риск-ориентированного банковского надзора [26, 28].</w:t>
      </w:r>
    </w:p>
    <w:p w14:paraId="09C84704">
      <w:pPr>
        <w:pStyle w:val="30"/>
        <w:spacing w:before="0" w:beforeAutospacing="0" w:after="0" w:afterAutospacing="0"/>
        <w:jc w:val="center"/>
        <w:rPr>
          <w:sz w:val="28"/>
          <w:szCs w:val="28"/>
        </w:rPr>
      </w:pPr>
      <w:r>
        <w:rPr>
          <w:sz w:val="28"/>
          <w:szCs w:val="28"/>
        </w:rPr>
        <w:drawing>
          <wp:inline distT="0" distB="0" distL="0" distR="0">
            <wp:extent cx="4958715" cy="2639060"/>
            <wp:effectExtent l="0" t="0" r="6985" b="2540"/>
            <wp:docPr id="36711948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119488"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962341" cy="2641471"/>
                    </a:xfrm>
                    <a:prstGeom prst="rect">
                      <a:avLst/>
                    </a:prstGeom>
                    <a:noFill/>
                    <a:ln>
                      <a:noFill/>
                    </a:ln>
                  </pic:spPr>
                </pic:pic>
              </a:graphicData>
            </a:graphic>
          </wp:inline>
        </w:drawing>
      </w:r>
    </w:p>
    <w:p w14:paraId="63590A71">
      <w:pPr>
        <w:pStyle w:val="30"/>
        <w:spacing w:before="0" w:beforeAutospacing="0" w:after="0" w:afterAutospacing="0"/>
        <w:jc w:val="center"/>
        <w:rPr>
          <w:b/>
          <w:bCs/>
          <w:sz w:val="28"/>
          <w:szCs w:val="28"/>
        </w:rPr>
      </w:pPr>
      <w:r>
        <w:rPr>
          <w:rStyle w:val="14"/>
          <w:b w:val="0"/>
          <w:bCs w:val="0"/>
          <w:sz w:val="28"/>
          <w:szCs w:val="28"/>
        </w:rPr>
        <w:t>Рисунок 3 - удельный вес проблемных активов в различных отраслях экономики</w:t>
      </w:r>
    </w:p>
    <w:p w14:paraId="69F26E69">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[21-23]</w:t>
      </w:r>
    </w:p>
    <w:p w14:paraId="1482986D">
      <w:pPr>
        <w:spacing w:after="0" w:line="240" w:lineRule="auto"/>
        <w:ind w:firstLine="709"/>
        <w:jc w:val="both"/>
        <w:rPr>
          <w:rFonts w:ascii="Times New Roman" w:hAnsi="Times New Roman" w:cs="Times New Roman"/>
          <w:sz w:val="28"/>
          <w:szCs w:val="28"/>
        </w:rPr>
      </w:pPr>
    </w:p>
    <w:p w14:paraId="711E3EB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Прикладное значение имеет также </w:t>
      </w:r>
      <w:r>
        <w:rPr>
          <w:rStyle w:val="14"/>
          <w:rFonts w:ascii="Times New Roman" w:hAnsi="Times New Roman" w:cs="Times New Roman"/>
          <w:b w:val="0"/>
          <w:bCs w:val="0"/>
          <w:sz w:val="28"/>
          <w:szCs w:val="28"/>
        </w:rPr>
        <w:t>классификация по субъектам возникновения рисков</w:t>
      </w:r>
      <w:r>
        <w:rPr>
          <w:rFonts w:ascii="Times New Roman" w:hAnsi="Times New Roman" w:cs="Times New Roman"/>
          <w:b/>
          <w:bCs/>
          <w:sz w:val="28"/>
          <w:szCs w:val="28"/>
        </w:rPr>
        <w:t>,</w:t>
      </w:r>
      <w:r>
        <w:rPr>
          <w:rFonts w:ascii="Times New Roman" w:hAnsi="Times New Roman" w:cs="Times New Roman"/>
          <w:sz w:val="28"/>
          <w:szCs w:val="28"/>
        </w:rPr>
        <w:t xml:space="preserve"> предполагающая разграничение проблемных активов в зависимости от типа контрагента [27]. Она дает возможность выделения активов корпоративных заёмщиков, субъектов малого и среднего бизнеса, физических лиц, а также государственных и квазигосударственных структур.</w:t>
      </w:r>
    </w:p>
    <w:p w14:paraId="305A2B9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Проведенный анализ показал, что традиционное понимание проблемных активов как исключительно просроченной задолженности является методологически ограниченным. Экономически корректным является расширенный подход, при котором к проблемным активам относятся все требования банка, по которым существенно снижена вероятность полного и своевременного возврата, вне зависимости от формального статуса просрочки.</w:t>
      </w:r>
    </w:p>
    <w:p w14:paraId="0E46D9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Сформированная в диссертации классификация проблемных активов позволяет рассматривать их с позиции управляемости и экономических последствий для банка. Классификация по типу заемщика, отраслевой принадлежности, степени обесценения, правовому статусу и потенциальным сценариям восстановления стоимости обеспечивает более точную диагностику проблемных зон кредитного портфеля и создает основу для выбора адекватных инструментов управления.</w:t>
      </w:r>
    </w:p>
    <w:p w14:paraId="4F0982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целом результаты подраздела подтверждают необходимость перехода от формально-регуляторного подхода к проблемным активам к экономически ориентированной модели их идентификации и классификации, что является методологической предпосылкой дальнейшего развития проектного подхода в системе управления проблемными активами банков, кредитующих реальный сектор экономики.</w:t>
      </w:r>
    </w:p>
    <w:p w14:paraId="3AE269A9">
      <w:pPr>
        <w:spacing w:after="0" w:line="240" w:lineRule="auto"/>
        <w:ind w:firstLine="709"/>
        <w:jc w:val="both"/>
        <w:rPr>
          <w:rFonts w:ascii="Times New Roman" w:hAnsi="Times New Roman" w:cs="Times New Roman"/>
          <w:sz w:val="28"/>
          <w:szCs w:val="28"/>
        </w:rPr>
      </w:pPr>
    </w:p>
    <w:p w14:paraId="1AFC5DB3">
      <w:pPr>
        <w:spacing w:after="0" w:line="240" w:lineRule="auto"/>
        <w:ind w:firstLine="709"/>
        <w:jc w:val="both"/>
        <w:rPr>
          <w:rFonts w:ascii="Times New Roman" w:hAnsi="Times New Roman" w:cs="Times New Roman"/>
          <w:sz w:val="28"/>
          <w:szCs w:val="28"/>
        </w:rPr>
      </w:pPr>
    </w:p>
    <w:p w14:paraId="5EA365AE">
      <w:pPr>
        <w:pStyle w:val="2"/>
        <w:spacing w:before="0" w:line="240" w:lineRule="auto"/>
        <w:ind w:firstLine="709"/>
        <w:jc w:val="both"/>
        <w:rPr>
          <w:rFonts w:ascii="Times New Roman" w:hAnsi="Times New Roman" w:cs="Times New Roman"/>
          <w:color w:val="auto"/>
        </w:rPr>
      </w:pPr>
      <w:bookmarkStart w:id="7" w:name="_Toc219671640"/>
      <w:r>
        <w:rPr>
          <w:rFonts w:ascii="Times New Roman" w:hAnsi="Times New Roman" w:cs="Times New Roman"/>
          <w:color w:val="auto"/>
        </w:rPr>
        <w:t>1.2 Причины формирования проблемных активов при кредитовании реального сектора экономики</w:t>
      </w:r>
      <w:bookmarkEnd w:id="7"/>
    </w:p>
    <w:p w14:paraId="3D80B341">
      <w:pPr>
        <w:pStyle w:val="32"/>
        <w:spacing w:after="0" w:line="240" w:lineRule="auto"/>
      </w:pPr>
    </w:p>
    <w:p w14:paraId="0D69A5C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проблемных активов в банковском кредитовании реального сектора экономики представляет собой результат сложного взаимодействия макроэкономических условий, структурных особенностей экономики, институциональной среды и качества внутрибанковского управления [29-31, 33]. В условиях усиливающейся неопределённости и цикличности экономического развития данная проблема приобретает системный характер и оказывает прямое влияние на финансовую устойчивость банков и инвестиционную активность реального сектора (таблица 4).</w:t>
      </w:r>
    </w:p>
    <w:p w14:paraId="290A4D24">
      <w:pPr>
        <w:spacing w:after="0" w:line="240" w:lineRule="auto"/>
        <w:ind w:firstLine="709"/>
        <w:jc w:val="both"/>
        <w:rPr>
          <w:rFonts w:ascii="Times New Roman" w:hAnsi="Times New Roman" w:cs="Times New Roman"/>
          <w:sz w:val="28"/>
          <w:szCs w:val="28"/>
        </w:rPr>
      </w:pPr>
    </w:p>
    <w:p w14:paraId="0B3E233E">
      <w:pPr>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Таблица 4 - Классификация причин формирования проблемных активов при кредитовании реального сектора экономики</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8"/>
        <w:gridCol w:w="2268"/>
        <w:gridCol w:w="2347"/>
        <w:gridCol w:w="2475"/>
      </w:tblGrid>
      <w:tr w14:paraId="15802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dxa"/>
          </w:tcPr>
          <w:p w14:paraId="69DAA7BC">
            <w:pPr>
              <w:spacing w:after="0" w:line="240" w:lineRule="auto"/>
              <w:jc w:val="center"/>
              <w:rPr>
                <w:rFonts w:ascii="Times New Roman" w:hAnsi="Times New Roman" w:eastAsia="Times New Roman" w:cs="Times New Roman"/>
                <w:b/>
                <w:bCs/>
                <w:sz w:val="24"/>
                <w:szCs w:val="24"/>
                <w:lang w:eastAsia="zh-CN"/>
              </w:rPr>
            </w:pPr>
            <w:r>
              <w:rPr>
                <w:rFonts w:ascii="Times New Roman" w:hAnsi="Times New Roman" w:eastAsia="Times New Roman" w:cs="Times New Roman"/>
                <w:b/>
                <w:bCs/>
                <w:sz w:val="24"/>
                <w:szCs w:val="24"/>
                <w:lang w:eastAsia="zh-CN"/>
              </w:rPr>
              <w:t>Группа причин</w:t>
            </w:r>
          </w:p>
        </w:tc>
        <w:tc>
          <w:tcPr>
            <w:tcW w:w="2268" w:type="dxa"/>
          </w:tcPr>
          <w:p w14:paraId="0461C991">
            <w:pPr>
              <w:spacing w:after="0" w:line="240" w:lineRule="auto"/>
              <w:jc w:val="center"/>
              <w:rPr>
                <w:rFonts w:ascii="Times New Roman" w:hAnsi="Times New Roman" w:eastAsia="Times New Roman" w:cs="Times New Roman"/>
                <w:b/>
                <w:bCs/>
                <w:sz w:val="24"/>
                <w:szCs w:val="24"/>
                <w:lang w:eastAsia="zh-CN"/>
              </w:rPr>
            </w:pPr>
            <w:r>
              <w:rPr>
                <w:rFonts w:ascii="Times New Roman" w:hAnsi="Times New Roman" w:eastAsia="Times New Roman" w:cs="Times New Roman"/>
                <w:b/>
                <w:bCs/>
                <w:sz w:val="24"/>
                <w:szCs w:val="24"/>
                <w:lang w:eastAsia="zh-CN"/>
              </w:rPr>
              <w:t>Содержание причин</w:t>
            </w:r>
          </w:p>
        </w:tc>
        <w:tc>
          <w:tcPr>
            <w:tcW w:w="2347" w:type="dxa"/>
          </w:tcPr>
          <w:p w14:paraId="367E733A">
            <w:pPr>
              <w:spacing w:after="0" w:line="240" w:lineRule="auto"/>
              <w:jc w:val="center"/>
              <w:rPr>
                <w:rFonts w:ascii="Times New Roman" w:hAnsi="Times New Roman" w:eastAsia="Times New Roman" w:cs="Times New Roman"/>
                <w:b/>
                <w:bCs/>
                <w:sz w:val="24"/>
                <w:szCs w:val="24"/>
                <w:lang w:eastAsia="zh-CN"/>
              </w:rPr>
            </w:pPr>
            <w:r>
              <w:rPr>
                <w:rFonts w:ascii="Times New Roman" w:hAnsi="Times New Roman" w:eastAsia="Times New Roman" w:cs="Times New Roman"/>
                <w:b/>
                <w:bCs/>
                <w:sz w:val="24"/>
                <w:szCs w:val="24"/>
                <w:lang w:eastAsia="zh-CN"/>
              </w:rPr>
              <w:t>Механизм влияния на качество активов</w:t>
            </w:r>
          </w:p>
        </w:tc>
        <w:tc>
          <w:tcPr>
            <w:tcW w:w="2475" w:type="dxa"/>
          </w:tcPr>
          <w:p w14:paraId="2C1750B6">
            <w:pPr>
              <w:spacing w:after="0" w:line="240" w:lineRule="auto"/>
              <w:jc w:val="center"/>
              <w:rPr>
                <w:rFonts w:ascii="Times New Roman" w:hAnsi="Times New Roman" w:eastAsia="Times New Roman" w:cs="Times New Roman"/>
                <w:b/>
                <w:bCs/>
                <w:sz w:val="24"/>
                <w:szCs w:val="24"/>
                <w:lang w:eastAsia="zh-CN"/>
              </w:rPr>
            </w:pPr>
            <w:r>
              <w:rPr>
                <w:rFonts w:ascii="Times New Roman" w:hAnsi="Times New Roman" w:eastAsia="Times New Roman" w:cs="Times New Roman"/>
                <w:b/>
                <w:bCs/>
                <w:sz w:val="24"/>
                <w:szCs w:val="24"/>
                <w:lang w:eastAsia="zh-CN"/>
              </w:rPr>
              <w:t>Экономические последствия для банка</w:t>
            </w:r>
          </w:p>
        </w:tc>
      </w:tr>
      <w:tr w14:paraId="75685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dxa"/>
            <w:tcBorders>
              <w:bottom w:val="single" w:color="auto" w:sz="4" w:space="0"/>
            </w:tcBorders>
          </w:tcPr>
          <w:p w14:paraId="710D4390">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Макроэкономические</w:t>
            </w:r>
          </w:p>
        </w:tc>
        <w:tc>
          <w:tcPr>
            <w:tcW w:w="2268" w:type="dxa"/>
            <w:tcBorders>
              <w:bottom w:val="single" w:color="auto" w:sz="4" w:space="0"/>
            </w:tcBorders>
          </w:tcPr>
          <w:p w14:paraId="24E5D9E9">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Экономические спады, инфляционное давление, колебания валютных курсов, внешние шоки</w:t>
            </w:r>
          </w:p>
        </w:tc>
        <w:tc>
          <w:tcPr>
            <w:tcW w:w="2347" w:type="dxa"/>
            <w:tcBorders>
              <w:bottom w:val="single" w:color="auto" w:sz="4" w:space="0"/>
            </w:tcBorders>
          </w:tcPr>
          <w:p w14:paraId="20E57705">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Снижение выручки предприятий и ухудшение платежеспособности заемщиков</w:t>
            </w:r>
          </w:p>
        </w:tc>
        <w:tc>
          <w:tcPr>
            <w:tcW w:w="2475" w:type="dxa"/>
            <w:tcBorders>
              <w:bottom w:val="single" w:color="auto" w:sz="4" w:space="0"/>
            </w:tcBorders>
          </w:tcPr>
          <w:p w14:paraId="1E13B736">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Рост доли проблемных активов, увеличение резервов, сокращение доходности</w:t>
            </w:r>
          </w:p>
        </w:tc>
      </w:tr>
      <w:tr w14:paraId="20F8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dxa"/>
            <w:tcBorders>
              <w:top w:val="single" w:color="auto" w:sz="4" w:space="0"/>
            </w:tcBorders>
          </w:tcPr>
          <w:p w14:paraId="3EA5FDC0">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Отраслевые</w:t>
            </w:r>
          </w:p>
        </w:tc>
        <w:tc>
          <w:tcPr>
            <w:tcW w:w="2268" w:type="dxa"/>
            <w:tcBorders>
              <w:top w:val="single" w:color="auto" w:sz="4" w:space="0"/>
            </w:tcBorders>
          </w:tcPr>
          <w:p w14:paraId="01048333">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Высокая капиталоемкость, цикличность отраслей, сырьевая зависимость, сезонность</w:t>
            </w:r>
          </w:p>
        </w:tc>
        <w:tc>
          <w:tcPr>
            <w:tcW w:w="2347" w:type="dxa"/>
            <w:tcBorders>
              <w:top w:val="single" w:color="auto" w:sz="4" w:space="0"/>
            </w:tcBorders>
          </w:tcPr>
          <w:p w14:paraId="2529E3D7">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Формирование отложенных кредитных рисков, разрыв денежных потоков</w:t>
            </w:r>
          </w:p>
        </w:tc>
        <w:tc>
          <w:tcPr>
            <w:tcW w:w="2475" w:type="dxa"/>
            <w:tcBorders>
              <w:top w:val="single" w:color="auto" w:sz="4" w:space="0"/>
            </w:tcBorders>
          </w:tcPr>
          <w:p w14:paraId="53167E4E">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Повышение концентрации рисков, рост долгосрочных NPL</w:t>
            </w:r>
          </w:p>
        </w:tc>
      </w:tr>
      <w:tr w14:paraId="24C98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dxa"/>
          </w:tcPr>
          <w:p w14:paraId="72D93C84">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Финансово-экономические (заемщика)</w:t>
            </w:r>
          </w:p>
        </w:tc>
        <w:tc>
          <w:tcPr>
            <w:tcW w:w="2268" w:type="dxa"/>
          </w:tcPr>
          <w:p w14:paraId="12F389D2">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Высокая долговая нагрузка, низкая рентабельность, слабая диверсификация доходов</w:t>
            </w:r>
          </w:p>
        </w:tc>
        <w:tc>
          <w:tcPr>
            <w:tcW w:w="2347" w:type="dxa"/>
          </w:tcPr>
          <w:p w14:paraId="23FAE621">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Утрата способности обслуживать долг при ухудшении внешней среды</w:t>
            </w:r>
          </w:p>
        </w:tc>
        <w:tc>
          <w:tcPr>
            <w:tcW w:w="2475" w:type="dxa"/>
          </w:tcPr>
          <w:p w14:paraId="6B5B333D">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Просрочка, реструктуризация, снижение качества портфеля</w:t>
            </w:r>
          </w:p>
        </w:tc>
      </w:tr>
      <w:tr w14:paraId="67C15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dxa"/>
          </w:tcPr>
          <w:p w14:paraId="636492B5">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Внутрибанковские</w:t>
            </w:r>
          </w:p>
        </w:tc>
        <w:tc>
          <w:tcPr>
            <w:tcW w:w="2268" w:type="dxa"/>
          </w:tcPr>
          <w:p w14:paraId="245D2430">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Формальный кредитный анализ, недостаточная отраслeвая экспертиза, слабый мониторинг</w:t>
            </w:r>
          </w:p>
        </w:tc>
        <w:tc>
          <w:tcPr>
            <w:tcW w:w="2347" w:type="dxa"/>
          </w:tcPr>
          <w:p w14:paraId="244217A3">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Недооценка вероятности дефолта и позднее выявление проблем</w:t>
            </w:r>
          </w:p>
        </w:tc>
        <w:tc>
          <w:tcPr>
            <w:tcW w:w="2475" w:type="dxa"/>
          </w:tcPr>
          <w:p w14:paraId="169185A9">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Увеличение скрытых проблемных активов</w:t>
            </w:r>
          </w:p>
        </w:tc>
      </w:tr>
      <w:tr w14:paraId="4CFC1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dxa"/>
          </w:tcPr>
          <w:p w14:paraId="7F045B4D">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Институциональные и регуляторные</w:t>
            </w:r>
          </w:p>
        </w:tc>
        <w:tc>
          <w:tcPr>
            <w:tcW w:w="2268" w:type="dxa"/>
          </w:tcPr>
          <w:p w14:paraId="652F9906">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Жесткое резервирование, ограниченные инструменты реструктуризации</w:t>
            </w:r>
          </w:p>
        </w:tc>
        <w:tc>
          <w:tcPr>
            <w:tcW w:w="2347" w:type="dxa"/>
          </w:tcPr>
          <w:p w14:paraId="6E0E655A">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Смещение фокуса с управления на формальное соблюдение нормативов</w:t>
            </w:r>
          </w:p>
          <w:p w14:paraId="3953164C">
            <w:pPr>
              <w:spacing w:after="0" w:line="240" w:lineRule="auto"/>
              <w:rPr>
                <w:rFonts w:ascii="Times New Roman" w:hAnsi="Times New Roman" w:eastAsia="Times New Roman" w:cs="Times New Roman"/>
                <w:sz w:val="24"/>
                <w:szCs w:val="24"/>
                <w:lang w:eastAsia="zh-CN"/>
              </w:rPr>
            </w:pPr>
          </w:p>
        </w:tc>
        <w:tc>
          <w:tcPr>
            <w:tcW w:w="2475" w:type="dxa"/>
          </w:tcPr>
          <w:p w14:paraId="438B2AF7">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Пассивная модель работы с проблемными активами</w:t>
            </w:r>
          </w:p>
        </w:tc>
      </w:tr>
    </w:tbl>
    <w:p w14:paraId="7E542138">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Продолжение таблицы 4</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8"/>
        <w:gridCol w:w="2268"/>
        <w:gridCol w:w="2347"/>
        <w:gridCol w:w="2475"/>
      </w:tblGrid>
      <w:tr w14:paraId="6D025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dxa"/>
          </w:tcPr>
          <w:p w14:paraId="7C8B503C">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Организационные</w:t>
            </w:r>
          </w:p>
        </w:tc>
        <w:tc>
          <w:tcPr>
            <w:tcW w:w="2268" w:type="dxa"/>
          </w:tcPr>
          <w:p w14:paraId="07920769">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Отсутствие проектного сопровождения кредитов, разрозненность подразделений</w:t>
            </w:r>
          </w:p>
        </w:tc>
        <w:tc>
          <w:tcPr>
            <w:tcW w:w="2347" w:type="dxa"/>
          </w:tcPr>
          <w:p w14:paraId="0832F322">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Потеря контроля над реализацией инвестиционных проектов</w:t>
            </w:r>
          </w:p>
        </w:tc>
        <w:tc>
          <w:tcPr>
            <w:tcW w:w="2475" w:type="dxa"/>
          </w:tcPr>
          <w:p w14:paraId="25A6045E">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Низкая эффективность восстановления активов</w:t>
            </w:r>
          </w:p>
        </w:tc>
      </w:tr>
    </w:tbl>
    <w:p w14:paraId="0E36046F">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[52]</w:t>
      </w:r>
    </w:p>
    <w:p w14:paraId="4954C29B">
      <w:pPr>
        <w:pStyle w:val="30"/>
        <w:spacing w:before="0" w:beforeAutospacing="0" w:after="0" w:afterAutospacing="0"/>
        <w:ind w:firstLine="709"/>
        <w:jc w:val="both"/>
        <w:rPr>
          <w:sz w:val="28"/>
          <w:szCs w:val="28"/>
        </w:rPr>
      </w:pPr>
    </w:p>
    <w:p w14:paraId="53BA9B8F">
      <w:pPr>
        <w:pStyle w:val="30"/>
        <w:spacing w:before="0" w:beforeAutospacing="0" w:after="0" w:afterAutospacing="0"/>
        <w:ind w:firstLine="709"/>
        <w:jc w:val="both"/>
        <w:rPr>
          <w:sz w:val="28"/>
          <w:szCs w:val="28"/>
        </w:rPr>
      </w:pPr>
      <w:r>
        <w:rPr>
          <w:sz w:val="28"/>
          <w:szCs w:val="28"/>
        </w:rPr>
        <w:t>Причины формирования проблемных активов носят системный характер и проявляются на всех уровнях кредитного процесса — от макроэкономической среды до внутрибанковской организации управления.</w:t>
      </w:r>
    </w:p>
    <w:p w14:paraId="38EEA254">
      <w:pPr>
        <w:spacing w:after="0" w:line="240" w:lineRule="auto"/>
        <w:ind w:firstLine="709"/>
        <w:jc w:val="both"/>
        <w:rPr>
          <w:rFonts w:ascii="Times New Roman" w:hAnsi="Times New Roman" w:eastAsia="Times New Roman" w:cs="Times New Roman"/>
          <w:sz w:val="28"/>
          <w:szCs w:val="28"/>
          <w:lang w:eastAsia="zh-CN"/>
        </w:rPr>
      </w:pPr>
      <w:r>
        <w:rPr>
          <w:rFonts w:ascii="Times New Roman" w:hAnsi="Times New Roman" w:cs="Times New Roman"/>
          <w:sz w:val="28"/>
          <w:szCs w:val="28"/>
        </w:rPr>
        <w:t>Одной из базовых причин накопления проблемных активов являются неблагоприятные макроэкономические изменения, сопровождающиеся снижением темпов экономического роста, падением инвестиционного спроса и ухудшением финансовых результатов предприятий. Экономические кризисы и фазы рецессии приводят к сокращению денежных потоков заемщиков, что напрямую отражается на их способности обслуживать долговые обязательства перед банками. В научных исследованиях отмечается устойчивая корреляция между динамикой валового внутреннего продукта и уровнем проблемных кредитов, что подтверждает проциклический характер кредитного риска [30, 32].</w:t>
      </w:r>
    </w:p>
    <w:p w14:paraId="35D64124">
      <w:pPr>
        <w:pStyle w:val="30"/>
        <w:spacing w:before="0" w:beforeAutospacing="0" w:after="0" w:afterAutospacing="0"/>
        <w:ind w:firstLine="709"/>
        <w:jc w:val="both"/>
        <w:rPr>
          <w:sz w:val="28"/>
          <w:szCs w:val="28"/>
        </w:rPr>
      </w:pPr>
      <w:r>
        <w:rPr>
          <w:sz w:val="28"/>
          <w:szCs w:val="28"/>
        </w:rPr>
        <w:t>Дополнительным фактором выступает рост процентных ставок, увеличивающий стоимость заемного капитала и усиливающий долговую нагрузку на предприятия реального сектора. Особенно уязвимыми оказываются инвестиционные проекты с длительным сроком окупаемости, для которых изменение стоимости финансирования приводит к нарушению финансовых моделей и ухудшению показателей покрытия долга. Существенную роль играют и валютные колебания: девальвация национальной валюты в условиях валютного кредитования приводит к резкому росту обязательств заемщиков в национальном выражении, что становится катализатором дефолтов [33, 34].</w:t>
      </w:r>
    </w:p>
    <w:p w14:paraId="778DC6A2">
      <w:pPr>
        <w:pStyle w:val="30"/>
        <w:spacing w:before="0" w:beforeAutospacing="0" w:after="0" w:afterAutospacing="0"/>
        <w:ind w:firstLine="709"/>
        <w:jc w:val="both"/>
        <w:rPr>
          <w:sz w:val="28"/>
          <w:szCs w:val="28"/>
        </w:rPr>
      </w:pPr>
      <w:r>
        <w:rPr>
          <w:sz w:val="28"/>
          <w:szCs w:val="28"/>
        </w:rPr>
        <w:t>Структура реального сектора экономики во многом определяет характер и масштаб формирования проблемных активов. Отрасли с высокой капиталоемкостью, сезонностью и зависимостью от внешней конъюнктуры традиционно характеризуются повышенным кредитным риском. К ним относятся строительство, агропромышленный комплекс, транспорт и сырьевые отрасли. Колебания мировых цен, изменение условий государственной поддержки и рост производственных издержек способны существенно ухудшить финансовую устойчивость предприятий данных отраслей, что отражается на качестве кредитных портфелей банков [30, 35].</w:t>
      </w:r>
    </w:p>
    <w:p w14:paraId="150A3CC6">
      <w:pPr>
        <w:pStyle w:val="30"/>
        <w:spacing w:before="0" w:beforeAutospacing="0" w:after="0" w:afterAutospacing="0"/>
        <w:jc w:val="both"/>
        <w:rPr>
          <w:sz w:val="28"/>
          <w:szCs w:val="28"/>
        </w:rPr>
      </w:pPr>
    </w:p>
    <w:p w14:paraId="44CA3E96">
      <w:pPr>
        <w:pStyle w:val="30"/>
        <w:spacing w:before="0" w:beforeAutospacing="0" w:after="0" w:afterAutospacing="0"/>
        <w:ind w:firstLine="709"/>
        <w:jc w:val="both"/>
        <w:rPr>
          <w:sz w:val="28"/>
          <w:szCs w:val="28"/>
        </w:rPr>
      </w:pPr>
      <w:r>
        <w:rPr>
          <w:b/>
          <w:bCs/>
        </w:rPr>
        <w:drawing>
          <wp:inline distT="0" distB="0" distL="0" distR="0">
            <wp:extent cx="5486400" cy="3200400"/>
            <wp:effectExtent l="0" t="0" r="19050" b="19050"/>
            <wp:docPr id="1968149179"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1DCFE559">
      <w:pPr>
        <w:pStyle w:val="30"/>
        <w:spacing w:before="0" w:beforeAutospacing="0" w:after="0" w:afterAutospacing="0"/>
        <w:ind w:firstLine="709"/>
        <w:jc w:val="both"/>
        <w:rPr>
          <w:sz w:val="28"/>
          <w:szCs w:val="28"/>
        </w:rPr>
      </w:pPr>
    </w:p>
    <w:p w14:paraId="4B9E4D8A">
      <w:pPr>
        <w:pStyle w:val="30"/>
        <w:spacing w:before="0" w:beforeAutospacing="0" w:after="0" w:afterAutospacing="0"/>
        <w:jc w:val="center"/>
        <w:rPr>
          <w:sz w:val="28"/>
          <w:szCs w:val="28"/>
        </w:rPr>
      </w:pPr>
      <w:r>
        <w:rPr>
          <w:sz w:val="28"/>
          <w:szCs w:val="28"/>
        </w:rPr>
        <w:t>Рисунок 4 - Логическая схема причинно-следственных связей формирования проблемных активов</w:t>
      </w:r>
    </w:p>
    <w:p w14:paraId="1311888B">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[10]</w:t>
      </w:r>
    </w:p>
    <w:p w14:paraId="22AFF512">
      <w:pPr>
        <w:pStyle w:val="30"/>
        <w:spacing w:before="0" w:beforeAutospacing="0" w:after="0" w:afterAutospacing="0"/>
        <w:jc w:val="both"/>
        <w:rPr>
          <w:sz w:val="28"/>
          <w:szCs w:val="28"/>
        </w:rPr>
      </w:pPr>
    </w:p>
    <w:p w14:paraId="53596C55">
      <w:pPr>
        <w:pStyle w:val="30"/>
        <w:spacing w:before="0" w:beforeAutospacing="0" w:after="0" w:afterAutospacing="0"/>
        <w:ind w:firstLine="709"/>
        <w:jc w:val="both"/>
        <w:rPr>
          <w:sz w:val="28"/>
          <w:szCs w:val="28"/>
        </w:rPr>
      </w:pPr>
      <w:r>
        <w:rPr>
          <w:sz w:val="28"/>
          <w:szCs w:val="28"/>
        </w:rPr>
        <w:t>Отсутствие проектной логики в кредитовании реального сектора усиливает вероятность перехода стандартных кредитов в категорию проблемных, даже при формальном соблюдении регуляторных требований. (Рисунок 4)</w:t>
      </w:r>
    </w:p>
    <w:p w14:paraId="289DECF2">
      <w:pPr>
        <w:pStyle w:val="30"/>
        <w:spacing w:before="0" w:beforeAutospacing="0" w:after="0" w:afterAutospacing="0"/>
        <w:ind w:firstLine="709"/>
        <w:jc w:val="both"/>
        <w:rPr>
          <w:sz w:val="28"/>
          <w:szCs w:val="28"/>
        </w:rPr>
      </w:pPr>
      <w:r>
        <w:rPr>
          <w:sz w:val="28"/>
          <w:szCs w:val="28"/>
        </w:rPr>
        <w:t>Структурные дисбалансы экономики, выражающиеся в низкой диверсификации производства, технологической отсталости и ограниченном доступе к рынкам капитала, также способствуют накоплению проблемных активов [34]. В таких условиях предприятия нередко используют банковское кредитование как основной источник финансирования текущей деятельности, что повышает вероятность дефолта при ухудшении рыночной конъюнктуры.</w:t>
      </w:r>
    </w:p>
    <w:p w14:paraId="4D97C140">
      <w:pPr>
        <w:pStyle w:val="30"/>
        <w:spacing w:before="0" w:beforeAutospacing="0" w:after="0" w:afterAutospacing="0"/>
        <w:ind w:firstLine="709"/>
        <w:jc w:val="both"/>
        <w:rPr>
          <w:sz w:val="28"/>
          <w:szCs w:val="28"/>
        </w:rPr>
      </w:pPr>
      <w:r>
        <w:rPr>
          <w:sz w:val="28"/>
          <w:szCs w:val="28"/>
        </w:rPr>
        <w:t>Значительное влияние на формирование проблемных активов оказывает институциональная среда, в которой функционирует банковская система. Недостаточная эффективность механизмов защиты прав кредиторов, затяжные процедуры банкротства и низкая ликвидность залогового имущества снижают темпы возврата банками проблемных кредитов. В результате проблемные активы, требующие отвлечения резервов, снижают капитализацию банков и возможности кредитования [35].</w:t>
      </w:r>
    </w:p>
    <w:p w14:paraId="51DD9D13">
      <w:pPr>
        <w:pStyle w:val="30"/>
        <w:spacing w:before="0" w:beforeAutospacing="0" w:after="0" w:afterAutospacing="0"/>
        <w:ind w:firstLine="709"/>
        <w:jc w:val="both"/>
        <w:rPr>
          <w:sz w:val="28"/>
          <w:szCs w:val="28"/>
        </w:rPr>
      </w:pPr>
      <w:r>
        <w:rPr>
          <w:sz w:val="28"/>
          <w:szCs w:val="28"/>
        </w:rPr>
        <w:t>Институциональные факторы также играют двойственную роль. С одной стороны, ужесточение требований к капиталу и резервированию в рамках Basel III и IFRS 9 повышает устойчивость банковской системы [1, 18, 20, 36]. С другой стороны, в периоды мягкой денежно-кредитной политики наблюдается рост склонности банков к риску, ослабление стандартов кредитования и накопление латентных проблемных активов, которые проявляются с временным лагом.</w:t>
      </w:r>
    </w:p>
    <w:p w14:paraId="3DDFC02A">
      <w:pPr>
        <w:pStyle w:val="30"/>
        <w:spacing w:before="0" w:beforeAutospacing="0" w:after="0" w:afterAutospacing="0"/>
        <w:ind w:firstLine="709"/>
        <w:jc w:val="both"/>
        <w:rPr>
          <w:sz w:val="28"/>
          <w:szCs w:val="28"/>
        </w:rPr>
      </w:pPr>
      <w:r>
        <w:rPr>
          <w:sz w:val="28"/>
          <w:szCs w:val="28"/>
        </w:rPr>
        <w:t>Существенная часть проблемных активов формируется вследствие недостатков внутрибанковских систем управления рисками. Формальный анализ финансового состояния заемщиков, переоценка стоимости залогов, слабый посткредитный мониторинг и отсутствие эффективных систем раннего предупреждения приводят к несвоевременному выявлению ухудшения качества активов [20, 36]. В научной литературе подчеркивается, что ориентация банков на краткосрочный рост кредитного портфеля и прибыли зачастую осуществляется в ущерб качеству кредитных решений [20, 34-37].</w:t>
      </w:r>
    </w:p>
    <w:p w14:paraId="4BDBD211">
      <w:pPr>
        <w:pStyle w:val="30"/>
        <w:spacing w:before="0" w:beforeAutospacing="0" w:after="0" w:afterAutospacing="0"/>
        <w:ind w:firstLine="709"/>
        <w:jc w:val="both"/>
        <w:rPr>
          <w:sz w:val="28"/>
          <w:szCs w:val="28"/>
        </w:rPr>
      </w:pPr>
      <w:r>
        <w:rPr>
          <w:sz w:val="28"/>
          <w:szCs w:val="28"/>
        </w:rPr>
        <w:t>Отдельного внимания заслуживает проблема недостаточной отраслевой экспертизы и слабой интеграции риск-менеджмента в стратегию банковского развития. В таких условиях кредитование реального сектора носит фрагментарный характер и не учитывает долгосрочные риски отраслевого и проектного характера.</w:t>
      </w:r>
    </w:p>
    <w:p w14:paraId="4B16A29A">
      <w:pPr>
        <w:pStyle w:val="30"/>
        <w:spacing w:before="0" w:beforeAutospacing="0" w:after="0" w:afterAutospacing="0"/>
        <w:ind w:firstLine="709"/>
        <w:jc w:val="both"/>
        <w:rPr>
          <w:sz w:val="28"/>
          <w:szCs w:val="28"/>
        </w:rPr>
      </w:pPr>
      <w:r>
        <w:rPr>
          <w:sz w:val="28"/>
          <w:szCs w:val="28"/>
        </w:rPr>
        <w:t>Причиной возникновения проблемных активов кроются в дефектах финансового управления заемщиков, непрозрачности корпоративной структуры и неэффективном использовании заемного капитала. Недобросовестные заемщики прибегают к искажению финансовой отчетности и преднамеренно уклоняются от исполнения обязательств [38].</w:t>
      </w:r>
    </w:p>
    <w:p w14:paraId="3E68D246">
      <w:pPr>
        <w:pStyle w:val="30"/>
        <w:spacing w:before="0" w:beforeAutospacing="0" w:after="0" w:afterAutospacing="0"/>
        <w:ind w:firstLine="709"/>
        <w:jc w:val="both"/>
        <w:rPr>
          <w:sz w:val="28"/>
          <w:szCs w:val="28"/>
        </w:rPr>
      </w:pPr>
      <w:r>
        <w:rPr>
          <w:sz w:val="28"/>
          <w:szCs w:val="28"/>
        </w:rPr>
        <w:t>Отраслевые особенности реального сектора также оказывают влияние на формирование кредитных рисков банков. Высокая капиталоемкость, длительные инвестиционные циклы, зависимость от внешних рынков и сырьевой конъюнктуры формируют отложенные риски, которые недостаточно учитываются при традиционной оценке кредитоспособности заемщиков и способствуют трансформации стандартных кредитов в проблемные активы.</w:t>
      </w:r>
    </w:p>
    <w:p w14:paraId="5657A996">
      <w:pPr>
        <w:pStyle w:val="30"/>
        <w:spacing w:before="0" w:beforeAutospacing="0" w:after="0" w:afterAutospacing="0"/>
        <w:ind w:firstLine="709"/>
        <w:jc w:val="both"/>
        <w:rPr>
          <w:sz w:val="28"/>
          <w:szCs w:val="28"/>
        </w:rPr>
      </w:pPr>
      <w:r>
        <w:rPr>
          <w:sz w:val="28"/>
          <w:szCs w:val="28"/>
        </w:rPr>
        <w:t>В целом установленные причины формирования проблемных активов подтверждают необходимость комплексного подхода к управлению кредитным портфелем банков, основанного на интеграции макроэкономического анализа, отраслевой экспертизы и проектного управления, что создает методологическую основу для разработки новых инструментов повышения устойчивости кредитования реального сектора экономики.</w:t>
      </w:r>
    </w:p>
    <w:p w14:paraId="7C11B761">
      <w:pPr>
        <w:pStyle w:val="30"/>
        <w:spacing w:before="0" w:beforeAutospacing="0" w:after="0" w:afterAutospacing="0"/>
        <w:ind w:firstLine="709"/>
        <w:jc w:val="both"/>
        <w:rPr>
          <w:sz w:val="28"/>
          <w:szCs w:val="28"/>
        </w:rPr>
      </w:pPr>
    </w:p>
    <w:p w14:paraId="4EB506EA">
      <w:pPr>
        <w:pStyle w:val="30"/>
        <w:spacing w:before="0" w:beforeAutospacing="0" w:after="0" w:afterAutospacing="0"/>
        <w:ind w:firstLine="426"/>
        <w:jc w:val="both"/>
        <w:outlineLvl w:val="0"/>
        <w:rPr>
          <w:b/>
          <w:bCs/>
          <w:sz w:val="28"/>
          <w:szCs w:val="28"/>
        </w:rPr>
      </w:pPr>
      <w:bookmarkStart w:id="8" w:name="_Toc219671641"/>
      <w:r>
        <w:rPr>
          <w:b/>
          <w:bCs/>
          <w:sz w:val="28"/>
          <w:szCs w:val="28"/>
        </w:rPr>
        <w:t>1.3 Эволюция подходов к управлению проблемными активами в мировой банковской практике</w:t>
      </w:r>
      <w:bookmarkEnd w:id="8"/>
    </w:p>
    <w:p w14:paraId="11D71075">
      <w:pPr>
        <w:pStyle w:val="30"/>
        <w:spacing w:before="0" w:beforeAutospacing="0" w:after="0" w:afterAutospacing="0"/>
        <w:jc w:val="both"/>
        <w:rPr>
          <w:sz w:val="28"/>
          <w:szCs w:val="28"/>
        </w:rPr>
      </w:pPr>
    </w:p>
    <w:p w14:paraId="029F1CFE">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Эволюция подходов к управлению проблемными активами в мировой банковской практике отражает трансформацию представлений о кредитном риске и роли банков в обеспечении финансовой стабильности. На ранних этапах развития банковских систем проблемные активы рассматривались преимущественно как следствие индивидуальных ошибок кредитования и неблагоприятных рыночных условий (таблица 5). Управление ими ограничивалось правовыми процедурами взыскания задолженности и разрозненными мерами реструктуризации, что соответствовало традиционной модели банковского риск-менеджмента середины XX века [39, 41-45].</w:t>
      </w:r>
    </w:p>
    <w:p w14:paraId="2D27F080">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 расширением масштабов кредитования и усложнением финансовых инструментов в 1980–1990-е годы в развитых странах сформировался портфельный подход к управлению проблемными активами. В рамках данного подхода проблемные кредиты стали рассматриваться как системный элемент кредитного портфеля, требующий классификации, резервирования и постоянного мониторинга. В этот период получили развитие внутренние рейтинговые модели, специализированные подразделения по работе с проблемной задолженностью, а также практики реструктуризации долгов с целью максимизации возвратности активов [40, 46].</w:t>
      </w:r>
    </w:p>
    <w:p w14:paraId="70422921">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Значительный импульс к институционализации управления проблемными активами был дан серией финансовых кризисов конца XX – начала XXI века. Азиатский кризис 1997–1998 гг., а затем глобальный финансовый кризис 2008–2009 гг. продемонстрировали, что в условиях масштабных макроэкономических шоков внутрибанковские механизмы управления проблемными активами оказываются недостаточными [41, 43, 47]. В ответ на это в мировой практике получили распространение централизованные модели, включая создание специализированных компаний по управлению активами (Asset Management Companies), «плохих банков» и государственные программы по выкупу и реструктуризации проблемных активов [44, 48, 49]. Управление проблемными активами в этот период стало рассматриваться как элемент макропруденциальной политики, направленной на стабилизацию финансовой системы в целом.</w:t>
      </w:r>
    </w:p>
    <w:p w14:paraId="3530C489">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Современный этап эволюции характеризуется переходом к проактивным моделям управления, основанным на принципах раннего выявления ухудшения качества активов и оценки ожидаемых кредитных потерь. Внедрение международных стандартов финансовой отчетности IFRS 9 и усиление регуляторных требований в рамках Basel III обусловили смещение акцента с фиксации факта дефолта на анализ вероятности его наступления и динамики кредитного риска на протяжении всего жизненного цикла актива [1, 20, 48]. Это привело к интеграции управления проблемными активами в общую систему стратегического и риск-ориентированного управления банком.</w:t>
      </w:r>
    </w:p>
    <w:p w14:paraId="2AF084D4">
      <w:pPr>
        <w:spacing w:after="0" w:line="240" w:lineRule="auto"/>
        <w:jc w:val="both"/>
        <w:rPr>
          <w:rFonts w:ascii="Times New Roman" w:hAnsi="Times New Roman" w:eastAsia="Times New Roman" w:cs="Times New Roman"/>
          <w:sz w:val="28"/>
          <w:szCs w:val="28"/>
          <w:lang w:eastAsia="zh-CN"/>
        </w:rPr>
      </w:pPr>
    </w:p>
    <w:p w14:paraId="68247050">
      <w:pPr>
        <w:spacing w:after="0" w:line="240" w:lineRule="auto"/>
        <w:jc w:val="both"/>
        <w:rPr>
          <w:rFonts w:ascii="Times New Roman" w:hAnsi="Times New Roman" w:eastAsia="Times New Roman" w:cs="Times New Roman"/>
          <w:sz w:val="27"/>
          <w:szCs w:val="27"/>
          <w:lang w:eastAsia="zh-CN"/>
        </w:rPr>
      </w:pPr>
      <w:r>
        <w:rPr>
          <w:rFonts w:ascii="Times New Roman" w:hAnsi="Times New Roman" w:eastAsia="Times New Roman" w:cs="Times New Roman"/>
          <w:sz w:val="28"/>
          <w:szCs w:val="28"/>
          <w:lang w:eastAsia="zh-CN"/>
        </w:rPr>
        <w:t xml:space="preserve">Таблица 5 - </w:t>
      </w:r>
      <w:r>
        <w:rPr>
          <w:rFonts w:ascii="Times New Roman" w:hAnsi="Times New Roman" w:eastAsia="Times New Roman" w:cs="Times New Roman"/>
          <w:sz w:val="27"/>
          <w:szCs w:val="27"/>
          <w:lang w:eastAsia="zh-CN"/>
        </w:rPr>
        <w:t>Эволюция подходов к управлению проблемными активами в мировой банковской практике</w:t>
      </w:r>
    </w:p>
    <w:p w14:paraId="58F588D9">
      <w:pPr>
        <w:spacing w:after="0" w:line="240" w:lineRule="auto"/>
        <w:jc w:val="both"/>
        <w:rPr>
          <w:rFonts w:ascii="Times New Roman" w:hAnsi="Times New Roman" w:eastAsia="Times New Roman" w:cs="Times New Roman"/>
          <w:sz w:val="28"/>
          <w:szCs w:val="28"/>
          <w:lang w:eastAsia="zh-CN"/>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0"/>
        <w:gridCol w:w="1245"/>
        <w:gridCol w:w="1530"/>
        <w:gridCol w:w="1801"/>
        <w:gridCol w:w="1824"/>
        <w:gridCol w:w="1568"/>
      </w:tblGrid>
      <w:tr w14:paraId="7CCD1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dxa"/>
          </w:tcPr>
          <w:p w14:paraId="5E8FDA3A">
            <w:pPr>
              <w:spacing w:after="0" w:line="240" w:lineRule="auto"/>
              <w:jc w:val="center"/>
              <w:rPr>
                <w:rFonts w:ascii="Times New Roman" w:hAnsi="Times New Roman" w:eastAsia="Times New Roman" w:cs="Times New Roman"/>
                <w:b/>
                <w:bCs/>
                <w:sz w:val="24"/>
                <w:szCs w:val="24"/>
                <w:lang w:eastAsia="zh-CN"/>
              </w:rPr>
            </w:pPr>
            <w:r>
              <w:rPr>
                <w:rFonts w:ascii="Times New Roman" w:hAnsi="Times New Roman" w:eastAsia="Times New Roman" w:cs="Times New Roman"/>
                <w:b/>
                <w:bCs/>
                <w:sz w:val="24"/>
                <w:szCs w:val="24"/>
                <w:lang w:eastAsia="zh-CN"/>
              </w:rPr>
              <w:t>Этап развития</w:t>
            </w:r>
          </w:p>
        </w:tc>
        <w:tc>
          <w:tcPr>
            <w:tcW w:w="1245" w:type="dxa"/>
          </w:tcPr>
          <w:p w14:paraId="4FB3C467">
            <w:pPr>
              <w:spacing w:after="0" w:line="240" w:lineRule="auto"/>
              <w:jc w:val="center"/>
              <w:rPr>
                <w:rFonts w:ascii="Times New Roman" w:hAnsi="Times New Roman" w:eastAsia="Times New Roman" w:cs="Times New Roman"/>
                <w:b/>
                <w:bCs/>
                <w:sz w:val="24"/>
                <w:szCs w:val="24"/>
                <w:lang w:eastAsia="zh-CN"/>
              </w:rPr>
            </w:pPr>
            <w:r>
              <w:rPr>
                <w:rFonts w:ascii="Times New Roman" w:hAnsi="Times New Roman" w:eastAsia="Times New Roman" w:cs="Times New Roman"/>
                <w:b/>
                <w:bCs/>
                <w:sz w:val="24"/>
                <w:szCs w:val="24"/>
                <w:lang w:eastAsia="zh-CN"/>
              </w:rPr>
              <w:t>Временной период</w:t>
            </w:r>
          </w:p>
        </w:tc>
        <w:tc>
          <w:tcPr>
            <w:tcW w:w="1530" w:type="dxa"/>
          </w:tcPr>
          <w:p w14:paraId="3E827B62">
            <w:pPr>
              <w:spacing w:after="0" w:line="240" w:lineRule="auto"/>
              <w:jc w:val="center"/>
              <w:rPr>
                <w:rFonts w:ascii="Times New Roman" w:hAnsi="Times New Roman" w:eastAsia="Times New Roman" w:cs="Times New Roman"/>
                <w:b/>
                <w:bCs/>
                <w:sz w:val="24"/>
                <w:szCs w:val="24"/>
                <w:lang w:eastAsia="zh-CN"/>
              </w:rPr>
            </w:pPr>
            <w:r>
              <w:rPr>
                <w:rFonts w:ascii="Times New Roman" w:hAnsi="Times New Roman" w:eastAsia="Times New Roman" w:cs="Times New Roman"/>
                <w:b/>
                <w:bCs/>
                <w:sz w:val="24"/>
                <w:szCs w:val="24"/>
                <w:lang w:eastAsia="zh-CN"/>
              </w:rPr>
              <w:t>Доминирующий подход</w:t>
            </w:r>
          </w:p>
        </w:tc>
        <w:tc>
          <w:tcPr>
            <w:tcW w:w="1801" w:type="dxa"/>
          </w:tcPr>
          <w:p w14:paraId="2EC441E2">
            <w:pPr>
              <w:spacing w:after="0" w:line="240" w:lineRule="auto"/>
              <w:jc w:val="center"/>
              <w:rPr>
                <w:rFonts w:ascii="Times New Roman" w:hAnsi="Times New Roman" w:eastAsia="Times New Roman" w:cs="Times New Roman"/>
                <w:b/>
                <w:bCs/>
                <w:sz w:val="24"/>
                <w:szCs w:val="24"/>
                <w:lang w:eastAsia="zh-CN"/>
              </w:rPr>
            </w:pPr>
            <w:r>
              <w:rPr>
                <w:rFonts w:ascii="Times New Roman" w:hAnsi="Times New Roman" w:eastAsia="Times New Roman" w:cs="Times New Roman"/>
                <w:b/>
                <w:bCs/>
                <w:sz w:val="24"/>
                <w:szCs w:val="24"/>
                <w:lang w:eastAsia="zh-CN"/>
              </w:rPr>
              <w:t>Ключевые инструменты управления</w:t>
            </w:r>
          </w:p>
        </w:tc>
        <w:tc>
          <w:tcPr>
            <w:tcW w:w="1824" w:type="dxa"/>
          </w:tcPr>
          <w:p w14:paraId="3A20486E">
            <w:pPr>
              <w:spacing w:after="0" w:line="240" w:lineRule="auto"/>
              <w:jc w:val="center"/>
              <w:rPr>
                <w:rFonts w:ascii="Times New Roman" w:hAnsi="Times New Roman" w:eastAsia="Times New Roman" w:cs="Times New Roman"/>
                <w:b/>
                <w:bCs/>
                <w:sz w:val="24"/>
                <w:szCs w:val="24"/>
                <w:lang w:eastAsia="zh-CN"/>
              </w:rPr>
            </w:pPr>
            <w:r>
              <w:rPr>
                <w:rFonts w:ascii="Times New Roman" w:hAnsi="Times New Roman" w:eastAsia="Times New Roman" w:cs="Times New Roman"/>
                <w:b/>
                <w:bCs/>
                <w:sz w:val="24"/>
                <w:szCs w:val="24"/>
                <w:lang w:eastAsia="zh-CN"/>
              </w:rPr>
              <w:t>Роль государства и регулятора</w:t>
            </w:r>
          </w:p>
        </w:tc>
        <w:tc>
          <w:tcPr>
            <w:tcW w:w="1568" w:type="dxa"/>
          </w:tcPr>
          <w:p w14:paraId="038768D3">
            <w:pPr>
              <w:spacing w:after="0" w:line="240" w:lineRule="auto"/>
              <w:jc w:val="center"/>
              <w:rPr>
                <w:rFonts w:ascii="Times New Roman" w:hAnsi="Times New Roman" w:eastAsia="Times New Roman" w:cs="Times New Roman"/>
                <w:b/>
                <w:bCs/>
                <w:sz w:val="24"/>
                <w:szCs w:val="24"/>
                <w:lang w:eastAsia="zh-CN"/>
              </w:rPr>
            </w:pPr>
            <w:r>
              <w:rPr>
                <w:rFonts w:ascii="Times New Roman" w:hAnsi="Times New Roman" w:eastAsia="Times New Roman" w:cs="Times New Roman"/>
                <w:b/>
                <w:bCs/>
                <w:sz w:val="24"/>
                <w:szCs w:val="24"/>
                <w:lang w:eastAsia="zh-CN"/>
              </w:rPr>
              <w:t>Экономические результаты и ограничения</w:t>
            </w:r>
          </w:p>
        </w:tc>
      </w:tr>
      <w:tr w14:paraId="2A7B8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dxa"/>
          </w:tcPr>
          <w:p w14:paraId="6305DA72">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I. Реактивный (традиционный)</w:t>
            </w:r>
          </w:p>
        </w:tc>
        <w:tc>
          <w:tcPr>
            <w:tcW w:w="1245" w:type="dxa"/>
          </w:tcPr>
          <w:p w14:paraId="729A1FE7">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1980-е – начало 1990-х гг.</w:t>
            </w:r>
          </w:p>
        </w:tc>
        <w:tc>
          <w:tcPr>
            <w:tcW w:w="1530" w:type="dxa"/>
          </w:tcPr>
          <w:p w14:paraId="1DC6CE9E">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Пассивное управление проблемными активами</w:t>
            </w:r>
          </w:p>
        </w:tc>
        <w:tc>
          <w:tcPr>
            <w:tcW w:w="1801" w:type="dxa"/>
          </w:tcPr>
          <w:p w14:paraId="6EF133E0">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Создание резервов, пролонгация задолженности, списание</w:t>
            </w:r>
          </w:p>
        </w:tc>
        <w:tc>
          <w:tcPr>
            <w:tcW w:w="1824" w:type="dxa"/>
          </w:tcPr>
          <w:p w14:paraId="36600639">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Ограниченное вмешательство, контроль за соблюдением нормативов</w:t>
            </w:r>
          </w:p>
        </w:tc>
        <w:tc>
          <w:tcPr>
            <w:tcW w:w="1568" w:type="dxa"/>
          </w:tcPr>
          <w:p w14:paraId="1CDB7746">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Снижение прозрачности балансов, накопление скрытых потерь</w:t>
            </w:r>
          </w:p>
        </w:tc>
      </w:tr>
    </w:tbl>
    <w:p w14:paraId="5FC16898"/>
    <w:p w14:paraId="19D66E88"/>
    <w:p w14:paraId="525B0CAE">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Продолжение таблицы 5</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0"/>
        <w:gridCol w:w="1245"/>
        <w:gridCol w:w="1530"/>
        <w:gridCol w:w="1801"/>
        <w:gridCol w:w="1824"/>
        <w:gridCol w:w="1568"/>
      </w:tblGrid>
      <w:tr w14:paraId="4E826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dxa"/>
          </w:tcPr>
          <w:p w14:paraId="0A024EAC">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II. Институциональный</w:t>
            </w:r>
          </w:p>
        </w:tc>
        <w:tc>
          <w:tcPr>
            <w:tcW w:w="1245" w:type="dxa"/>
          </w:tcPr>
          <w:p w14:paraId="1590DFB3">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1990-е гг.</w:t>
            </w:r>
          </w:p>
        </w:tc>
        <w:tc>
          <w:tcPr>
            <w:tcW w:w="1530" w:type="dxa"/>
          </w:tcPr>
          <w:p w14:paraId="71E286E1">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Централизованное выведение проблемных активов</w:t>
            </w:r>
          </w:p>
        </w:tc>
        <w:tc>
          <w:tcPr>
            <w:tcW w:w="1801" w:type="dxa"/>
          </w:tcPr>
          <w:p w14:paraId="1A5D5010">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Государственные агентства, «плохие банки», секьюритизация</w:t>
            </w:r>
          </w:p>
        </w:tc>
        <w:tc>
          <w:tcPr>
            <w:tcW w:w="1824" w:type="dxa"/>
          </w:tcPr>
          <w:p w14:paraId="08D54610">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Активная роль государства, санация банков</w:t>
            </w:r>
          </w:p>
        </w:tc>
        <w:tc>
          <w:tcPr>
            <w:tcW w:w="1568" w:type="dxa"/>
          </w:tcPr>
          <w:p w14:paraId="78ED9BE4">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Очистка балансов, рост госрасходов, моральный риск</w:t>
            </w:r>
          </w:p>
        </w:tc>
      </w:tr>
      <w:tr w14:paraId="67B9B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dxa"/>
          </w:tcPr>
          <w:p w14:paraId="7D0F27FB">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III. Рыночный</w:t>
            </w:r>
          </w:p>
        </w:tc>
        <w:tc>
          <w:tcPr>
            <w:tcW w:w="1245" w:type="dxa"/>
          </w:tcPr>
          <w:p w14:paraId="497DB7AD">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Конец 1990-х – 2000-е гг.</w:t>
            </w:r>
          </w:p>
        </w:tc>
        <w:tc>
          <w:tcPr>
            <w:tcW w:w="1530" w:type="dxa"/>
          </w:tcPr>
          <w:p w14:paraId="76FC4C79">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Передача активов рыночным участникам</w:t>
            </w:r>
          </w:p>
        </w:tc>
        <w:tc>
          <w:tcPr>
            <w:tcW w:w="1801" w:type="dxa"/>
          </w:tcPr>
          <w:p w14:paraId="480EBBFC">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Продажа портфелей, коллекторские компании, фонды distressed assets</w:t>
            </w:r>
          </w:p>
        </w:tc>
        <w:tc>
          <w:tcPr>
            <w:tcW w:w="1824" w:type="dxa"/>
          </w:tcPr>
          <w:p w14:paraId="784EA077">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Формирование правовой инфраструктуры</w:t>
            </w:r>
          </w:p>
        </w:tc>
        <w:tc>
          <w:tcPr>
            <w:tcW w:w="1568" w:type="dxa"/>
          </w:tcPr>
          <w:p w14:paraId="7B6EE0F9">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Повышение ликвидности активов, дисконт потерь</w:t>
            </w:r>
          </w:p>
        </w:tc>
      </w:tr>
      <w:tr w14:paraId="08A5B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dxa"/>
          </w:tcPr>
          <w:p w14:paraId="5AE607B1">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IV. Активно-управленческий</w:t>
            </w:r>
          </w:p>
        </w:tc>
        <w:tc>
          <w:tcPr>
            <w:tcW w:w="1245" w:type="dxa"/>
          </w:tcPr>
          <w:p w14:paraId="45C1EB11">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После кризиса 2008 г.</w:t>
            </w:r>
          </w:p>
        </w:tc>
        <w:tc>
          <w:tcPr>
            <w:tcW w:w="1530" w:type="dxa"/>
          </w:tcPr>
          <w:p w14:paraId="3B63B5E1">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Внутрибанковское активное управление</w:t>
            </w:r>
          </w:p>
        </w:tc>
        <w:tc>
          <w:tcPr>
            <w:tcW w:w="1801" w:type="dxa"/>
          </w:tcPr>
          <w:p w14:paraId="7B45563F">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Реструктуризация, workout-подразделения, стресс-тестирование</w:t>
            </w:r>
          </w:p>
        </w:tc>
        <w:tc>
          <w:tcPr>
            <w:tcW w:w="1824" w:type="dxa"/>
          </w:tcPr>
          <w:p w14:paraId="2E0AA31A">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Макропруденциальное регулирование</w:t>
            </w:r>
          </w:p>
        </w:tc>
        <w:tc>
          <w:tcPr>
            <w:tcW w:w="1568" w:type="dxa"/>
          </w:tcPr>
          <w:p w14:paraId="691FEBCB">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Снижение NPL, рост управленческих издержек</w:t>
            </w:r>
          </w:p>
        </w:tc>
      </w:tr>
      <w:tr w14:paraId="181B2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dxa"/>
          </w:tcPr>
          <w:p w14:paraId="57B5E87F">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V. Процессно-ориентированный</w:t>
            </w:r>
          </w:p>
        </w:tc>
        <w:tc>
          <w:tcPr>
            <w:tcW w:w="1245" w:type="dxa"/>
          </w:tcPr>
          <w:p w14:paraId="78A536A3">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2010-е гг.</w:t>
            </w:r>
          </w:p>
        </w:tc>
        <w:tc>
          <w:tcPr>
            <w:tcW w:w="1530" w:type="dxa"/>
          </w:tcPr>
          <w:p w14:paraId="752DF7A2">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Интеграция управления в бизнес-процессы банка</w:t>
            </w:r>
          </w:p>
        </w:tc>
        <w:tc>
          <w:tcPr>
            <w:tcW w:w="1801" w:type="dxa"/>
          </w:tcPr>
          <w:p w14:paraId="7F81FBC2">
            <w:pPr>
              <w:spacing w:after="0" w:line="240" w:lineRule="auto"/>
              <w:rPr>
                <w:rFonts w:ascii="Times New Roman" w:hAnsi="Times New Roman" w:eastAsia="Times New Roman" w:cs="Times New Roman"/>
                <w:sz w:val="24"/>
                <w:szCs w:val="24"/>
                <w:lang w:val="en-US" w:eastAsia="zh-CN"/>
              </w:rPr>
            </w:pPr>
            <w:r>
              <w:rPr>
                <w:rFonts w:ascii="Times New Roman" w:hAnsi="Times New Roman" w:eastAsia="Times New Roman" w:cs="Times New Roman"/>
                <w:sz w:val="24"/>
                <w:szCs w:val="24"/>
                <w:lang w:val="en-US" w:eastAsia="zh-CN"/>
              </w:rPr>
              <w:t xml:space="preserve">Early warning systems, KPI, </w:t>
            </w:r>
            <w:r>
              <w:rPr>
                <w:rFonts w:ascii="Times New Roman" w:hAnsi="Times New Roman" w:eastAsia="Times New Roman" w:cs="Times New Roman"/>
                <w:sz w:val="24"/>
                <w:szCs w:val="24"/>
                <w:lang w:eastAsia="zh-CN"/>
              </w:rPr>
              <w:t>цифровой</w:t>
            </w:r>
            <w:r>
              <w:rPr>
                <w:rFonts w:ascii="Times New Roman" w:hAnsi="Times New Roman" w:eastAsia="Times New Roman" w:cs="Times New Roman"/>
                <w:sz w:val="24"/>
                <w:szCs w:val="24"/>
                <w:lang w:val="en-US" w:eastAsia="zh-CN"/>
              </w:rPr>
              <w:t xml:space="preserve"> </w:t>
            </w:r>
            <w:r>
              <w:rPr>
                <w:rFonts w:ascii="Times New Roman" w:hAnsi="Times New Roman" w:eastAsia="Times New Roman" w:cs="Times New Roman"/>
                <w:sz w:val="24"/>
                <w:szCs w:val="24"/>
                <w:lang w:eastAsia="zh-CN"/>
              </w:rPr>
              <w:t>мониторинг</w:t>
            </w:r>
          </w:p>
        </w:tc>
        <w:tc>
          <w:tcPr>
            <w:tcW w:w="1824" w:type="dxa"/>
          </w:tcPr>
          <w:p w14:paraId="38A42FB2">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Надзор за качеством процессов</w:t>
            </w:r>
          </w:p>
        </w:tc>
        <w:tc>
          <w:tcPr>
            <w:tcW w:w="1568" w:type="dxa"/>
          </w:tcPr>
          <w:p w14:paraId="0DC6A100">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Повышение превентивности, сложность внедрения</w:t>
            </w:r>
          </w:p>
        </w:tc>
      </w:tr>
      <w:tr w14:paraId="2A98E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dxa"/>
          </w:tcPr>
          <w:p w14:paraId="65D7AD39">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VI. Проектно-ориентированный</w:t>
            </w:r>
          </w:p>
        </w:tc>
        <w:tc>
          <w:tcPr>
            <w:tcW w:w="1245" w:type="dxa"/>
          </w:tcPr>
          <w:p w14:paraId="1E1D5766">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Конец 2010-х – н. в.</w:t>
            </w:r>
          </w:p>
        </w:tc>
        <w:tc>
          <w:tcPr>
            <w:tcW w:w="1530" w:type="dxa"/>
          </w:tcPr>
          <w:p w14:paraId="66AEA8E9">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Проектное управление проблемными активами</w:t>
            </w:r>
          </w:p>
        </w:tc>
        <w:tc>
          <w:tcPr>
            <w:tcW w:w="1801" w:type="dxa"/>
          </w:tcPr>
          <w:p w14:paraId="5592F013">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Проектные команды, сценарное моделирование, lifecycle-подход</w:t>
            </w:r>
          </w:p>
        </w:tc>
        <w:tc>
          <w:tcPr>
            <w:tcW w:w="1824" w:type="dxa"/>
          </w:tcPr>
          <w:p w14:paraId="0110E54B">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Регулятор как инициатор устойчивости</w:t>
            </w:r>
          </w:p>
        </w:tc>
        <w:tc>
          <w:tcPr>
            <w:tcW w:w="1568" w:type="dxa"/>
          </w:tcPr>
          <w:p w14:paraId="0039204D">
            <w:pPr>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Максимизация восстановления стоимости, высокая управленческая сложность</w:t>
            </w:r>
          </w:p>
        </w:tc>
      </w:tr>
    </w:tbl>
    <w:p w14:paraId="4762CBB4">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[39]</w:t>
      </w:r>
    </w:p>
    <w:p w14:paraId="342DA064">
      <w:pPr>
        <w:spacing w:after="0" w:line="240" w:lineRule="auto"/>
        <w:ind w:firstLine="708"/>
        <w:jc w:val="both"/>
        <w:rPr>
          <w:rFonts w:ascii="Times New Roman" w:hAnsi="Times New Roman" w:eastAsia="Times New Roman" w:cs="Times New Roman"/>
          <w:sz w:val="28"/>
          <w:szCs w:val="28"/>
          <w:lang w:eastAsia="zh-CN"/>
        </w:rPr>
      </w:pPr>
    </w:p>
    <w:p w14:paraId="556EFAA9">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Эволюция подходов к управлению проблемными активами в мировой банковской практике отражает переход от пассивных и реактивных моделей к комплексным, проактивным и проектно-ориентированным системам управления. Современный этап характеризуется смещением акцента с формального соблюдения нормативов на управление жизненным циклом проблемных активов, что не только снижает потери банков, но и минимизирует системные риски для экономики страны.</w:t>
      </w:r>
    </w:p>
    <w:p w14:paraId="1D931989">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Международная практика управления проблемными активами имеет следующую тенденцию [20, 28, 50, 52]:</w:t>
      </w:r>
    </w:p>
    <w:p w14:paraId="2F476514">
      <w:pPr>
        <w:pStyle w:val="32"/>
        <w:numPr>
          <w:ilvl w:val="0"/>
          <w:numId w:val="5"/>
        </w:numPr>
        <w:spacing w:after="0" w:line="240" w:lineRule="auto"/>
        <w:ind w:left="142" w:firstLine="567"/>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Европа: создание «bad banks», портфельная реструктуризация, применение стресс-тестов.</w:t>
      </w:r>
    </w:p>
    <w:p w14:paraId="60FD6E9B">
      <w:pPr>
        <w:numPr>
          <w:ilvl w:val="0"/>
          <w:numId w:val="8"/>
        </w:num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США: использование специализированных подразделений для NPL, реструктуризация ипотечных и корпоративных кредитов.</w:t>
      </w:r>
    </w:p>
    <w:p w14:paraId="75890EF1">
      <w:pPr>
        <w:numPr>
          <w:ilvl w:val="0"/>
          <w:numId w:val="8"/>
        </w:num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Азия: опыт Японии и Китая по управлению долгосрочными проблемными активами, государственные программы поддержки.</w:t>
      </w:r>
    </w:p>
    <w:p w14:paraId="260F1D34">
      <w:pPr>
        <w:numPr>
          <w:ilvl w:val="0"/>
          <w:numId w:val="8"/>
        </w:num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Международные стандарты: Basel III, IFRS 9, рекомендации FSB по NPL.</w:t>
      </w:r>
    </w:p>
    <w:p w14:paraId="2CE00BDD">
      <w:pPr>
        <w:tabs>
          <w:tab w:val="left" w:pos="720"/>
        </w:tabs>
        <w:spacing w:after="0" w:line="240" w:lineRule="auto"/>
        <w:ind w:left="720"/>
        <w:jc w:val="both"/>
        <w:rPr>
          <w:rFonts w:ascii="Times New Roman" w:hAnsi="Times New Roman" w:eastAsia="Times New Roman" w:cs="Times New Roman"/>
          <w:sz w:val="28"/>
          <w:szCs w:val="28"/>
          <w:lang w:eastAsia="zh-CN"/>
        </w:rPr>
      </w:pPr>
    </w:p>
    <w:p w14:paraId="2A33EB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 6 - Сравнение подходов к управлению проблемными активами в разных странах</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1"/>
        <w:gridCol w:w="3403"/>
        <w:gridCol w:w="2019"/>
        <w:gridCol w:w="2331"/>
      </w:tblGrid>
      <w:tr w14:paraId="28660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4CD8D1F">
            <w:pPr>
              <w:spacing w:after="0" w:line="240" w:lineRule="auto"/>
              <w:jc w:val="both"/>
              <w:rPr>
                <w:rFonts w:ascii="Times New Roman" w:hAnsi="Times New Roman" w:eastAsia="Times New Roman" w:cs="Times New Roman"/>
                <w:b/>
                <w:bCs/>
                <w:sz w:val="28"/>
                <w:szCs w:val="28"/>
                <w:lang w:eastAsia="zh-CN"/>
              </w:rPr>
            </w:pPr>
            <w:r>
              <w:rPr>
                <w:rFonts w:ascii="Times New Roman" w:hAnsi="Times New Roman" w:eastAsia="Times New Roman" w:cs="Times New Roman"/>
                <w:b/>
                <w:bCs/>
                <w:sz w:val="28"/>
                <w:szCs w:val="28"/>
                <w:lang w:eastAsia="zh-CN"/>
              </w:rPr>
              <w:t>Страна/регион</w:t>
            </w:r>
          </w:p>
        </w:tc>
        <w:tc>
          <w:tcPr>
            <w:tcW w:w="0" w:type="auto"/>
          </w:tcPr>
          <w:p w14:paraId="7CAB9C99">
            <w:pPr>
              <w:spacing w:after="0" w:line="240" w:lineRule="auto"/>
              <w:jc w:val="both"/>
              <w:rPr>
                <w:rFonts w:ascii="Times New Roman" w:hAnsi="Times New Roman" w:eastAsia="Times New Roman" w:cs="Times New Roman"/>
                <w:b/>
                <w:bCs/>
                <w:sz w:val="28"/>
                <w:szCs w:val="28"/>
                <w:lang w:eastAsia="zh-CN"/>
              </w:rPr>
            </w:pPr>
            <w:r>
              <w:rPr>
                <w:rFonts w:ascii="Times New Roman" w:hAnsi="Times New Roman" w:eastAsia="Times New Roman" w:cs="Times New Roman"/>
                <w:b/>
                <w:bCs/>
                <w:sz w:val="28"/>
                <w:szCs w:val="28"/>
                <w:lang w:eastAsia="zh-CN"/>
              </w:rPr>
              <w:t>Основной инструмент</w:t>
            </w:r>
          </w:p>
        </w:tc>
        <w:tc>
          <w:tcPr>
            <w:tcW w:w="0" w:type="auto"/>
          </w:tcPr>
          <w:p w14:paraId="5EA39E94">
            <w:pPr>
              <w:spacing w:after="0" w:line="240" w:lineRule="auto"/>
              <w:jc w:val="both"/>
              <w:rPr>
                <w:rFonts w:ascii="Times New Roman" w:hAnsi="Times New Roman" w:eastAsia="Times New Roman" w:cs="Times New Roman"/>
                <w:b/>
                <w:bCs/>
                <w:sz w:val="28"/>
                <w:szCs w:val="28"/>
                <w:lang w:eastAsia="zh-CN"/>
              </w:rPr>
            </w:pPr>
            <w:r>
              <w:rPr>
                <w:rFonts w:ascii="Times New Roman" w:hAnsi="Times New Roman" w:eastAsia="Times New Roman" w:cs="Times New Roman"/>
                <w:b/>
                <w:bCs/>
                <w:sz w:val="28"/>
                <w:szCs w:val="28"/>
                <w:lang w:eastAsia="zh-CN"/>
              </w:rPr>
              <w:t>Роль государства</w:t>
            </w:r>
          </w:p>
        </w:tc>
        <w:tc>
          <w:tcPr>
            <w:tcW w:w="0" w:type="auto"/>
          </w:tcPr>
          <w:p w14:paraId="46077D7D">
            <w:pPr>
              <w:spacing w:after="0" w:line="240" w:lineRule="auto"/>
              <w:jc w:val="both"/>
              <w:rPr>
                <w:rFonts w:ascii="Times New Roman" w:hAnsi="Times New Roman" w:eastAsia="Times New Roman" w:cs="Times New Roman"/>
                <w:b/>
                <w:bCs/>
                <w:sz w:val="28"/>
                <w:szCs w:val="28"/>
                <w:lang w:eastAsia="zh-CN"/>
              </w:rPr>
            </w:pPr>
            <w:r>
              <w:rPr>
                <w:rFonts w:ascii="Times New Roman" w:hAnsi="Times New Roman" w:eastAsia="Times New Roman" w:cs="Times New Roman"/>
                <w:b/>
                <w:bCs/>
                <w:sz w:val="28"/>
                <w:szCs w:val="28"/>
                <w:lang w:eastAsia="zh-CN"/>
              </w:rPr>
              <w:t>Эффективность</w:t>
            </w:r>
          </w:p>
        </w:tc>
      </w:tr>
      <w:tr w14:paraId="6E50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D89BB64">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ЕС</w:t>
            </w:r>
          </w:p>
        </w:tc>
        <w:tc>
          <w:tcPr>
            <w:tcW w:w="0" w:type="auto"/>
          </w:tcPr>
          <w:p w14:paraId="57E6E29D">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«Bad banks», реструктуризация</w:t>
            </w:r>
          </w:p>
        </w:tc>
        <w:tc>
          <w:tcPr>
            <w:tcW w:w="0" w:type="auto"/>
          </w:tcPr>
          <w:p w14:paraId="4F908178">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Высокая</w:t>
            </w:r>
          </w:p>
        </w:tc>
        <w:tc>
          <w:tcPr>
            <w:tcW w:w="0" w:type="auto"/>
          </w:tcPr>
          <w:p w14:paraId="75C3A9AA">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Средняя–высокая</w:t>
            </w:r>
          </w:p>
        </w:tc>
      </w:tr>
      <w:tr w14:paraId="1E05F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CDA33E5">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США</w:t>
            </w:r>
          </w:p>
        </w:tc>
        <w:tc>
          <w:tcPr>
            <w:tcW w:w="0" w:type="auto"/>
          </w:tcPr>
          <w:p w14:paraId="4A05A7FD">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Специализированные подразделения</w:t>
            </w:r>
          </w:p>
        </w:tc>
        <w:tc>
          <w:tcPr>
            <w:tcW w:w="0" w:type="auto"/>
          </w:tcPr>
          <w:p w14:paraId="560A7FE8">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Умеренная</w:t>
            </w:r>
          </w:p>
        </w:tc>
        <w:tc>
          <w:tcPr>
            <w:tcW w:w="0" w:type="auto"/>
          </w:tcPr>
          <w:p w14:paraId="6BD9CFCE">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Высокая</w:t>
            </w:r>
          </w:p>
        </w:tc>
      </w:tr>
      <w:tr w14:paraId="733F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66B23EE">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Япония</w:t>
            </w:r>
          </w:p>
        </w:tc>
        <w:tc>
          <w:tcPr>
            <w:tcW w:w="0" w:type="auto"/>
          </w:tcPr>
          <w:p w14:paraId="374E60B1">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Продажа портфелей, реструктуризация</w:t>
            </w:r>
          </w:p>
        </w:tc>
        <w:tc>
          <w:tcPr>
            <w:tcW w:w="0" w:type="auto"/>
          </w:tcPr>
          <w:p w14:paraId="54E02A1C">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Высокая</w:t>
            </w:r>
          </w:p>
        </w:tc>
        <w:tc>
          <w:tcPr>
            <w:tcW w:w="0" w:type="auto"/>
          </w:tcPr>
          <w:p w14:paraId="36BC5CC6">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Средняя</w:t>
            </w:r>
          </w:p>
        </w:tc>
      </w:tr>
      <w:tr w14:paraId="1B01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4B280B0">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Китай</w:t>
            </w:r>
          </w:p>
        </w:tc>
        <w:tc>
          <w:tcPr>
            <w:tcW w:w="0" w:type="auto"/>
          </w:tcPr>
          <w:p w14:paraId="7EFFD1C0">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Госсубсидии, «bad banks»</w:t>
            </w:r>
          </w:p>
        </w:tc>
        <w:tc>
          <w:tcPr>
            <w:tcW w:w="0" w:type="auto"/>
          </w:tcPr>
          <w:p w14:paraId="371EAFA8">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Очень высокая</w:t>
            </w:r>
          </w:p>
        </w:tc>
        <w:tc>
          <w:tcPr>
            <w:tcW w:w="0" w:type="auto"/>
          </w:tcPr>
          <w:p w14:paraId="2F459214">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Средняя</w:t>
            </w:r>
          </w:p>
        </w:tc>
      </w:tr>
    </w:tbl>
    <w:p w14:paraId="31D9FB56">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[24]</w:t>
      </w:r>
    </w:p>
    <w:p w14:paraId="128BDFDF">
      <w:pPr>
        <w:spacing w:after="0" w:line="240" w:lineRule="auto"/>
        <w:jc w:val="both"/>
        <w:rPr>
          <w:rFonts w:ascii="Times New Roman" w:hAnsi="Times New Roman" w:eastAsia="Times New Roman" w:cs="Times New Roman"/>
          <w:sz w:val="28"/>
          <w:szCs w:val="28"/>
          <w:lang w:eastAsia="zh-CN"/>
        </w:rPr>
      </w:pPr>
    </w:p>
    <w:p w14:paraId="1B182862">
      <w:pPr>
        <w:spacing w:after="0" w:line="240" w:lineRule="auto"/>
        <w:ind w:firstLine="709"/>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В условиях цифровизации финансового сектора и роста требований к эффективности капитала особое значение приобретает проектный подход к управлению проблемными активами. В мировой банковской практике данный подход предполагает рассмотрение проблемных активов как совокупности управляемых проектов, каждый из которых имеет определённые цели, сроки, ресурсы и показатели результативности. Такой формат позволяет объединить финансовую, юридическую и операционную реструктуризацию заемщиков в единую управленческую модель, ориентированную не только на минимизацию убытков, но и на восстановление экономической ценности активов [26,53].</w:t>
      </w:r>
    </w:p>
    <w:p w14:paraId="08D1FE30">
      <w:pPr>
        <w:spacing w:after="0" w:line="240" w:lineRule="auto"/>
        <w:ind w:firstLine="709"/>
        <w:jc w:val="both"/>
        <w:rPr>
          <w:rFonts w:ascii="Times New Roman" w:hAnsi="Times New Roman" w:eastAsia="Times New Roman" w:cs="Times New Roman"/>
          <w:sz w:val="28"/>
          <w:szCs w:val="28"/>
          <w:lang w:eastAsia="zh-CN"/>
        </w:rPr>
      </w:pPr>
      <w:r>
        <w:rPr>
          <w:rFonts w:ascii="Times New Roman" w:hAnsi="Times New Roman" w:cs="Times New Roman"/>
          <w:sz w:val="28"/>
          <w:szCs w:val="28"/>
        </w:rPr>
        <w:t>В банковской практике применяются три основных подхода к управлению проблемными активами: функциональный, процессный и портфельный [10, 11, 31, 39, 52]. Каждый из них имеет свои преимущества и ограничения, а также особенности применения в контексте банков, кредитующих реальный сектор экономики Казахстана.</w:t>
      </w:r>
    </w:p>
    <w:p w14:paraId="7B112E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Функциональный подход основан на распределении ответственности между специализированными подразделениями банка: службой по работе с проблемными активами, юридическим департаментом, отделом риск-менеджмента. Такой подход обеспечивает высокий уровень специализации и формализации функций, что способствует систематическому учёту рисков. В то же время, реактивная сущность этого подхода не в состоянии своевременно предотвратить ухудшение качества активов [31, 41, 53].</w:t>
      </w:r>
    </w:p>
    <w:p w14:paraId="5D435D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Процессный подход предполагает четко регламентированные этапы работы с проблемными активами: раннее выявление, реструктуризация, мягкое и жесткое взыскание, судебное взыскание, реализация залогов. Он повышает прозрачность и контроль, но жесткая регламентация ограничивает гибкость и оперативность решений, а также адаптацию к специфике корпоративных клиентов [31, 39, 54].</w:t>
      </w:r>
    </w:p>
    <w:p w14:paraId="7C6E56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портфельном подходе банк рассматривает все свои операции (кредиты, ценные бумаги, депозиты, проблемные активы) не изолированно, а как совокупность инвестиционного портфеля с использованием автоматизированных систем анализа и портфеля в целом для оптимизации структуры рисков. Он хорошо себя зарекомендовал при формировании резервов и оценке капитала. Но для крупных компаний реального сектора экономики РК, этот подход с его консервативной диверсификацией может снизить доходность, т.к. не учитывает отраслевую специфику [11, 31, 54].</w:t>
      </w:r>
    </w:p>
    <w:p w14:paraId="3000CD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Следует признать, что ни один из подходов не в состоянии обеспечить полный контроль над проблемными активами, особенно в случае больших объёмов и сложности кредитного портфеля.</w:t>
      </w:r>
    </w:p>
    <w:p w14:paraId="29C9EBD0">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Система управления проблемными активами представляет собой совокупность функциональных подсистем и взаимосвязанных подсистем безопасности (субъекты управления проблемными активами), обеспечивающих минимизацию негативного влияния на деятельность банков.</w:t>
      </w:r>
    </w:p>
    <w:p w14:paraId="42686454">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Несмотря на то, что государство и финансовый регулятор постоянно уделяют внимание вопросу сокращения неработающих кредитов хозяйствующим субъектам в условиях затяжного экономического кризиса в Казахстане, ситуация в банковском секторе остается напряженной. </w:t>
      </w:r>
    </w:p>
    <w:p w14:paraId="39DDB538">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Банки перераспределяют накопленные средства, временно полученные от клиентов, которые становятся (потенциально трудными) банковскими активами [54]. Несмотря на то, что инвестиции в производство являются важнейшим условием роста бизнеса, коммерческие банки неохотно направляют свои свободные финансовые ресурсы в реальный сектор экономики. В основном это связано с высоким риском, связанным с нестабильностью промышленных компаний, недостаточностью ресурсов для финансирования крупных объектов, отсутствием рынка для эффективных инвестиционных проектов, а также несовершенством нормативно-правовой базы, регулирующей участие банка в инвестиционных проектах [55].</w:t>
      </w:r>
    </w:p>
    <w:p w14:paraId="097E02D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 признать, что казахстанские банки неэффективно выполняют свою основную задачу – аккумулировать свободные денежные средства населения и инвестировать долгосрочные проекты, прежде всего проекты реального сектора экономики. Объективными причинами являются высокая процентная ставка, что приводит к значительному удорожанию проекта, а также снижение платёжеспособности и дефицит свободных средств у населения.</w:t>
      </w:r>
    </w:p>
    <w:p w14:paraId="424059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Как известно, только крупные компании могут привлекать денежные средства фондовых рынков, поэтому основным источником финансирования промышленных предприятий остаются коммерческие банки. Роль и участие государственных организаций в инвестиционном процессе также продолжает снижаться [48, 50, 56]. Необходимо признать, что принципы деятельности банков второго уровня страны не направлены на повышение инвестиционной активности.</w:t>
      </w:r>
    </w:p>
    <w:p w14:paraId="39B2E0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то время как за последние 2 года финрегулятор провел большую работу по очищению банковского сектора от слабых и неэффективных банков, в реальном секторе экономики продолжают функционировать несостоятельные компании, которые не возвращают кредиты, превращая их в проблемные, необслуживаемые, несмотря на все попытки банков их реструктурировать [55, 57]. </w:t>
      </w:r>
    </w:p>
    <w:p w14:paraId="1E5849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и в банковском, и в реальном секторе экономики накопился целый ряд проблем, требующих новых подходов для их решения. Вместо принятия конструктивных решений правительство РК продолжает настаивать на обеспечении доступного средне, - и долгосрочного фондирования экономики в тенге.</w:t>
      </w:r>
    </w:p>
    <w:p w14:paraId="3C06C62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продолжается практика неэффективного кредитования экономики за счет средств Нацфонда по очень низким (субсидированным) ставкам. В данном случае государственные компании хотят, чтобы финансирование осуществлялось государством. А государство осуществляет финансирование материнскими компаниями либо государственными финансовыми организациями. Эти средства поступают в госкомпании в виде недорогих облигационных займов, либо через госбюджет и институты развития.</w:t>
      </w:r>
    </w:p>
    <w:p w14:paraId="6AEC85E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Усугубляют ситуацию низкие доходы и высокая закредитованность населения (среднестатистическая долговая нагрузка населения в 2018 г. превысила размер двух среднемесячных заработных плат), что вызвало резкое сокращение объема депозитных средств, из которых формируются резервы банковского кредитования [58].  </w:t>
      </w:r>
    </w:p>
    <w:p w14:paraId="0EDAEB68">
      <w:pPr>
        <w:pStyle w:val="32"/>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Следует отметить, что, с учетом высоких рисков деятельности банков РК и роста доли проблемных активов в структуре кредитного портфеля, необходимо для финансовой стабильности банков второго уровня, уделять особое внимание эффективному управлению проблемными кредитами. </w:t>
      </w:r>
    </w:p>
    <w:p w14:paraId="7F85B6A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Система раннего оповещения является одним из компонентов, используемых для оценки финансового состояния банка (финансовая ликвидность, рентабельность, задолженность, эффективность работы компании). Это позволяет выявить угрозу на ранней стадии и запустить соответствующие процессы восстановления в банке. Система раннего реагирования также является частью информационной системы на данном предприятии, которая собирает, анализирует и передает информацию, поддерживающую процесс принятия решений. Эффективность такой системы зависит от качества информации, т.е. ее детализации.  Использование таких мероприятий может уменьшить негативные последствия банковских и корпоративных банкротств [59-61].</w:t>
      </w:r>
    </w:p>
    <w:p w14:paraId="47BCA4D1">
      <w:pPr>
        <w:autoSpaceDE w:val="0"/>
        <w:autoSpaceDN w:val="0"/>
        <w:adjustRightInd w:val="0"/>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Следует отметить, что наиболее сложным, но в то же время эффективным внутрибанковским методом оформления проблемных кредитов является реструктуризация кредита, которая предусматривает следующие мероприятия [61-63]: </w:t>
      </w:r>
    </w:p>
    <w:p w14:paraId="2B0BCDDA">
      <w:pPr>
        <w:autoSpaceDE w:val="0"/>
        <w:autoSpaceDN w:val="0"/>
        <w:adjustRightInd w:val="0"/>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каникулы для кредитов (банк разрешает заемщику погасить только проценты по кредиту за определенный период (от шести до девяти месяцев); </w:t>
      </w:r>
    </w:p>
    <w:p w14:paraId="7EE4FB8F">
      <w:pPr>
        <w:autoSpaceDE w:val="0"/>
        <w:autoSpaceDN w:val="0"/>
        <w:adjustRightInd w:val="0"/>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продление кредитного времени (пролонгация кредита); </w:t>
      </w:r>
    </w:p>
    <w:p w14:paraId="31939536">
      <w:pPr>
        <w:autoSpaceDE w:val="0"/>
        <w:autoSpaceDN w:val="0"/>
        <w:adjustRightInd w:val="0"/>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трансформация системы погашения кредита с классической на аннуитетную (аннуитетная система предусматривает погашение долга равными долями в течение всего срока действия кредита, при традиционной системе сумма погашения кредита уменьшается со временем); </w:t>
      </w:r>
    </w:p>
    <w:p w14:paraId="05D000A1">
      <w:pPr>
        <w:autoSpaceDE w:val="0"/>
        <w:autoSpaceDN w:val="0"/>
        <w:adjustRightInd w:val="0"/>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конвертация (конвертация кредитов в иностранной валюте в тенге, при этом каждый банк индивидуально определяет курс обмена); </w:t>
      </w:r>
    </w:p>
    <w:p w14:paraId="17B4C2F5">
      <w:pPr>
        <w:autoSpaceDE w:val="0"/>
        <w:autoSpaceDN w:val="0"/>
        <w:adjustRightInd w:val="0"/>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отсутствие расчета штрафов и пеней.</w:t>
      </w:r>
    </w:p>
    <w:p w14:paraId="0CA7F9C3">
      <w:pPr>
        <w:autoSpaceDE w:val="0"/>
        <w:autoSpaceDN w:val="0"/>
        <w:adjustRightInd w:val="0"/>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Если меры внутрибанковского управления не привели к желанным результатам, банк должен перейти к внешним методам управления:</w:t>
      </w:r>
    </w:p>
    <w:p w14:paraId="23256FA1">
      <w:pPr>
        <w:numPr>
          <w:ilvl w:val="0"/>
          <w:numId w:val="9"/>
        </w:numPr>
        <w:autoSpaceDE w:val="0"/>
        <w:autoSpaceDN w:val="0"/>
        <w:adjustRightInd w:val="0"/>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переуступка прав требования (цессия);</w:t>
      </w:r>
    </w:p>
    <w:p w14:paraId="6E383965">
      <w:pPr>
        <w:autoSpaceDE w:val="0"/>
        <w:autoSpaceDN w:val="0"/>
        <w:adjustRightInd w:val="0"/>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     продажа коллекторским агентствам;</w:t>
      </w:r>
    </w:p>
    <w:p w14:paraId="7DFEC396">
      <w:pPr>
        <w:autoSpaceDE w:val="0"/>
        <w:autoSpaceDN w:val="0"/>
        <w:adjustRightInd w:val="0"/>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3) передача или продажа проблемных активов финансового аффилированного лица за счет оптимизации баланса (SPV (Special Purpose Vehicle) оншор/оффшор);</w:t>
      </w:r>
    </w:p>
    <w:p w14:paraId="31A240E9">
      <w:pPr>
        <w:autoSpaceDE w:val="0"/>
        <w:autoSpaceDN w:val="0"/>
        <w:adjustRightInd w:val="0"/>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4) продажа на факторинговых условиях проблемных активов независимой финансовой компании;</w:t>
      </w:r>
    </w:p>
    <w:p w14:paraId="38A10861">
      <w:pPr>
        <w:autoSpaceDE w:val="0"/>
        <w:autoSpaceDN w:val="0"/>
        <w:adjustRightInd w:val="0"/>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5) секьюритизация имущества и др.</w:t>
      </w:r>
    </w:p>
    <w:p w14:paraId="14CB53FF">
      <w:pPr>
        <w:autoSpaceDE w:val="0"/>
        <w:autoSpaceDN w:val="0"/>
        <w:adjustRightInd w:val="0"/>
        <w:spacing w:after="0" w:line="240" w:lineRule="auto"/>
        <w:ind w:firstLine="709"/>
        <w:contextualSpacing/>
        <w:jc w:val="both"/>
        <w:rPr>
          <w:rFonts w:ascii="Times New Roman" w:hAnsi="Times New Roman" w:cs="Times New Roman"/>
          <w:color w:val="000000"/>
          <w:sz w:val="28"/>
          <w:szCs w:val="28"/>
          <w:shd w:val="clear" w:color="auto" w:fill="FFFFFF"/>
        </w:rPr>
      </w:pPr>
      <w:r>
        <w:rPr>
          <w:rStyle w:val="14"/>
          <w:rFonts w:ascii="Times New Roman" w:hAnsi="Times New Roman" w:cs="Times New Roman"/>
          <w:b w:val="0"/>
          <w:color w:val="000000"/>
          <w:sz w:val="28"/>
          <w:szCs w:val="28"/>
          <w:shd w:val="clear" w:color="auto" w:fill="FFFFFF"/>
        </w:rPr>
        <w:t>Коллекторы являются посредниками в вопросах решения проблемных займов. Их работа заключается в снижении доли стрессовых активов.</w:t>
      </w:r>
      <w:r>
        <w:rPr>
          <w:rFonts w:ascii="Times New Roman" w:hAnsi="Times New Roman" w:cs="Times New Roman"/>
          <w:color w:val="000000"/>
          <w:sz w:val="28"/>
          <w:szCs w:val="28"/>
          <w:shd w:val="clear" w:color="auto" w:fill="FFFFFF"/>
        </w:rPr>
        <w:t xml:space="preserve"> Оценочная стоимость данных активов в Казахстане на 1 июля 2021 года составляла 2,5 трлн тенге. Большое количество подобных активов имеет негативное влияние ввиду их в экономическом обороте.  Поэтому Агентство по регулированию и развитию финансового рынка предложило внести изменения в некоторые законы, касающиеся рынка стрессовых активов. В частности, расширить полномочия коллекторских агентств в качестве «сервисной компании» путем предоставления им права осуществлять доверительное управление активами, приобретенными кредиторами (инвесторами), с соблюдением требований по процедурам взаимодействия с заемщиками [55, 64].</w:t>
      </w:r>
    </w:p>
    <w:p w14:paraId="5762208C">
      <w:pPr>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настоящее время банки или другие финансовые организации по выдаче займов могут уступить проблемные долги казахстанцев другим уполномоченным на это резидентам. В список уполномоченных покупателей-резидентов входят: коллекторские агентства, банки и микрофинансовые организации, а также организации, осуществляющие отдельные виды банковских операций, дочерние организации банков, приобретающие сомнительные и безнадежные активы родительского банка, акционерные общества «Фонд проблемных кредитов» и «Казахстанский фонд устойчивости», специальные финансовые компании и фонды развития частного предпринимательства, Национальный Банк Республики Казахстан, юридические лица [66-68].</w:t>
      </w:r>
    </w:p>
    <w:p w14:paraId="6A877C90">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Следует отметить, что особенность деятельности коллекторских агентств на различных этапах взыскания основана на принципы работы внутренних подразделений взыскания Банка. Работа внешних коллекторов по сбору платежей обычно строится на трех основных направлениях.</w:t>
      </w:r>
    </w:p>
    <w:p w14:paraId="6AC29B1E">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Деятельность, направленная на досудебное урегулирование.</w:t>
      </w:r>
    </w:p>
    <w:p w14:paraId="46C5C2F0">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 Деятельность, направленная на судебное производство.</w:t>
      </w:r>
    </w:p>
    <w:p w14:paraId="2BD44063">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 Деятельность, направленная на послесудебное направление.</w:t>
      </w:r>
    </w:p>
    <w:p w14:paraId="6260ADF1">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Досудебная фаза завершается подготовкой и подачей иска в суд апелляционным судом. Наблюдаются серьезные нарушения в работе казахстанских коллекторских агентств - заемщикам приходится сталкиваться с агрессивными методами коллекторов, нарушающих нормы «Закона о коллекторской деятельности» и психологическим давлением (смс, звонки угрозы, оскорбления, вплоть до незаконных звонков родственникам, коллегам или работодателям) [62, 66]. На неэффективность взыскательных мер влияют также «серые» зоны законодательства, в частности, возможность банков продавать проблемные кредиты коллекторским агентствам, не имея на то согласия заемщиков, а также возможность передачи долга от одних коллекторов другим. Зафиксированы также случаи незаконного превышения штрафов или пени недобросовестными коллекторами. Большую работу по оздоровлению коллекторских агентств проводит Национальная ассоциация профессиональных коллекторских агентств (НАПКА), на сайт которой могут обратиться заемщики с претензиями. В последнее время в практику коллекторских агентств стали активно внедряться передовые технологии - оптимизация бизнес-процессов (программное обеспечение для коллекторов), обучение и развитие персонала, автоматизация процессов взыскания, использование машинного обучения и ИИ.</w:t>
      </w:r>
    </w:p>
    <w:p w14:paraId="31FDEA2B">
      <w:pPr>
        <w:autoSpaceDE w:val="0"/>
        <w:autoSpaceDN w:val="0"/>
        <w:adjustRightInd w:val="0"/>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lang w:eastAsia="ru-RU"/>
        </w:rPr>
        <w:drawing>
          <wp:inline distT="0" distB="0" distL="0" distR="0">
            <wp:extent cx="6119495" cy="4324350"/>
            <wp:effectExtent l="0" t="0" r="0" b="0"/>
            <wp:docPr id="11"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217"/>
                    <pic:cNvPicPr>
                      <a:picLocks noChangeAspect="1" noChangeArrowheads="1"/>
                    </pic:cNvPicPr>
                  </pic:nvPicPr>
                  <pic:blipFill>
                    <a:blip r:embed="rId15" cstate="print"/>
                    <a:srcRect/>
                    <a:stretch>
                      <a:fillRect/>
                    </a:stretch>
                  </pic:blipFill>
                  <pic:spPr>
                    <a:xfrm>
                      <a:off x="0" y="0"/>
                      <a:ext cx="6126930" cy="4329304"/>
                    </a:xfrm>
                    <a:prstGeom prst="rect">
                      <a:avLst/>
                    </a:prstGeom>
                    <a:noFill/>
                    <a:ln w="9525">
                      <a:noFill/>
                      <a:miter lim="800000"/>
                      <a:headEnd/>
                      <a:tailEnd/>
                    </a:ln>
                  </pic:spPr>
                </pic:pic>
              </a:graphicData>
            </a:graphic>
          </wp:inline>
        </w:drawing>
      </w:r>
    </w:p>
    <w:p w14:paraId="163149C8">
      <w:pPr>
        <w:autoSpaceDE w:val="0"/>
        <w:autoSpaceDN w:val="0"/>
        <w:adjustRightInd w:val="0"/>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Рисунок 5 - Этапы работы с проблемными активами банка: с кризисного периода до сегодняшних дней</w:t>
      </w:r>
    </w:p>
    <w:p w14:paraId="7BE83360">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[58]</w:t>
      </w:r>
    </w:p>
    <w:p w14:paraId="4A07A34A">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Несмотря на многочисленные нововведения, объемы проблемных кредитов, вызванные финансовым кризисом, сокращаются в Европе гораздо медленнее, чем в США и Японии. Доля проблемных кредитов остается высокой в более чем 10 странах Европы. Сейчас, когда отрасль банковских услуг стремительно меняется, а экономика начала восстанавливаться, наметился переход к третьему этапу (рисунок 5) работы с проблемными активами, т.е. к созданию экосистемы проблемных активов после этапа реагирования на кризис [69]. Как показывают источники исследования в европейских странах, работа по проблемным кредитам банков осуществлялась в три этапа с начала кризисного периода.</w:t>
      </w:r>
    </w:p>
    <w:p w14:paraId="22102759">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На первом этапе банки пытались самостоятельно управлять проблемными активами, в результате чего ситуация, наоборот, ухудшилась. Накопленные проблемные активы начали превращаться в серьезные финансовые угрозы.  Поэтому государственные органы вынуждены были вмешаться в данную ситуацию, чтобы восстановить платежеспособность банков и доверие к ним. Государство начало внедрять надзорные и регуляторные подходы, которые будут работать с проблемными активами (ПРИЛОЖЕНИЕ B).</w:t>
      </w:r>
    </w:p>
    <w:p w14:paraId="60C25686">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На втором этапе, после того как государственные и регуляторные реформы восстановили стабильность банков, и у банков появились навыки по управлению проблемными активами, некоторые банки, имея внутренние компетенции, начали самостоятельно привлекать сторонние компании и развивать партнерские отношения. Тем самым, вмешательство государства начало постепенно уменьшаться.  </w:t>
      </w:r>
    </w:p>
    <w:p w14:paraId="1A7E40AD">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На третьем этапе вся система по работе с проблемными активами трансформируется. Это привело к появлению новых подходов, основанных на сотрудничестве. Большинство банков начали развивать собственные компетенции, и разработали специальные организационные структуры по управлению проблемными активами.  На данном этапе регуляторная и правовая система позволяет самостоятельно проводить сделки с проблемными активами, лицензировать сторонние организации и проводить реструктуризацию. </w:t>
      </w:r>
    </w:p>
    <w:p w14:paraId="7883F932">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зарубежной практике для управления «токсичными» активами успешно используются специализированные компании - SPV (Special Purpose Vehicle), представляющие собой основной инструмент для выкупа, реструктуризации и реализации неработающих активов. При этом кредитный портфель банка оздоравливается, очищаясь от «токсичных» активов, и банк восстанавливает свою кредитную деятельность. Имеются отличия между SPV-onshore и SPV-offshore</w:t>
      </w:r>
      <w:r>
        <w:rPr>
          <w:rFonts w:ascii="Times New Roman" w:hAnsi="Times New Roman" w:cs="Times New Roman"/>
          <w:color w:val="000000"/>
          <w:sz w:val="28"/>
          <w:szCs w:val="28"/>
        </w:rPr>
        <w:t xml:space="preserve"> - компаниями заключающиеся в регистрации, налогообложении, прозрачности и стоимости содержания. Передача проблемных активов банка </w:t>
      </w:r>
      <w:r>
        <w:rPr>
          <w:rFonts w:ascii="Times New Roman" w:hAnsi="Times New Roman" w:cs="Times New Roman"/>
          <w:sz w:val="28"/>
          <w:szCs w:val="28"/>
        </w:rPr>
        <w:t xml:space="preserve">SPV-onshore представлена на рисунке </w:t>
      </w:r>
      <w:r>
        <w:rPr>
          <w:rFonts w:ascii="Times New Roman" w:hAnsi="Times New Roman" w:cs="Times New Roman"/>
          <w:color w:val="000000"/>
          <w:sz w:val="28"/>
          <w:szCs w:val="28"/>
        </w:rPr>
        <w:t>6).</w:t>
      </w:r>
    </w:p>
    <w:p w14:paraId="79FBF6E3">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p>
    <w:p w14:paraId="523B48E4">
      <w:pPr>
        <w:autoSpaceDE w:val="0"/>
        <w:autoSpaceDN w:val="0"/>
        <w:adjustRightInd w:val="0"/>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lang w:eastAsia="ru-RU"/>
        </w:rPr>
        <w:drawing>
          <wp:inline distT="0" distB="0" distL="0" distR="0">
            <wp:extent cx="6119495" cy="3286125"/>
            <wp:effectExtent l="0" t="0" r="0" b="9525"/>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Рисунок 217"/>
                    <pic:cNvPicPr>
                      <a:picLocks noChangeAspect="1" noChangeArrowheads="1"/>
                    </pic:cNvPicPr>
                  </pic:nvPicPr>
                  <pic:blipFill>
                    <a:blip r:embed="rId16" cstate="print"/>
                    <a:srcRect/>
                    <a:stretch>
                      <a:fillRect/>
                    </a:stretch>
                  </pic:blipFill>
                  <pic:spPr>
                    <a:xfrm>
                      <a:off x="0" y="0"/>
                      <a:ext cx="6121909" cy="3287421"/>
                    </a:xfrm>
                    <a:prstGeom prst="rect">
                      <a:avLst/>
                    </a:prstGeom>
                    <a:noFill/>
                    <a:ln w="9525">
                      <a:noFill/>
                      <a:miter lim="800000"/>
                      <a:headEnd/>
                      <a:tailEnd/>
                    </a:ln>
                  </pic:spPr>
                </pic:pic>
              </a:graphicData>
            </a:graphic>
          </wp:inline>
        </w:drawing>
      </w:r>
    </w:p>
    <w:p w14:paraId="4768385B">
      <w:pPr>
        <w:autoSpaceDE w:val="0"/>
        <w:autoSpaceDN w:val="0"/>
        <w:adjustRightInd w:val="0"/>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Рисунок 6 – Передача проблемных активов, которые связанные с финансовой компании SPV</w:t>
      </w:r>
    </w:p>
    <w:p w14:paraId="0446D99F">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[70]</w:t>
      </w:r>
    </w:p>
    <w:p w14:paraId="2D176515">
      <w:pPr>
        <w:autoSpaceDE w:val="0"/>
        <w:autoSpaceDN w:val="0"/>
        <w:adjustRightInd w:val="0"/>
        <w:spacing w:after="0" w:line="240" w:lineRule="auto"/>
        <w:contextualSpacing/>
        <w:jc w:val="both"/>
        <w:rPr>
          <w:rFonts w:ascii="Times New Roman" w:hAnsi="Times New Roman" w:cs="Times New Roman"/>
          <w:color w:val="000000"/>
          <w:sz w:val="28"/>
          <w:szCs w:val="28"/>
        </w:rPr>
      </w:pPr>
    </w:p>
    <w:p w14:paraId="758D9292">
      <w:pPr>
        <w:autoSpaceDE w:val="0"/>
        <w:autoSpaceDN w:val="0"/>
        <w:adjustRightInd w:val="0"/>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color w:val="000000"/>
          <w:sz w:val="28"/>
          <w:szCs w:val="28"/>
        </w:rPr>
        <w:t xml:space="preserve">Продажа «токсичных» активов банка компании </w:t>
      </w:r>
      <w:r>
        <w:rPr>
          <w:rFonts w:ascii="Times New Roman" w:hAnsi="Times New Roman" w:cs="Times New Roman"/>
          <w:sz w:val="28"/>
          <w:szCs w:val="28"/>
        </w:rPr>
        <w:t>SPV-offshore предусматривает частичное финансирование из средств инвестора (Рисунок 7).</w:t>
      </w:r>
    </w:p>
    <w:p w14:paraId="0CE6ED39">
      <w:pPr>
        <w:autoSpaceDE w:val="0"/>
        <w:autoSpaceDN w:val="0"/>
        <w:adjustRightInd w:val="0"/>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Зарубежный опыт демонстрирует успешные кейсы внешнего управления проблемными активами коммерческих банков. Так в Испании после финансового кризиса 2007-2008 гг. созданный государством SPV - «bad bank» SAREB выкупил проблемные активы у большинства банков страны и выпустил гособлигации под гарантии государства, что предотвратило кризис банковского сектора. </w:t>
      </w:r>
    </w:p>
    <w:p w14:paraId="533CD0DE">
      <w:pPr>
        <w:autoSpaceDE w:val="0"/>
        <w:autoSpaceDN w:val="0"/>
        <w:adjustRightInd w:val="0"/>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В Греции программа секьюритизации безнадежных кредитов через SPV позволила сократить количество NPL за 5 лет втрое. При этом гарантом также выступило государство, обеспечив привлекательность облигаций для инвесторов. В США трастовые фонды и SPV при поддержке государства выкупили «токсичные» активы банков и после реструктуризации реализовали их частным инвесторам.</w:t>
      </w:r>
    </w:p>
    <w:p w14:paraId="08994B26">
      <w:pPr>
        <w:autoSpaceDE w:val="0"/>
        <w:autoSpaceDN w:val="0"/>
        <w:adjustRightInd w:val="0"/>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Избавляясь от проблемной задолженности, банки улучшают показатели ликвидности, перекладывая кредитные риски на инвесторов, покупающих облигации SPV, и восстанавливают тем самым возможности исполнения нормативных требований надзорных органов [69, 71]. </w:t>
      </w:r>
    </w:p>
    <w:p w14:paraId="5F25A8CB">
      <w:pPr>
        <w:autoSpaceDE w:val="0"/>
        <w:autoSpaceDN w:val="0"/>
        <w:adjustRightInd w:val="0"/>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Но некоторые банки действуют привычными методами, стараясь избавиться от проблемных активов через продажу на аукционах и закрытых торгах (Таблица 7).</w:t>
      </w:r>
    </w:p>
    <w:p w14:paraId="42C94CE9">
      <w:pPr>
        <w:autoSpaceDE w:val="0"/>
        <w:autoSpaceDN w:val="0"/>
        <w:adjustRightInd w:val="0"/>
        <w:spacing w:after="0" w:line="240" w:lineRule="auto"/>
        <w:contextualSpacing/>
        <w:jc w:val="center"/>
        <w:rPr>
          <w:rFonts w:ascii="Times New Roman" w:hAnsi="Times New Roman" w:cs="Times New Roman"/>
          <w:color w:val="000000"/>
          <w:sz w:val="28"/>
          <w:szCs w:val="28"/>
        </w:rPr>
      </w:pPr>
      <w:r>
        <w:rPr>
          <w:rFonts w:ascii="Times New Roman" w:hAnsi="Times New Roman" w:cs="Times New Roman"/>
          <w:color w:val="000000"/>
          <w:sz w:val="28"/>
          <w:szCs w:val="28"/>
          <w:lang w:eastAsia="ru-RU"/>
        </w:rPr>
        <w:drawing>
          <wp:inline distT="0" distB="0" distL="0" distR="0">
            <wp:extent cx="5941695" cy="2667000"/>
            <wp:effectExtent l="0" t="0" r="1905"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Рисунок 220"/>
                    <pic:cNvPicPr>
                      <a:picLocks noChangeAspect="1" noChangeArrowheads="1"/>
                    </pic:cNvPicPr>
                  </pic:nvPicPr>
                  <pic:blipFill>
                    <a:blip r:embed="rId17" cstate="print"/>
                    <a:srcRect/>
                    <a:stretch>
                      <a:fillRect/>
                    </a:stretch>
                  </pic:blipFill>
                  <pic:spPr>
                    <a:xfrm>
                      <a:off x="0" y="0"/>
                      <a:ext cx="5959062" cy="2674795"/>
                    </a:xfrm>
                    <a:prstGeom prst="rect">
                      <a:avLst/>
                    </a:prstGeom>
                    <a:noFill/>
                    <a:ln w="9525">
                      <a:noFill/>
                      <a:miter lim="800000"/>
                      <a:headEnd/>
                      <a:tailEnd/>
                    </a:ln>
                  </pic:spPr>
                </pic:pic>
              </a:graphicData>
            </a:graphic>
          </wp:inline>
        </w:drawing>
      </w:r>
    </w:p>
    <w:p w14:paraId="3F986654">
      <w:pPr>
        <w:autoSpaceDE w:val="0"/>
        <w:autoSpaceDN w:val="0"/>
        <w:adjustRightInd w:val="0"/>
        <w:spacing w:after="0" w:line="240" w:lineRule="auto"/>
        <w:contextualSpacing/>
        <w:jc w:val="center"/>
        <w:rPr>
          <w:rFonts w:ascii="Times New Roman" w:hAnsi="Times New Roman" w:cs="Times New Roman"/>
          <w:color w:val="000000"/>
          <w:sz w:val="28"/>
          <w:szCs w:val="28"/>
        </w:rPr>
      </w:pPr>
      <w:r>
        <w:rPr>
          <w:rFonts w:ascii="Times New Roman" w:hAnsi="Times New Roman" w:cs="Times New Roman"/>
          <w:color w:val="000000"/>
          <w:sz w:val="28"/>
          <w:szCs w:val="28"/>
        </w:rPr>
        <w:t>Рисунок 7 - Продажа проблемных активов финансовой компании</w:t>
      </w:r>
    </w:p>
    <w:p w14:paraId="549A7CA1">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[70]</w:t>
      </w:r>
    </w:p>
    <w:p w14:paraId="4D0E96B7">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Определенный опыт применения внешних методов работы банков с проблемными активами в посткризисный период, накоплен в таких странах как Индонезия, Мексика, Южная Корея, Швеция, где созданы отдельные организации, (агентства, управления) специального назначения, которые занимаются покупкой и управлением проблемными активами банков (приложение С). Тем не менее многие банки пытаются управлять сами, используя внешние методы управления дебиторской задолженностью. С нашей точки зрения, в том случае если долг не может быть погашен в первом полугодии, возможность вернуть долг в будущие месяцы и годы значительно снижается. Важно не затягивать с продажей, а продать долг на более ранних сроках [69-71].  В то же время проблемные вложения банков могут быть реализованы через такие организационные формы, как частные размещения, аукционы и закрытые торги, сравнительная характеристика которых представлена в таблице 7.  </w:t>
      </w:r>
    </w:p>
    <w:p w14:paraId="20DAA047">
      <w:pPr>
        <w:autoSpaceDE w:val="0"/>
        <w:autoSpaceDN w:val="0"/>
        <w:adjustRightInd w:val="0"/>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Таблица 7 - Сравнение основных организационных форм продажи проблемных активов</w:t>
      </w:r>
    </w:p>
    <w:p w14:paraId="04882047">
      <w:pPr>
        <w:autoSpaceDE w:val="0"/>
        <w:autoSpaceDN w:val="0"/>
        <w:adjustRightInd w:val="0"/>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drawing>
          <wp:inline distT="0" distB="0" distL="0" distR="0">
            <wp:extent cx="6163310" cy="2755900"/>
            <wp:effectExtent l="0" t="0" r="8890" b="6350"/>
            <wp:docPr id="44766527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665276" name="Рисунок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6163310" cy="2755900"/>
                    </a:xfrm>
                    <a:prstGeom prst="rect">
                      <a:avLst/>
                    </a:prstGeom>
                    <a:noFill/>
                  </pic:spPr>
                </pic:pic>
              </a:graphicData>
            </a:graphic>
          </wp:inline>
        </w:drawing>
      </w:r>
    </w:p>
    <w:p w14:paraId="1B00F3D4">
      <w:pPr>
        <w:autoSpaceDE w:val="0"/>
        <w:autoSpaceDN w:val="0"/>
        <w:adjustRightInd w:val="0"/>
        <w:spacing w:after="0" w:line="24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Целесообразность внедрения данных методов в практику отдельных банков определяется следующими критериями преимущества бухгалтерского учета, влияния на обеспеченность капитала и ликвидности, повышение управленческой эффективности, снижение банковского риска и обеспечение прибыльности кредитного портфеля (таблица 8). На последней стадии управления проблемными активами осуществляется взыскание задолженности по проблемным кредитам [72]. На этом этапе предусматривается процесс реализации залогов заемщиков, продажа активов третьих сторон, судебные процедуры, а также процедура банкротства или возобновление кредитной функции банков. Основными принципами работы с проблемными кредитами должны быть следующие [73]:</w:t>
      </w:r>
    </w:p>
    <w:p w14:paraId="0E96D06E">
      <w:pPr>
        <w:autoSpaceDE w:val="0"/>
        <w:autoSpaceDN w:val="0"/>
        <w:adjustRightInd w:val="0"/>
        <w:spacing w:after="0" w:line="24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color w:val="000000"/>
          <w:sz w:val="28"/>
          <w:szCs w:val="28"/>
        </w:rPr>
        <w:tab/>
      </w:r>
      <w:r>
        <w:rPr>
          <w:rFonts w:ascii="Times New Roman" w:hAnsi="Times New Roman" w:cs="Times New Roman"/>
          <w:color w:val="000000"/>
          <w:sz w:val="28"/>
          <w:szCs w:val="28"/>
        </w:rPr>
        <w:t>оперативность (учет стремительной потери стоимости проблемных активов при условии пролонгации сроков работы по взысканию задолженности);</w:t>
      </w:r>
    </w:p>
    <w:p w14:paraId="4AC6B938">
      <w:pPr>
        <w:autoSpaceDE w:val="0"/>
        <w:autoSpaceDN w:val="0"/>
        <w:adjustRightInd w:val="0"/>
        <w:spacing w:after="0" w:line="24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color w:val="000000"/>
          <w:sz w:val="28"/>
          <w:szCs w:val="28"/>
        </w:rPr>
        <w:tab/>
      </w:r>
      <w:r>
        <w:rPr>
          <w:rFonts w:ascii="Times New Roman" w:hAnsi="Times New Roman" w:cs="Times New Roman"/>
          <w:color w:val="000000"/>
          <w:sz w:val="28"/>
          <w:szCs w:val="28"/>
        </w:rPr>
        <w:t>соблюдение соотношения “затраты на эффективность” (максимизация экономического эффекта от работы с проблемной задолженностью при минимальном уровне затрат);</w:t>
      </w:r>
    </w:p>
    <w:p w14:paraId="44BC6818">
      <w:pPr>
        <w:autoSpaceDE w:val="0"/>
        <w:autoSpaceDN w:val="0"/>
        <w:adjustRightInd w:val="0"/>
        <w:spacing w:after="0" w:line="24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color w:val="000000"/>
          <w:sz w:val="28"/>
          <w:szCs w:val="28"/>
        </w:rPr>
        <w:tab/>
      </w:r>
      <w:r>
        <w:rPr>
          <w:rFonts w:ascii="Times New Roman" w:hAnsi="Times New Roman" w:cs="Times New Roman"/>
          <w:color w:val="000000"/>
          <w:sz w:val="28"/>
          <w:szCs w:val="28"/>
        </w:rPr>
        <w:t>последовательность и комплексность (соблюдение внутренней логики процесса взыскания проблемной задолженности с учетом других аспектов деятельности банка, которые могут ограничивать его потенциал);</w:t>
      </w:r>
    </w:p>
    <w:p w14:paraId="093077F6">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Таблица 8 - Сравнительная характеристика внешних методов управления проблемными активами банков</w:t>
      </w:r>
    </w:p>
    <w:p w14:paraId="29784D41">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drawing>
          <wp:inline distT="0" distB="0" distL="0" distR="0">
            <wp:extent cx="6078220" cy="4552950"/>
            <wp:effectExtent l="0" t="0" r="0" b="0"/>
            <wp:docPr id="156881319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3191" name="Рисунок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6078220" cy="4552950"/>
                    </a:xfrm>
                    <a:prstGeom prst="rect">
                      <a:avLst/>
                    </a:prstGeom>
                    <a:noFill/>
                  </pic:spPr>
                </pic:pic>
              </a:graphicData>
            </a:graphic>
          </wp:inline>
        </w:drawing>
      </w:r>
    </w:p>
    <w:p w14:paraId="20E9BE76">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[111]</w:t>
      </w:r>
    </w:p>
    <w:p w14:paraId="423C6D5D">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p>
    <w:p w14:paraId="233C60FA">
      <w:pPr>
        <w:autoSpaceDE w:val="0"/>
        <w:autoSpaceDN w:val="0"/>
        <w:adjustRightInd w:val="0"/>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Таким образом современное понятие реструктуризации долговой задолженности сводится к методам предоставления кредитных каникул, перевод схемы погашения кредита с классической на аннуитетную, пролонгация кредита, конвертация, снижение процентной ставки, прощение кредита (списание банком безнадежной задолженности и штрафные санкции).</w:t>
      </w:r>
    </w:p>
    <w:p w14:paraId="5E6128A4">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Активное использование внешних методов работы банков с проблемными активами стало наблюдаться в посткризисный период, в частности, институт внешнего коллекторства по взысканию долгов банковских учреждений существует и динамично развивается в Казахстане [68, 70]. </w:t>
      </w:r>
    </w:p>
    <w:p w14:paraId="506102E7">
      <w:pPr>
        <w:spacing w:after="0" w:line="240" w:lineRule="auto"/>
        <w:ind w:firstLine="709"/>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Таким образом, эволюция подходов к управлению проблемными активами в мировой банковской практике демонстрирует переход от реактивных и фрагментарных мер к системным, институционально закрепленным и методологически обоснованным моделям. Современные подходы управления просроченной задолженностью ориентированы на обеспечение устойчивости банковского сектора, снижение процикличности кредитования и поддержку долгосрочного экономического роста.</w:t>
      </w:r>
    </w:p>
    <w:p w14:paraId="34B94444">
      <w:pPr>
        <w:spacing w:after="0" w:line="240" w:lineRule="auto"/>
        <w:jc w:val="both"/>
        <w:rPr>
          <w:rFonts w:ascii="Times New Roman" w:hAnsi="Times New Roman" w:cs="Times New Roman"/>
          <w:sz w:val="28"/>
          <w:szCs w:val="28"/>
        </w:rPr>
      </w:pPr>
    </w:p>
    <w:p w14:paraId="427CB135">
      <w:pPr>
        <w:pStyle w:val="30"/>
        <w:spacing w:before="0" w:beforeAutospacing="0" w:after="0" w:afterAutospacing="0"/>
        <w:ind w:firstLine="426"/>
        <w:jc w:val="both"/>
        <w:outlineLvl w:val="0"/>
        <w:rPr>
          <w:b/>
          <w:bCs/>
          <w:sz w:val="28"/>
          <w:szCs w:val="28"/>
        </w:rPr>
      </w:pPr>
      <w:bookmarkStart w:id="9" w:name="_Toc219671642"/>
      <w:r>
        <w:rPr>
          <w:b/>
          <w:bCs/>
          <w:sz w:val="28"/>
          <w:szCs w:val="28"/>
        </w:rPr>
        <w:t>1.4 Проектный подход в управлении проблемными активами как инструмент повышения эффективности банковского управления</w:t>
      </w:r>
      <w:bookmarkEnd w:id="9"/>
    </w:p>
    <w:p w14:paraId="44A70330">
      <w:pPr>
        <w:spacing w:after="0" w:line="240" w:lineRule="auto"/>
        <w:jc w:val="both"/>
        <w:rPr>
          <w:rFonts w:ascii="Times New Roman" w:hAnsi="Times New Roman" w:cs="Times New Roman"/>
          <w:b/>
          <w:bCs/>
          <w:sz w:val="28"/>
          <w:szCs w:val="28"/>
        </w:rPr>
      </w:pPr>
    </w:p>
    <w:p w14:paraId="5632267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Современный этап развития банковского сектора характеризуется усложнением организационных структур, ростом регуляторной нагрузки и повышенными требованиями к качеству управленческих решений. В этих условиях традиционные функциональные модели управления не отвечают задачам устойчивого развития банков, что обусловливает необходимость внедрения более гибких и результат-ориентированных управленческих инструментов [70, 72, 77]. Одним из таких инструментов является проектный подход, который позволяет обеспечить системность, прозрачность и контролируемость управленческих процессов.</w:t>
      </w:r>
    </w:p>
    <w:p w14:paraId="5CFAC839">
      <w:pPr>
        <w:spacing w:after="0" w:line="240" w:lineRule="auto"/>
        <w:ind w:firstLine="708"/>
        <w:jc w:val="both"/>
        <w:rPr>
          <w:rFonts w:ascii="Times New Roman" w:hAnsi="Times New Roman" w:cs="Times New Roman"/>
          <w:sz w:val="28"/>
          <w:szCs w:val="28"/>
        </w:rPr>
      </w:pPr>
      <w:r>
        <w:rPr>
          <w:rFonts w:ascii="Times New Roman" w:hAnsi="Times New Roman" w:eastAsia="Times New Roman" w:cs="Times New Roman"/>
          <w:sz w:val="28"/>
          <w:szCs w:val="28"/>
          <w:lang w:eastAsia="zh-CN"/>
        </w:rPr>
        <w:t>Проектный подход в банковском управлении целесообразно рассматривать как совокупность методов и процедур, направленных на достижение стратегических и операционных целей банка в рамках ограничений по срокам, ресурсам и рискам. В отличие от процессного управления, ориентированного на воспроизводство стандартных операций, проектное управление фокусируется на реализации уникальных управленческих задач, включая трансформацию бизнес-моделей, внедрение цифровых технологий, реструктуризацию активов и адаптацию к изменениям нормативной среды [70, 72, 81].</w:t>
      </w:r>
    </w:p>
    <w:p w14:paraId="1BE00B80">
      <w:pPr>
        <w:spacing w:after="0" w:line="240" w:lineRule="auto"/>
        <w:ind w:firstLine="708"/>
        <w:jc w:val="both"/>
        <w:rPr>
          <w:rFonts w:ascii="Times New Roman" w:hAnsi="Times New Roman" w:cs="Times New Roman"/>
          <w:sz w:val="28"/>
          <w:szCs w:val="28"/>
        </w:rPr>
      </w:pPr>
      <w:r>
        <w:rPr>
          <w:rFonts w:ascii="Times New Roman" w:hAnsi="Times New Roman" w:eastAsia="Times New Roman" w:cs="Times New Roman"/>
          <w:sz w:val="28"/>
          <w:szCs w:val="28"/>
          <w:lang w:eastAsia="zh-CN"/>
        </w:rPr>
        <w:t>Применение проектного подхода способствует повышению эффективности банковского управления за счёт концентрации управленческих усилий на приоритетных направлениях развития. Создание специализированных проектных команд позволяет сократить время согласования и принятия решений и фокусироваться на оздоровлении бизнеса заемщика и увеличении стоимости залогового имущества, а не быстрой продаже и банкротства. Внедрение современных инструментов проектного управления (иерархия целей, ключевые показатели эффективности (KPI), матрицы ответственности и системы мониторинга) повышают эффективность управленческих инициатив и снижают возможность отклонения от заданных параметров [78, 83].</w:t>
      </w:r>
    </w:p>
    <w:p w14:paraId="63758E6D">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 xml:space="preserve">Несмотря на свою достаточно высокую стоимость проектный подход оказался незаменимым при реализации сложных многоэтапных управленческих задач с высоким уровнем неопределённости и рисков (управление проблемными активами, реорганизация кредитных портфелей, внедрение требований международных стандартов финансовой отчётности (IFRS 9), а также выполнение пруденциальных нормативов в рамках Basel III) [1, 20, 28, 82]. Проектное управление при этом обеспечивает согласованные действия различных функциональных подразделений, что позволяет перевести работу с задолженностью из текущей операционной деятельности в режим активного управления [84]. </w:t>
      </w:r>
    </w:p>
    <w:p w14:paraId="1D38C6D6">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 xml:space="preserve">Кроме того, проектный подход выступает важным инструментом повышения адаптивности банков к изменениям внешней среды. Возможность оперативной корректировки проектных параметров, перераспределения ресурсов и управления рисками позволяет банкам более эффективно реагировать на макроэкономические шоки, изменения процентной политики и колебания финансовых рынков. </w:t>
      </w:r>
    </w:p>
    <w:p w14:paraId="36A88DE3">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 xml:space="preserve">В долгосрочной перспективе это способствует укреплению финансовой устойчивости банков и повышению их конкурентоспособности [85]. В рамках проектного подхода особую значимость приобретает формирование и реализация жизненного цикла проекта. </w:t>
      </w:r>
    </w:p>
    <w:p w14:paraId="24927793">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cs="Times New Roman"/>
          <w:sz w:val="28"/>
          <w:szCs w:val="28"/>
        </w:rPr>
        <w:t xml:space="preserve">На основе обобщения международной банковской практики и методологии проектного менеджмента (PMBOK, PRINCE2), жизненный цикл проекта управления проблемным активом целесообразно структурировать на следующие ключевые этапы [79]: </w:t>
      </w:r>
    </w:p>
    <w:p w14:paraId="2201F9B4">
      <w:pPr>
        <w:pStyle w:val="32"/>
        <w:numPr>
          <w:ilvl w:val="0"/>
          <w:numId w:val="10"/>
        </w:num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инициация проекта;</w:t>
      </w:r>
    </w:p>
    <w:p w14:paraId="40D523D1">
      <w:pPr>
        <w:pStyle w:val="32"/>
        <w:numPr>
          <w:ilvl w:val="0"/>
          <w:numId w:val="10"/>
        </w:num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планирование;</w:t>
      </w:r>
    </w:p>
    <w:p w14:paraId="4BCBCFF5">
      <w:pPr>
        <w:pStyle w:val="32"/>
        <w:numPr>
          <w:ilvl w:val="0"/>
          <w:numId w:val="10"/>
        </w:num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реализация;</w:t>
      </w:r>
    </w:p>
    <w:p w14:paraId="64F5CB55">
      <w:pPr>
        <w:pStyle w:val="32"/>
        <w:numPr>
          <w:ilvl w:val="0"/>
          <w:numId w:val="10"/>
        </w:num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мониторинг и контроль;</w:t>
      </w:r>
    </w:p>
    <w:p w14:paraId="44867A35">
      <w:pPr>
        <w:pStyle w:val="32"/>
        <w:numPr>
          <w:ilvl w:val="0"/>
          <w:numId w:val="10"/>
        </w:num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завершение проекта.</w:t>
      </w:r>
    </w:p>
    <w:p w14:paraId="760B2688">
      <w:pPr>
        <w:spacing w:after="0" w:line="240" w:lineRule="auto"/>
        <w:ind w:firstLine="709"/>
        <w:jc w:val="both"/>
        <w:rPr>
          <w:rFonts w:ascii="Times New Roman" w:hAnsi="Times New Roman" w:cs="Times New Roman"/>
          <w:sz w:val="28"/>
          <w:szCs w:val="28"/>
        </w:rPr>
      </w:pPr>
      <w:r>
        <w:rPr>
          <w:rFonts w:ascii="Times New Roman" w:hAnsi="Times New Roman" w:eastAsia="Times New Roman" w:cs="Times New Roman"/>
          <w:sz w:val="28"/>
          <w:szCs w:val="28"/>
          <w:lang w:eastAsia="zh-CN"/>
        </w:rPr>
        <w:t xml:space="preserve">Этап инициирования включает идентификацию проблемного актива, анализ причин его ухудшения и формирование предварительной цели проекта. При этом оценивается экономическая целесообразность проекта и его соответствие стратегическим задачам банка [80, 86]. </w:t>
      </w:r>
      <w:r>
        <w:rPr>
          <w:rFonts w:ascii="Times New Roman" w:hAnsi="Times New Roman" w:cs="Times New Roman"/>
          <w:sz w:val="28"/>
          <w:szCs w:val="28"/>
        </w:rPr>
        <w:t xml:space="preserve">Для оценки эффективности проектов по управлению проблемными активами разрабатывается система KPI (таблица 9). </w:t>
      </w:r>
    </w:p>
    <w:p w14:paraId="35B25580">
      <w:pPr>
        <w:spacing w:after="0" w:line="240" w:lineRule="auto"/>
        <w:ind w:firstLine="709"/>
        <w:jc w:val="both"/>
        <w:rPr>
          <w:rFonts w:ascii="Times New Roman" w:hAnsi="Times New Roman" w:cs="Times New Roman"/>
          <w:sz w:val="28"/>
          <w:szCs w:val="28"/>
        </w:rPr>
      </w:pPr>
    </w:p>
    <w:p w14:paraId="7A2D236A">
      <w:pPr>
        <w:spacing w:after="0" w:line="240" w:lineRule="auto"/>
        <w:jc w:val="both"/>
        <w:rPr>
          <w:rStyle w:val="14"/>
          <w:rFonts w:ascii="Times New Roman" w:hAnsi="Times New Roman" w:cs="Times New Roman"/>
          <w:b w:val="0"/>
          <w:bCs w:val="0"/>
          <w:sz w:val="28"/>
          <w:szCs w:val="28"/>
        </w:rPr>
      </w:pPr>
    </w:p>
    <w:p w14:paraId="1ADE73DA">
      <w:pPr>
        <w:spacing w:after="0" w:line="240" w:lineRule="auto"/>
        <w:jc w:val="both"/>
        <w:rPr>
          <w:rStyle w:val="14"/>
          <w:rFonts w:ascii="Times New Roman" w:hAnsi="Times New Roman" w:cs="Times New Roman"/>
          <w:b w:val="0"/>
          <w:bCs w:val="0"/>
          <w:sz w:val="28"/>
          <w:szCs w:val="28"/>
        </w:rPr>
      </w:pPr>
    </w:p>
    <w:p w14:paraId="24D22319">
      <w:pPr>
        <w:spacing w:after="0" w:line="240" w:lineRule="auto"/>
        <w:jc w:val="both"/>
        <w:rPr>
          <w:rFonts w:ascii="Times New Roman" w:hAnsi="Times New Roman" w:cs="Times New Roman"/>
          <w:sz w:val="28"/>
          <w:szCs w:val="28"/>
        </w:rPr>
      </w:pPr>
      <w:r>
        <w:rPr>
          <w:rStyle w:val="14"/>
          <w:rFonts w:ascii="Times New Roman" w:hAnsi="Times New Roman" w:cs="Times New Roman"/>
          <w:b w:val="0"/>
          <w:bCs w:val="0"/>
          <w:sz w:val="28"/>
          <w:szCs w:val="28"/>
        </w:rPr>
        <w:t>Таблица 9</w:t>
      </w:r>
      <w:r>
        <w:rPr>
          <w:rFonts w:ascii="Times New Roman" w:hAnsi="Times New Roman" w:cs="Times New Roman"/>
          <w:sz w:val="28"/>
          <w:szCs w:val="28"/>
        </w:rPr>
        <w:t xml:space="preserve"> – Оценка эффективности проектов по управлению проблемными активами</w:t>
      </w:r>
    </w:p>
    <w:p w14:paraId="2C993AF1">
      <w:pPr>
        <w:spacing w:after="0" w:line="240" w:lineRule="auto"/>
        <w:ind w:firstLine="709"/>
        <w:jc w:val="both"/>
        <w:rPr>
          <w:rFonts w:ascii="Times New Roman" w:hAnsi="Times New Roman" w:eastAsia="Times New Roman" w:cs="Times New Roman"/>
          <w:sz w:val="28"/>
          <w:szCs w:val="28"/>
          <w:lang w:eastAsia="zh-CN"/>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8"/>
        <w:gridCol w:w="2537"/>
        <w:gridCol w:w="2822"/>
        <w:gridCol w:w="2057"/>
      </w:tblGrid>
      <w:tr w14:paraId="4C8B1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D77069F">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Показатель KPI</w:t>
            </w:r>
          </w:p>
        </w:tc>
        <w:tc>
          <w:tcPr>
            <w:tcW w:w="0" w:type="auto"/>
          </w:tcPr>
          <w:p w14:paraId="2A45B7C9">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Цель/норма</w:t>
            </w:r>
          </w:p>
        </w:tc>
        <w:tc>
          <w:tcPr>
            <w:tcW w:w="0" w:type="auto"/>
          </w:tcPr>
          <w:p w14:paraId="4FA8726F">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Метод измерения</w:t>
            </w:r>
          </w:p>
        </w:tc>
        <w:tc>
          <w:tcPr>
            <w:tcW w:w="0" w:type="auto"/>
          </w:tcPr>
          <w:p w14:paraId="0C3AF30E">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Период оценки</w:t>
            </w:r>
          </w:p>
        </w:tc>
      </w:tr>
      <w:tr w14:paraId="765B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EA56B0C">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Возвратность кредита (Recovery Rate)</w:t>
            </w:r>
          </w:p>
        </w:tc>
        <w:tc>
          <w:tcPr>
            <w:tcW w:w="0" w:type="auto"/>
          </w:tcPr>
          <w:p w14:paraId="7B086D4B">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 70%</w:t>
            </w:r>
          </w:p>
        </w:tc>
        <w:tc>
          <w:tcPr>
            <w:tcW w:w="0" w:type="auto"/>
          </w:tcPr>
          <w:p w14:paraId="0D55D075">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Сравнение возврата с суммой долга</w:t>
            </w:r>
          </w:p>
        </w:tc>
        <w:tc>
          <w:tcPr>
            <w:tcW w:w="0" w:type="auto"/>
          </w:tcPr>
          <w:p w14:paraId="302AD5DF">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Ежемесячно</w:t>
            </w:r>
          </w:p>
        </w:tc>
      </w:tr>
      <w:tr w14:paraId="1D23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39A9D84">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Срок реализации проекта</w:t>
            </w:r>
          </w:p>
        </w:tc>
        <w:tc>
          <w:tcPr>
            <w:tcW w:w="0" w:type="auto"/>
          </w:tcPr>
          <w:p w14:paraId="4D99AA58">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 12 месяцев</w:t>
            </w:r>
          </w:p>
        </w:tc>
        <w:tc>
          <w:tcPr>
            <w:tcW w:w="0" w:type="auto"/>
          </w:tcPr>
          <w:p w14:paraId="1B28C032">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Фактические даты проекта</w:t>
            </w:r>
          </w:p>
        </w:tc>
        <w:tc>
          <w:tcPr>
            <w:tcW w:w="0" w:type="auto"/>
          </w:tcPr>
          <w:p w14:paraId="056209EC">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По завершению</w:t>
            </w:r>
          </w:p>
        </w:tc>
      </w:tr>
      <w:tr w14:paraId="4732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D9B5F36">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Стоимость проекта</w:t>
            </w:r>
          </w:p>
        </w:tc>
        <w:tc>
          <w:tcPr>
            <w:tcW w:w="0" w:type="auto"/>
          </w:tcPr>
          <w:p w14:paraId="7CA0957F">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 5% от суммы проблемного актива</w:t>
            </w:r>
          </w:p>
        </w:tc>
        <w:tc>
          <w:tcPr>
            <w:tcW w:w="0" w:type="auto"/>
          </w:tcPr>
          <w:p w14:paraId="37942525">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Контроль затрат</w:t>
            </w:r>
          </w:p>
        </w:tc>
        <w:tc>
          <w:tcPr>
            <w:tcW w:w="0" w:type="auto"/>
          </w:tcPr>
          <w:p w14:paraId="4961C798">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Ежемесячно</w:t>
            </w:r>
          </w:p>
        </w:tc>
      </w:tr>
      <w:tr w14:paraId="4C005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8A7E0D7">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Уровень юридических рисков</w:t>
            </w:r>
          </w:p>
        </w:tc>
        <w:tc>
          <w:tcPr>
            <w:tcW w:w="0" w:type="auto"/>
          </w:tcPr>
          <w:p w14:paraId="2B694344">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Минимальный</w:t>
            </w:r>
          </w:p>
        </w:tc>
        <w:tc>
          <w:tcPr>
            <w:tcW w:w="0" w:type="auto"/>
          </w:tcPr>
          <w:p w14:paraId="00465329">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Количество претензий/споров</w:t>
            </w:r>
          </w:p>
        </w:tc>
        <w:tc>
          <w:tcPr>
            <w:tcW w:w="0" w:type="auto"/>
          </w:tcPr>
          <w:p w14:paraId="24F0FC00">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По завершению</w:t>
            </w:r>
          </w:p>
        </w:tc>
      </w:tr>
      <w:tr w14:paraId="4D2FE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416A2C5">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Качество мониторинга</w:t>
            </w:r>
          </w:p>
        </w:tc>
        <w:tc>
          <w:tcPr>
            <w:tcW w:w="0" w:type="auto"/>
          </w:tcPr>
          <w:p w14:paraId="336F3E80">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100% соответствие плану</w:t>
            </w:r>
          </w:p>
        </w:tc>
        <w:tc>
          <w:tcPr>
            <w:tcW w:w="0" w:type="auto"/>
          </w:tcPr>
          <w:p w14:paraId="4DBD93A9">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Проверка отчетности</w:t>
            </w:r>
          </w:p>
        </w:tc>
        <w:tc>
          <w:tcPr>
            <w:tcW w:w="0" w:type="auto"/>
          </w:tcPr>
          <w:p w14:paraId="7CD68817">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Ежеквартально</w:t>
            </w:r>
          </w:p>
        </w:tc>
      </w:tr>
    </w:tbl>
    <w:p w14:paraId="41F439B2">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[79]</w:t>
      </w:r>
    </w:p>
    <w:p w14:paraId="51563FEC">
      <w:pPr>
        <w:spacing w:after="0" w:line="240" w:lineRule="auto"/>
        <w:jc w:val="both"/>
        <w:rPr>
          <w:rFonts w:ascii="Times New Roman" w:hAnsi="Times New Roman" w:eastAsia="Times New Roman" w:cs="Times New Roman"/>
          <w:sz w:val="28"/>
          <w:szCs w:val="28"/>
          <w:lang w:eastAsia="zh-CN"/>
        </w:rPr>
      </w:pPr>
    </w:p>
    <w:p w14:paraId="74DF2DE7">
      <w:pPr>
        <w:spacing w:after="0" w:line="240" w:lineRule="auto"/>
        <w:ind w:firstLine="709"/>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На этапе планирования разрабатывается детальный проектный план, включающий:</w:t>
      </w:r>
    </w:p>
    <w:p w14:paraId="30F0E9B6">
      <w:pPr>
        <w:spacing w:after="0" w:line="240" w:lineRule="auto"/>
        <w:ind w:left="360" w:firstLine="207"/>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 определение задач и мероприятий;</w:t>
      </w:r>
    </w:p>
    <w:p w14:paraId="2542A916">
      <w:pPr>
        <w:spacing w:after="0" w:line="240" w:lineRule="auto"/>
        <w:ind w:left="360" w:firstLine="207"/>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 распределение ресурсов;</w:t>
      </w:r>
    </w:p>
    <w:p w14:paraId="095D6CCA">
      <w:pPr>
        <w:spacing w:after="0" w:line="240" w:lineRule="auto"/>
        <w:ind w:left="360" w:firstLine="207"/>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 разработку календарного графика;</w:t>
      </w:r>
    </w:p>
    <w:p w14:paraId="602332E9">
      <w:pPr>
        <w:spacing w:after="0" w:line="240" w:lineRule="auto"/>
        <w:ind w:left="360" w:firstLine="207"/>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 формирование ключевых показателей эффективности (KPI) [79].</w:t>
      </w:r>
    </w:p>
    <w:p w14:paraId="4164F0F5">
      <w:pPr>
        <w:pStyle w:val="30"/>
        <w:spacing w:before="0" w:beforeAutospacing="0" w:after="0" w:afterAutospacing="0"/>
        <w:ind w:firstLine="709"/>
        <w:jc w:val="both"/>
        <w:rPr>
          <w:sz w:val="28"/>
          <w:szCs w:val="28"/>
        </w:rPr>
      </w:pPr>
      <w:r>
        <w:rPr>
          <w:sz w:val="28"/>
          <w:szCs w:val="28"/>
        </w:rPr>
        <w:t xml:space="preserve">Риски проекта классифицируются по типам и распределяются по стадиям жизненного цикла. </w:t>
      </w:r>
      <w:r>
        <w:rPr>
          <w:rStyle w:val="14"/>
          <w:b w:val="0"/>
          <w:bCs w:val="0"/>
          <w:sz w:val="28"/>
          <w:szCs w:val="28"/>
        </w:rPr>
        <w:t>Таблица 10</w:t>
      </w:r>
      <w:r>
        <w:rPr>
          <w:sz w:val="28"/>
          <w:szCs w:val="28"/>
        </w:rPr>
        <w:t xml:space="preserve"> демонстрирует классификацию и инструменты управления рисками.</w:t>
      </w:r>
    </w:p>
    <w:p w14:paraId="587CB873">
      <w:pPr>
        <w:pStyle w:val="30"/>
        <w:spacing w:before="0" w:beforeAutospacing="0" w:after="0" w:afterAutospacing="0"/>
        <w:ind w:firstLine="709"/>
        <w:jc w:val="both"/>
        <w:rPr>
          <w:sz w:val="28"/>
          <w:szCs w:val="28"/>
        </w:rPr>
      </w:pPr>
    </w:p>
    <w:p w14:paraId="43BCFEA0">
      <w:pPr>
        <w:pStyle w:val="30"/>
        <w:spacing w:before="0" w:beforeAutospacing="0" w:after="0" w:afterAutospacing="0"/>
        <w:jc w:val="both"/>
        <w:rPr>
          <w:b/>
          <w:bCs/>
          <w:sz w:val="28"/>
          <w:szCs w:val="28"/>
        </w:rPr>
      </w:pPr>
      <w:r>
        <w:rPr>
          <w:rStyle w:val="14"/>
          <w:b w:val="0"/>
          <w:bCs w:val="0"/>
          <w:sz w:val="28"/>
          <w:szCs w:val="28"/>
        </w:rPr>
        <w:t>Таблица 10 - Распределение рисков проекта по типам и этапам</w:t>
      </w:r>
    </w:p>
    <w:p w14:paraId="44811AB7">
      <w:pPr>
        <w:spacing w:after="0" w:line="240" w:lineRule="auto"/>
        <w:ind w:left="720"/>
        <w:jc w:val="both"/>
        <w:rPr>
          <w:rFonts w:ascii="Times New Roman" w:hAnsi="Times New Roman" w:eastAsia="Times New Roman" w:cs="Times New Roman"/>
          <w:sz w:val="28"/>
          <w:szCs w:val="28"/>
          <w:lang w:eastAsia="zh-CN"/>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1151"/>
        <w:gridCol w:w="1542"/>
        <w:gridCol w:w="980"/>
        <w:gridCol w:w="1288"/>
        <w:gridCol w:w="1276"/>
        <w:gridCol w:w="1836"/>
      </w:tblGrid>
      <w:tr w14:paraId="55D22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27EAA91C">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Тип риска</w:t>
            </w:r>
          </w:p>
        </w:tc>
        <w:tc>
          <w:tcPr>
            <w:tcW w:w="1151" w:type="dxa"/>
          </w:tcPr>
          <w:p w14:paraId="70666DB6">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Инициа</w:t>
            </w:r>
          </w:p>
          <w:p w14:paraId="248BD774">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ция</w:t>
            </w:r>
          </w:p>
        </w:tc>
        <w:tc>
          <w:tcPr>
            <w:tcW w:w="1542" w:type="dxa"/>
          </w:tcPr>
          <w:p w14:paraId="23D54C31">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Планирование</w:t>
            </w:r>
          </w:p>
        </w:tc>
        <w:tc>
          <w:tcPr>
            <w:tcW w:w="980" w:type="dxa"/>
          </w:tcPr>
          <w:p w14:paraId="48D8BF7A">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Реализация</w:t>
            </w:r>
          </w:p>
        </w:tc>
        <w:tc>
          <w:tcPr>
            <w:tcW w:w="1288" w:type="dxa"/>
          </w:tcPr>
          <w:p w14:paraId="3E3696B1">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Мониторинг</w:t>
            </w:r>
          </w:p>
        </w:tc>
        <w:tc>
          <w:tcPr>
            <w:tcW w:w="1276" w:type="dxa"/>
          </w:tcPr>
          <w:p w14:paraId="4F3FE94E">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Завершение</w:t>
            </w:r>
          </w:p>
        </w:tc>
        <w:tc>
          <w:tcPr>
            <w:tcW w:w="1836" w:type="dxa"/>
          </w:tcPr>
          <w:p w14:paraId="61E6297B">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Инструменты управления</w:t>
            </w:r>
          </w:p>
        </w:tc>
      </w:tr>
      <w:tr w14:paraId="6FF46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7B0F6083">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Кредитный</w:t>
            </w:r>
          </w:p>
        </w:tc>
        <w:tc>
          <w:tcPr>
            <w:tcW w:w="1151" w:type="dxa"/>
          </w:tcPr>
          <w:p w14:paraId="17F68012">
            <w:pPr>
              <w:spacing w:after="0" w:line="240" w:lineRule="auto"/>
              <w:jc w:val="both"/>
              <w:rPr>
                <w:rFonts w:ascii="Times New Roman" w:hAnsi="Times New Roman" w:eastAsia="Times New Roman" w:cs="Times New Roman"/>
                <w:sz w:val="28"/>
                <w:szCs w:val="28"/>
                <w:lang w:eastAsia="zh-CN"/>
              </w:rPr>
            </w:pPr>
            <w:r>
              <w:rPr>
                <w:rFonts w:ascii="Segoe UI Symbol" w:hAnsi="Segoe UI Symbol" w:eastAsia="Times New Roman" w:cs="Segoe UI Symbol"/>
                <w:sz w:val="28"/>
                <w:szCs w:val="28"/>
                <w:lang w:eastAsia="zh-CN"/>
              </w:rPr>
              <w:t>✓</w:t>
            </w:r>
          </w:p>
        </w:tc>
        <w:tc>
          <w:tcPr>
            <w:tcW w:w="1542" w:type="dxa"/>
          </w:tcPr>
          <w:p w14:paraId="669BFD64">
            <w:pPr>
              <w:spacing w:after="0" w:line="240" w:lineRule="auto"/>
              <w:jc w:val="both"/>
              <w:rPr>
                <w:rFonts w:ascii="Times New Roman" w:hAnsi="Times New Roman" w:eastAsia="Times New Roman" w:cs="Times New Roman"/>
                <w:sz w:val="28"/>
                <w:szCs w:val="28"/>
                <w:lang w:eastAsia="zh-CN"/>
              </w:rPr>
            </w:pPr>
            <w:r>
              <w:rPr>
                <w:rFonts w:ascii="Segoe UI Symbol" w:hAnsi="Segoe UI Symbol" w:eastAsia="Times New Roman" w:cs="Segoe UI Symbol"/>
                <w:sz w:val="28"/>
                <w:szCs w:val="28"/>
                <w:lang w:eastAsia="zh-CN"/>
              </w:rPr>
              <w:t>✓</w:t>
            </w:r>
          </w:p>
        </w:tc>
        <w:tc>
          <w:tcPr>
            <w:tcW w:w="980" w:type="dxa"/>
          </w:tcPr>
          <w:p w14:paraId="0954D0C7">
            <w:pPr>
              <w:spacing w:after="0" w:line="240" w:lineRule="auto"/>
              <w:jc w:val="both"/>
              <w:rPr>
                <w:rFonts w:ascii="Times New Roman" w:hAnsi="Times New Roman" w:eastAsia="Times New Roman" w:cs="Times New Roman"/>
                <w:sz w:val="28"/>
                <w:szCs w:val="28"/>
                <w:lang w:eastAsia="zh-CN"/>
              </w:rPr>
            </w:pPr>
            <w:r>
              <w:rPr>
                <w:rFonts w:ascii="Segoe UI Symbol" w:hAnsi="Segoe UI Symbol" w:eastAsia="Times New Roman" w:cs="Segoe UI Symbol"/>
                <w:sz w:val="28"/>
                <w:szCs w:val="28"/>
                <w:lang w:eastAsia="zh-CN"/>
              </w:rPr>
              <w:t>✓</w:t>
            </w:r>
          </w:p>
        </w:tc>
        <w:tc>
          <w:tcPr>
            <w:tcW w:w="1288" w:type="dxa"/>
          </w:tcPr>
          <w:p w14:paraId="15DA27E7">
            <w:pPr>
              <w:spacing w:after="0" w:line="240" w:lineRule="auto"/>
              <w:jc w:val="both"/>
              <w:rPr>
                <w:rFonts w:ascii="Times New Roman" w:hAnsi="Times New Roman" w:eastAsia="Times New Roman" w:cs="Times New Roman"/>
                <w:sz w:val="28"/>
                <w:szCs w:val="28"/>
                <w:lang w:eastAsia="zh-CN"/>
              </w:rPr>
            </w:pPr>
            <w:r>
              <w:rPr>
                <w:rFonts w:ascii="Segoe UI Symbol" w:hAnsi="Segoe UI Symbol" w:eastAsia="Times New Roman" w:cs="Segoe UI Symbol"/>
                <w:sz w:val="28"/>
                <w:szCs w:val="28"/>
                <w:lang w:eastAsia="zh-CN"/>
              </w:rPr>
              <w:t>✓</w:t>
            </w:r>
          </w:p>
        </w:tc>
        <w:tc>
          <w:tcPr>
            <w:tcW w:w="1276" w:type="dxa"/>
          </w:tcPr>
          <w:p w14:paraId="6D3998F0">
            <w:pPr>
              <w:spacing w:after="0" w:line="240" w:lineRule="auto"/>
              <w:jc w:val="both"/>
              <w:rPr>
                <w:rFonts w:ascii="Times New Roman" w:hAnsi="Times New Roman" w:eastAsia="Times New Roman" w:cs="Times New Roman"/>
                <w:sz w:val="28"/>
                <w:szCs w:val="28"/>
                <w:lang w:eastAsia="zh-CN"/>
              </w:rPr>
            </w:pPr>
          </w:p>
        </w:tc>
        <w:tc>
          <w:tcPr>
            <w:tcW w:w="1836" w:type="dxa"/>
          </w:tcPr>
          <w:p w14:paraId="55AD2F17">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Оценка кредитоспособности, стресс-тесты</w:t>
            </w:r>
          </w:p>
        </w:tc>
      </w:tr>
      <w:tr w14:paraId="3C799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Borders>
              <w:bottom w:val="single" w:color="auto" w:sz="4" w:space="0"/>
            </w:tcBorders>
          </w:tcPr>
          <w:p w14:paraId="0D50CEB3">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Рыночный</w:t>
            </w:r>
          </w:p>
        </w:tc>
        <w:tc>
          <w:tcPr>
            <w:tcW w:w="1151" w:type="dxa"/>
            <w:tcBorders>
              <w:bottom w:val="single" w:color="auto" w:sz="4" w:space="0"/>
            </w:tcBorders>
          </w:tcPr>
          <w:p w14:paraId="701671C8">
            <w:pPr>
              <w:spacing w:after="0" w:line="240" w:lineRule="auto"/>
              <w:jc w:val="both"/>
              <w:rPr>
                <w:rFonts w:ascii="Times New Roman" w:hAnsi="Times New Roman" w:eastAsia="Times New Roman" w:cs="Times New Roman"/>
                <w:sz w:val="28"/>
                <w:szCs w:val="28"/>
                <w:lang w:eastAsia="zh-CN"/>
              </w:rPr>
            </w:pPr>
          </w:p>
        </w:tc>
        <w:tc>
          <w:tcPr>
            <w:tcW w:w="1542" w:type="dxa"/>
            <w:tcBorders>
              <w:bottom w:val="single" w:color="auto" w:sz="4" w:space="0"/>
            </w:tcBorders>
          </w:tcPr>
          <w:p w14:paraId="2817EDCF">
            <w:pPr>
              <w:spacing w:after="0" w:line="240" w:lineRule="auto"/>
              <w:jc w:val="both"/>
              <w:rPr>
                <w:rFonts w:ascii="Times New Roman" w:hAnsi="Times New Roman" w:eastAsia="Times New Roman" w:cs="Times New Roman"/>
                <w:sz w:val="28"/>
                <w:szCs w:val="28"/>
                <w:lang w:eastAsia="zh-CN"/>
              </w:rPr>
            </w:pPr>
            <w:r>
              <w:rPr>
                <w:rFonts w:ascii="Segoe UI Symbol" w:hAnsi="Segoe UI Symbol" w:eastAsia="Times New Roman" w:cs="Segoe UI Symbol"/>
                <w:sz w:val="28"/>
                <w:szCs w:val="28"/>
                <w:lang w:eastAsia="zh-CN"/>
              </w:rPr>
              <w:t>✓</w:t>
            </w:r>
          </w:p>
        </w:tc>
        <w:tc>
          <w:tcPr>
            <w:tcW w:w="980" w:type="dxa"/>
            <w:tcBorders>
              <w:bottom w:val="single" w:color="auto" w:sz="4" w:space="0"/>
            </w:tcBorders>
          </w:tcPr>
          <w:p w14:paraId="390AE442">
            <w:pPr>
              <w:spacing w:after="0" w:line="240" w:lineRule="auto"/>
              <w:jc w:val="both"/>
              <w:rPr>
                <w:rFonts w:ascii="Times New Roman" w:hAnsi="Times New Roman" w:eastAsia="Times New Roman" w:cs="Times New Roman"/>
                <w:sz w:val="28"/>
                <w:szCs w:val="28"/>
                <w:lang w:eastAsia="zh-CN"/>
              </w:rPr>
            </w:pPr>
            <w:r>
              <w:rPr>
                <w:rFonts w:ascii="Segoe UI Symbol" w:hAnsi="Segoe UI Symbol" w:eastAsia="Times New Roman" w:cs="Segoe UI Symbol"/>
                <w:sz w:val="28"/>
                <w:szCs w:val="28"/>
                <w:lang w:eastAsia="zh-CN"/>
              </w:rPr>
              <w:t>✓</w:t>
            </w:r>
          </w:p>
        </w:tc>
        <w:tc>
          <w:tcPr>
            <w:tcW w:w="1288" w:type="dxa"/>
            <w:tcBorders>
              <w:bottom w:val="single" w:color="auto" w:sz="4" w:space="0"/>
            </w:tcBorders>
          </w:tcPr>
          <w:p w14:paraId="71E38B72">
            <w:pPr>
              <w:spacing w:after="0" w:line="240" w:lineRule="auto"/>
              <w:jc w:val="both"/>
              <w:rPr>
                <w:rFonts w:ascii="Times New Roman" w:hAnsi="Times New Roman" w:eastAsia="Times New Roman" w:cs="Times New Roman"/>
                <w:sz w:val="28"/>
                <w:szCs w:val="28"/>
                <w:lang w:eastAsia="zh-CN"/>
              </w:rPr>
            </w:pPr>
            <w:r>
              <w:rPr>
                <w:rFonts w:ascii="Segoe UI Symbol" w:hAnsi="Segoe UI Symbol" w:eastAsia="Times New Roman" w:cs="Segoe UI Symbol"/>
                <w:sz w:val="28"/>
                <w:szCs w:val="28"/>
                <w:lang w:eastAsia="zh-CN"/>
              </w:rPr>
              <w:t>✓</w:t>
            </w:r>
          </w:p>
        </w:tc>
        <w:tc>
          <w:tcPr>
            <w:tcW w:w="1276" w:type="dxa"/>
            <w:tcBorders>
              <w:bottom w:val="single" w:color="auto" w:sz="4" w:space="0"/>
            </w:tcBorders>
          </w:tcPr>
          <w:p w14:paraId="41697B97">
            <w:pPr>
              <w:spacing w:after="0" w:line="240" w:lineRule="auto"/>
              <w:jc w:val="both"/>
              <w:rPr>
                <w:rFonts w:ascii="Times New Roman" w:hAnsi="Times New Roman" w:eastAsia="Times New Roman" w:cs="Times New Roman"/>
                <w:sz w:val="28"/>
                <w:szCs w:val="28"/>
                <w:lang w:eastAsia="zh-CN"/>
              </w:rPr>
            </w:pPr>
          </w:p>
        </w:tc>
        <w:tc>
          <w:tcPr>
            <w:tcW w:w="1836" w:type="dxa"/>
            <w:tcBorders>
              <w:bottom w:val="single" w:color="auto" w:sz="4" w:space="0"/>
            </w:tcBorders>
          </w:tcPr>
          <w:p w14:paraId="06B72E58">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Сценарный анализ, хеджирование</w:t>
            </w:r>
          </w:p>
        </w:tc>
      </w:tr>
    </w:tbl>
    <w:p w14:paraId="56F9EB18">
      <w:pPr>
        <w:spacing w:after="0" w:line="240" w:lineRule="auto"/>
      </w:pPr>
    </w:p>
    <w:p w14:paraId="0632A4EC">
      <w:pPr>
        <w:spacing w:after="0" w:line="240" w:lineRule="auto"/>
      </w:pPr>
    </w:p>
    <w:p w14:paraId="3AF639A5">
      <w:pPr>
        <w:spacing w:after="0" w:line="240" w:lineRule="auto"/>
      </w:pPr>
    </w:p>
    <w:p w14:paraId="204858DB">
      <w:pPr>
        <w:spacing w:after="0" w:line="240" w:lineRule="auto"/>
      </w:pPr>
      <w:r>
        <w:t>Продолжение таблицы 10</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1134"/>
        <w:gridCol w:w="17"/>
        <w:gridCol w:w="1400"/>
        <w:gridCol w:w="142"/>
        <w:gridCol w:w="980"/>
        <w:gridCol w:w="12"/>
        <w:gridCol w:w="1276"/>
        <w:gridCol w:w="1276"/>
        <w:gridCol w:w="1836"/>
      </w:tblGrid>
      <w:tr w14:paraId="55069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Borders>
              <w:top w:val="single" w:color="auto" w:sz="4" w:space="0"/>
            </w:tcBorders>
          </w:tcPr>
          <w:p w14:paraId="128588A7">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Юридический</w:t>
            </w:r>
          </w:p>
        </w:tc>
        <w:tc>
          <w:tcPr>
            <w:tcW w:w="1151" w:type="dxa"/>
            <w:gridSpan w:val="2"/>
            <w:tcBorders>
              <w:top w:val="single" w:color="auto" w:sz="4" w:space="0"/>
            </w:tcBorders>
          </w:tcPr>
          <w:p w14:paraId="27D81FE6">
            <w:pPr>
              <w:spacing w:after="0" w:line="240" w:lineRule="auto"/>
              <w:jc w:val="both"/>
              <w:rPr>
                <w:rFonts w:ascii="Times New Roman" w:hAnsi="Times New Roman" w:eastAsia="Times New Roman" w:cs="Times New Roman"/>
                <w:sz w:val="28"/>
                <w:szCs w:val="28"/>
                <w:lang w:eastAsia="zh-CN"/>
              </w:rPr>
            </w:pPr>
            <w:r>
              <w:rPr>
                <w:rFonts w:ascii="Segoe UI Symbol" w:hAnsi="Segoe UI Symbol" w:eastAsia="Times New Roman" w:cs="Segoe UI Symbol"/>
                <w:sz w:val="28"/>
                <w:szCs w:val="28"/>
                <w:lang w:eastAsia="zh-CN"/>
              </w:rPr>
              <w:t>✓</w:t>
            </w:r>
          </w:p>
        </w:tc>
        <w:tc>
          <w:tcPr>
            <w:tcW w:w="1542" w:type="dxa"/>
            <w:gridSpan w:val="2"/>
            <w:tcBorders>
              <w:top w:val="single" w:color="auto" w:sz="4" w:space="0"/>
            </w:tcBorders>
          </w:tcPr>
          <w:p w14:paraId="294C7AFF">
            <w:pPr>
              <w:spacing w:after="0" w:line="240" w:lineRule="auto"/>
              <w:jc w:val="both"/>
              <w:rPr>
                <w:rFonts w:ascii="Times New Roman" w:hAnsi="Times New Roman" w:eastAsia="Times New Roman" w:cs="Times New Roman"/>
                <w:sz w:val="28"/>
                <w:szCs w:val="28"/>
                <w:lang w:eastAsia="zh-CN"/>
              </w:rPr>
            </w:pPr>
            <w:r>
              <w:rPr>
                <w:rFonts w:ascii="Segoe UI Symbol" w:hAnsi="Segoe UI Symbol" w:eastAsia="Times New Roman" w:cs="Segoe UI Symbol"/>
                <w:sz w:val="28"/>
                <w:szCs w:val="28"/>
                <w:lang w:eastAsia="zh-CN"/>
              </w:rPr>
              <w:t>✓</w:t>
            </w:r>
          </w:p>
        </w:tc>
        <w:tc>
          <w:tcPr>
            <w:tcW w:w="980" w:type="dxa"/>
            <w:tcBorders>
              <w:top w:val="single" w:color="auto" w:sz="4" w:space="0"/>
            </w:tcBorders>
          </w:tcPr>
          <w:p w14:paraId="76174434">
            <w:pPr>
              <w:spacing w:after="0" w:line="240" w:lineRule="auto"/>
              <w:jc w:val="both"/>
              <w:rPr>
                <w:rFonts w:ascii="Times New Roman" w:hAnsi="Times New Roman" w:eastAsia="Times New Roman" w:cs="Times New Roman"/>
                <w:sz w:val="28"/>
                <w:szCs w:val="28"/>
                <w:lang w:eastAsia="zh-CN"/>
              </w:rPr>
            </w:pPr>
            <w:r>
              <w:rPr>
                <w:rFonts w:ascii="Segoe UI Symbol" w:hAnsi="Segoe UI Symbol" w:eastAsia="Times New Roman" w:cs="Segoe UI Symbol"/>
                <w:sz w:val="28"/>
                <w:szCs w:val="28"/>
                <w:lang w:eastAsia="zh-CN"/>
              </w:rPr>
              <w:t>✓</w:t>
            </w:r>
          </w:p>
        </w:tc>
        <w:tc>
          <w:tcPr>
            <w:tcW w:w="1288" w:type="dxa"/>
            <w:gridSpan w:val="2"/>
            <w:tcBorders>
              <w:top w:val="single" w:color="auto" w:sz="4" w:space="0"/>
            </w:tcBorders>
          </w:tcPr>
          <w:p w14:paraId="75A0683D">
            <w:pPr>
              <w:spacing w:after="0" w:line="240" w:lineRule="auto"/>
              <w:jc w:val="both"/>
              <w:rPr>
                <w:rFonts w:ascii="Times New Roman" w:hAnsi="Times New Roman" w:eastAsia="Times New Roman" w:cs="Times New Roman"/>
                <w:sz w:val="28"/>
                <w:szCs w:val="28"/>
                <w:lang w:eastAsia="zh-CN"/>
              </w:rPr>
            </w:pPr>
            <w:r>
              <w:rPr>
                <w:rFonts w:ascii="Segoe UI Symbol" w:hAnsi="Segoe UI Symbol" w:eastAsia="Times New Roman" w:cs="Segoe UI Symbol"/>
                <w:sz w:val="28"/>
                <w:szCs w:val="28"/>
                <w:lang w:eastAsia="zh-CN"/>
              </w:rPr>
              <w:t>✓</w:t>
            </w:r>
          </w:p>
        </w:tc>
        <w:tc>
          <w:tcPr>
            <w:tcW w:w="1276" w:type="dxa"/>
            <w:tcBorders>
              <w:top w:val="single" w:color="auto" w:sz="4" w:space="0"/>
            </w:tcBorders>
          </w:tcPr>
          <w:p w14:paraId="25CBD4FD">
            <w:pPr>
              <w:spacing w:after="0" w:line="240" w:lineRule="auto"/>
              <w:jc w:val="both"/>
              <w:rPr>
                <w:rFonts w:ascii="Times New Roman" w:hAnsi="Times New Roman" w:eastAsia="Times New Roman" w:cs="Times New Roman"/>
                <w:sz w:val="28"/>
                <w:szCs w:val="28"/>
                <w:lang w:eastAsia="zh-CN"/>
              </w:rPr>
            </w:pPr>
            <w:r>
              <w:rPr>
                <w:rFonts w:ascii="Segoe UI Symbol" w:hAnsi="Segoe UI Symbol" w:eastAsia="Times New Roman" w:cs="Segoe UI Symbol"/>
                <w:sz w:val="28"/>
                <w:szCs w:val="28"/>
                <w:lang w:eastAsia="zh-CN"/>
              </w:rPr>
              <w:t>✓</w:t>
            </w:r>
          </w:p>
        </w:tc>
        <w:tc>
          <w:tcPr>
            <w:tcW w:w="1836" w:type="dxa"/>
            <w:tcBorders>
              <w:top w:val="single" w:color="auto" w:sz="4" w:space="0"/>
            </w:tcBorders>
          </w:tcPr>
          <w:p w14:paraId="17B6A5E2">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Правовая экспертиза, договора</w:t>
            </w:r>
          </w:p>
        </w:tc>
      </w:tr>
      <w:tr w14:paraId="398D5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79BD2C0A">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Операционный</w:t>
            </w:r>
          </w:p>
        </w:tc>
        <w:tc>
          <w:tcPr>
            <w:tcW w:w="1134" w:type="dxa"/>
          </w:tcPr>
          <w:p w14:paraId="694F86B3">
            <w:pPr>
              <w:spacing w:after="0" w:line="240" w:lineRule="auto"/>
              <w:jc w:val="both"/>
              <w:rPr>
                <w:rFonts w:ascii="Times New Roman" w:hAnsi="Times New Roman" w:eastAsia="Times New Roman" w:cs="Times New Roman"/>
                <w:sz w:val="28"/>
                <w:szCs w:val="28"/>
                <w:lang w:eastAsia="zh-CN"/>
              </w:rPr>
            </w:pPr>
          </w:p>
        </w:tc>
        <w:tc>
          <w:tcPr>
            <w:tcW w:w="1417" w:type="dxa"/>
            <w:gridSpan w:val="2"/>
          </w:tcPr>
          <w:p w14:paraId="2AEF5FAA">
            <w:pPr>
              <w:spacing w:after="0" w:line="240" w:lineRule="auto"/>
              <w:jc w:val="both"/>
              <w:rPr>
                <w:rFonts w:ascii="Times New Roman" w:hAnsi="Times New Roman" w:eastAsia="Times New Roman" w:cs="Times New Roman"/>
                <w:sz w:val="28"/>
                <w:szCs w:val="28"/>
                <w:lang w:eastAsia="zh-CN"/>
              </w:rPr>
            </w:pPr>
            <w:r>
              <w:rPr>
                <w:rFonts w:ascii="Segoe UI Symbol" w:hAnsi="Segoe UI Symbol" w:eastAsia="Times New Roman" w:cs="Segoe UI Symbol"/>
                <w:sz w:val="28"/>
                <w:szCs w:val="28"/>
                <w:lang w:eastAsia="zh-CN"/>
              </w:rPr>
              <w:t>✓</w:t>
            </w:r>
          </w:p>
        </w:tc>
        <w:tc>
          <w:tcPr>
            <w:tcW w:w="1134" w:type="dxa"/>
            <w:gridSpan w:val="3"/>
          </w:tcPr>
          <w:p w14:paraId="3C35C00B">
            <w:pPr>
              <w:spacing w:after="0" w:line="240" w:lineRule="auto"/>
              <w:jc w:val="both"/>
              <w:rPr>
                <w:rFonts w:ascii="Times New Roman" w:hAnsi="Times New Roman" w:eastAsia="Times New Roman" w:cs="Times New Roman"/>
                <w:sz w:val="28"/>
                <w:szCs w:val="28"/>
                <w:lang w:eastAsia="zh-CN"/>
              </w:rPr>
            </w:pPr>
            <w:r>
              <w:rPr>
                <w:rFonts w:ascii="Segoe UI Symbol" w:hAnsi="Segoe UI Symbol" w:eastAsia="Times New Roman" w:cs="Segoe UI Symbol"/>
                <w:sz w:val="28"/>
                <w:szCs w:val="28"/>
                <w:lang w:eastAsia="zh-CN"/>
              </w:rPr>
              <w:t>✓</w:t>
            </w:r>
          </w:p>
        </w:tc>
        <w:tc>
          <w:tcPr>
            <w:tcW w:w="1276" w:type="dxa"/>
          </w:tcPr>
          <w:p w14:paraId="7515442E">
            <w:pPr>
              <w:spacing w:after="0" w:line="240" w:lineRule="auto"/>
              <w:jc w:val="both"/>
              <w:rPr>
                <w:rFonts w:ascii="Times New Roman" w:hAnsi="Times New Roman" w:eastAsia="Times New Roman" w:cs="Times New Roman"/>
                <w:sz w:val="28"/>
                <w:szCs w:val="28"/>
                <w:lang w:eastAsia="zh-CN"/>
              </w:rPr>
            </w:pPr>
            <w:r>
              <w:rPr>
                <w:rFonts w:ascii="Segoe UI Symbol" w:hAnsi="Segoe UI Symbol" w:eastAsia="Times New Roman" w:cs="Segoe UI Symbol"/>
                <w:sz w:val="28"/>
                <w:szCs w:val="28"/>
                <w:lang w:eastAsia="zh-CN"/>
              </w:rPr>
              <w:t>✓</w:t>
            </w:r>
          </w:p>
        </w:tc>
        <w:tc>
          <w:tcPr>
            <w:tcW w:w="1276" w:type="dxa"/>
          </w:tcPr>
          <w:p w14:paraId="4BE57EEA">
            <w:pPr>
              <w:spacing w:after="0" w:line="240" w:lineRule="auto"/>
              <w:jc w:val="both"/>
              <w:rPr>
                <w:rFonts w:ascii="Times New Roman" w:hAnsi="Times New Roman" w:eastAsia="Times New Roman" w:cs="Times New Roman"/>
                <w:sz w:val="28"/>
                <w:szCs w:val="28"/>
                <w:lang w:eastAsia="zh-CN"/>
              </w:rPr>
            </w:pPr>
          </w:p>
        </w:tc>
        <w:tc>
          <w:tcPr>
            <w:tcW w:w="1836" w:type="dxa"/>
          </w:tcPr>
          <w:p w14:paraId="3E42A78E">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 xml:space="preserve">Процедуры </w:t>
            </w:r>
          </w:p>
          <w:p w14:paraId="1E22D68B">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контроля, внутренний аудит</w:t>
            </w:r>
          </w:p>
        </w:tc>
      </w:tr>
      <w:tr w14:paraId="25DBC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7D885EB1">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Репутационный</w:t>
            </w:r>
          </w:p>
        </w:tc>
        <w:tc>
          <w:tcPr>
            <w:tcW w:w="1134" w:type="dxa"/>
          </w:tcPr>
          <w:p w14:paraId="73A5AD1A">
            <w:pPr>
              <w:spacing w:after="0" w:line="240" w:lineRule="auto"/>
              <w:jc w:val="both"/>
              <w:rPr>
                <w:rFonts w:ascii="Times New Roman" w:hAnsi="Times New Roman" w:eastAsia="Times New Roman" w:cs="Times New Roman"/>
                <w:sz w:val="28"/>
                <w:szCs w:val="28"/>
                <w:lang w:eastAsia="zh-CN"/>
              </w:rPr>
            </w:pPr>
          </w:p>
        </w:tc>
        <w:tc>
          <w:tcPr>
            <w:tcW w:w="1417" w:type="dxa"/>
            <w:gridSpan w:val="2"/>
          </w:tcPr>
          <w:p w14:paraId="35EEA194">
            <w:pPr>
              <w:spacing w:after="0" w:line="240" w:lineRule="auto"/>
              <w:jc w:val="both"/>
              <w:rPr>
                <w:rFonts w:ascii="Times New Roman" w:hAnsi="Times New Roman" w:eastAsia="Times New Roman" w:cs="Times New Roman"/>
                <w:sz w:val="28"/>
                <w:szCs w:val="28"/>
                <w:lang w:eastAsia="zh-CN"/>
              </w:rPr>
            </w:pPr>
            <w:r>
              <w:rPr>
                <w:rFonts w:ascii="Segoe UI Symbol" w:hAnsi="Segoe UI Symbol" w:eastAsia="Times New Roman" w:cs="Segoe UI Symbol"/>
                <w:sz w:val="28"/>
                <w:szCs w:val="28"/>
                <w:lang w:eastAsia="zh-CN"/>
              </w:rPr>
              <w:t>✓</w:t>
            </w:r>
          </w:p>
        </w:tc>
        <w:tc>
          <w:tcPr>
            <w:tcW w:w="1134" w:type="dxa"/>
            <w:gridSpan w:val="3"/>
          </w:tcPr>
          <w:p w14:paraId="1EB96A3B">
            <w:pPr>
              <w:spacing w:after="0" w:line="240" w:lineRule="auto"/>
              <w:jc w:val="both"/>
              <w:rPr>
                <w:rFonts w:ascii="Times New Roman" w:hAnsi="Times New Roman" w:eastAsia="Times New Roman" w:cs="Times New Roman"/>
                <w:sz w:val="28"/>
                <w:szCs w:val="28"/>
                <w:lang w:eastAsia="zh-CN"/>
              </w:rPr>
            </w:pPr>
            <w:r>
              <w:rPr>
                <w:rFonts w:ascii="Segoe UI Symbol" w:hAnsi="Segoe UI Symbol" w:eastAsia="Times New Roman" w:cs="Segoe UI Symbol"/>
                <w:sz w:val="28"/>
                <w:szCs w:val="28"/>
                <w:lang w:eastAsia="zh-CN"/>
              </w:rPr>
              <w:t>✓</w:t>
            </w:r>
          </w:p>
        </w:tc>
        <w:tc>
          <w:tcPr>
            <w:tcW w:w="1276" w:type="dxa"/>
          </w:tcPr>
          <w:p w14:paraId="4A2D2D81">
            <w:pPr>
              <w:spacing w:after="0" w:line="240" w:lineRule="auto"/>
              <w:jc w:val="both"/>
              <w:rPr>
                <w:rFonts w:ascii="Times New Roman" w:hAnsi="Times New Roman" w:eastAsia="Times New Roman" w:cs="Times New Roman"/>
                <w:sz w:val="28"/>
                <w:szCs w:val="28"/>
                <w:lang w:eastAsia="zh-CN"/>
              </w:rPr>
            </w:pPr>
            <w:r>
              <w:rPr>
                <w:rFonts w:ascii="Segoe UI Symbol" w:hAnsi="Segoe UI Symbol" w:eastAsia="Times New Roman" w:cs="Segoe UI Symbol"/>
                <w:sz w:val="28"/>
                <w:szCs w:val="28"/>
                <w:lang w:eastAsia="zh-CN"/>
              </w:rPr>
              <w:t>✓</w:t>
            </w:r>
          </w:p>
        </w:tc>
        <w:tc>
          <w:tcPr>
            <w:tcW w:w="1276" w:type="dxa"/>
          </w:tcPr>
          <w:p w14:paraId="4237800F">
            <w:pPr>
              <w:spacing w:after="0" w:line="240" w:lineRule="auto"/>
              <w:jc w:val="both"/>
              <w:rPr>
                <w:rFonts w:ascii="Times New Roman" w:hAnsi="Times New Roman" w:eastAsia="Times New Roman" w:cs="Times New Roman"/>
                <w:sz w:val="28"/>
                <w:szCs w:val="28"/>
                <w:lang w:eastAsia="zh-CN"/>
              </w:rPr>
            </w:pPr>
            <w:r>
              <w:rPr>
                <w:rFonts w:ascii="Segoe UI Symbol" w:hAnsi="Segoe UI Symbol" w:eastAsia="Times New Roman" w:cs="Segoe UI Symbol"/>
                <w:sz w:val="28"/>
                <w:szCs w:val="28"/>
                <w:lang w:eastAsia="zh-CN"/>
              </w:rPr>
              <w:t>✓</w:t>
            </w:r>
          </w:p>
        </w:tc>
        <w:tc>
          <w:tcPr>
            <w:tcW w:w="1836" w:type="dxa"/>
          </w:tcPr>
          <w:p w14:paraId="6638A340">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Публичные коммуникации, контроль соц. рисков</w:t>
            </w:r>
          </w:p>
        </w:tc>
      </w:tr>
    </w:tbl>
    <w:p w14:paraId="7C3B8D6E">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[52]</w:t>
      </w:r>
    </w:p>
    <w:p w14:paraId="13ADB504">
      <w:pPr>
        <w:spacing w:after="0" w:line="240" w:lineRule="auto"/>
        <w:jc w:val="both"/>
        <w:rPr>
          <w:rFonts w:ascii="Times New Roman" w:hAnsi="Times New Roman" w:eastAsia="Times New Roman" w:cs="Times New Roman"/>
          <w:sz w:val="28"/>
          <w:szCs w:val="28"/>
          <w:lang w:eastAsia="zh-CN"/>
        </w:rPr>
      </w:pPr>
    </w:p>
    <w:p w14:paraId="0A061E44">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Реализация проекта включает практическую работу с проблемным активом: переговоры с заемщиком, юридическое сопровождение, оценку и реализацию залога, взаимодействие с внешними контрагентами (таблица 11). Этап сопровождается фиксацией промежуточных результатов и корректировкой стратегии при необходимости [75, 87].</w:t>
      </w:r>
    </w:p>
    <w:p w14:paraId="27C3D8F1">
      <w:pPr>
        <w:spacing w:after="0" w:line="240" w:lineRule="auto"/>
        <w:ind w:firstLine="708"/>
        <w:jc w:val="both"/>
        <w:rPr>
          <w:rFonts w:ascii="Times New Roman" w:hAnsi="Times New Roman" w:eastAsia="Times New Roman" w:cs="Times New Roman"/>
          <w:sz w:val="28"/>
          <w:szCs w:val="28"/>
          <w:lang w:eastAsia="zh-CN"/>
        </w:rPr>
      </w:pPr>
    </w:p>
    <w:p w14:paraId="1F665E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 11 - Календарный график проекта управления проблемным активом</w:t>
      </w:r>
    </w:p>
    <w:p w14:paraId="3553BD74">
      <w:pPr>
        <w:spacing w:after="0" w:line="240" w:lineRule="auto"/>
        <w:jc w:val="both"/>
        <w:rPr>
          <w:rFonts w:ascii="Times New Roman" w:hAnsi="Times New Roman" w:eastAsia="Times New Roman" w:cs="Times New Roman"/>
          <w:sz w:val="28"/>
          <w:szCs w:val="28"/>
          <w:lang w:eastAsia="zh-CN"/>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3"/>
        <w:gridCol w:w="2881"/>
        <w:gridCol w:w="5030"/>
      </w:tblGrid>
      <w:tr w14:paraId="0B150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897D671">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Этап проекта</w:t>
            </w:r>
          </w:p>
        </w:tc>
        <w:tc>
          <w:tcPr>
            <w:tcW w:w="0" w:type="auto"/>
          </w:tcPr>
          <w:p w14:paraId="240A9BF2">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Сроки выполнения</w:t>
            </w:r>
          </w:p>
        </w:tc>
        <w:tc>
          <w:tcPr>
            <w:tcW w:w="0" w:type="auto"/>
          </w:tcPr>
          <w:p w14:paraId="460D6629">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Ответственный</w:t>
            </w:r>
          </w:p>
        </w:tc>
      </w:tr>
      <w:tr w14:paraId="1CAE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0740708">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Инициация</w:t>
            </w:r>
          </w:p>
        </w:tc>
        <w:tc>
          <w:tcPr>
            <w:tcW w:w="0" w:type="auto"/>
          </w:tcPr>
          <w:p w14:paraId="3E3E9187">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1–2 недели</w:t>
            </w:r>
          </w:p>
        </w:tc>
        <w:tc>
          <w:tcPr>
            <w:tcW w:w="0" w:type="auto"/>
          </w:tcPr>
          <w:p w14:paraId="0161B6CC">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Кредитный аналитик, юрист</w:t>
            </w:r>
          </w:p>
        </w:tc>
      </w:tr>
      <w:tr w14:paraId="5CF2C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8A26980">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Планирование</w:t>
            </w:r>
          </w:p>
        </w:tc>
        <w:tc>
          <w:tcPr>
            <w:tcW w:w="0" w:type="auto"/>
          </w:tcPr>
          <w:p w14:paraId="39B64282">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2–4 недели</w:t>
            </w:r>
          </w:p>
        </w:tc>
        <w:tc>
          <w:tcPr>
            <w:tcW w:w="0" w:type="auto"/>
          </w:tcPr>
          <w:p w14:paraId="20223FB5">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Проектный менеджер</w:t>
            </w:r>
          </w:p>
        </w:tc>
      </w:tr>
      <w:tr w14:paraId="63DA0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97062A2">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Реализация</w:t>
            </w:r>
          </w:p>
        </w:tc>
        <w:tc>
          <w:tcPr>
            <w:tcW w:w="0" w:type="auto"/>
          </w:tcPr>
          <w:p w14:paraId="1784D55E">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1–8 месяцев</w:t>
            </w:r>
          </w:p>
        </w:tc>
        <w:tc>
          <w:tcPr>
            <w:tcW w:w="0" w:type="auto"/>
          </w:tcPr>
          <w:p w14:paraId="5DFA3BEE">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Межфункциональная команда</w:t>
            </w:r>
          </w:p>
        </w:tc>
      </w:tr>
      <w:tr w14:paraId="02494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FA1B13E">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Мониторинг</w:t>
            </w:r>
          </w:p>
        </w:tc>
        <w:tc>
          <w:tcPr>
            <w:tcW w:w="0" w:type="auto"/>
          </w:tcPr>
          <w:p w14:paraId="39196F91">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Постоянно (ежемесячно)</w:t>
            </w:r>
          </w:p>
        </w:tc>
        <w:tc>
          <w:tcPr>
            <w:tcW w:w="0" w:type="auto"/>
          </w:tcPr>
          <w:p w14:paraId="1FD9D190">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Проектный менеджер, риск-менеджер</w:t>
            </w:r>
          </w:p>
        </w:tc>
      </w:tr>
      <w:tr w14:paraId="663C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0BC958D">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Завершение</w:t>
            </w:r>
          </w:p>
        </w:tc>
        <w:tc>
          <w:tcPr>
            <w:tcW w:w="0" w:type="auto"/>
          </w:tcPr>
          <w:p w14:paraId="6DC215C4">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1 месяц после реализации</w:t>
            </w:r>
          </w:p>
        </w:tc>
        <w:tc>
          <w:tcPr>
            <w:tcW w:w="0" w:type="auto"/>
          </w:tcPr>
          <w:p w14:paraId="49CA055A">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Руководитель управления проблемными активами</w:t>
            </w:r>
          </w:p>
        </w:tc>
      </w:tr>
    </w:tbl>
    <w:p w14:paraId="2B7DD330">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[75]</w:t>
      </w:r>
    </w:p>
    <w:p w14:paraId="151B94E8">
      <w:pPr>
        <w:spacing w:after="0" w:line="240" w:lineRule="auto"/>
        <w:jc w:val="both"/>
        <w:rPr>
          <w:rFonts w:ascii="Times New Roman" w:hAnsi="Times New Roman" w:eastAsia="Times New Roman" w:cs="Times New Roman"/>
          <w:sz w:val="28"/>
          <w:szCs w:val="28"/>
          <w:lang w:eastAsia="zh-CN"/>
        </w:rPr>
      </w:pPr>
    </w:p>
    <w:p w14:paraId="5E2C5229">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Мониторинг осуществляется через регулярную проверку отклонений фактических показателей от плановых и оценку эффективности мер, предпринятых в рамках проекта. Используются отчеты, KPI и системы контроля рисков [75].</w:t>
      </w:r>
    </w:p>
    <w:p w14:paraId="6558CC7A">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Завершение проекта сопровождается оценкой достигнутых результатов, анализом отклонений от плановых показателей и формированием управленческой отчетности, которая служит источником знаний для последующих проектов. На этом этапе также формулируются рекомендации по улучшению процессов управления проблемными активами [79].</w:t>
      </w:r>
    </w:p>
    <w:p w14:paraId="1AA95F8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мировой практике проектный подход часто применяется при реструктуризации корпоративных кредитов, управлении проблемными ипотечными или розничными кредитами, а также при взаимодействии с государственными фондами поддержки. Рассмотрим три мировых проектных подхода управления проблемными активами: европейские страны, США и Азия.  </w:t>
      </w:r>
    </w:p>
    <w:p w14:paraId="6EC1A30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После мирового финансового кризиса 2008–2012 гг. многие европейские банки столкнулись с резким ростом проблемных кредитов, особенно в сегменте корпоративного и ипотечного кредитования. В ответ на это были созданы специализированные «bad banks» — структуры, выделенные для управления проблемными активами [80]. Примером является испанская Bankia, которая после кризиса сформировала отдельный портфель проблемных ипотечных и корпоративных кредитов, управляемый через проектные команды. Аналогично, в Ирландии государственный фонд NAMA (National Asset Management Agency) приобрел проблемные активы банков и применял проектный подход к их реструктуризации и продаже [70, 77]. Проектный подход, использует в странах Европы:</w:t>
      </w:r>
    </w:p>
    <w:p w14:paraId="1597B16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индивидуальный анализ каждого проблемного кредита;</w:t>
      </w:r>
    </w:p>
    <w:p w14:paraId="777DE4C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разработку стратегии реструктуризации или продажи;</w:t>
      </w:r>
    </w:p>
    <w:p w14:paraId="33BEAC1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создание проектных команд с участием кредитных, юридических и финансовых специалистов;</w:t>
      </w:r>
    </w:p>
    <w:p w14:paraId="34DDBE4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контроль выполнения плана через регулярные отчеты и корректировку стратегии.</w:t>
      </w:r>
    </w:p>
    <w:p w14:paraId="39D8CF2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Адекватный проектный подход позволил европейским банкам существенно снизить долю NPL и повысить прозрачность управления активами.</w:t>
      </w:r>
    </w:p>
    <w:p w14:paraId="4D8F071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Соединенных Штатах накоплен большой опыт использования проектного подхода при управлении ипотечными кредитами [77, 81, 90]. Хорошо зарекомендовали себя программы реструктуризации, реализуемые Fannie Mae и Freddie Mac, ориентированные на предупреждение дефолтов по ипотечным кредитам. Важным инструментом является использование цифровых платформ для мониторинга выполнения проектов, что позволяет своевременно корректировать стратегии и минимизировать потери.</w:t>
      </w:r>
    </w:p>
    <w:p w14:paraId="030F0E7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Эффективность применения проектного подхода в США подтверждается снижением уровня дефолтов по ипотечным кредитам и восстановлением стабильности банковских портфелей в посткризисный период.</w:t>
      </w:r>
    </w:p>
    <w:p w14:paraId="73AAA5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странах Азии, таких как Япония и Южная Корея, проектный подход применяется преимущественно для реструктуризации корпоративного сектора [73, 82, 89]. Банки формируют временные проектные команды, которые занимаются анализом финансового состояния компаний-заемщиков, прогнозированием денежных потоков и стресс-тестированием.</w:t>
      </w:r>
    </w:p>
    <w:p w14:paraId="74944C0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Проектный подход позволяет:</w:t>
      </w:r>
    </w:p>
    <w:p w14:paraId="7836477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разрабатывать индивидуальные стратегии реструктуризации для каждого проблемного актива;</w:t>
      </w:r>
    </w:p>
    <w:p w14:paraId="555FA73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минимизировать риск неплатежей через комплексное управление денежными потоками заемщика;</w:t>
      </w:r>
    </w:p>
    <w:p w14:paraId="519F023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поддерживать финансовую устойчивость банковского портфеля и экономическую стабильность компаний.</w:t>
      </w:r>
    </w:p>
    <w:p w14:paraId="5C2496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Применение проектного подхода в азиатских странах продемонстрировало высокую эффективность при реструктуризации крупных корпоративных кредитов и предотвращении системных рисков в банковской системе [83-88].</w:t>
      </w:r>
    </w:p>
    <w:p w14:paraId="02B07D4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Анализ международного опыта показывает, что проектный подход позволяет:</w:t>
      </w:r>
    </w:p>
    <w:p w14:paraId="47C2253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системно управлять проблемными активами;</w:t>
      </w:r>
    </w:p>
    <w:p w14:paraId="7E1B945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разрабатывать индивидуальные стратегии реструктуризации;</w:t>
      </w:r>
    </w:p>
    <w:p w14:paraId="0315BB4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повышать прозрачность и контроль над процессом;</w:t>
      </w:r>
    </w:p>
    <w:p w14:paraId="73BE29C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снижать потери и риски для банков.</w:t>
      </w:r>
    </w:p>
    <w:p w14:paraId="615647E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качестве недостатков проектного подхода можно отметить его высокую стоимость из-за высокой квалификации специалистов, значительных ресурсов и необходимости координации между различными подразделениями банка.</w:t>
      </w:r>
    </w:p>
    <w:p w14:paraId="461092AD">
      <w:pPr>
        <w:spacing w:after="0" w:line="240" w:lineRule="auto"/>
        <w:ind w:firstLine="708"/>
        <w:jc w:val="both"/>
        <w:rPr>
          <w:rFonts w:ascii="Times New Roman" w:hAnsi="Times New Roman" w:cs="Times New Roman"/>
          <w:sz w:val="28"/>
          <w:szCs w:val="28"/>
        </w:rPr>
      </w:pPr>
      <w:r>
        <w:rPr>
          <w:rFonts w:ascii="Times New Roman" w:hAnsi="Times New Roman" w:eastAsia="Times New Roman" w:cs="Times New Roman"/>
          <w:sz w:val="28"/>
          <w:szCs w:val="28"/>
          <w:lang w:eastAsia="zh-CN"/>
        </w:rPr>
        <w:t>Вместе с тем, проектный подход к управлению проблемными активами создает качественно новую модель банковского управления, ориентированную не на пассивную фиксацию убытков, а на целенаправленное восстановление экономической стоимости активов. В отличие от традиционных и процессно-ориентированных моделей, проектный подход является результат-ориентированным и обеспечивает концентрацию ресурсов банка на достижении конкретного экономического результата в оптимальные сроки.</w:t>
      </w:r>
    </w:p>
    <w:p w14:paraId="04D7CE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Показано, что внедрение проектного подхода в управление проблемными активами создает предпосылки для повышения устойчивости банковской системы в целом, поскольку способствует снижению концентрации проблемных активов, высвобождению капитала и восстановлению кредитной активности в отношении реального сектора экономики.</w:t>
      </w:r>
    </w:p>
    <w:p w14:paraId="660926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Следовательно, проектный подход, являясь по сути результат-ориентированным подходом, выступает не как вспомогательный инструмент, а как стратегический элемент современной системы банковского управления проблемными активами. Его применение позволяет трансформировать управление проблемной задолженностью из затратной функции в источник повышения эффективности, что особенно актуально для банков, ориентированных на долгосрочное кредитование реального сектора экономики.</w:t>
      </w:r>
    </w:p>
    <w:p w14:paraId="0808DC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на основе проведенного комплексного анализа факторов формирования неработающих кредитов и оценки существующих методов работы с ними, автором разработана целостная концептуальная модель проектного управления проблемными активами (Рисунок 8). </w:t>
      </w:r>
    </w:p>
    <w:p w14:paraId="570ED7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Предложенный подход, базирующийся на глубокой сегментации заемщиков и интеграции макроэкономических предикторов позволяет трансформировать работу с NPL з реактивного процесса в стратегически управляемую систему. Реализация данной модели обеспечивает не только повышение операционной эффективности взыскания, но и гарантирует успешное завершение проектов с достижением поставленных целей и результатов, направленных на вовлечение в экономический оборот неработающих проблемных активов реального сектора экономики.</w:t>
      </w:r>
    </w:p>
    <w:p w14:paraId="6F7F0C78">
      <w:pPr>
        <w:rPr>
          <w:rFonts w:ascii="Times New Roman" w:hAnsi="Times New Roman" w:cs="Times New Roman"/>
          <w:sz w:val="28"/>
          <w:szCs w:val="28"/>
        </w:rPr>
      </w:pPr>
      <w:r>
        <w:rPr>
          <w:rFonts w:ascii="Times New Roman" w:hAnsi="Times New Roman" w:cs="Times New Roman"/>
          <w:sz w:val="28"/>
          <w:szCs w:val="28"/>
        </w:rPr>
        <w:br w:type="page"/>
      </w:r>
    </w:p>
    <w:p w14:paraId="780E4237">
      <w:pPr>
        <w:spacing w:after="0" w:line="240" w:lineRule="auto"/>
        <w:ind w:firstLine="709"/>
        <w:jc w:val="both"/>
        <w:rPr>
          <w:rFonts w:ascii="Times New Roman" w:hAnsi="Times New Roman" w:cs="Times New Roman"/>
          <w:sz w:val="28"/>
          <w:szCs w:val="28"/>
        </w:rPr>
      </w:pPr>
    </w:p>
    <w:p w14:paraId="560F24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drawing>
          <wp:inline distT="0" distB="0" distL="114300" distR="114300">
            <wp:extent cx="5247005" cy="2962275"/>
            <wp:effectExtent l="0" t="0" r="0" b="9525"/>
            <wp:docPr id="3" name="Изображение 3" descr="Gemini_Generated_Image_ymjs2cymjs2cym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Gemini_Generated_Image_ymjs2cymjs2cymjs"/>
                    <pic:cNvPicPr>
                      <a:picLocks noChangeAspect="1"/>
                    </pic:cNvPicPr>
                  </pic:nvPicPr>
                  <pic:blipFill>
                    <a:blip r:embed="rId20"/>
                    <a:stretch>
                      <a:fillRect/>
                    </a:stretch>
                  </pic:blipFill>
                  <pic:spPr>
                    <a:xfrm>
                      <a:off x="0" y="0"/>
                      <a:ext cx="5247005" cy="2962275"/>
                    </a:xfrm>
                    <a:prstGeom prst="rect">
                      <a:avLst/>
                    </a:prstGeom>
                  </pic:spPr>
                </pic:pic>
              </a:graphicData>
            </a:graphic>
          </wp:inline>
        </w:drawing>
      </w:r>
    </w:p>
    <w:p w14:paraId="1DE8D77C">
      <w:pPr>
        <w:autoSpaceDE w:val="0"/>
        <w:autoSpaceDN w:val="0"/>
        <w:adjustRightInd w:val="0"/>
        <w:spacing w:after="0" w:line="240" w:lineRule="auto"/>
        <w:contextualSpacing/>
        <w:jc w:val="center"/>
        <w:rPr>
          <w:rFonts w:ascii="Times New Roman" w:hAnsi="Times New Roman" w:cs="Times New Roman"/>
          <w:color w:val="000000"/>
          <w:sz w:val="28"/>
          <w:szCs w:val="28"/>
        </w:rPr>
      </w:pPr>
    </w:p>
    <w:p w14:paraId="089F61F4">
      <w:pPr>
        <w:autoSpaceDE w:val="0"/>
        <w:autoSpaceDN w:val="0"/>
        <w:adjustRightInd w:val="0"/>
        <w:spacing w:after="0" w:line="240" w:lineRule="auto"/>
        <w:contextualSpacing/>
        <w:jc w:val="center"/>
        <w:rPr>
          <w:rFonts w:ascii="Times New Roman" w:hAnsi="Times New Roman" w:eastAsia="Times New Roman" w:cs="Times New Roman"/>
          <w:sz w:val="28"/>
          <w:szCs w:val="28"/>
          <w:lang w:eastAsia="zh-CN"/>
        </w:rPr>
      </w:pPr>
      <w:r>
        <w:rPr>
          <w:rFonts w:ascii="Times New Roman" w:hAnsi="Times New Roman" w:cs="Times New Roman"/>
          <w:color w:val="000000"/>
          <w:sz w:val="28"/>
          <w:szCs w:val="28"/>
        </w:rPr>
        <w:t xml:space="preserve">Рисунок 8 - </w:t>
      </w:r>
      <w:r>
        <w:rPr>
          <w:rFonts w:ascii="Times New Roman" w:hAnsi="Times New Roman" w:eastAsia="Times New Roman" w:cs="Times New Roman"/>
          <w:sz w:val="28"/>
          <w:szCs w:val="28"/>
          <w:lang w:eastAsia="zh-CN"/>
        </w:rPr>
        <w:t>Логика исследования и ее связь с защищаемыми</w:t>
      </w:r>
    </w:p>
    <w:p w14:paraId="657D8011">
      <w:pPr>
        <w:autoSpaceDE w:val="0"/>
        <w:autoSpaceDN w:val="0"/>
        <w:adjustRightInd w:val="0"/>
        <w:spacing w:after="0" w:line="240" w:lineRule="auto"/>
        <w:contextualSpacing/>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положениями (составлено автором)</w:t>
      </w:r>
    </w:p>
    <w:p w14:paraId="1AA6EF62">
      <w:pPr>
        <w:autoSpaceDE w:val="0"/>
        <w:autoSpaceDN w:val="0"/>
        <w:adjustRightInd w:val="0"/>
        <w:spacing w:after="0" w:line="240" w:lineRule="auto"/>
        <w:contextualSpacing/>
        <w:jc w:val="center"/>
        <w:rPr>
          <w:rFonts w:ascii="Times New Roman" w:hAnsi="Times New Roman" w:eastAsia="Times New Roman" w:cs="Times New Roman"/>
          <w:sz w:val="28"/>
          <w:szCs w:val="28"/>
          <w:lang w:eastAsia="zh-CN"/>
        </w:rPr>
      </w:pPr>
    </w:p>
    <w:p w14:paraId="113A48F6">
      <w:pPr>
        <w:autoSpaceDE w:val="0"/>
        <w:autoSpaceDN w:val="0"/>
        <w:adjustRightInd w:val="0"/>
        <w:spacing w:after="0" w:line="240" w:lineRule="auto"/>
        <w:contextualSpacing/>
        <w:jc w:val="center"/>
        <w:rPr>
          <w:rFonts w:ascii="Times New Roman" w:hAnsi="Times New Roman" w:eastAsia="Times New Roman" w:cs="Times New Roman"/>
          <w:sz w:val="28"/>
          <w:szCs w:val="28"/>
          <w:lang w:eastAsia="zh-CN"/>
        </w:rPr>
      </w:pPr>
    </w:p>
    <w:p w14:paraId="040DCE5A">
      <w:pPr>
        <w:autoSpaceDE w:val="0"/>
        <w:autoSpaceDN w:val="0"/>
        <w:adjustRightInd w:val="0"/>
        <w:spacing w:after="0" w:line="240" w:lineRule="auto"/>
        <w:contextualSpacing/>
        <w:jc w:val="center"/>
        <w:rPr>
          <w:rFonts w:ascii="Times New Roman" w:hAnsi="Times New Roman" w:eastAsia="Times New Roman" w:cs="Times New Roman"/>
          <w:sz w:val="28"/>
          <w:szCs w:val="28"/>
          <w:lang w:eastAsia="zh-CN"/>
        </w:rPr>
      </w:pPr>
    </w:p>
    <w:p w14:paraId="20B20307">
      <w:pPr>
        <w:autoSpaceDE w:val="0"/>
        <w:autoSpaceDN w:val="0"/>
        <w:adjustRightInd w:val="0"/>
        <w:spacing w:after="0" w:line="240" w:lineRule="auto"/>
        <w:contextualSpacing/>
        <w:jc w:val="center"/>
        <w:rPr>
          <w:rFonts w:ascii="Times New Roman" w:hAnsi="Times New Roman" w:eastAsia="Times New Roman" w:cs="Times New Roman"/>
          <w:sz w:val="28"/>
          <w:szCs w:val="28"/>
          <w:lang w:eastAsia="zh-CN"/>
        </w:rPr>
      </w:pPr>
    </w:p>
    <w:p w14:paraId="682ADD16">
      <w:pPr>
        <w:autoSpaceDE w:val="0"/>
        <w:autoSpaceDN w:val="0"/>
        <w:adjustRightInd w:val="0"/>
        <w:spacing w:after="0" w:line="240" w:lineRule="auto"/>
        <w:contextualSpacing/>
        <w:jc w:val="center"/>
        <w:rPr>
          <w:rFonts w:ascii="Times New Roman" w:hAnsi="Times New Roman" w:eastAsia="Times New Roman" w:cs="Times New Roman"/>
          <w:sz w:val="28"/>
          <w:szCs w:val="28"/>
          <w:lang w:eastAsia="zh-CN"/>
        </w:rPr>
      </w:pPr>
    </w:p>
    <w:p w14:paraId="4F708203">
      <w:pPr>
        <w:autoSpaceDE w:val="0"/>
        <w:autoSpaceDN w:val="0"/>
        <w:adjustRightInd w:val="0"/>
        <w:spacing w:after="0" w:line="240" w:lineRule="auto"/>
        <w:contextualSpacing/>
        <w:jc w:val="center"/>
        <w:rPr>
          <w:rFonts w:ascii="Times New Roman" w:hAnsi="Times New Roman" w:eastAsia="Times New Roman" w:cs="Times New Roman"/>
          <w:sz w:val="28"/>
          <w:szCs w:val="28"/>
          <w:lang w:eastAsia="zh-CN"/>
        </w:rPr>
      </w:pPr>
    </w:p>
    <w:p w14:paraId="2A3891F2">
      <w:pPr>
        <w:autoSpaceDE w:val="0"/>
        <w:autoSpaceDN w:val="0"/>
        <w:adjustRightInd w:val="0"/>
        <w:spacing w:after="0" w:line="240" w:lineRule="auto"/>
        <w:contextualSpacing/>
        <w:jc w:val="center"/>
        <w:rPr>
          <w:rFonts w:ascii="Times New Roman" w:hAnsi="Times New Roman" w:eastAsia="Times New Roman" w:cs="Times New Roman"/>
          <w:sz w:val="28"/>
          <w:szCs w:val="28"/>
          <w:lang w:eastAsia="zh-CN"/>
        </w:rPr>
      </w:pPr>
    </w:p>
    <w:p w14:paraId="5743B71F">
      <w:pPr>
        <w:autoSpaceDE w:val="0"/>
        <w:autoSpaceDN w:val="0"/>
        <w:adjustRightInd w:val="0"/>
        <w:spacing w:after="0" w:line="240" w:lineRule="auto"/>
        <w:contextualSpacing/>
        <w:jc w:val="center"/>
        <w:rPr>
          <w:rFonts w:ascii="Times New Roman" w:hAnsi="Times New Roman" w:eastAsia="Times New Roman" w:cs="Times New Roman"/>
          <w:sz w:val="28"/>
          <w:szCs w:val="28"/>
          <w:lang w:eastAsia="zh-CN"/>
        </w:rPr>
      </w:pPr>
    </w:p>
    <w:p w14:paraId="5BD501AB">
      <w:pPr>
        <w:autoSpaceDE w:val="0"/>
        <w:autoSpaceDN w:val="0"/>
        <w:adjustRightInd w:val="0"/>
        <w:spacing w:after="0" w:line="240" w:lineRule="auto"/>
        <w:contextualSpacing/>
        <w:jc w:val="center"/>
        <w:rPr>
          <w:rFonts w:ascii="Times New Roman" w:hAnsi="Times New Roman" w:eastAsia="Times New Roman" w:cs="Times New Roman"/>
          <w:sz w:val="28"/>
          <w:szCs w:val="28"/>
          <w:lang w:eastAsia="zh-CN"/>
        </w:rPr>
      </w:pPr>
    </w:p>
    <w:p w14:paraId="15ADDC0F">
      <w:pPr>
        <w:autoSpaceDE w:val="0"/>
        <w:autoSpaceDN w:val="0"/>
        <w:adjustRightInd w:val="0"/>
        <w:spacing w:after="0" w:line="240" w:lineRule="auto"/>
        <w:contextualSpacing/>
        <w:jc w:val="center"/>
        <w:rPr>
          <w:rFonts w:ascii="Times New Roman" w:hAnsi="Times New Roman" w:eastAsia="Times New Roman" w:cs="Times New Roman"/>
          <w:sz w:val="28"/>
          <w:szCs w:val="28"/>
          <w:lang w:eastAsia="zh-CN"/>
        </w:rPr>
      </w:pPr>
    </w:p>
    <w:p w14:paraId="49DFE43F">
      <w:pPr>
        <w:autoSpaceDE w:val="0"/>
        <w:autoSpaceDN w:val="0"/>
        <w:adjustRightInd w:val="0"/>
        <w:spacing w:after="0" w:line="240" w:lineRule="auto"/>
        <w:contextualSpacing/>
        <w:jc w:val="center"/>
        <w:rPr>
          <w:rFonts w:ascii="Times New Roman" w:hAnsi="Times New Roman" w:eastAsia="Times New Roman" w:cs="Times New Roman"/>
          <w:sz w:val="28"/>
          <w:szCs w:val="28"/>
          <w:lang w:eastAsia="zh-CN"/>
        </w:rPr>
      </w:pPr>
    </w:p>
    <w:p w14:paraId="2D441297">
      <w:pPr>
        <w:autoSpaceDE w:val="0"/>
        <w:autoSpaceDN w:val="0"/>
        <w:adjustRightInd w:val="0"/>
        <w:spacing w:after="0" w:line="240" w:lineRule="auto"/>
        <w:contextualSpacing/>
        <w:jc w:val="center"/>
        <w:rPr>
          <w:rFonts w:ascii="Times New Roman" w:hAnsi="Times New Roman" w:eastAsia="Times New Roman" w:cs="Times New Roman"/>
          <w:sz w:val="28"/>
          <w:szCs w:val="28"/>
          <w:lang w:eastAsia="zh-CN"/>
        </w:rPr>
      </w:pPr>
    </w:p>
    <w:p w14:paraId="2789EC32">
      <w:pPr>
        <w:autoSpaceDE w:val="0"/>
        <w:autoSpaceDN w:val="0"/>
        <w:adjustRightInd w:val="0"/>
        <w:spacing w:after="0" w:line="240" w:lineRule="auto"/>
        <w:contextualSpacing/>
        <w:jc w:val="center"/>
        <w:rPr>
          <w:rFonts w:ascii="Times New Roman" w:hAnsi="Times New Roman" w:eastAsia="Times New Roman" w:cs="Times New Roman"/>
          <w:sz w:val="28"/>
          <w:szCs w:val="28"/>
          <w:lang w:eastAsia="zh-CN"/>
        </w:rPr>
      </w:pPr>
    </w:p>
    <w:p w14:paraId="7136FC9F">
      <w:pPr>
        <w:autoSpaceDE w:val="0"/>
        <w:autoSpaceDN w:val="0"/>
        <w:adjustRightInd w:val="0"/>
        <w:spacing w:after="0" w:line="240" w:lineRule="auto"/>
        <w:contextualSpacing/>
        <w:jc w:val="center"/>
        <w:rPr>
          <w:rFonts w:ascii="Times New Roman" w:hAnsi="Times New Roman" w:eastAsia="Times New Roman" w:cs="Times New Roman"/>
          <w:sz w:val="28"/>
          <w:szCs w:val="28"/>
          <w:lang w:eastAsia="zh-CN"/>
        </w:rPr>
      </w:pPr>
    </w:p>
    <w:p w14:paraId="65866462">
      <w:pPr>
        <w:autoSpaceDE w:val="0"/>
        <w:autoSpaceDN w:val="0"/>
        <w:adjustRightInd w:val="0"/>
        <w:spacing w:after="0" w:line="240" w:lineRule="auto"/>
        <w:contextualSpacing/>
        <w:jc w:val="center"/>
        <w:rPr>
          <w:rFonts w:ascii="Times New Roman" w:hAnsi="Times New Roman" w:eastAsia="Times New Roman" w:cs="Times New Roman"/>
          <w:sz w:val="28"/>
          <w:szCs w:val="28"/>
          <w:lang w:eastAsia="zh-CN"/>
        </w:rPr>
      </w:pPr>
    </w:p>
    <w:p w14:paraId="6FC5F0EB">
      <w:pPr>
        <w:autoSpaceDE w:val="0"/>
        <w:autoSpaceDN w:val="0"/>
        <w:adjustRightInd w:val="0"/>
        <w:spacing w:after="0" w:line="240" w:lineRule="auto"/>
        <w:contextualSpacing/>
        <w:jc w:val="center"/>
        <w:rPr>
          <w:rFonts w:ascii="Times New Roman" w:hAnsi="Times New Roman" w:eastAsia="Times New Roman" w:cs="Times New Roman"/>
          <w:sz w:val="28"/>
          <w:szCs w:val="28"/>
          <w:lang w:eastAsia="zh-CN"/>
        </w:rPr>
      </w:pPr>
    </w:p>
    <w:p w14:paraId="17B8681A">
      <w:pPr>
        <w:autoSpaceDE w:val="0"/>
        <w:autoSpaceDN w:val="0"/>
        <w:adjustRightInd w:val="0"/>
        <w:spacing w:after="0" w:line="240" w:lineRule="auto"/>
        <w:contextualSpacing/>
        <w:jc w:val="center"/>
        <w:rPr>
          <w:rFonts w:ascii="Times New Roman" w:hAnsi="Times New Roman" w:eastAsia="Times New Roman" w:cs="Times New Roman"/>
          <w:sz w:val="28"/>
          <w:szCs w:val="28"/>
          <w:lang w:eastAsia="zh-CN"/>
        </w:rPr>
      </w:pPr>
    </w:p>
    <w:p w14:paraId="187E6352">
      <w:pPr>
        <w:autoSpaceDE w:val="0"/>
        <w:autoSpaceDN w:val="0"/>
        <w:adjustRightInd w:val="0"/>
        <w:spacing w:after="0" w:line="240" w:lineRule="auto"/>
        <w:contextualSpacing/>
        <w:jc w:val="center"/>
        <w:rPr>
          <w:rFonts w:ascii="Times New Roman" w:hAnsi="Times New Roman" w:eastAsia="Times New Roman" w:cs="Times New Roman"/>
          <w:sz w:val="28"/>
          <w:szCs w:val="28"/>
          <w:lang w:eastAsia="zh-CN"/>
        </w:rPr>
      </w:pPr>
    </w:p>
    <w:p w14:paraId="43B50B45">
      <w:pPr>
        <w:autoSpaceDE w:val="0"/>
        <w:autoSpaceDN w:val="0"/>
        <w:adjustRightInd w:val="0"/>
        <w:spacing w:after="0" w:line="240" w:lineRule="auto"/>
        <w:contextualSpacing/>
        <w:jc w:val="center"/>
        <w:rPr>
          <w:rFonts w:ascii="Times New Roman" w:hAnsi="Times New Roman" w:eastAsia="Times New Roman" w:cs="Times New Roman"/>
          <w:sz w:val="28"/>
          <w:szCs w:val="28"/>
          <w:lang w:eastAsia="zh-CN"/>
        </w:rPr>
      </w:pPr>
    </w:p>
    <w:p w14:paraId="137E1EAD">
      <w:pPr>
        <w:autoSpaceDE w:val="0"/>
        <w:autoSpaceDN w:val="0"/>
        <w:adjustRightInd w:val="0"/>
        <w:spacing w:after="0" w:line="240" w:lineRule="auto"/>
        <w:contextualSpacing/>
        <w:jc w:val="center"/>
        <w:rPr>
          <w:rFonts w:ascii="Times New Roman" w:hAnsi="Times New Roman" w:eastAsia="Times New Roman" w:cs="Times New Roman"/>
          <w:sz w:val="28"/>
          <w:szCs w:val="28"/>
          <w:lang w:eastAsia="zh-CN"/>
        </w:rPr>
      </w:pPr>
    </w:p>
    <w:p w14:paraId="686B86B2">
      <w:pPr>
        <w:autoSpaceDE w:val="0"/>
        <w:autoSpaceDN w:val="0"/>
        <w:adjustRightInd w:val="0"/>
        <w:spacing w:after="0" w:line="240" w:lineRule="auto"/>
        <w:contextualSpacing/>
        <w:jc w:val="center"/>
        <w:rPr>
          <w:rFonts w:ascii="Times New Roman" w:hAnsi="Times New Roman" w:eastAsia="Times New Roman" w:cs="Times New Roman"/>
          <w:sz w:val="28"/>
          <w:szCs w:val="28"/>
          <w:lang w:eastAsia="zh-CN"/>
        </w:rPr>
      </w:pPr>
    </w:p>
    <w:p w14:paraId="001B4F2F">
      <w:pPr>
        <w:autoSpaceDE w:val="0"/>
        <w:autoSpaceDN w:val="0"/>
        <w:adjustRightInd w:val="0"/>
        <w:spacing w:after="0" w:line="240" w:lineRule="auto"/>
        <w:contextualSpacing/>
        <w:jc w:val="center"/>
        <w:rPr>
          <w:rFonts w:ascii="Times New Roman" w:hAnsi="Times New Roman" w:eastAsia="Times New Roman" w:cs="Times New Roman"/>
          <w:sz w:val="28"/>
          <w:szCs w:val="28"/>
          <w:lang w:eastAsia="zh-CN"/>
        </w:rPr>
      </w:pPr>
    </w:p>
    <w:p w14:paraId="32B95C7F">
      <w:pPr>
        <w:autoSpaceDE w:val="0"/>
        <w:autoSpaceDN w:val="0"/>
        <w:adjustRightInd w:val="0"/>
        <w:spacing w:after="0" w:line="240" w:lineRule="auto"/>
        <w:contextualSpacing/>
        <w:jc w:val="center"/>
        <w:rPr>
          <w:rFonts w:ascii="Times New Roman" w:hAnsi="Times New Roman" w:eastAsia="Times New Roman" w:cs="Times New Roman"/>
          <w:sz w:val="28"/>
          <w:szCs w:val="28"/>
          <w:lang w:eastAsia="zh-CN"/>
        </w:rPr>
      </w:pPr>
    </w:p>
    <w:p w14:paraId="0C1E443D">
      <w:pPr>
        <w:autoSpaceDE w:val="0"/>
        <w:autoSpaceDN w:val="0"/>
        <w:adjustRightInd w:val="0"/>
        <w:spacing w:after="0" w:line="240" w:lineRule="auto"/>
        <w:contextualSpacing/>
        <w:jc w:val="center"/>
        <w:rPr>
          <w:rFonts w:ascii="Times New Roman" w:hAnsi="Times New Roman" w:eastAsia="Times New Roman" w:cs="Times New Roman"/>
          <w:sz w:val="28"/>
          <w:szCs w:val="28"/>
          <w:lang w:eastAsia="zh-CN"/>
        </w:rPr>
      </w:pPr>
    </w:p>
    <w:p w14:paraId="002CA0B2">
      <w:pPr>
        <w:autoSpaceDE w:val="0"/>
        <w:autoSpaceDN w:val="0"/>
        <w:adjustRightInd w:val="0"/>
        <w:spacing w:after="0" w:line="240" w:lineRule="auto"/>
        <w:contextualSpacing/>
        <w:jc w:val="center"/>
        <w:rPr>
          <w:rFonts w:ascii="Times New Roman" w:hAnsi="Times New Roman" w:eastAsia="Times New Roman" w:cs="Times New Roman"/>
          <w:sz w:val="28"/>
          <w:szCs w:val="28"/>
          <w:lang w:eastAsia="zh-CN"/>
        </w:rPr>
      </w:pPr>
    </w:p>
    <w:p w14:paraId="4B1D798C">
      <w:pPr>
        <w:autoSpaceDE w:val="0"/>
        <w:autoSpaceDN w:val="0"/>
        <w:adjustRightInd w:val="0"/>
        <w:spacing w:after="0" w:line="240" w:lineRule="auto"/>
        <w:contextualSpacing/>
        <w:jc w:val="center"/>
        <w:rPr>
          <w:rFonts w:ascii="Times New Roman" w:hAnsi="Times New Roman" w:eastAsia="Times New Roman" w:cs="Times New Roman"/>
          <w:sz w:val="28"/>
          <w:szCs w:val="28"/>
          <w:lang w:eastAsia="zh-CN"/>
        </w:rPr>
      </w:pPr>
    </w:p>
    <w:p w14:paraId="7E406525">
      <w:pPr>
        <w:pStyle w:val="2"/>
        <w:spacing w:before="0" w:line="240" w:lineRule="auto"/>
        <w:ind w:firstLine="567"/>
        <w:jc w:val="both"/>
        <w:rPr>
          <w:rFonts w:ascii="Times New Roman" w:hAnsi="Times New Roman" w:cs="Times New Roman"/>
          <w:color w:val="auto"/>
        </w:rPr>
      </w:pPr>
      <w:bookmarkStart w:id="10" w:name="_Toc219671643"/>
      <w:r>
        <w:rPr>
          <w:rFonts w:ascii="Times New Roman" w:hAnsi="Times New Roman" w:cs="Times New Roman"/>
          <w:color w:val="auto"/>
        </w:rPr>
        <w:t>2 АНАЛИЗ СИСТЕМЫ УПРАВЛЕНИЯ ПРОБЛЕМНЫМИ АКТИВАМИ БАНКОВ РЕСПУБЛИКИ КАЗАХСТАН</w:t>
      </w:r>
      <w:bookmarkEnd w:id="10"/>
    </w:p>
    <w:p w14:paraId="077531A2">
      <w:pPr>
        <w:spacing w:after="0" w:line="240" w:lineRule="auto"/>
        <w:jc w:val="center"/>
        <w:rPr>
          <w:rFonts w:ascii="Times New Roman" w:hAnsi="Times New Roman" w:cs="Times New Roman"/>
          <w:b/>
          <w:bCs/>
          <w:sz w:val="28"/>
          <w:szCs w:val="28"/>
        </w:rPr>
      </w:pPr>
    </w:p>
    <w:p w14:paraId="35FDCAA0">
      <w:pPr>
        <w:pStyle w:val="2"/>
        <w:spacing w:before="0" w:line="240" w:lineRule="auto"/>
        <w:ind w:firstLine="567"/>
        <w:jc w:val="both"/>
        <w:rPr>
          <w:rFonts w:ascii="Times New Roman" w:hAnsi="Times New Roman" w:cs="Times New Roman"/>
          <w:color w:val="auto"/>
        </w:rPr>
      </w:pPr>
      <w:bookmarkStart w:id="11" w:name="_Toc219671644"/>
      <w:r>
        <w:rPr>
          <w:rFonts w:ascii="Times New Roman" w:hAnsi="Times New Roman" w:cs="Times New Roman"/>
          <w:color w:val="auto"/>
        </w:rPr>
        <w:t xml:space="preserve">2.1 </w:t>
      </w:r>
      <w:bookmarkEnd w:id="11"/>
      <w:r>
        <w:rPr>
          <w:rFonts w:ascii="Times New Roman" w:hAnsi="Times New Roman" w:cs="Times New Roman"/>
          <w:color w:val="auto"/>
        </w:rPr>
        <w:t>Анализ кредитования реального сектора экономики и его значения в успешной реализации проектов развития</w:t>
      </w:r>
    </w:p>
    <w:p w14:paraId="64532D7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Кредитование реального сектора экономики является одним из ключевых механизмов обеспечения устойчивого экономического роста, модернизации производства и повышения конкурентоспособности национальной экономики. Банковская система, аккумулируя временно свободные финансовые ресурсы, выступает основным источником инвестиционного и оборотного финансирования предприятий реального сектора, что определяет её системообразующую роль в экономике Республики Казахстан. </w:t>
      </w:r>
    </w:p>
    <w:p w14:paraId="6605450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современных условиях развитие банковского кредитования реального сектора Республики Казахстан формируется под воздействием совокупности макроэкономических, институциональных и структурных факторов [90, 92-95]. С одной стороны, сохраняется объективная потребность предприятий в заемных ресурсах для финансирования инвестиционных и текущих проектов, с другой — банки вынуждены учитывать повышенные кредитные риски, что ограничивает масштабы и доступность финансирования (таблица 12). </w:t>
      </w:r>
    </w:p>
    <w:p w14:paraId="73358929">
      <w:pPr>
        <w:spacing w:after="0" w:line="240" w:lineRule="auto"/>
        <w:ind w:firstLine="708"/>
        <w:jc w:val="both"/>
        <w:rPr>
          <w:rFonts w:ascii="Times New Roman" w:hAnsi="Times New Roman" w:cs="Times New Roman"/>
          <w:sz w:val="28"/>
          <w:szCs w:val="28"/>
        </w:rPr>
      </w:pPr>
    </w:p>
    <w:p w14:paraId="67DBDA82">
      <w:pPr>
        <w:spacing w:after="0" w:line="240" w:lineRule="auto"/>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8"/>
          <w:szCs w:val="28"/>
          <w:lang w:eastAsia="zh-CN"/>
        </w:rPr>
        <w:t>Таблица 12 -</w:t>
      </w:r>
      <w:r>
        <w:rPr>
          <w:rFonts w:ascii="Times New Roman" w:hAnsi="Times New Roman" w:eastAsia="Times New Roman" w:cs="Times New Roman"/>
          <w:sz w:val="24"/>
          <w:szCs w:val="24"/>
          <w:lang w:eastAsia="zh-CN"/>
        </w:rPr>
        <w:t xml:space="preserve"> К</w:t>
      </w:r>
      <w:r>
        <w:rPr>
          <w:rFonts w:ascii="Times New Roman" w:hAnsi="Times New Roman" w:eastAsia="Times New Roman" w:cs="Times New Roman"/>
          <w:sz w:val="27"/>
          <w:szCs w:val="27"/>
          <w:lang w:eastAsia="zh-CN"/>
        </w:rPr>
        <w:t>редитование реального сектора экономики Республики Казахстан</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3142"/>
        <w:gridCol w:w="2933"/>
        <w:gridCol w:w="3003"/>
      </w:tblGrid>
      <w:tr w14:paraId="09F35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85AADBA">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Год</w:t>
            </w:r>
          </w:p>
        </w:tc>
        <w:tc>
          <w:tcPr>
            <w:tcW w:w="0" w:type="auto"/>
          </w:tcPr>
          <w:p w14:paraId="49C7A61D">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Кредиты по реальному сектору, трлн тг</w:t>
            </w:r>
          </w:p>
        </w:tc>
        <w:tc>
          <w:tcPr>
            <w:tcW w:w="0" w:type="auto"/>
          </w:tcPr>
          <w:p w14:paraId="0B3C95F5">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Доля долгосрочных кредитов, %</w:t>
            </w:r>
          </w:p>
        </w:tc>
        <w:tc>
          <w:tcPr>
            <w:tcW w:w="0" w:type="auto"/>
          </w:tcPr>
          <w:p w14:paraId="2E518F4D">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Доля проблемных активов (NPA), %</w:t>
            </w:r>
          </w:p>
        </w:tc>
      </w:tr>
      <w:tr w14:paraId="7326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7A0F7DF">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2019</w:t>
            </w:r>
          </w:p>
        </w:tc>
        <w:tc>
          <w:tcPr>
            <w:tcW w:w="0" w:type="auto"/>
          </w:tcPr>
          <w:p w14:paraId="55520758">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13,2</w:t>
            </w:r>
          </w:p>
        </w:tc>
        <w:tc>
          <w:tcPr>
            <w:tcW w:w="0" w:type="auto"/>
          </w:tcPr>
          <w:p w14:paraId="46F092EF">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42</w:t>
            </w:r>
          </w:p>
        </w:tc>
        <w:tc>
          <w:tcPr>
            <w:tcW w:w="0" w:type="auto"/>
          </w:tcPr>
          <w:p w14:paraId="1641BE1B">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8,1</w:t>
            </w:r>
          </w:p>
        </w:tc>
      </w:tr>
      <w:tr w14:paraId="26DCB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54B0693">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2020</w:t>
            </w:r>
          </w:p>
        </w:tc>
        <w:tc>
          <w:tcPr>
            <w:tcW w:w="0" w:type="auto"/>
          </w:tcPr>
          <w:p w14:paraId="1A480C8C">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13,8</w:t>
            </w:r>
          </w:p>
        </w:tc>
        <w:tc>
          <w:tcPr>
            <w:tcW w:w="0" w:type="auto"/>
          </w:tcPr>
          <w:p w14:paraId="591613DA">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40</w:t>
            </w:r>
          </w:p>
        </w:tc>
        <w:tc>
          <w:tcPr>
            <w:tcW w:w="0" w:type="auto"/>
          </w:tcPr>
          <w:p w14:paraId="3F04667D">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9,2</w:t>
            </w:r>
          </w:p>
        </w:tc>
      </w:tr>
      <w:tr w14:paraId="00432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B6C6907">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2021</w:t>
            </w:r>
          </w:p>
        </w:tc>
        <w:tc>
          <w:tcPr>
            <w:tcW w:w="0" w:type="auto"/>
          </w:tcPr>
          <w:p w14:paraId="090630C6">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15,4</w:t>
            </w:r>
          </w:p>
        </w:tc>
        <w:tc>
          <w:tcPr>
            <w:tcW w:w="0" w:type="auto"/>
          </w:tcPr>
          <w:p w14:paraId="4D89DFE4">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38</w:t>
            </w:r>
          </w:p>
        </w:tc>
        <w:tc>
          <w:tcPr>
            <w:tcW w:w="0" w:type="auto"/>
          </w:tcPr>
          <w:p w14:paraId="3D5EFE00">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8,4</w:t>
            </w:r>
          </w:p>
        </w:tc>
      </w:tr>
      <w:tr w14:paraId="4F8D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C34753E">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2022</w:t>
            </w:r>
          </w:p>
        </w:tc>
        <w:tc>
          <w:tcPr>
            <w:tcW w:w="0" w:type="auto"/>
          </w:tcPr>
          <w:p w14:paraId="73828FC8">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17,1</w:t>
            </w:r>
          </w:p>
        </w:tc>
        <w:tc>
          <w:tcPr>
            <w:tcW w:w="0" w:type="auto"/>
          </w:tcPr>
          <w:p w14:paraId="72D2E616">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36</w:t>
            </w:r>
          </w:p>
        </w:tc>
        <w:tc>
          <w:tcPr>
            <w:tcW w:w="0" w:type="auto"/>
          </w:tcPr>
          <w:p w14:paraId="1FD1D2B4">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7,5</w:t>
            </w:r>
          </w:p>
        </w:tc>
      </w:tr>
      <w:tr w14:paraId="1F25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17F4AEF">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2023</w:t>
            </w:r>
          </w:p>
        </w:tc>
        <w:tc>
          <w:tcPr>
            <w:tcW w:w="0" w:type="auto"/>
          </w:tcPr>
          <w:p w14:paraId="3B6AA431">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18,6</w:t>
            </w:r>
          </w:p>
        </w:tc>
        <w:tc>
          <w:tcPr>
            <w:tcW w:w="0" w:type="auto"/>
          </w:tcPr>
          <w:p w14:paraId="0529BEE6">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35</w:t>
            </w:r>
          </w:p>
        </w:tc>
        <w:tc>
          <w:tcPr>
            <w:tcW w:w="0" w:type="auto"/>
          </w:tcPr>
          <w:p w14:paraId="2D8D41E4">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7,1</w:t>
            </w:r>
          </w:p>
        </w:tc>
      </w:tr>
      <w:tr w14:paraId="4B1E9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FBE058D">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2024</w:t>
            </w:r>
          </w:p>
        </w:tc>
        <w:tc>
          <w:tcPr>
            <w:tcW w:w="0" w:type="auto"/>
          </w:tcPr>
          <w:p w14:paraId="37E7EE61">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33,8</w:t>
            </w:r>
          </w:p>
        </w:tc>
        <w:tc>
          <w:tcPr>
            <w:tcW w:w="0" w:type="auto"/>
          </w:tcPr>
          <w:p w14:paraId="57B0D854">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57</w:t>
            </w:r>
          </w:p>
        </w:tc>
        <w:tc>
          <w:tcPr>
            <w:tcW w:w="0" w:type="auto"/>
          </w:tcPr>
          <w:p w14:paraId="3667E73B">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6,7</w:t>
            </w:r>
          </w:p>
        </w:tc>
      </w:tr>
    </w:tbl>
    <w:p w14:paraId="70B9F6F6">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[96]</w:t>
      </w:r>
    </w:p>
    <w:p w14:paraId="22E336AC">
      <w:pPr>
        <w:pStyle w:val="30"/>
        <w:spacing w:before="0" w:beforeAutospacing="0" w:after="0" w:afterAutospacing="0"/>
        <w:ind w:firstLine="709"/>
        <w:jc w:val="both"/>
        <w:rPr>
          <w:sz w:val="28"/>
          <w:szCs w:val="28"/>
        </w:rPr>
      </w:pPr>
    </w:p>
    <w:p w14:paraId="29442A56">
      <w:pPr>
        <w:pStyle w:val="30"/>
        <w:spacing w:before="0" w:beforeAutospacing="0" w:after="0" w:afterAutospacing="0"/>
        <w:ind w:firstLine="709"/>
        <w:jc w:val="both"/>
        <w:rPr>
          <w:sz w:val="28"/>
          <w:szCs w:val="28"/>
        </w:rPr>
      </w:pPr>
      <w:r>
        <w:rPr>
          <w:sz w:val="28"/>
          <w:szCs w:val="28"/>
        </w:rPr>
        <w:t>Представленные данные свидетельствуют о количественном росте кредитования реального сектора, сопровождаемом качественными структурными ограничениями [96, 98]. Несмотря на увеличение совокупного объёма кредитов, наблюдается устойчивая тенденция сокращения доли долгосрочного финансирования, что указывает на ориентацию банков на краткосрочные и менее рискованные инструменты. Одновременно снижение доли проблемных активов обусловлено во многом регуляторно-административными мерами, что не устраняет структурных рисков кредитования реального сектора.</w:t>
      </w:r>
    </w:p>
    <w:p w14:paraId="3718FF88">
      <w:pPr>
        <w:pStyle w:val="30"/>
        <w:spacing w:before="0" w:beforeAutospacing="0" w:after="0" w:afterAutospacing="0"/>
        <w:ind w:firstLine="709"/>
        <w:jc w:val="both"/>
        <w:rPr>
          <w:sz w:val="28"/>
          <w:szCs w:val="28"/>
        </w:rPr>
      </w:pPr>
      <w:r>
        <w:rPr>
          <w:sz w:val="28"/>
          <w:szCs w:val="28"/>
        </w:rPr>
        <w:t>Анализ динамики банковского кредитования показывает, что в последние годы наблюдается умеренный рост совокупного кредитного портфеля, сопровождающийся изменением его структуры в пользу краткосрочного и менее рискованного финансирования. При этом долгосрочное кредитование, критически важное для развития реального сектора, развивается более сдержанными темпами. Данная тенденция во многом обусловлена высокой неопределённостью внешнеэкономической среды, волатильностью цен на сырьевые товары и инфляционными ожиданиями, что усиливает осторожность банков при принятии кредитных решений [93].</w:t>
      </w:r>
    </w:p>
    <w:p w14:paraId="550FD98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Рост объёмов кредитования в 2021–2023 гг. отражает восстановление экономической активности, однако не сопровождается адекватным расширением инвестиционного кредитования, что ограничивает долгосрочный мультипликативный эффект для реального сектора [94]. </w:t>
      </w:r>
    </w:p>
    <w:p w14:paraId="5C18D0B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Снижение доли долгосрочных кредитов с 42 % до 35 % указывает на деформацию структуры банковского финансирования, при которой инвестиционные проекты вытесняются оборотным и торговым кредитованием. Это снижает потенциал технологического обновления и темпы диверсификации экономики [93, 95]. </w:t>
      </w:r>
    </w:p>
    <w:p w14:paraId="3F0B803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Отраслевой анализ кредитования реального сектора свидетельствует о концентрации банковских ресурсов в ограниченном числе экономических направлений, прежде всего в торговле, строительстве и отдельных сегментах промышленности. В то же время финансирование обрабатывающих отраслей, сельского хозяйства и инновационных производств остаётся недостаточным по сравнению с их вкладом в формирование долгосрочного экономического потенциала страны. Это указывает на сохраняющийся дисбаланс между стратегическими приоритетами экономического развития и фактической структурой банковского кредитования. Сокращение доли долгосрочного кредитования в банковской системе Республики Казахстан является результатом сочетания структурных, макроэкономических и институциональных факторов [98-100].  Среди ключевых проблем — дорогие кредиты и ужесточение денежной политики, трудности с привлечением долгосрочных ресурсов, повышение рисков и осторожность банков, а также слабый спрос на длинные кредиты со стороны бизнеса. Эти факторы ограничивают развитие инвестиционного кредитования и насыщенность банковских портфелей качественными долгосрочными активами (таблица 13).</w:t>
      </w:r>
    </w:p>
    <w:p w14:paraId="37430E0F">
      <w:pPr>
        <w:spacing w:after="0" w:line="240" w:lineRule="auto"/>
        <w:ind w:firstLine="708"/>
        <w:jc w:val="both"/>
        <w:rPr>
          <w:rFonts w:ascii="Times New Roman" w:hAnsi="Times New Roman" w:cs="Times New Roman"/>
          <w:sz w:val="28"/>
          <w:szCs w:val="28"/>
        </w:rPr>
      </w:pPr>
    </w:p>
    <w:p w14:paraId="227F18E3">
      <w:pPr>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Таблица 13 - Причины сокращения доли долгосрочного кредитования в Республике Казахстан за период 2019-2023 г.г.</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1"/>
        <w:gridCol w:w="2369"/>
        <w:gridCol w:w="2473"/>
        <w:gridCol w:w="2445"/>
      </w:tblGrid>
      <w:tr w14:paraId="1468B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1" w:type="dxa"/>
          </w:tcPr>
          <w:p w14:paraId="00EA823A">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Группа факторов</w:t>
            </w:r>
          </w:p>
        </w:tc>
        <w:tc>
          <w:tcPr>
            <w:tcW w:w="2369" w:type="dxa"/>
          </w:tcPr>
          <w:p w14:paraId="3F92A2AB">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Причины</w:t>
            </w:r>
          </w:p>
        </w:tc>
        <w:tc>
          <w:tcPr>
            <w:tcW w:w="2473" w:type="dxa"/>
          </w:tcPr>
          <w:p w14:paraId="77774B6B">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Механизм влияния на долгосрочное кредитование</w:t>
            </w:r>
          </w:p>
        </w:tc>
        <w:tc>
          <w:tcPr>
            <w:tcW w:w="2445" w:type="dxa"/>
          </w:tcPr>
          <w:p w14:paraId="3695303F">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Последствия для банков и реального сектора</w:t>
            </w:r>
          </w:p>
        </w:tc>
      </w:tr>
      <w:tr w14:paraId="3788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1" w:type="dxa"/>
          </w:tcPr>
          <w:p w14:paraId="10F8816F">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Макро</w:t>
            </w:r>
          </w:p>
          <w:p w14:paraId="288A4562">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экономические</w:t>
            </w:r>
          </w:p>
        </w:tc>
        <w:tc>
          <w:tcPr>
            <w:tcW w:w="2369" w:type="dxa"/>
          </w:tcPr>
          <w:p w14:paraId="5B949412">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Высокая инфляция, волатильность обменного курса, внешние шоки</w:t>
            </w:r>
          </w:p>
        </w:tc>
        <w:tc>
          <w:tcPr>
            <w:tcW w:w="2473" w:type="dxa"/>
          </w:tcPr>
          <w:p w14:paraId="6E015DB6">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Рост неопределенности долгосрочных прогнозов денежных потоков</w:t>
            </w:r>
          </w:p>
        </w:tc>
        <w:tc>
          <w:tcPr>
            <w:tcW w:w="2445" w:type="dxa"/>
          </w:tcPr>
          <w:p w14:paraId="457513E4">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Снижение инвестиционного спроса, сокращение долгих кредитов</w:t>
            </w:r>
          </w:p>
        </w:tc>
      </w:tr>
    </w:tbl>
    <w:p w14:paraId="1A025997"/>
    <w:p w14:paraId="6733B492">
      <w:pPr>
        <w:spacing w:after="0" w:line="240" w:lineRule="auto"/>
      </w:pPr>
      <w:r>
        <w:t>Продолжение таблицы 13</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1"/>
        <w:gridCol w:w="2369"/>
        <w:gridCol w:w="2473"/>
        <w:gridCol w:w="2445"/>
      </w:tblGrid>
      <w:tr w14:paraId="713B5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1" w:type="dxa"/>
          </w:tcPr>
          <w:p w14:paraId="45A32027">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Монетарные</w:t>
            </w:r>
          </w:p>
        </w:tc>
        <w:tc>
          <w:tcPr>
            <w:tcW w:w="2369" w:type="dxa"/>
          </w:tcPr>
          <w:p w14:paraId="1E154D37">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Повышенный уровень базовой ставки, жесткие денежно-кредитные условия</w:t>
            </w:r>
          </w:p>
        </w:tc>
        <w:tc>
          <w:tcPr>
            <w:tcW w:w="2473" w:type="dxa"/>
          </w:tcPr>
          <w:p w14:paraId="323FF0AD">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Удорожание кредитных ресурсов на длительные сроки</w:t>
            </w:r>
          </w:p>
        </w:tc>
        <w:tc>
          <w:tcPr>
            <w:tcW w:w="2445" w:type="dxa"/>
          </w:tcPr>
          <w:p w14:paraId="5A00F171">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Смещение спроса в пользу краткосрочных и субсидируемых займов</w:t>
            </w:r>
          </w:p>
        </w:tc>
      </w:tr>
      <w:tr w14:paraId="0369E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1" w:type="dxa"/>
          </w:tcPr>
          <w:p w14:paraId="0CC538B8">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Ресурсные (фондирование)</w:t>
            </w:r>
          </w:p>
        </w:tc>
        <w:tc>
          <w:tcPr>
            <w:tcW w:w="2369" w:type="dxa"/>
          </w:tcPr>
          <w:p w14:paraId="051D9EEC">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Доминирование краткосрочных депозитов в пассивах банков</w:t>
            </w:r>
          </w:p>
        </w:tc>
        <w:tc>
          <w:tcPr>
            <w:tcW w:w="2473" w:type="dxa"/>
          </w:tcPr>
          <w:p w14:paraId="5C66806D">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Несоответствие сроков активов и обязательств</w:t>
            </w:r>
          </w:p>
        </w:tc>
        <w:tc>
          <w:tcPr>
            <w:tcW w:w="2445" w:type="dxa"/>
          </w:tcPr>
          <w:p w14:paraId="6359B461">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Ограничение предложения долгосрочных кредитов</w:t>
            </w:r>
          </w:p>
        </w:tc>
      </w:tr>
      <w:tr w14:paraId="5EA9B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1" w:type="dxa"/>
          </w:tcPr>
          <w:p w14:paraId="107C4899">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Риск-ориентированные</w:t>
            </w:r>
          </w:p>
        </w:tc>
        <w:tc>
          <w:tcPr>
            <w:tcW w:w="2369" w:type="dxa"/>
          </w:tcPr>
          <w:p w14:paraId="0AF9D62C">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Рост кредитных рисков и проблемных активов</w:t>
            </w:r>
          </w:p>
        </w:tc>
        <w:tc>
          <w:tcPr>
            <w:tcW w:w="2473" w:type="dxa"/>
          </w:tcPr>
          <w:p w14:paraId="2D9A1F7E">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Консервативная кредитная политика банков</w:t>
            </w:r>
          </w:p>
        </w:tc>
        <w:tc>
          <w:tcPr>
            <w:tcW w:w="2445" w:type="dxa"/>
          </w:tcPr>
          <w:p w14:paraId="0CB6DF85">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Снижение готовности финансировать долгосрочные проекты</w:t>
            </w:r>
          </w:p>
        </w:tc>
      </w:tr>
      <w:tr w14:paraId="757EF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1" w:type="dxa"/>
          </w:tcPr>
          <w:p w14:paraId="2F79B685">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Регуляторные</w:t>
            </w:r>
          </w:p>
        </w:tc>
        <w:tc>
          <w:tcPr>
            <w:tcW w:w="2369" w:type="dxa"/>
          </w:tcPr>
          <w:p w14:paraId="6B5BD884">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Усиление требований к капиталу, ликвидности и резервированию</w:t>
            </w:r>
          </w:p>
        </w:tc>
        <w:tc>
          <w:tcPr>
            <w:tcW w:w="2473" w:type="dxa"/>
          </w:tcPr>
          <w:p w14:paraId="3D8E35BE">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Повышение издержек долгосрочного кредитования</w:t>
            </w:r>
          </w:p>
        </w:tc>
        <w:tc>
          <w:tcPr>
            <w:tcW w:w="2445" w:type="dxa"/>
          </w:tcPr>
          <w:p w14:paraId="13B0822F">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Предпочтение менее капиталоемких кредитных продуктов</w:t>
            </w:r>
          </w:p>
        </w:tc>
      </w:tr>
      <w:tr w14:paraId="0A31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1" w:type="dxa"/>
          </w:tcPr>
          <w:p w14:paraId="229C3033">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Стратегические (банковские)</w:t>
            </w:r>
          </w:p>
        </w:tc>
        <w:tc>
          <w:tcPr>
            <w:tcW w:w="2369" w:type="dxa"/>
          </w:tcPr>
          <w:p w14:paraId="5CF1D723">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Ориентация на розничное и краткосрочное кредитование</w:t>
            </w:r>
          </w:p>
        </w:tc>
        <w:tc>
          <w:tcPr>
            <w:tcW w:w="2473" w:type="dxa"/>
          </w:tcPr>
          <w:p w14:paraId="44D745E9">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Более высокая маржинальность и быстрый оборот капитала</w:t>
            </w:r>
          </w:p>
        </w:tc>
        <w:tc>
          <w:tcPr>
            <w:tcW w:w="2445" w:type="dxa"/>
          </w:tcPr>
          <w:p w14:paraId="11A1E093">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Структурное вытеснение инвестиционного кредитования</w:t>
            </w:r>
          </w:p>
        </w:tc>
      </w:tr>
      <w:tr w14:paraId="4380B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1" w:type="dxa"/>
          </w:tcPr>
          <w:p w14:paraId="1CBAEF0E">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Спрос со стороны бизнеса</w:t>
            </w:r>
          </w:p>
        </w:tc>
        <w:tc>
          <w:tcPr>
            <w:tcW w:w="2369" w:type="dxa"/>
          </w:tcPr>
          <w:p w14:paraId="4A71A508">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Низкая инвестиционная активность, ограниченное число устойчивых проектов</w:t>
            </w:r>
          </w:p>
        </w:tc>
        <w:tc>
          <w:tcPr>
            <w:tcW w:w="2473" w:type="dxa"/>
          </w:tcPr>
          <w:p w14:paraId="04D4FF8C">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Слабый спрос на длинные кредиты</w:t>
            </w:r>
          </w:p>
        </w:tc>
        <w:tc>
          <w:tcPr>
            <w:tcW w:w="2445" w:type="dxa"/>
          </w:tcPr>
          <w:p w14:paraId="7A5C56F4">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Сокращение объемов корпоративного долгосрочного кредитования</w:t>
            </w:r>
          </w:p>
        </w:tc>
      </w:tr>
      <w:tr w14:paraId="17A00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1" w:type="dxa"/>
          </w:tcPr>
          <w:p w14:paraId="3C27ED46">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Институ-</w:t>
            </w:r>
          </w:p>
          <w:p w14:paraId="62C6615B">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циональные</w:t>
            </w:r>
          </w:p>
        </w:tc>
        <w:tc>
          <w:tcPr>
            <w:tcW w:w="2369" w:type="dxa"/>
          </w:tcPr>
          <w:p w14:paraId="6F91D279">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Недостаточное развитие проектного финансирования</w:t>
            </w:r>
          </w:p>
        </w:tc>
        <w:tc>
          <w:tcPr>
            <w:tcW w:w="2473" w:type="dxa"/>
          </w:tcPr>
          <w:p w14:paraId="484453CF">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Отсутствие механизмов сопровождения инвестпроектов</w:t>
            </w:r>
          </w:p>
        </w:tc>
        <w:tc>
          <w:tcPr>
            <w:tcW w:w="2445" w:type="dxa"/>
          </w:tcPr>
          <w:p w14:paraId="004FFCC0">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Рост доли краткосрочных и обеспеченных займов</w:t>
            </w:r>
          </w:p>
        </w:tc>
      </w:tr>
    </w:tbl>
    <w:p w14:paraId="72796248">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[113]</w:t>
      </w:r>
    </w:p>
    <w:p w14:paraId="35BC5F05">
      <w:pPr>
        <w:spacing w:after="0" w:line="240" w:lineRule="auto"/>
        <w:rPr>
          <w:rFonts w:ascii="Times New Roman" w:hAnsi="Times New Roman" w:eastAsia="Times New Roman" w:cs="Times New Roman"/>
          <w:sz w:val="28"/>
          <w:szCs w:val="28"/>
          <w:lang w:eastAsia="zh-CN"/>
        </w:rPr>
      </w:pPr>
    </w:p>
    <w:p w14:paraId="16962068">
      <w:pPr>
        <w:spacing w:after="0" w:line="240" w:lineRule="auto"/>
        <w:ind w:firstLine="709"/>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Сокращение доли долгосрочного кредитования обусловлено совокупным воздействием макроэкономических, ресурсных и институциональных факторов, усиливающих консервативную модель поведения банков.</w:t>
      </w:r>
    </w:p>
    <w:p w14:paraId="1865E43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Кредитование реального сектора экономики Республики Казахстан характеризуется выраженной отраслевой дифференциацией, обусловленной структурой национальной экономики, уровнем рисков, инвестиционными циклами и приоритетами банковской системы [101-104]. Банки второго уровня в наибольшей степени ориентированы на отрасли с высокой оборачиваемостью капитала и прогнозируемыми денежными потоками, тогда как долгосрочное финансирование капиталоемких секторов остается ограниченным. (таблица 14)</w:t>
      </w:r>
    </w:p>
    <w:p w14:paraId="17F1C351">
      <w:pPr>
        <w:spacing w:after="0" w:line="240" w:lineRule="auto"/>
        <w:ind w:firstLine="709"/>
        <w:jc w:val="both"/>
      </w:pPr>
    </w:p>
    <w:p w14:paraId="30DEB505">
      <w:pP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Таблица 14 - Отраслевая структура кредитования реального сектора экономики Республики Казахстан</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7"/>
        <w:gridCol w:w="2483"/>
        <w:gridCol w:w="2479"/>
        <w:gridCol w:w="2365"/>
      </w:tblGrid>
      <w:tr w14:paraId="5B2D6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AD35C4D">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Отрасль экономики</w:t>
            </w:r>
          </w:p>
        </w:tc>
        <w:tc>
          <w:tcPr>
            <w:tcW w:w="0" w:type="auto"/>
          </w:tcPr>
          <w:p w14:paraId="4988EDDC">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Характер кредитования</w:t>
            </w:r>
          </w:p>
        </w:tc>
        <w:tc>
          <w:tcPr>
            <w:tcW w:w="0" w:type="auto"/>
          </w:tcPr>
          <w:p w14:paraId="2519DC60">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Ключевые риски для банков</w:t>
            </w:r>
          </w:p>
        </w:tc>
        <w:tc>
          <w:tcPr>
            <w:tcW w:w="0" w:type="auto"/>
          </w:tcPr>
          <w:p w14:paraId="6C282557">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Особенности и ограничения</w:t>
            </w:r>
          </w:p>
        </w:tc>
      </w:tr>
      <w:tr w14:paraId="3BE1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894028D">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Промышленность (обрабатывающая)</w:t>
            </w:r>
          </w:p>
        </w:tc>
        <w:tc>
          <w:tcPr>
            <w:tcW w:w="0" w:type="auto"/>
          </w:tcPr>
          <w:p w14:paraId="6132C5EB">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Средне- и краткосрочное, преимущественно оборотный капитал</w:t>
            </w:r>
          </w:p>
        </w:tc>
        <w:tc>
          <w:tcPr>
            <w:tcW w:w="0" w:type="auto"/>
          </w:tcPr>
          <w:p w14:paraId="73DFBB62">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Цикличность спроса, высокая капиталоемкость</w:t>
            </w:r>
          </w:p>
        </w:tc>
        <w:tc>
          <w:tcPr>
            <w:tcW w:w="0" w:type="auto"/>
          </w:tcPr>
          <w:p w14:paraId="692497D5">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Ограниченное инвестиционное кредитование</w:t>
            </w:r>
          </w:p>
        </w:tc>
      </w:tr>
      <w:tr w14:paraId="34B6A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EF69A86">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Горнодобывающий сектор</w:t>
            </w:r>
          </w:p>
        </w:tc>
        <w:tc>
          <w:tcPr>
            <w:tcW w:w="0" w:type="auto"/>
          </w:tcPr>
          <w:p w14:paraId="3592F68C">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Ограниченное банковское кредитование</w:t>
            </w:r>
          </w:p>
        </w:tc>
        <w:tc>
          <w:tcPr>
            <w:tcW w:w="0" w:type="auto"/>
          </w:tcPr>
          <w:p w14:paraId="620939F7">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Ценовая волатильность, валютные риски</w:t>
            </w:r>
          </w:p>
        </w:tc>
        <w:tc>
          <w:tcPr>
            <w:tcW w:w="0" w:type="auto"/>
          </w:tcPr>
          <w:p w14:paraId="1701A228">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Преобладание корпоративного и внешнего финансирования</w:t>
            </w:r>
          </w:p>
        </w:tc>
      </w:tr>
      <w:tr w14:paraId="30C71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D6A74C3">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Сельское хозяйство</w:t>
            </w:r>
          </w:p>
        </w:tc>
        <w:tc>
          <w:tcPr>
            <w:tcW w:w="0" w:type="auto"/>
          </w:tcPr>
          <w:p w14:paraId="580E52A0">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Сезонное, субсидируемое кредитование</w:t>
            </w:r>
          </w:p>
        </w:tc>
        <w:tc>
          <w:tcPr>
            <w:tcW w:w="0" w:type="auto"/>
          </w:tcPr>
          <w:p w14:paraId="3884B2A5">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Климатические риски, низкая маржинальность</w:t>
            </w:r>
          </w:p>
        </w:tc>
        <w:tc>
          <w:tcPr>
            <w:tcW w:w="0" w:type="auto"/>
          </w:tcPr>
          <w:p w14:paraId="55C63AB5">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Зависимость от госпрограмм</w:t>
            </w:r>
          </w:p>
        </w:tc>
      </w:tr>
      <w:tr w14:paraId="60F6C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108C163">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Строительство</w:t>
            </w:r>
          </w:p>
        </w:tc>
        <w:tc>
          <w:tcPr>
            <w:tcW w:w="0" w:type="auto"/>
          </w:tcPr>
          <w:p w14:paraId="27EFD832">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Краткосрочное и проектное (ограниченно)</w:t>
            </w:r>
          </w:p>
        </w:tc>
        <w:tc>
          <w:tcPr>
            <w:tcW w:w="0" w:type="auto"/>
          </w:tcPr>
          <w:p w14:paraId="3745B8DA">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Риски незавершенных объектов</w:t>
            </w:r>
          </w:p>
        </w:tc>
        <w:tc>
          <w:tcPr>
            <w:tcW w:w="0" w:type="auto"/>
          </w:tcPr>
          <w:p w14:paraId="08D15000">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Высокая чувствительность к экономическим циклам</w:t>
            </w:r>
          </w:p>
        </w:tc>
      </w:tr>
      <w:tr w14:paraId="59FE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6C144F6">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Торговля</w:t>
            </w:r>
          </w:p>
        </w:tc>
        <w:tc>
          <w:tcPr>
            <w:tcW w:w="0" w:type="auto"/>
          </w:tcPr>
          <w:p w14:paraId="6F7F917E">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Краткосрочное, высокооборотное</w:t>
            </w:r>
          </w:p>
        </w:tc>
        <w:tc>
          <w:tcPr>
            <w:tcW w:w="0" w:type="auto"/>
          </w:tcPr>
          <w:p w14:paraId="0BFD7FFE">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Конкуренция, маржинальные риски</w:t>
            </w:r>
          </w:p>
        </w:tc>
        <w:tc>
          <w:tcPr>
            <w:tcW w:w="0" w:type="auto"/>
          </w:tcPr>
          <w:p w14:paraId="1723F86F">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Приоритетный сектор для банков</w:t>
            </w:r>
          </w:p>
        </w:tc>
      </w:tr>
      <w:tr w14:paraId="72B1B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48A17D3">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Транспорт и логистика</w:t>
            </w:r>
          </w:p>
        </w:tc>
        <w:tc>
          <w:tcPr>
            <w:tcW w:w="0" w:type="auto"/>
          </w:tcPr>
          <w:p w14:paraId="10C0AD35">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Среднесрочное</w:t>
            </w:r>
          </w:p>
        </w:tc>
        <w:tc>
          <w:tcPr>
            <w:tcW w:w="0" w:type="auto"/>
          </w:tcPr>
          <w:p w14:paraId="4AC17C88">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Капиталоемкость, инфраструктурные риски</w:t>
            </w:r>
          </w:p>
        </w:tc>
        <w:tc>
          <w:tcPr>
            <w:tcW w:w="0" w:type="auto"/>
          </w:tcPr>
          <w:p w14:paraId="7BD342AC">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Недостаток долгосрочного фондирования</w:t>
            </w:r>
          </w:p>
        </w:tc>
      </w:tr>
      <w:tr w14:paraId="5B0E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68AC516">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Малый и средний бизнес</w:t>
            </w:r>
          </w:p>
        </w:tc>
        <w:tc>
          <w:tcPr>
            <w:tcW w:w="0" w:type="auto"/>
          </w:tcPr>
          <w:p w14:paraId="34B79B69">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Кратко- и среднесрочное</w:t>
            </w:r>
          </w:p>
        </w:tc>
        <w:tc>
          <w:tcPr>
            <w:tcW w:w="0" w:type="auto"/>
          </w:tcPr>
          <w:p w14:paraId="02D1CA63">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Высокая чувствительность к шокам</w:t>
            </w:r>
          </w:p>
        </w:tc>
        <w:tc>
          <w:tcPr>
            <w:tcW w:w="0" w:type="auto"/>
          </w:tcPr>
          <w:p w14:paraId="454DF721">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Залоговые и институциональные ограничения</w:t>
            </w:r>
          </w:p>
        </w:tc>
      </w:tr>
    </w:tbl>
    <w:p w14:paraId="580C738B">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[103]</w:t>
      </w:r>
    </w:p>
    <w:p w14:paraId="70B974BC">
      <w:pPr>
        <w:spacing w:after="0" w:line="240" w:lineRule="auto"/>
        <w:ind w:firstLine="709"/>
        <w:jc w:val="both"/>
      </w:pPr>
    </w:p>
    <w:p w14:paraId="15C036F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Анализ отраслевой структуры кредитования показывает, что банковские ресурсы в Республике Казахстан концентрируются преимущественно в секторах с высокой оборачиваемостью капитала и краткосрочным финансовым циклом, прежде всего в торговле и услугах. Капиталоёмкие и стратегически значимые отрасли реального сектора, такие как обрабатывающая промышленность, транспорт и сельское хозяйство, получают ограниченный доступ к долгосрочному банковскому финансированию [103]. Данная структура отражает повышенную риск-аверсию банков и ориентацию на минимизацию кредитных рисков в условиях макроэкономической неопределённости. В результате формируется структурный разрыв между инвестиционными потребностями реального сектора и возможностями банковской системы, что сдерживает потенциал устойчивого экономического роста.</w:t>
      </w:r>
    </w:p>
    <w:p w14:paraId="0A08DC6D">
      <w:pPr>
        <w:spacing w:after="0" w:line="240" w:lineRule="auto"/>
        <w:ind w:firstLine="708"/>
        <w:jc w:val="both"/>
        <w:rPr>
          <w:rFonts w:ascii="Times New Roman" w:hAnsi="Times New Roman" w:eastAsia="Times New Roman" w:cs="Times New Roman"/>
          <w:sz w:val="28"/>
          <w:szCs w:val="28"/>
          <w:lang w:eastAsia="zh-CN"/>
        </w:rPr>
      </w:pPr>
    </w:p>
    <w:p w14:paraId="10FCF467">
      <w:pPr>
        <w:pStyle w:val="30"/>
        <w:spacing w:before="0" w:beforeAutospacing="0" w:after="0" w:afterAutospacing="0"/>
      </w:pPr>
      <w:r>
        <w:rPr>
          <w:sz w:val="27"/>
          <w:szCs w:val="27"/>
          <w:lang w:eastAsia="zh-CN"/>
        </w:rPr>
        <w:t>Таблица 15 - Объемы кредитования реального сектора экономики РК в зависимости от отрасли (2024, трлн тг и %)</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39"/>
        <w:gridCol w:w="2238"/>
        <w:gridCol w:w="1372"/>
      </w:tblGrid>
      <w:tr w14:paraId="7DAB7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9" w:type="dxa"/>
          </w:tcPr>
          <w:p w14:paraId="5338CCBD">
            <w:pPr>
              <w:spacing w:after="0" w:line="240" w:lineRule="auto"/>
              <w:jc w:val="center"/>
              <w:rPr>
                <w:rFonts w:ascii="Times New Roman" w:hAnsi="Times New Roman" w:eastAsia="Times New Roman" w:cs="Times New Roman"/>
                <w:b/>
                <w:bCs/>
                <w:sz w:val="28"/>
                <w:szCs w:val="28"/>
                <w:lang w:eastAsia="zh-CN"/>
              </w:rPr>
            </w:pPr>
            <w:r>
              <w:rPr>
                <w:rFonts w:ascii="Times New Roman" w:hAnsi="Times New Roman" w:eastAsia="Times New Roman" w:cs="Times New Roman"/>
                <w:b/>
                <w:bCs/>
                <w:sz w:val="28"/>
                <w:szCs w:val="28"/>
                <w:lang w:eastAsia="zh-CN"/>
              </w:rPr>
              <w:t>Сектор</w:t>
            </w:r>
          </w:p>
        </w:tc>
        <w:tc>
          <w:tcPr>
            <w:tcW w:w="2238" w:type="dxa"/>
          </w:tcPr>
          <w:p w14:paraId="451346C7">
            <w:pPr>
              <w:spacing w:after="0" w:line="240" w:lineRule="auto"/>
              <w:jc w:val="center"/>
              <w:rPr>
                <w:rFonts w:ascii="Times New Roman" w:hAnsi="Times New Roman" w:eastAsia="Times New Roman" w:cs="Times New Roman"/>
                <w:b/>
                <w:bCs/>
                <w:sz w:val="28"/>
                <w:szCs w:val="28"/>
                <w:lang w:eastAsia="zh-CN"/>
              </w:rPr>
            </w:pPr>
            <w:r>
              <w:rPr>
                <w:rFonts w:ascii="Times New Roman" w:hAnsi="Times New Roman" w:eastAsia="Times New Roman" w:cs="Times New Roman"/>
                <w:b/>
                <w:bCs/>
                <w:sz w:val="28"/>
                <w:szCs w:val="28"/>
                <w:lang w:eastAsia="zh-CN"/>
              </w:rPr>
              <w:t>Объём кредитов (трлн тг)</w:t>
            </w:r>
          </w:p>
        </w:tc>
        <w:tc>
          <w:tcPr>
            <w:tcW w:w="1372" w:type="dxa"/>
          </w:tcPr>
          <w:p w14:paraId="0F8F0B26">
            <w:pPr>
              <w:spacing w:after="0" w:line="240" w:lineRule="auto"/>
              <w:jc w:val="center"/>
              <w:rPr>
                <w:rFonts w:ascii="Times New Roman" w:hAnsi="Times New Roman" w:eastAsia="Times New Roman" w:cs="Times New Roman"/>
                <w:b/>
                <w:bCs/>
                <w:sz w:val="28"/>
                <w:szCs w:val="28"/>
                <w:lang w:eastAsia="zh-CN"/>
              </w:rPr>
            </w:pPr>
            <w:r>
              <w:rPr>
                <w:rFonts w:ascii="Times New Roman" w:hAnsi="Times New Roman" w:eastAsia="Times New Roman" w:cs="Times New Roman"/>
                <w:b/>
                <w:bCs/>
                <w:sz w:val="28"/>
                <w:szCs w:val="28"/>
                <w:lang w:eastAsia="zh-CN"/>
              </w:rPr>
              <w:t>Доля, %</w:t>
            </w:r>
          </w:p>
        </w:tc>
      </w:tr>
      <w:tr w14:paraId="1F864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5539" w:type="dxa"/>
          </w:tcPr>
          <w:p w14:paraId="35D67170">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Торговля</w:t>
            </w:r>
          </w:p>
        </w:tc>
        <w:tc>
          <w:tcPr>
            <w:tcW w:w="2238" w:type="dxa"/>
          </w:tcPr>
          <w:p w14:paraId="7ECAA5C8">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8,5</w:t>
            </w:r>
          </w:p>
        </w:tc>
        <w:tc>
          <w:tcPr>
            <w:tcW w:w="1372" w:type="dxa"/>
          </w:tcPr>
          <w:p w14:paraId="3F46F087">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32 %</w:t>
            </w:r>
          </w:p>
        </w:tc>
      </w:tr>
      <w:tr w14:paraId="00D82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5539" w:type="dxa"/>
          </w:tcPr>
          <w:p w14:paraId="7CC866E0">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Строительство</w:t>
            </w:r>
          </w:p>
        </w:tc>
        <w:tc>
          <w:tcPr>
            <w:tcW w:w="2238" w:type="dxa"/>
          </w:tcPr>
          <w:p w14:paraId="2F1F8EF2">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6,2</w:t>
            </w:r>
          </w:p>
        </w:tc>
        <w:tc>
          <w:tcPr>
            <w:tcW w:w="1372" w:type="dxa"/>
          </w:tcPr>
          <w:p w14:paraId="68BB9F38">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23 %</w:t>
            </w:r>
          </w:p>
        </w:tc>
      </w:tr>
      <w:tr w14:paraId="5D982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5539" w:type="dxa"/>
          </w:tcPr>
          <w:p w14:paraId="7F8BD65D">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Промышленность</w:t>
            </w:r>
          </w:p>
        </w:tc>
        <w:tc>
          <w:tcPr>
            <w:tcW w:w="2238" w:type="dxa"/>
          </w:tcPr>
          <w:p w14:paraId="32ABAED0">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5,1</w:t>
            </w:r>
          </w:p>
        </w:tc>
        <w:tc>
          <w:tcPr>
            <w:tcW w:w="1372" w:type="dxa"/>
          </w:tcPr>
          <w:p w14:paraId="7F5E3EB2">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19 %</w:t>
            </w:r>
          </w:p>
        </w:tc>
      </w:tr>
      <w:tr w14:paraId="7A66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539" w:type="dxa"/>
          </w:tcPr>
          <w:p w14:paraId="319F6F16">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Сельское хозяйство</w:t>
            </w:r>
          </w:p>
        </w:tc>
        <w:tc>
          <w:tcPr>
            <w:tcW w:w="2238" w:type="dxa"/>
          </w:tcPr>
          <w:p w14:paraId="4C756546">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2,7</w:t>
            </w:r>
          </w:p>
        </w:tc>
        <w:tc>
          <w:tcPr>
            <w:tcW w:w="1372" w:type="dxa"/>
          </w:tcPr>
          <w:p w14:paraId="4EBB16CE">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10 %</w:t>
            </w:r>
          </w:p>
        </w:tc>
      </w:tr>
      <w:tr w14:paraId="0A40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5539" w:type="dxa"/>
          </w:tcPr>
          <w:p w14:paraId="51A03AD6">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Обрабатывающие отрасли</w:t>
            </w:r>
          </w:p>
        </w:tc>
        <w:tc>
          <w:tcPr>
            <w:tcW w:w="2238" w:type="dxa"/>
          </w:tcPr>
          <w:p w14:paraId="0AFE145D">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1,9</w:t>
            </w:r>
          </w:p>
        </w:tc>
        <w:tc>
          <w:tcPr>
            <w:tcW w:w="1372" w:type="dxa"/>
          </w:tcPr>
          <w:p w14:paraId="505FE77C">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7 %</w:t>
            </w:r>
          </w:p>
        </w:tc>
      </w:tr>
      <w:tr w14:paraId="3FB70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539" w:type="dxa"/>
          </w:tcPr>
          <w:p w14:paraId="63ADD526">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Инновационные производства</w:t>
            </w:r>
          </w:p>
        </w:tc>
        <w:tc>
          <w:tcPr>
            <w:tcW w:w="2238" w:type="dxa"/>
          </w:tcPr>
          <w:p w14:paraId="1ED70885">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1,2</w:t>
            </w:r>
          </w:p>
        </w:tc>
        <w:tc>
          <w:tcPr>
            <w:tcW w:w="1372" w:type="dxa"/>
          </w:tcPr>
          <w:p w14:paraId="3A6E9781">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5 %</w:t>
            </w:r>
          </w:p>
        </w:tc>
      </w:tr>
    </w:tbl>
    <w:p w14:paraId="6C244E40">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[103]</w:t>
      </w:r>
    </w:p>
    <w:p w14:paraId="47DAD9AC">
      <w:pPr>
        <w:pStyle w:val="30"/>
        <w:spacing w:before="0" w:beforeAutospacing="0" w:after="0" w:afterAutospacing="0"/>
        <w:ind w:firstLine="709"/>
        <w:jc w:val="both"/>
        <w:rPr>
          <w:sz w:val="28"/>
          <w:szCs w:val="28"/>
        </w:rPr>
      </w:pPr>
    </w:p>
    <w:p w14:paraId="31DD6F08">
      <w:pPr>
        <w:pStyle w:val="30"/>
        <w:spacing w:before="0" w:beforeAutospacing="0" w:after="0" w:afterAutospacing="0"/>
        <w:ind w:firstLine="709"/>
        <w:jc w:val="both"/>
        <w:rPr>
          <w:sz w:val="28"/>
          <w:szCs w:val="28"/>
        </w:rPr>
      </w:pPr>
      <w:r>
        <w:rPr>
          <w:sz w:val="28"/>
          <w:szCs w:val="28"/>
        </w:rPr>
        <w:t>Данные таблицы 15 демонстрируют распределение объемов кредитования по отдельным отраслям экономики в 2024 году. Самая высокая концентрация кредитных средств зафиксирована в торговле (32 %), строительстве (23 %) и отдельных сегментах промышленности (19 %). Низкие объемы кредитования зафиксированы сельского хозяйства (10 %), обрабатывающих отраслей (7 %) и инновационных производств (5 %) подчёркивает структурный дисбаланс между стратегическими приоритетами экономики и фактической структурой банковского кредитования.</w:t>
      </w:r>
    </w:p>
    <w:p w14:paraId="16F94DB1">
      <w:pPr>
        <w:pStyle w:val="30"/>
        <w:spacing w:before="0" w:beforeAutospacing="0" w:after="0" w:afterAutospacing="0"/>
        <w:ind w:firstLine="709"/>
        <w:jc w:val="both"/>
        <w:rPr>
          <w:sz w:val="28"/>
          <w:szCs w:val="28"/>
        </w:rPr>
      </w:pPr>
      <w:r>
        <w:rPr>
          <w:sz w:val="28"/>
          <w:szCs w:val="28"/>
        </w:rPr>
        <w:t xml:space="preserve">Продолжают испытывать недостаток инвестиционных средств </w:t>
      </w:r>
      <w:r>
        <w:rPr>
          <w:rStyle w:val="14"/>
          <w:b w:val="0"/>
          <w:bCs w:val="0"/>
          <w:sz w:val="28"/>
          <w:szCs w:val="28"/>
        </w:rPr>
        <w:t>малый и средний бизнес</w:t>
      </w:r>
      <w:r>
        <w:rPr>
          <w:sz w:val="28"/>
          <w:szCs w:val="28"/>
        </w:rPr>
        <w:t>, для которых характерна высокая чувствительностью к заемным ресурсам. Несмотря на реализуемые в Казахстане государственные программы поддержки, уровень банковского финансирования МСБ по-прежнему невысок, что связано с нестабильной финансовой устойчивостью заёмщиков, низкой ликвидностью залогового обеспечения и высокими транзакционными издержками для банков [105-106]. В результате значительная часть предприятий МСБ сталкивается с трудностями в привлечении кредитных ресурсов на приемлемых условиях (таблица 16).</w:t>
      </w:r>
    </w:p>
    <w:p w14:paraId="75263339">
      <w:pPr>
        <w:pStyle w:val="30"/>
        <w:spacing w:before="0" w:beforeAutospacing="0" w:after="0" w:afterAutospacing="0"/>
        <w:ind w:firstLine="709"/>
        <w:jc w:val="both"/>
        <w:rPr>
          <w:sz w:val="28"/>
          <w:szCs w:val="28"/>
        </w:rPr>
      </w:pPr>
    </w:p>
    <w:p w14:paraId="55880D30">
      <w:pPr>
        <w:pStyle w:val="30"/>
        <w:spacing w:before="0" w:beforeAutospacing="0" w:after="0" w:afterAutospacing="0"/>
        <w:jc w:val="both"/>
        <w:rPr>
          <w:sz w:val="28"/>
          <w:szCs w:val="28"/>
        </w:rPr>
      </w:pPr>
      <w:r>
        <w:rPr>
          <w:sz w:val="28"/>
          <w:szCs w:val="28"/>
        </w:rPr>
        <w:t xml:space="preserve">Таблица 16 - </w:t>
      </w:r>
      <w:r>
        <w:rPr>
          <w:sz w:val="28"/>
          <w:szCs w:val="28"/>
          <w:lang w:eastAsia="zh-CN"/>
        </w:rPr>
        <w:t>Ключевые показатели и ограничения кредитования малого и среднего бизнеса в РК (2024 г.)</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1"/>
        <w:gridCol w:w="1709"/>
        <w:gridCol w:w="5554"/>
      </w:tblGrid>
      <w:tr w14:paraId="1BAA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F6ED176">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Показатель / Фактор</w:t>
            </w:r>
          </w:p>
        </w:tc>
        <w:tc>
          <w:tcPr>
            <w:tcW w:w="0" w:type="auto"/>
          </w:tcPr>
          <w:p w14:paraId="396692B4">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Значение / Оценка</w:t>
            </w:r>
          </w:p>
        </w:tc>
        <w:tc>
          <w:tcPr>
            <w:tcW w:w="0" w:type="auto"/>
          </w:tcPr>
          <w:p w14:paraId="2F16E061">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 Комментарий</w:t>
            </w:r>
          </w:p>
        </w:tc>
      </w:tr>
      <w:tr w14:paraId="79E4D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DAF2E9A">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Совокупный объём кредитов МСБ</w:t>
            </w:r>
          </w:p>
        </w:tc>
        <w:tc>
          <w:tcPr>
            <w:tcW w:w="0" w:type="auto"/>
          </w:tcPr>
          <w:p w14:paraId="449BCE45">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4,3 трлн тг</w:t>
            </w:r>
          </w:p>
        </w:tc>
        <w:tc>
          <w:tcPr>
            <w:tcW w:w="0" w:type="auto"/>
          </w:tcPr>
          <w:p w14:paraId="2844FE84">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Около 23 % кредитов реального сектора; источник: аналитические данные НБРК</w:t>
            </w:r>
          </w:p>
        </w:tc>
      </w:tr>
    </w:tbl>
    <w:p w14:paraId="5A69ED46">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Продолжение таблицы 16</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1"/>
        <w:gridCol w:w="2373"/>
        <w:gridCol w:w="4930"/>
      </w:tblGrid>
      <w:tr w14:paraId="50ED7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CC0877F">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Доля долгосрочных кредитов МСБ</w:t>
            </w:r>
          </w:p>
        </w:tc>
        <w:tc>
          <w:tcPr>
            <w:tcW w:w="0" w:type="auto"/>
          </w:tcPr>
          <w:p w14:paraId="711AF0A5">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28 %</w:t>
            </w:r>
          </w:p>
        </w:tc>
        <w:tc>
          <w:tcPr>
            <w:tcW w:w="0" w:type="auto"/>
          </w:tcPr>
          <w:p w14:paraId="318EDE28">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Сравнительно низкая доля долгосрочных займов, ориентированных на инвестиции</w:t>
            </w:r>
          </w:p>
        </w:tc>
      </w:tr>
      <w:tr w14:paraId="037AE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083664A">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Средняя процентная ставка</w:t>
            </w:r>
          </w:p>
        </w:tc>
        <w:tc>
          <w:tcPr>
            <w:tcW w:w="0" w:type="auto"/>
          </w:tcPr>
          <w:p w14:paraId="0BF7FFC6">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14,5 %</w:t>
            </w:r>
          </w:p>
        </w:tc>
        <w:tc>
          <w:tcPr>
            <w:tcW w:w="0" w:type="auto"/>
          </w:tcPr>
          <w:p w14:paraId="441C0F12">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Выше среднего по корпоративному сегменту, ограничивает спрос на кредиты</w:t>
            </w:r>
          </w:p>
        </w:tc>
      </w:tr>
      <w:tr w14:paraId="5340B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DAD200E">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Доступность ликвидного залога</w:t>
            </w:r>
          </w:p>
        </w:tc>
        <w:tc>
          <w:tcPr>
            <w:tcW w:w="0" w:type="auto"/>
          </w:tcPr>
          <w:p w14:paraId="15B379E7">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Ограничена</w:t>
            </w:r>
          </w:p>
        </w:tc>
        <w:tc>
          <w:tcPr>
            <w:tcW w:w="0" w:type="auto"/>
          </w:tcPr>
          <w:p w14:paraId="21584AF7">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Большинство МСБ не имеют достаточного залогового обеспечения</w:t>
            </w:r>
          </w:p>
        </w:tc>
      </w:tr>
      <w:tr w14:paraId="4DCE1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53E9E81">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Финансовая устойчивость заемщиков</w:t>
            </w:r>
          </w:p>
        </w:tc>
        <w:tc>
          <w:tcPr>
            <w:tcW w:w="0" w:type="auto"/>
          </w:tcPr>
          <w:p w14:paraId="7E539FF0">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Средняя / низкая</w:t>
            </w:r>
          </w:p>
        </w:tc>
        <w:tc>
          <w:tcPr>
            <w:tcW w:w="0" w:type="auto"/>
          </w:tcPr>
          <w:p w14:paraId="692BBBBD">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Часто недостаточная кредитная история и показатели платежеспособности</w:t>
            </w:r>
          </w:p>
        </w:tc>
      </w:tr>
      <w:tr w14:paraId="09855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7580B4A">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Транзакционные издержки банков</w:t>
            </w:r>
          </w:p>
        </w:tc>
        <w:tc>
          <w:tcPr>
            <w:tcW w:w="0" w:type="auto"/>
          </w:tcPr>
          <w:p w14:paraId="07B60D19">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Высокие</w:t>
            </w:r>
          </w:p>
        </w:tc>
        <w:tc>
          <w:tcPr>
            <w:tcW w:w="0" w:type="auto"/>
          </w:tcPr>
          <w:p w14:paraId="6E212B41">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Усложнённая процедура оценки рисков и управления кредитами МСБ</w:t>
            </w:r>
          </w:p>
        </w:tc>
      </w:tr>
      <w:tr w14:paraId="7D3FE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C9FABBD">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Государственные программы поддержки</w:t>
            </w:r>
          </w:p>
        </w:tc>
        <w:tc>
          <w:tcPr>
            <w:tcW w:w="0" w:type="auto"/>
          </w:tcPr>
          <w:p w14:paraId="748C4C52">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Существуют</w:t>
            </w:r>
          </w:p>
        </w:tc>
        <w:tc>
          <w:tcPr>
            <w:tcW w:w="0" w:type="auto"/>
          </w:tcPr>
          <w:p w14:paraId="4558DDC0">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Фонд «Даму» и государственные гарантийные программы, но охват ограничен</w:t>
            </w:r>
          </w:p>
        </w:tc>
      </w:tr>
      <w:tr w14:paraId="14E38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6B10734">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Основные последствия</w:t>
            </w:r>
          </w:p>
        </w:tc>
        <w:tc>
          <w:tcPr>
            <w:tcW w:w="0" w:type="auto"/>
          </w:tcPr>
          <w:p w14:paraId="206E1D26">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Ограниченный доступ к кредитам</w:t>
            </w:r>
          </w:p>
        </w:tc>
        <w:tc>
          <w:tcPr>
            <w:tcW w:w="0" w:type="auto"/>
          </w:tcPr>
          <w:p w14:paraId="3B610AAE">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Значительная часть МСБ сталкивается с дефицитом финансирования на приемлемых условиях</w:t>
            </w:r>
          </w:p>
        </w:tc>
      </w:tr>
    </w:tbl>
    <w:p w14:paraId="76D18FF7">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[104]</w:t>
      </w:r>
    </w:p>
    <w:p w14:paraId="608CDFDA">
      <w:pPr>
        <w:pStyle w:val="30"/>
        <w:spacing w:before="0" w:beforeAutospacing="0" w:after="0" w:afterAutospacing="0"/>
        <w:ind w:firstLine="709"/>
        <w:jc w:val="both"/>
        <w:rPr>
          <w:sz w:val="28"/>
          <w:szCs w:val="28"/>
        </w:rPr>
      </w:pPr>
    </w:p>
    <w:p w14:paraId="1774A868">
      <w:pPr>
        <w:pStyle w:val="30"/>
        <w:spacing w:before="0" w:beforeAutospacing="0" w:after="0" w:afterAutospacing="0"/>
        <w:ind w:firstLine="709"/>
        <w:jc w:val="both"/>
        <w:rPr>
          <w:sz w:val="28"/>
          <w:szCs w:val="28"/>
        </w:rPr>
      </w:pPr>
      <w:r>
        <w:rPr>
          <w:sz w:val="28"/>
          <w:szCs w:val="28"/>
        </w:rPr>
        <w:t xml:space="preserve">Современное состояние кредитования реального сектора также определяется </w:t>
      </w:r>
      <w:r>
        <w:rPr>
          <w:rStyle w:val="14"/>
          <w:b w:val="0"/>
          <w:bCs w:val="0"/>
          <w:sz w:val="28"/>
          <w:szCs w:val="28"/>
        </w:rPr>
        <w:t>стоимостью заемных ресурсов</w:t>
      </w:r>
      <w:r>
        <w:rPr>
          <w:sz w:val="28"/>
          <w:szCs w:val="28"/>
        </w:rPr>
        <w:t>, формируемой в рамках денежно-кредитной политики. Повышенные процентные ставки, обусловленные инфляционными рисками и жёсткими монетарными условиями, сдерживают инвестиционную активность предприятий и ограничивают спрос на банковские кредиты. Для банков это означает необходимость балансирования между поддержанием прибыльности и управлением кредитными рисками, что нередко приводит к ужесточению кредитных стандартов.</w:t>
      </w:r>
    </w:p>
    <w:p w14:paraId="716D5B12">
      <w:pPr>
        <w:pStyle w:val="30"/>
        <w:spacing w:before="0" w:beforeAutospacing="0" w:after="0" w:afterAutospacing="0"/>
        <w:ind w:firstLine="708"/>
        <w:jc w:val="both"/>
        <w:rPr>
          <w:sz w:val="28"/>
          <w:szCs w:val="28"/>
        </w:rPr>
      </w:pPr>
      <w:r>
        <w:rPr>
          <w:sz w:val="28"/>
          <w:szCs w:val="28"/>
        </w:rPr>
        <w:t xml:space="preserve">Дополнительным фактором, влияющим на развитие кредитования реального сектора, является </w:t>
      </w:r>
      <w:r>
        <w:rPr>
          <w:rStyle w:val="14"/>
          <w:b w:val="0"/>
          <w:bCs w:val="0"/>
          <w:sz w:val="28"/>
          <w:szCs w:val="28"/>
        </w:rPr>
        <w:t>качество кредитного портфеля и уровень проблемных активов [105, 106]</w:t>
      </w:r>
      <w:r>
        <w:rPr>
          <w:b/>
          <w:bCs/>
          <w:sz w:val="28"/>
          <w:szCs w:val="28"/>
        </w:rPr>
        <w:t>.</w:t>
      </w:r>
      <w:r>
        <w:rPr>
          <w:sz w:val="28"/>
          <w:szCs w:val="28"/>
        </w:rPr>
        <w:t xml:space="preserve"> Наличие значительной доли проблемных и потенциально проблемных кредитов вынуждает банки направлять ресурсы на формирование резервов, снижая тем самым возможности расширения нового кредитования. В результате возникает замкнутый цикл, при котором ухудшение качества активов ограничивает кредитную активность банков, что, в свою очередь, негативно отражается на развитии реального сектора экономики.</w:t>
      </w:r>
    </w:p>
    <w:p w14:paraId="0B4BB1B6">
      <w:pPr>
        <w:pStyle w:val="30"/>
        <w:spacing w:before="0" w:beforeAutospacing="0" w:after="0" w:afterAutospacing="0"/>
        <w:ind w:firstLine="708"/>
        <w:jc w:val="both"/>
        <w:rPr>
          <w:sz w:val="28"/>
          <w:szCs w:val="28"/>
        </w:rPr>
      </w:pPr>
      <w:r>
        <w:rPr>
          <w:sz w:val="28"/>
          <w:szCs w:val="28"/>
        </w:rPr>
        <w:t xml:space="preserve">В целом современное состояние кредитования реального сектора экономики Республики Казахстан характеризуется </w:t>
      </w:r>
      <w:r>
        <w:rPr>
          <w:rStyle w:val="14"/>
          <w:b w:val="0"/>
          <w:bCs w:val="0"/>
          <w:sz w:val="28"/>
          <w:szCs w:val="28"/>
        </w:rPr>
        <w:t>противоречивым сочетанием структурной потребности в финансировании и институциональных ограничений со стороны банковской системы</w:t>
      </w:r>
      <w:r>
        <w:rPr>
          <w:sz w:val="28"/>
          <w:szCs w:val="28"/>
        </w:rPr>
        <w:t>. Сохраняется ориентация на относительно низкорискованные сегменты и краткосрочные инструменты, в то время как долгосрочное инвестиционное кредитование развивается недостаточными темпами. Данная ситуация объективно обусловливает необходимость совершенствования механизмов управления кредитными рисками и проблемными активами, а также внедрения инновационных управленческих подходов, в том числе проектного подхода, направленного на повышение эффективности банковского финансирования реального сектора.</w:t>
      </w:r>
    </w:p>
    <w:p w14:paraId="71ED4371">
      <w:pPr>
        <w:pStyle w:val="30"/>
        <w:spacing w:before="0" w:beforeAutospacing="0" w:after="0" w:afterAutospacing="0"/>
        <w:ind w:firstLine="708"/>
        <w:jc w:val="both"/>
        <w:rPr>
          <w:sz w:val="28"/>
          <w:szCs w:val="28"/>
        </w:rPr>
      </w:pPr>
    </w:p>
    <w:p w14:paraId="36414C53">
      <w:pPr>
        <w:pStyle w:val="2"/>
        <w:spacing w:before="0" w:line="240" w:lineRule="auto"/>
        <w:ind w:firstLine="709"/>
        <w:jc w:val="both"/>
        <w:rPr>
          <w:rFonts w:ascii="Times New Roman" w:hAnsi="Times New Roman" w:cs="Times New Roman"/>
          <w:color w:val="auto"/>
        </w:rPr>
      </w:pPr>
      <w:bookmarkStart w:id="12" w:name="_Toc219671645"/>
      <w:r>
        <w:rPr>
          <w:rFonts w:ascii="Times New Roman" w:hAnsi="Times New Roman" w:cs="Times New Roman"/>
          <w:color w:val="auto"/>
        </w:rPr>
        <w:t xml:space="preserve">2.2 </w:t>
      </w:r>
      <w:bookmarkEnd w:id="12"/>
      <w:r>
        <w:rPr>
          <w:rFonts w:ascii="Times New Roman" w:hAnsi="Times New Roman" w:eastAsia="Times New Roman"/>
          <w:color w:val="auto"/>
          <w:lang w:eastAsia="ru-RU"/>
        </w:rPr>
        <w:t>Проблемные активы банков: структура и динамика с учетом проектного подхода</w:t>
      </w:r>
    </w:p>
    <w:p w14:paraId="0219D2D0">
      <w:pPr>
        <w:spacing w:after="0" w:line="240" w:lineRule="auto"/>
        <w:ind w:firstLine="708"/>
        <w:jc w:val="both"/>
        <w:rPr>
          <w:rFonts w:ascii="Times New Roman" w:hAnsi="Times New Roman" w:cs="Times New Roman"/>
          <w:sz w:val="28"/>
          <w:szCs w:val="28"/>
        </w:rPr>
      </w:pPr>
    </w:p>
    <w:p w14:paraId="33B9340E">
      <w:pPr>
        <w:pStyle w:val="30"/>
        <w:spacing w:before="0" w:beforeAutospacing="0" w:after="0" w:afterAutospacing="0"/>
        <w:ind w:firstLine="709"/>
        <w:jc w:val="both"/>
        <w:rPr>
          <w:sz w:val="28"/>
          <w:szCs w:val="28"/>
        </w:rPr>
      </w:pPr>
      <w:r>
        <w:rPr>
          <w:sz w:val="28"/>
          <w:szCs w:val="28"/>
        </w:rPr>
        <w:t>В последние годы банковский сектор Республики Казахстан функционирует в условиях значительных макроэкономических вызовов, вызванных как внутренними, так и внешними факторами. По состоянию на конец 2024 года в стране действовал 21 банк второго уровня, тогда как в 2022 году их насчитывалось 22, а в предыдущие годы – 23 банка [107]. Таким образом, наблюдается тенденция сокращения количества банков вследствие слияний, поглощений и реорганизаций, что соответствует мировой практике укрупнения финансовых институтов и повышения их устойчивости.</w:t>
      </w:r>
    </w:p>
    <w:p w14:paraId="630EC34B">
      <w:pPr>
        <w:pStyle w:val="30"/>
        <w:spacing w:before="0" w:beforeAutospacing="0" w:after="0" w:afterAutospacing="0"/>
        <w:ind w:firstLine="709"/>
        <w:jc w:val="both"/>
        <w:rPr>
          <w:sz w:val="28"/>
          <w:szCs w:val="28"/>
        </w:rPr>
      </w:pPr>
      <w:r>
        <w:rPr>
          <w:sz w:val="28"/>
          <w:szCs w:val="28"/>
        </w:rPr>
        <w:t xml:space="preserve">Согласно официальной статистике АРРФР и Национального Банка Республики Казахстан, в последние годы в банковском секторе страны наблюдается </w:t>
      </w:r>
      <w:r>
        <w:rPr>
          <w:rStyle w:val="14"/>
          <w:b w:val="0"/>
          <w:bCs w:val="0"/>
          <w:sz w:val="28"/>
          <w:szCs w:val="28"/>
        </w:rPr>
        <w:t>снижение доли NPL</w:t>
      </w:r>
      <w:r>
        <w:rPr>
          <w:sz w:val="28"/>
          <w:szCs w:val="28"/>
        </w:rPr>
        <w:t xml:space="preserve"> в совокупном кредитном портфеле, что свидетельствует об улучшении формальных показателей качества активов [108-111]. Данный процесс во многом связан с:</w:t>
      </w:r>
    </w:p>
    <w:p w14:paraId="48670CA8">
      <w:pPr>
        <w:pStyle w:val="30"/>
        <w:spacing w:before="0" w:beforeAutospacing="0" w:after="0" w:afterAutospacing="0"/>
        <w:ind w:left="360"/>
        <w:jc w:val="both"/>
        <w:rPr>
          <w:sz w:val="28"/>
          <w:szCs w:val="28"/>
        </w:rPr>
      </w:pPr>
      <w:r>
        <w:rPr>
          <w:sz w:val="28"/>
          <w:szCs w:val="28"/>
        </w:rPr>
        <w:t>- внедрением требований IFRS 9 и переходом к модели ожидаемых кредитных потерь;</w:t>
      </w:r>
    </w:p>
    <w:p w14:paraId="345D5EE6">
      <w:pPr>
        <w:pStyle w:val="30"/>
        <w:spacing w:before="0" w:beforeAutospacing="0" w:after="0" w:afterAutospacing="0"/>
        <w:ind w:left="360"/>
        <w:jc w:val="both"/>
        <w:rPr>
          <w:sz w:val="28"/>
          <w:szCs w:val="28"/>
        </w:rPr>
      </w:pPr>
      <w:r>
        <w:rPr>
          <w:sz w:val="28"/>
          <w:szCs w:val="28"/>
        </w:rPr>
        <w:t>- реструктуризацией проблемных задолженностей;</w:t>
      </w:r>
    </w:p>
    <w:p w14:paraId="7D0E7D89">
      <w:pPr>
        <w:pStyle w:val="30"/>
        <w:spacing w:before="0" w:beforeAutospacing="0" w:after="0" w:afterAutospacing="0"/>
        <w:ind w:left="360"/>
        <w:jc w:val="both"/>
        <w:rPr>
          <w:sz w:val="28"/>
          <w:szCs w:val="28"/>
        </w:rPr>
      </w:pPr>
      <w:r>
        <w:rPr>
          <w:sz w:val="28"/>
          <w:szCs w:val="28"/>
        </w:rPr>
        <w:t>- списанием безнадёжных активов;</w:t>
      </w:r>
    </w:p>
    <w:p w14:paraId="2FF2E4C3">
      <w:pPr>
        <w:pStyle w:val="30"/>
        <w:spacing w:before="0" w:beforeAutospacing="0" w:after="0" w:afterAutospacing="0"/>
        <w:ind w:left="360"/>
        <w:jc w:val="both"/>
        <w:rPr>
          <w:sz w:val="28"/>
          <w:szCs w:val="28"/>
        </w:rPr>
      </w:pPr>
      <w:r>
        <w:rPr>
          <w:sz w:val="28"/>
          <w:szCs w:val="28"/>
        </w:rPr>
        <w:t>- передачей части проблемных кредитов специализированным структурам.</w:t>
      </w:r>
    </w:p>
    <w:p w14:paraId="143EC736">
      <w:pPr>
        <w:pStyle w:val="30"/>
        <w:spacing w:before="0" w:beforeAutospacing="0" w:after="0" w:afterAutospacing="0"/>
        <w:ind w:firstLine="709"/>
        <w:jc w:val="both"/>
        <w:rPr>
          <w:sz w:val="28"/>
          <w:szCs w:val="28"/>
        </w:rPr>
      </w:pPr>
      <w:r>
        <w:rPr>
          <w:sz w:val="28"/>
          <w:szCs w:val="28"/>
        </w:rPr>
        <w:t xml:space="preserve">В то же время, снижение доли NPL не всегда означает пропорциональное сокращение </w:t>
      </w:r>
      <w:r>
        <w:rPr>
          <w:rStyle w:val="14"/>
          <w:b w:val="0"/>
          <w:bCs w:val="0"/>
          <w:sz w:val="28"/>
          <w:szCs w:val="28"/>
        </w:rPr>
        <w:t>экономически проблемных активов</w:t>
      </w:r>
      <w:r>
        <w:rPr>
          <w:sz w:val="28"/>
          <w:szCs w:val="28"/>
        </w:rPr>
        <w:t>, поскольку часть рисков может оставаться скрытой в сегменте реструктурированных или пролонгированных кредитов. В научной литературе подчёркивается, что формальное улучшение показателей качества активов должно рассматриваться в совокупности с анализом структуры портфеля, уровня резервирования и реальной платёжеспособности заёмщиков [20, 28, 70, 72, 112].</w:t>
      </w:r>
    </w:p>
    <w:p w14:paraId="476D29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Анализ структуры проблемных активов показывает, что наибольшую долю объёма NPL формируют кредиты физическим лицам (около 70% от совокупных NPL), в то время как малые и средние предприятия обеспечивают порядка четверти проблемного портфеля, а доля крупных юридических лиц относительно невелика [113]. Такая концентрация NPL в розничном сегменте формирует специфические риски для банков, связанные с массовой неплатёжеспособностью домохозяйств в периоды ухудшения экономической ситуации. </w:t>
      </w:r>
    </w:p>
    <w:p w14:paraId="41D2676A">
      <w:pPr>
        <w:pStyle w:val="30"/>
        <w:spacing w:before="0" w:beforeAutospacing="0" w:after="0" w:afterAutospacing="0"/>
        <w:ind w:firstLine="708"/>
        <w:jc w:val="both"/>
        <w:rPr>
          <w:sz w:val="28"/>
          <w:szCs w:val="28"/>
        </w:rPr>
      </w:pPr>
      <w:r>
        <w:rPr>
          <w:sz w:val="28"/>
          <w:szCs w:val="28"/>
        </w:rPr>
        <w:t>По официальным статистическим данным доля невозвращаемых (non-performing) кредитов в общем портфеле находится на уровне около 3% — при этом более консервативная оценка по стандартам IFRS (stage-3 / credit impaired) показывает существенно более высокую долю проблемных обязательств, порядка 6–7%, что указывает на различие в методологии признания кредитных потерь и на потенциальные «скрытые» риски в портфелях банков (Рисунок 9).</w:t>
      </w:r>
    </w:p>
    <w:p w14:paraId="3FD617D6">
      <w:pPr>
        <w:spacing w:after="0" w:line="240" w:lineRule="auto"/>
        <w:ind w:firstLine="709"/>
        <w:jc w:val="both"/>
        <w:rPr>
          <w:rFonts w:ascii="Times New Roman" w:hAnsi="Times New Roman" w:cs="Times New Roman"/>
          <w:sz w:val="28"/>
          <w:szCs w:val="28"/>
        </w:rPr>
      </w:pPr>
    </w:p>
    <w:p w14:paraId="135D4DC7">
      <w:pPr>
        <w:spacing w:after="0" w:line="240" w:lineRule="auto"/>
        <w:ind w:firstLine="709"/>
        <w:jc w:val="both"/>
        <w:rPr>
          <w:rFonts w:ascii="Times New Roman" w:hAnsi="Times New Roman" w:cs="Times New Roman"/>
          <w:sz w:val="28"/>
          <w:szCs w:val="28"/>
        </w:rPr>
      </w:pPr>
    </w:p>
    <w:p w14:paraId="7D7D876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drawing>
          <wp:inline distT="0" distB="0" distL="0" distR="0">
            <wp:extent cx="4762500" cy="2141220"/>
            <wp:effectExtent l="0" t="0" r="0" b="0"/>
            <wp:docPr id="112186479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864792" name="Рисунок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4762500" cy="2141220"/>
                    </a:xfrm>
                    <a:prstGeom prst="rect">
                      <a:avLst/>
                    </a:prstGeom>
                    <a:noFill/>
                    <a:ln>
                      <a:noFill/>
                    </a:ln>
                  </pic:spPr>
                </pic:pic>
              </a:graphicData>
            </a:graphic>
          </wp:inline>
        </w:drawing>
      </w:r>
    </w:p>
    <w:p w14:paraId="53BFAE5D">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cs="Times New Roman"/>
          <w:sz w:val="28"/>
          <w:szCs w:val="28"/>
        </w:rPr>
        <w:t>Рисунок 9 - Удельный вес NPL в общем кредитном портфеле</w:t>
      </w:r>
      <w:r>
        <w:rPr>
          <w:rFonts w:ascii="Times New Roman" w:hAnsi="Times New Roman" w:eastAsia="Times New Roman" w:cs="Times New Roman"/>
          <w:sz w:val="28"/>
          <w:szCs w:val="28"/>
          <w:lang w:eastAsia="zh-CN"/>
        </w:rPr>
        <w:t xml:space="preserve"> [114]</w:t>
      </w:r>
    </w:p>
    <w:p w14:paraId="7B91180C">
      <w:pPr>
        <w:spacing w:after="0" w:line="240" w:lineRule="auto"/>
        <w:ind w:firstLine="709"/>
        <w:jc w:val="both"/>
        <w:rPr>
          <w:rFonts w:ascii="Times New Roman" w:hAnsi="Times New Roman" w:cs="Times New Roman"/>
          <w:sz w:val="28"/>
          <w:szCs w:val="28"/>
        </w:rPr>
      </w:pPr>
    </w:p>
    <w:p w14:paraId="085484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Совокупный кредитный портфель казахстанских банков демонстрирует количественный рост и на начало 2024 года составил 30,7 трлн. тенге. При этом объём NPL составлял примерно 958,6 млрд тенге (≈3,1% от портфеля). В сочетании с наблюдаемой динамикой процентных ставок и состоянием корпоративного сектора эти величины требуют постоянного мониторинга и усиления инструментов риск-менеджмента и реструктуризации задолженностей.</w:t>
      </w:r>
    </w:p>
    <w:p w14:paraId="2D7139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данным НБ РК, в последние годы доля NPL в банковской системе Республики Казахстан колебалась в пределах 6–10% общего кредитного портфеля, с тенденцией к постепенному снижению после пика в кризисные периоды [115-117]. Высокий уровень NPL наблюдается преимущественно в корпоративном кредитовании капиталоемких отраслей (промышленность, строительство, сельское хозяйство), где инвестиционные циклы длиннее, а финансовые риски выше.</w:t>
      </w:r>
    </w:p>
    <w:p w14:paraId="6BC55B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сегменте розничного кредитования доля NPL ниже, что связано с относительно коротким сроком кредитов и обеспеченностью активов залогом или страховыми гарантиями.</w:t>
      </w:r>
    </w:p>
    <w:p w14:paraId="0D60A2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данным рейтинговых агентств, включая Fitch Ratings, общий объём неработающих кредитов в банковской системе Казахстана в последние годы колеблется в пределах 600–700 млрд тенге, а объём реструктурированных или стрессовых кредитов оценивается примерно в 3 трлн тенге (Таблица 17) [118]. В качестве ключевых направлений стабилизации сектора рассматриваются слияния и поглощения более мелких и уязвимых участников крупными устойчивыми банками, а также дальнейшее развитие механизмов Фонда проблемных кредитов, который остаётся важным инструментом снижения системных рисков и повышения качества активов банков второго уровня [119].</w:t>
      </w:r>
    </w:p>
    <w:p w14:paraId="4F4B4FB4">
      <w:pPr>
        <w:spacing w:after="0" w:line="240" w:lineRule="auto"/>
        <w:jc w:val="both"/>
        <w:rPr>
          <w:rFonts w:ascii="Times New Roman" w:hAnsi="Times New Roman" w:cs="Times New Roman"/>
          <w:sz w:val="28"/>
          <w:szCs w:val="28"/>
        </w:rPr>
      </w:pPr>
    </w:p>
    <w:p w14:paraId="173D9119">
      <w:pPr>
        <w:spacing w:after="0" w:line="240" w:lineRule="auto"/>
        <w:jc w:val="both"/>
        <w:rPr>
          <w:rFonts w:ascii="Times New Roman" w:hAnsi="Times New Roman" w:eastAsia="Times New Roman" w:cs="Times New Roman"/>
          <w:sz w:val="28"/>
          <w:szCs w:val="28"/>
          <w:lang w:eastAsia="zh-CN"/>
        </w:rPr>
      </w:pPr>
      <w:r>
        <w:rPr>
          <w:rFonts w:ascii="Times New Roman" w:hAnsi="Times New Roman" w:cs="Times New Roman"/>
          <w:sz w:val="28"/>
          <w:szCs w:val="28"/>
        </w:rPr>
        <w:t>Таблица 17 - Динамика уровня неработающих кредитов (NPL) в банковском секторе Республики Казахстан</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16"/>
        <w:gridCol w:w="776"/>
        <w:gridCol w:w="776"/>
        <w:gridCol w:w="776"/>
        <w:gridCol w:w="776"/>
        <w:gridCol w:w="1199"/>
        <w:gridCol w:w="1135"/>
      </w:tblGrid>
      <w:tr w14:paraId="111F2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FF424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Показатель</w:t>
            </w:r>
          </w:p>
        </w:tc>
        <w:tc>
          <w:tcPr>
            <w:tcW w:w="0" w:type="auto"/>
          </w:tcPr>
          <w:p w14:paraId="44237A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2019</w:t>
            </w:r>
          </w:p>
        </w:tc>
        <w:tc>
          <w:tcPr>
            <w:tcW w:w="0" w:type="auto"/>
          </w:tcPr>
          <w:p w14:paraId="201960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2020</w:t>
            </w:r>
          </w:p>
        </w:tc>
        <w:tc>
          <w:tcPr>
            <w:tcW w:w="761" w:type="dxa"/>
          </w:tcPr>
          <w:p w14:paraId="088A9E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2021</w:t>
            </w:r>
          </w:p>
        </w:tc>
        <w:tc>
          <w:tcPr>
            <w:tcW w:w="580" w:type="dxa"/>
          </w:tcPr>
          <w:p w14:paraId="48EA73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2022</w:t>
            </w:r>
          </w:p>
        </w:tc>
        <w:tc>
          <w:tcPr>
            <w:tcW w:w="1199" w:type="dxa"/>
          </w:tcPr>
          <w:p w14:paraId="654CEA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2023</w:t>
            </w:r>
          </w:p>
        </w:tc>
        <w:tc>
          <w:tcPr>
            <w:tcW w:w="1135" w:type="dxa"/>
          </w:tcPr>
          <w:p w14:paraId="52C957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2024</w:t>
            </w:r>
          </w:p>
        </w:tc>
      </w:tr>
      <w:tr w14:paraId="1F28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223B86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Доля NPL в кредитном портфеле, %</w:t>
            </w:r>
          </w:p>
        </w:tc>
        <w:tc>
          <w:tcPr>
            <w:tcW w:w="0" w:type="auto"/>
          </w:tcPr>
          <w:p w14:paraId="5F66C3E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8,1</w:t>
            </w:r>
          </w:p>
        </w:tc>
        <w:tc>
          <w:tcPr>
            <w:tcW w:w="0" w:type="auto"/>
          </w:tcPr>
          <w:p w14:paraId="04773A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9,2</w:t>
            </w:r>
          </w:p>
        </w:tc>
        <w:tc>
          <w:tcPr>
            <w:tcW w:w="761" w:type="dxa"/>
          </w:tcPr>
          <w:p w14:paraId="6CFA24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8,4</w:t>
            </w:r>
          </w:p>
        </w:tc>
        <w:tc>
          <w:tcPr>
            <w:tcW w:w="580" w:type="dxa"/>
          </w:tcPr>
          <w:p w14:paraId="53466D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7,3</w:t>
            </w:r>
          </w:p>
        </w:tc>
        <w:tc>
          <w:tcPr>
            <w:tcW w:w="1199" w:type="dxa"/>
          </w:tcPr>
          <w:p w14:paraId="4FF2122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6,5</w:t>
            </w:r>
          </w:p>
        </w:tc>
        <w:tc>
          <w:tcPr>
            <w:tcW w:w="1135" w:type="dxa"/>
          </w:tcPr>
          <w:p w14:paraId="14AF2B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w:t>
            </w:r>
          </w:p>
        </w:tc>
      </w:tr>
      <w:tr w14:paraId="7649E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BF98E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Объём кредитов экономике, трлн тг</w:t>
            </w:r>
          </w:p>
        </w:tc>
        <w:tc>
          <w:tcPr>
            <w:tcW w:w="0" w:type="auto"/>
          </w:tcPr>
          <w:p w14:paraId="5FD85B3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0" w:type="auto"/>
          </w:tcPr>
          <w:p w14:paraId="0A30DC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14,8</w:t>
            </w:r>
          </w:p>
        </w:tc>
        <w:tc>
          <w:tcPr>
            <w:tcW w:w="761" w:type="dxa"/>
          </w:tcPr>
          <w:p w14:paraId="0F8B9E3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16,2</w:t>
            </w:r>
          </w:p>
        </w:tc>
        <w:tc>
          <w:tcPr>
            <w:tcW w:w="580" w:type="dxa"/>
          </w:tcPr>
          <w:p w14:paraId="7A418C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18,1</w:t>
            </w:r>
          </w:p>
        </w:tc>
        <w:tc>
          <w:tcPr>
            <w:tcW w:w="1199" w:type="dxa"/>
          </w:tcPr>
          <w:p w14:paraId="3FB819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20,3</w:t>
            </w:r>
          </w:p>
        </w:tc>
        <w:tc>
          <w:tcPr>
            <w:tcW w:w="1135" w:type="dxa"/>
          </w:tcPr>
          <w:p w14:paraId="14BB73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33,8</w:t>
            </w:r>
          </w:p>
        </w:tc>
      </w:tr>
      <w:tr w14:paraId="73DF1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C5D3D4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Объём проблемных кредитов, трлн тг</w:t>
            </w:r>
          </w:p>
        </w:tc>
        <w:tc>
          <w:tcPr>
            <w:tcW w:w="0" w:type="auto"/>
          </w:tcPr>
          <w:p w14:paraId="700382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1,10</w:t>
            </w:r>
          </w:p>
        </w:tc>
        <w:tc>
          <w:tcPr>
            <w:tcW w:w="0" w:type="auto"/>
          </w:tcPr>
          <w:p w14:paraId="51B49EA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761" w:type="dxa"/>
          </w:tcPr>
          <w:p w14:paraId="1936A2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580" w:type="dxa"/>
          </w:tcPr>
          <w:p w14:paraId="5FFBD6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1,32</w:t>
            </w:r>
          </w:p>
        </w:tc>
        <w:tc>
          <w:tcPr>
            <w:tcW w:w="1199" w:type="dxa"/>
          </w:tcPr>
          <w:p w14:paraId="5B5C32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1,32</w:t>
            </w:r>
          </w:p>
        </w:tc>
        <w:tc>
          <w:tcPr>
            <w:tcW w:w="1135" w:type="dxa"/>
          </w:tcPr>
          <w:p w14:paraId="7B0E6F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1,13</w:t>
            </w:r>
          </w:p>
        </w:tc>
      </w:tr>
    </w:tbl>
    <w:p w14:paraId="500ED083">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[118]</w:t>
      </w:r>
    </w:p>
    <w:p w14:paraId="63621851">
      <w:pPr>
        <w:pStyle w:val="30"/>
        <w:spacing w:before="0" w:beforeAutospacing="0" w:after="0" w:afterAutospacing="0"/>
        <w:ind w:left="360"/>
        <w:jc w:val="both"/>
        <w:rPr>
          <w:sz w:val="28"/>
          <w:szCs w:val="28"/>
        </w:rPr>
      </w:pPr>
    </w:p>
    <w:p w14:paraId="454BB664">
      <w:pPr>
        <w:pStyle w:val="30"/>
        <w:spacing w:before="0" w:beforeAutospacing="0" w:after="0" w:afterAutospacing="0"/>
        <w:ind w:firstLine="708"/>
        <w:jc w:val="both"/>
        <w:rPr>
          <w:sz w:val="28"/>
          <w:szCs w:val="28"/>
        </w:rPr>
      </w:pPr>
      <w:r>
        <w:rPr>
          <w:sz w:val="28"/>
          <w:szCs w:val="28"/>
        </w:rPr>
        <w:t>Представленные данные свидетельствуют о постепенном снижении доли NPL в банковском секторе Республики Казахстан после пиковых значений 2020 года, что отражает эффект регуляторных мер и реструктуризационных программ. Вместе с тем абсолютный объём проблемных кредитов остаётся значительным, что указывает на структурный характер проблемы и необходимость совершенствования механизмов управления проблемными активами.</w:t>
      </w:r>
    </w:p>
    <w:p w14:paraId="04A0E170">
      <w:pPr>
        <w:pStyle w:val="30"/>
        <w:spacing w:before="0" w:beforeAutospacing="0" w:after="0" w:afterAutospacing="0"/>
        <w:ind w:firstLine="708"/>
        <w:jc w:val="both"/>
        <w:rPr>
          <w:sz w:val="28"/>
          <w:szCs w:val="28"/>
        </w:rPr>
      </w:pPr>
      <w:r>
        <w:rPr>
          <w:sz w:val="28"/>
          <w:szCs w:val="28"/>
        </w:rPr>
        <w:t>Период 2017–2021г.г. оказал наиболее негативное влияние на экономику страны и, в частности, на банковскую систему. Основными факторами нестабильности в эти годы стали снижение мировых цен на нефть в связи с ростом объёмов добычи в мире и укрепление индекса доллара США, что способствовало ослаблению национальной валюты – тенге [120-123]. В данный период нефтяные доходы формировали от 12 до 18 % ВВП Казахстана, а бюджетная зависимость от сырьевого сектора сохранялась на высоком уровне.</w:t>
      </w:r>
    </w:p>
    <w:p w14:paraId="2AF547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Сложившаяся макроэкономическая ситуация отразилась и на финансовой устойчивости банков. В преддверии 2017 г. несколько финансовых институтов оказались в преддефолтном состоянии и аналитики прогнозировали дальнейшее сокращение числа банков через банкротство и поглощения. Особое беспокойство вызвала проблема невозврата кредитов и дефицит ликвидности в коммерческих банках [113]. По оценке агентства Fitch, объём неработающих кредитов за этот период достигал около 600 млрд тенге, а объем реструктурированных и прочих стрессовых кредитов – более 3 трлн тенге. Одним из вариантов решения проблемы стало слияние и поглощение проблемных участников более крупными финансовыми организациями, что позволило укрепить капитализацию и снизить риск системных кризисов [114].</w:t>
      </w:r>
    </w:p>
    <w:p w14:paraId="1EC998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Существенное влияние на экономику оказала также пандемия COVID-19 в 2020–2022 г. г., вызвавшая замедление деловой активности и рост финансовых рисков. К дополнительным негативным факторам можно отнести колебания мировых цен на энергоносители, недостаточную эффективность мер ОПЕК по регулированию добычи нефти, теневую экономику и коррупционные риски, несмотря на меры, предпринимаемые государственными органами по их сокращению [110, 117].</w:t>
      </w:r>
    </w:p>
    <w:p w14:paraId="36FE45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Начиная с 2022 года, наблюдается постепенное восстановление активности банковского сектора. Согласно данным Национального банка РК, в 2023 году активы банков выросли на 15,4 %, а в 2024 г. кредиты экономике достигли 46,7 трлн тенге, показав рост на 23,8 % по сравнению с предыдущим годом. При этом доля неработающих кредитов (NPL) снизилась примерно до 3 % в 2023 г., что существенно лучше показателей предыдущих лет [115-117].</w:t>
      </w:r>
    </w:p>
    <w:p w14:paraId="53C6A0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Наиболее существенное сокращение активов за анализируемый период пришлось на 2018 год, когда в отдельных банках оно достигало 40 %. Так, например, в Банке РБК объём активов снизился с 971,9 до 594,3 млрд тенге в результате передачи проблемных обязательств в специализированную компанию по управлению проблемными активами. Эти меры были необходимы для участия в программах государственной финансовой поддержки банковского сектора и восстановления его платежеспособности.</w:t>
      </w:r>
    </w:p>
    <w:p w14:paraId="060A3E35">
      <w:pPr>
        <w:spacing w:after="0" w:line="240" w:lineRule="auto"/>
        <w:ind w:firstLine="709"/>
        <w:jc w:val="both"/>
        <w:rPr>
          <w:rFonts w:ascii="Times New Roman" w:hAnsi="Times New Roman" w:cs="Times New Roman"/>
          <w:sz w:val="28"/>
          <w:szCs w:val="28"/>
        </w:rPr>
      </w:pPr>
    </w:p>
    <w:p w14:paraId="520129D4">
      <w:pPr>
        <w:spacing w:after="0" w:line="240" w:lineRule="auto"/>
        <w:ind w:firstLine="709"/>
        <w:jc w:val="both"/>
        <w:rPr>
          <w:rFonts w:ascii="Times New Roman" w:hAnsi="Times New Roman" w:cs="Times New Roman"/>
          <w:sz w:val="28"/>
          <w:szCs w:val="28"/>
        </w:rPr>
      </w:pPr>
    </w:p>
    <w:p w14:paraId="11AE9B29">
      <w:pPr>
        <w:spacing w:after="0" w:line="240" w:lineRule="auto"/>
        <w:jc w:val="both"/>
        <w:rPr>
          <w:rFonts w:ascii="Times New Roman" w:hAnsi="Times New Roman" w:cs="Times New Roman"/>
          <w:sz w:val="28"/>
          <w:szCs w:val="28"/>
        </w:rPr>
      </w:pPr>
      <w:r>
        <w:rPr>
          <w:rFonts w:ascii="Times New Roman" w:hAnsi="Times New Roman" w:cs="Times New Roman"/>
          <w:sz w:val="28"/>
          <w:szCs w:val="28"/>
        </w:rPr>
        <w:drawing>
          <wp:inline distT="0" distB="0" distL="0" distR="0">
            <wp:extent cx="5989320" cy="2209800"/>
            <wp:effectExtent l="0" t="0" r="0" b="0"/>
            <wp:docPr id="167106940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069407" name="Рисунок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989320" cy="2209800"/>
                    </a:xfrm>
                    <a:prstGeom prst="rect">
                      <a:avLst/>
                    </a:prstGeom>
                    <a:noFill/>
                    <a:ln>
                      <a:noFill/>
                    </a:ln>
                  </pic:spPr>
                </pic:pic>
              </a:graphicData>
            </a:graphic>
          </wp:inline>
        </w:drawing>
      </w:r>
    </w:p>
    <w:p w14:paraId="72833202">
      <w:pPr>
        <w:pStyle w:val="32"/>
        <w:spacing w:after="0" w:line="240" w:lineRule="auto"/>
        <w:ind w:left="0"/>
        <w:jc w:val="both"/>
        <w:rPr>
          <w:rFonts w:ascii="Times New Roman" w:hAnsi="Times New Roman" w:cs="Times New Roman"/>
          <w:sz w:val="28"/>
          <w:szCs w:val="28"/>
        </w:rPr>
      </w:pPr>
    </w:p>
    <w:p w14:paraId="2E2266D2">
      <w:pPr>
        <w:shd w:val="clear" w:color="auto" w:fill="FFFFFF"/>
        <w:spacing w:after="0" w:line="240" w:lineRule="auto"/>
        <w:ind w:left="43"/>
        <w:jc w:val="center"/>
        <w:rPr>
          <w:rFonts w:ascii="Times New Roman" w:hAnsi="Times New Roman" w:cs="Times New Roman"/>
          <w:sz w:val="28"/>
          <w:szCs w:val="28"/>
        </w:rPr>
      </w:pPr>
      <w:r>
        <w:rPr>
          <w:rFonts w:ascii="Times New Roman" w:hAnsi="Times New Roman" w:cs="Times New Roman"/>
          <w:sz w:val="28"/>
          <w:szCs w:val="28"/>
        </w:rPr>
        <w:t>Рисунок 10 - Активы банков второго уровня РК за период 2015-2024 гг. млрд тенге</w:t>
      </w:r>
    </w:p>
    <w:p w14:paraId="78CF55EF">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[129]</w:t>
      </w:r>
    </w:p>
    <w:p w14:paraId="4520B540">
      <w:pPr>
        <w:spacing w:after="0" w:line="240" w:lineRule="auto"/>
        <w:ind w:firstLine="709"/>
        <w:jc w:val="both"/>
        <w:rPr>
          <w:rFonts w:ascii="Times New Roman" w:hAnsi="Times New Roman" w:cs="Times New Roman"/>
          <w:sz w:val="28"/>
          <w:szCs w:val="28"/>
        </w:rPr>
      </w:pPr>
    </w:p>
    <w:p w14:paraId="12D622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рисунку 10, активы банков второго уровня РК за анализируемый период с 2015 по 2024 гг. выросли на 37,8 трлн тенге, и на 158,8 % в течении девяти лет, т.е. активы банков второго уровня увеличились примерно в 2,6 раза. Но у отдельных банков произошло снижение активов, что привело некоторых из них к ликвидации. Так, заметно снизились активы «Сити-банка Казахстана» (на 63,9 млрд. тг, до 526,9 млрд. тг), а также ДБ «Банк Китая в Казахстане» (на 63,6 млрд. тг, до 190,1 млрд. тг).</w:t>
      </w:r>
    </w:p>
    <w:p w14:paraId="3C0208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результатам 2017 г. наиболее заметное снижение объёма активов наблюдалось у АО «Казкоммерцбанк», что повлекло его слияние с АО «Народный банк Казахстана». Вследствие этих процессов активы Казкомбанка уменьшились на 1 трлн 375,5 млрд тенге, сократившись до 3 492,2 млрд тенге [126, 127]. История данного банка долгое время рассматривалась как пример успешной попытки финансового оздоровления проблемных активов БТА Банка. </w:t>
      </w:r>
    </w:p>
    <w:p w14:paraId="35097A3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Объединение БТА и Казкомбанка в 2016 году изначально рассматривалось как шаг, способный создать значительные синергетические преимущества на рынке. Однако уже к середине 2018 года Казкоммерцбанк, обременённый обязательствами по долгам БТА, был полностью приобретён Народным банком Казахстана. При этом около 60% проблемных активов, унаследованных от БТА, были переданы в Фонд проблемных кредитов, что позволило стабилизировать финансовое состояние объединённого банка и снизить нагрузку на банковскую систему в целом.</w:t>
      </w:r>
    </w:p>
    <w:p w14:paraId="47A344AF">
      <w:pPr>
        <w:spacing w:after="0" w:line="240" w:lineRule="auto"/>
        <w:ind w:firstLine="709"/>
        <w:jc w:val="both"/>
        <w:rPr>
          <w:rFonts w:ascii="Times New Roman" w:hAnsi="Times New Roman" w:cs="Times New Roman"/>
          <w:sz w:val="28"/>
          <w:szCs w:val="28"/>
        </w:rPr>
      </w:pPr>
    </w:p>
    <w:p w14:paraId="5D8ED5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drawing>
          <wp:inline distT="0" distB="0" distL="0" distR="0">
            <wp:extent cx="5958840" cy="2636520"/>
            <wp:effectExtent l="0" t="0" r="0" b="0"/>
            <wp:docPr id="106458117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581173" name="Рисунок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958840" cy="2636520"/>
                    </a:xfrm>
                    <a:prstGeom prst="rect">
                      <a:avLst/>
                    </a:prstGeom>
                    <a:noFill/>
                    <a:ln>
                      <a:noFill/>
                    </a:ln>
                  </pic:spPr>
                </pic:pic>
              </a:graphicData>
            </a:graphic>
          </wp:inline>
        </w:drawing>
      </w:r>
    </w:p>
    <w:p w14:paraId="4B95E76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11 - Качество портфеля по 10 топ- банков по объему ссудного портфеля (</w:t>
      </w:r>
      <w:r>
        <w:rPr>
          <w:rFonts w:ascii="Times New Roman" w:hAnsi="Times New Roman" w:cs="Times New Roman"/>
          <w:i/>
          <w:iCs/>
          <w:sz w:val="28"/>
          <w:szCs w:val="28"/>
        </w:rPr>
        <w:t>данные НБ РК, расчёты THE TENGE</w:t>
      </w:r>
      <w:r>
        <w:rPr>
          <w:rFonts w:ascii="Times New Roman" w:hAnsi="Times New Roman" w:cs="Times New Roman"/>
          <w:sz w:val="28"/>
          <w:szCs w:val="28"/>
        </w:rPr>
        <w:t>)</w:t>
      </w:r>
    </w:p>
    <w:p w14:paraId="50DA7CFB">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[128]</w:t>
      </w:r>
    </w:p>
    <w:p w14:paraId="68F995FA">
      <w:pPr>
        <w:spacing w:after="0" w:line="240" w:lineRule="auto"/>
        <w:jc w:val="both"/>
        <w:rPr>
          <w:rFonts w:ascii="Times New Roman" w:hAnsi="Times New Roman" w:cs="Times New Roman"/>
          <w:sz w:val="28"/>
          <w:szCs w:val="28"/>
        </w:rPr>
      </w:pPr>
    </w:p>
    <w:p w14:paraId="49FB8E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общее снижение совокупных активов банков второго уровня в тот период повлияли также сокращение активов Банка РБК (на 426,7 млрд тенге) и ликвидация Delta Bank.</w:t>
      </w:r>
    </w:p>
    <w:p w14:paraId="528880E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После череды финансовых кризисов и пандемии COVID19, когда активы и ссудный портфель коммерческих банков снижались, в 2021 г. начался постепенный рост совокупных активов БВУ до отметки 31 171,7 млрд. тенге, что на 16,4% превысило аналогичный показатель 2020 г. (26 800,9 млрд. тенге). При этом совокупный кредитный портфель казахстанских банков занял 47,6% от их совокупных активов (Рисунок 12) [128-130].</w:t>
      </w:r>
    </w:p>
    <w:p w14:paraId="59C6BE0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банковской системы Казахстана период 2017-2021 гг. был достаточно сложным: активы и ссудный портфель БВУ сократились, выросли объемы и доля просроченных кредитов, причем все это происходило на фоне слияния банков в условиях масштабной государственной поддержки. По итогам декабря 2017 г. совокупные активы БВУ в РК выросли на 59,1 млрд. тг. (на 0,2%), достигнув суммарного показателя в 24 трлн. 220,5 млрд. тг. </w:t>
      </w:r>
    </w:p>
    <w:p w14:paraId="387488F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Но в целом активы казахстанских коммерческих банков продолжали снижаться, и сокращение по итогам 2017 г. составило 5,2% или 1 трлн 336,3 млрд тг.</w:t>
      </w:r>
    </w:p>
    <w:p w14:paraId="69B6C8E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структуре портфеля займов 2021 г. физическим лицам уровень NPL 90+ составил 5,4%, в структуре займов малому и среднему бизнесу на тот же период– 11,9%, в портфеле займов юридическим лицам – 5%.</w:t>
      </w:r>
    </w:p>
    <w:p w14:paraId="24459A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Тот факт, что количество NPL 90+ за последующий период находилось на низком уровне, не означает улучшения качества ссудного портфеля, т.к. в период локдауна банки массово предоставляли заемщикам отсрочки по кредитам. Т.е. реальное качество кредитного портфеля отличается от представленного в отчётностях банков [79, 112, 130]. </w:t>
      </w:r>
    </w:p>
    <w:p w14:paraId="1D54AC72">
      <w:pPr>
        <w:spacing w:after="0" w:line="240" w:lineRule="auto"/>
        <w:ind w:firstLine="709"/>
        <w:jc w:val="both"/>
        <w:rPr>
          <w:rFonts w:ascii="Times New Roman" w:hAnsi="Times New Roman" w:cs="Times New Roman"/>
          <w:sz w:val="28"/>
          <w:szCs w:val="28"/>
        </w:rPr>
      </w:pPr>
    </w:p>
    <w:p w14:paraId="5468560C">
      <w:pPr>
        <w:spacing w:after="0" w:line="240" w:lineRule="auto"/>
        <w:ind w:firstLine="709"/>
        <w:jc w:val="both"/>
        <w:rPr>
          <w:rFonts w:ascii="Times New Roman" w:hAnsi="Times New Roman" w:cs="Times New Roman"/>
          <w:sz w:val="28"/>
          <w:szCs w:val="28"/>
        </w:rPr>
      </w:pPr>
    </w:p>
    <w:p w14:paraId="41B9F2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drawing>
          <wp:inline distT="0" distB="0" distL="0" distR="0">
            <wp:extent cx="5974080" cy="2979420"/>
            <wp:effectExtent l="0" t="0" r="0" b="0"/>
            <wp:docPr id="83008513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085138" name="Рисунок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974080" cy="2979420"/>
                    </a:xfrm>
                    <a:prstGeom prst="rect">
                      <a:avLst/>
                    </a:prstGeom>
                    <a:noFill/>
                    <a:ln>
                      <a:noFill/>
                    </a:ln>
                  </pic:spPr>
                </pic:pic>
              </a:graphicData>
            </a:graphic>
          </wp:inline>
        </w:drawing>
      </w:r>
    </w:p>
    <w:p w14:paraId="15A7B0DB">
      <w:pPr>
        <w:spacing w:after="0" w:line="240" w:lineRule="auto"/>
        <w:jc w:val="both"/>
        <w:rPr>
          <w:rFonts w:ascii="Times New Roman" w:hAnsi="Times New Roman" w:cs="Times New Roman"/>
          <w:sz w:val="28"/>
          <w:szCs w:val="28"/>
        </w:rPr>
      </w:pPr>
    </w:p>
    <w:p w14:paraId="5D38727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12 - Ссудный портфель банков второго уровня РК за 2015-2024 гг.</w:t>
      </w:r>
    </w:p>
    <w:p w14:paraId="598CF056">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[131]</w:t>
      </w:r>
    </w:p>
    <w:p w14:paraId="0EED05A9">
      <w:pPr>
        <w:spacing w:after="0" w:line="240" w:lineRule="auto"/>
        <w:jc w:val="center"/>
        <w:rPr>
          <w:rFonts w:ascii="Times New Roman" w:hAnsi="Times New Roman" w:cs="Times New Roman"/>
          <w:sz w:val="28"/>
          <w:szCs w:val="28"/>
        </w:rPr>
      </w:pPr>
    </w:p>
    <w:p w14:paraId="35FEE5E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Снижение совокупного ссудного портфеля коммерческих банков в 2017 г. (Рисунок 12) произошло из-за сокращения кредитного портфеля банка с 690,2 до 280,4 млрд. тг.  В рамках Программы повышения финансовой устойчивости банковского сектора РК началась передача токсичных активов в специализированные компании, которые работают по управлению проблемными активами [132]. </w:t>
      </w:r>
    </w:p>
    <w:p w14:paraId="0EC5DF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целом, за период 2017 г. объем кредитов Банка РБК снизился до 472,9 млрд тг, что даже превысило показатели Delta bank (410,7 млрд. тг), но самое значительное сокращение ссудного портфеля произошло в АО «Казкоммерц банк», ссудный портфель которого уменьшился в 2,3 раза (до 1 трлн 601 млрд тг).</w:t>
      </w:r>
    </w:p>
    <w:p w14:paraId="581C07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14:paraId="465940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drawing>
          <wp:inline distT="0" distB="0" distL="0" distR="0">
            <wp:extent cx="5981700" cy="2720340"/>
            <wp:effectExtent l="0" t="0" r="0" b="0"/>
            <wp:docPr id="6937383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738366" name="Рисунок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981700" cy="2720340"/>
                    </a:xfrm>
                    <a:prstGeom prst="rect">
                      <a:avLst/>
                    </a:prstGeom>
                    <a:noFill/>
                    <a:ln>
                      <a:noFill/>
                    </a:ln>
                  </pic:spPr>
                </pic:pic>
              </a:graphicData>
            </a:graphic>
          </wp:inline>
        </w:drawing>
      </w:r>
    </w:p>
    <w:p w14:paraId="691A96C2">
      <w:pPr>
        <w:spacing w:after="0" w:line="240" w:lineRule="auto"/>
        <w:jc w:val="both"/>
        <w:rPr>
          <w:rFonts w:ascii="Times New Roman" w:hAnsi="Times New Roman" w:cs="Times New Roman"/>
          <w:sz w:val="28"/>
          <w:szCs w:val="28"/>
        </w:rPr>
      </w:pPr>
    </w:p>
    <w:p w14:paraId="3C1671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13 - Динамика ссудного портфеля и займов с просроченной задолженностью свыше 90 дней банковского сектора РК за 2020-2025 гг. (млрд тенге)</w:t>
      </w:r>
    </w:p>
    <w:p w14:paraId="441EA9E8">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[131]</w:t>
      </w:r>
    </w:p>
    <w:p w14:paraId="67690451">
      <w:pPr>
        <w:spacing w:after="0" w:line="240" w:lineRule="auto"/>
        <w:ind w:firstLine="709"/>
        <w:jc w:val="both"/>
        <w:rPr>
          <w:rFonts w:ascii="Times New Roman" w:hAnsi="Times New Roman" w:cs="Times New Roman"/>
          <w:sz w:val="28"/>
          <w:szCs w:val="28"/>
        </w:rPr>
      </w:pPr>
    </w:p>
    <w:p w14:paraId="42D78B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Начиная с 2020 г. ссудный портфель банков Казахстана демонстрирует активный рост и к ноябрю 2025 г. и превысил 42, 1 трлн тг.  Качество кредитного портфеля также демонстрирует стабильность: доля NPL 90+ удерживается на низком уровне – 3,4-3,7% (Рисунок 13). </w:t>
      </w:r>
    </w:p>
    <w:p w14:paraId="621D817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состоянию на 1 мая 2025 г. ссудный портфель достиг отметки 37,3 трлн тг, при этом рост составил 21,2% в год. К ноябрю 2025 г. он составил 42,1 трлн тг. На 1 декабря 2025 г. удельный вес NPL 90+ составил 3,7% от ссудного портфеля (1,6 трлн тг). Основной объем неработающих займов пришелся на физических лиц (по состоянию на 1 сентября 2025 г. около 75% или 1071,1 млрд тг). Наибольший объем неработающих займов по состоянию на 01.09. 2025 г. зафиксирован у Kaspi Bank (379,1 млрд тг), Халык банка (329,1 млрд тг) и Евразийского банка (139,6 млрд тг).</w:t>
      </w:r>
    </w:p>
    <w:p w14:paraId="20FC867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целом несмотря на кризисные явления последних лет (пандемия Covid 19, геополитические риски) регулятор сумел сохранить контроль над качеством активов, не допустив критического роста NPL 90+ на фоне бурного кредитования, преимущественно потребительского.    </w:t>
      </w:r>
    </w:p>
    <w:p w14:paraId="12BEC9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После 2023 г. кредитование банками реального сектора экономики Казахстана также демонстрирует активный рост. В 2025 г. был отмечен уверенный рост корпоративного кредитования: в мае 2025 г. кредиты бизнесу выросли на 0,6% и достигли 13,4 трлн тг. При этом росли займы крупному бизнесу, в то время как займы МСБ снижались. Активы банков росли и к июню 2025 достигли 63,4 трлн тг. В качестве положительных моментов необходимо отметить высокое качество ссудного портфеля казахстанских банков, рост чистого кредитования за счет собственных средств банков, несмотря на высокие процентные ставки (более 17%)</w:t>
      </w:r>
      <w:r>
        <w:rPr>
          <w:rFonts w:ascii="Times New Roman" w:hAnsi="Times New Roman" w:cs="Times New Roman"/>
          <w:sz w:val="28"/>
          <w:szCs w:val="28"/>
          <w:highlight w:val="yellow"/>
        </w:rPr>
        <w:t xml:space="preserve">, </w:t>
      </w:r>
      <w:r>
        <w:rPr>
          <w:rFonts w:ascii="Times New Roman" w:hAnsi="Times New Roman" w:cs="Times New Roman"/>
          <w:sz w:val="28"/>
          <w:szCs w:val="28"/>
        </w:rPr>
        <w:t xml:space="preserve">а также переориентацию кредитования реального сектора экономики с программ государственной поддержки на инвестиции за счет собственных капиталов банков.    </w:t>
      </w:r>
    </w:p>
    <w:p w14:paraId="3C54CB35">
      <w:pPr>
        <w:pStyle w:val="30"/>
        <w:spacing w:before="0" w:beforeAutospacing="0" w:after="0" w:afterAutospacing="0"/>
        <w:ind w:firstLine="708"/>
        <w:jc w:val="both"/>
        <w:rPr>
          <w:sz w:val="28"/>
          <w:szCs w:val="28"/>
        </w:rPr>
      </w:pPr>
      <w:r>
        <w:rPr>
          <w:sz w:val="28"/>
          <w:szCs w:val="28"/>
        </w:rPr>
        <w:t>В целом, кредитование реального сектора экономики Республики Казахстан характеризуется положительной динамикой объёмов кредитования на фоне относительной стабилизации показателей качества активов банков. Вместе с тем сохраняется ряд структурных и институциональных ограничений, связанных с концентрацией рисков, неоднородностью отраслевого кредитования и скрытым характером части проблемных активов, что обосновывает необходимость дальнейшего развития методологии управления проблемными активами банков и предопределяет актуальность выбранной темы докторской диссертации.</w:t>
      </w:r>
    </w:p>
    <w:p w14:paraId="1C0488BF">
      <w:pPr>
        <w:pStyle w:val="30"/>
        <w:spacing w:before="0" w:beforeAutospacing="0" w:after="0" w:afterAutospacing="0"/>
        <w:jc w:val="both"/>
        <w:rPr>
          <w:sz w:val="28"/>
          <w:szCs w:val="28"/>
        </w:rPr>
      </w:pPr>
    </w:p>
    <w:p w14:paraId="74FECEB7">
      <w:pPr>
        <w:pStyle w:val="30"/>
        <w:spacing w:before="0" w:beforeAutospacing="0" w:after="0" w:afterAutospacing="0"/>
        <w:ind w:firstLine="426"/>
        <w:jc w:val="both"/>
        <w:outlineLvl w:val="0"/>
        <w:rPr>
          <w:b/>
          <w:bCs/>
          <w:sz w:val="28"/>
          <w:szCs w:val="28"/>
          <w:lang w:eastAsia="zh-CN"/>
        </w:rPr>
      </w:pPr>
      <w:bookmarkStart w:id="13" w:name="_Toc219671646"/>
      <w:r>
        <w:rPr>
          <w:b/>
          <w:bCs/>
          <w:sz w:val="28"/>
          <w:szCs w:val="28"/>
          <w:lang w:eastAsia="zh-CN"/>
        </w:rPr>
        <w:t xml:space="preserve">2.3 </w:t>
      </w:r>
      <w:bookmarkEnd w:id="13"/>
      <w:r>
        <w:rPr>
          <w:b/>
          <w:bCs/>
          <w:sz w:val="28"/>
          <w:szCs w:val="28"/>
          <w:lang w:eastAsia="zh-CN"/>
        </w:rPr>
        <w:t>Оценка действующих моделей управления проблемными активами банков в контексте реализации проектов</w:t>
      </w:r>
    </w:p>
    <w:p w14:paraId="6E4D3FAF">
      <w:pPr>
        <w:pStyle w:val="30"/>
        <w:spacing w:before="0" w:beforeAutospacing="0" w:after="0" w:afterAutospacing="0"/>
        <w:jc w:val="both"/>
        <w:rPr>
          <w:b/>
          <w:bCs/>
          <w:lang w:eastAsia="zh-CN"/>
        </w:rPr>
      </w:pPr>
    </w:p>
    <w:p w14:paraId="24910A7F">
      <w:pPr>
        <w:pStyle w:val="30"/>
        <w:spacing w:before="0" w:beforeAutospacing="0" w:after="0" w:afterAutospacing="0"/>
        <w:ind w:firstLine="708"/>
        <w:jc w:val="both"/>
        <w:rPr>
          <w:sz w:val="28"/>
          <w:szCs w:val="28"/>
        </w:rPr>
      </w:pPr>
      <w:r>
        <w:rPr>
          <w:sz w:val="28"/>
          <w:szCs w:val="28"/>
        </w:rPr>
        <w:t>Современная банковская система Республики Казахстан на протяжении последних лет функционирует в условиях повышенной доли проблемных активов, что обусловлено как макроэкономическими шоками, так и институциональными особенностями кредитования реального сектора экономики. В этой связи ключевым направлением финансовой стабилизации выступает формирование эффективных моделей управления проблемными активами банков второго уровня.</w:t>
      </w:r>
    </w:p>
    <w:p w14:paraId="6B4C6F98">
      <w:pPr>
        <w:pStyle w:val="30"/>
        <w:spacing w:before="0" w:beforeAutospacing="0" w:after="0" w:afterAutospacing="0"/>
        <w:ind w:firstLine="708"/>
        <w:jc w:val="both"/>
        <w:rPr>
          <w:sz w:val="28"/>
          <w:szCs w:val="28"/>
        </w:rPr>
      </w:pPr>
      <w:r>
        <w:rPr>
          <w:sz w:val="28"/>
          <w:szCs w:val="28"/>
        </w:rPr>
        <w:t xml:space="preserve">Современная модель управления проблемными активами банков Республики Казахстан сформировалась под воздействием последовательных финансовых кризисов, структурных дисбалансов экономики и эволюции регуляторной политики государства. В отличие от классических рыночных моделей, казахстанская система управления проблемными активами носит </w:t>
      </w:r>
      <w:r>
        <w:rPr>
          <w:rStyle w:val="14"/>
          <w:b w:val="0"/>
          <w:bCs w:val="0"/>
          <w:sz w:val="28"/>
          <w:szCs w:val="28"/>
        </w:rPr>
        <w:t>смешанный (гибридный) характер</w:t>
      </w:r>
      <w:r>
        <w:rPr>
          <w:sz w:val="28"/>
          <w:szCs w:val="28"/>
        </w:rPr>
        <w:t>, объединяя элементы пассивного банковского управления и активного государственного вмешательства [133]. Схема существующей модели управления проблемными активами банков РК представлена в таблице 18:</w:t>
      </w:r>
    </w:p>
    <w:p w14:paraId="6E6202AB">
      <w:pPr>
        <w:pStyle w:val="30"/>
        <w:spacing w:before="0" w:beforeAutospacing="0" w:after="0" w:afterAutospacing="0"/>
        <w:ind w:firstLine="708"/>
        <w:jc w:val="both"/>
        <w:rPr>
          <w:sz w:val="28"/>
          <w:szCs w:val="28"/>
        </w:rPr>
      </w:pPr>
    </w:p>
    <w:p w14:paraId="0B042F75">
      <w:pPr>
        <w:pStyle w:val="30"/>
        <w:spacing w:before="0" w:beforeAutospacing="0" w:after="0" w:afterAutospacing="0"/>
        <w:jc w:val="both"/>
        <w:rPr>
          <w:sz w:val="28"/>
          <w:szCs w:val="28"/>
        </w:rPr>
      </w:pPr>
      <w:r>
        <w:rPr>
          <w:sz w:val="28"/>
          <w:szCs w:val="28"/>
        </w:rPr>
        <w:t xml:space="preserve">Таблица 18 - Существующая модель управления проблемными активами банков РК </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8"/>
        <w:gridCol w:w="4760"/>
      </w:tblGrid>
      <w:tr w14:paraId="263A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6" w:hRule="atLeast"/>
        </w:trPr>
        <w:tc>
          <w:tcPr>
            <w:tcW w:w="4868" w:type="dxa"/>
            <w:tcBorders>
              <w:bottom w:val="single" w:color="auto" w:sz="4" w:space="0"/>
            </w:tcBorders>
          </w:tcPr>
          <w:p w14:paraId="3A9D5965">
            <w:pPr>
              <w:pStyle w:val="30"/>
              <w:numPr>
                <w:ilvl w:val="0"/>
                <w:numId w:val="11"/>
              </w:numPr>
              <w:spacing w:before="0" w:beforeAutospacing="0" w:after="0" w:afterAutospacing="0"/>
              <w:rPr>
                <w:sz w:val="28"/>
                <w:szCs w:val="28"/>
              </w:rPr>
            </w:pPr>
            <w:r>
              <w:rPr>
                <w:rStyle w:val="14"/>
                <w:b w:val="0"/>
                <w:bCs w:val="0"/>
                <w:sz w:val="28"/>
                <w:szCs w:val="28"/>
              </w:rPr>
              <w:t>Макроуровень (НБРК)</w:t>
            </w:r>
            <w:r>
              <w:rPr>
                <w:sz w:val="28"/>
                <w:szCs w:val="28"/>
              </w:rPr>
              <w:br w:type="textWrapping"/>
            </w:r>
            <w:r>
              <w:rPr>
                <w:sz w:val="28"/>
                <w:szCs w:val="28"/>
              </w:rPr>
              <w:t>→ регуляторные требования</w:t>
            </w:r>
            <w:r>
              <w:rPr>
                <w:sz w:val="28"/>
                <w:szCs w:val="28"/>
              </w:rPr>
              <w:br w:type="textWrapping"/>
            </w:r>
            <w:r>
              <w:rPr>
                <w:sz w:val="28"/>
                <w:szCs w:val="28"/>
              </w:rPr>
              <w:t>→ надзор и контроль</w:t>
            </w:r>
            <w:r>
              <w:rPr>
                <w:sz w:val="28"/>
                <w:szCs w:val="28"/>
              </w:rPr>
              <w:br w:type="textWrapping"/>
            </w:r>
            <w:r>
              <w:rPr>
                <w:sz w:val="28"/>
                <w:szCs w:val="28"/>
              </w:rPr>
              <w:t>→ корректирующие меры</w:t>
            </w:r>
          </w:p>
          <w:p w14:paraId="417B52E1">
            <w:pPr>
              <w:pStyle w:val="30"/>
              <w:spacing w:before="0" w:beforeAutospacing="0" w:after="0" w:afterAutospacing="0"/>
              <w:jc w:val="both"/>
              <w:rPr>
                <w:sz w:val="28"/>
                <w:szCs w:val="28"/>
              </w:rPr>
            </w:pPr>
          </w:p>
        </w:tc>
        <w:tc>
          <w:tcPr>
            <w:tcW w:w="4760" w:type="dxa"/>
            <w:tcBorders>
              <w:bottom w:val="single" w:color="auto" w:sz="4" w:space="0"/>
            </w:tcBorders>
          </w:tcPr>
          <w:p w14:paraId="33275DC0">
            <w:pPr>
              <w:pStyle w:val="30"/>
              <w:numPr>
                <w:ilvl w:val="0"/>
                <w:numId w:val="11"/>
              </w:numPr>
              <w:spacing w:before="0" w:beforeAutospacing="0" w:after="0" w:afterAutospacing="0"/>
              <w:jc w:val="both"/>
              <w:rPr>
                <w:sz w:val="28"/>
                <w:szCs w:val="28"/>
              </w:rPr>
            </w:pPr>
            <w:r>
              <w:rPr>
                <w:sz w:val="28"/>
                <w:szCs w:val="28"/>
              </w:rPr>
              <w:t>Микроуровень (банки)</w:t>
            </w:r>
          </w:p>
          <w:p w14:paraId="08446AB1">
            <w:pPr>
              <w:pStyle w:val="30"/>
              <w:spacing w:before="0" w:beforeAutospacing="0" w:after="0" w:afterAutospacing="0"/>
              <w:jc w:val="both"/>
              <w:rPr>
                <w:sz w:val="28"/>
                <w:szCs w:val="28"/>
              </w:rPr>
            </w:pPr>
            <w:r>
              <w:rPr>
                <w:sz w:val="28"/>
                <w:szCs w:val="28"/>
              </w:rPr>
              <w:t>→ мониторинг портфеля</w:t>
            </w:r>
          </w:p>
          <w:p w14:paraId="43BDB6E8">
            <w:pPr>
              <w:pStyle w:val="30"/>
              <w:spacing w:before="0" w:beforeAutospacing="0" w:after="0" w:afterAutospacing="0"/>
              <w:jc w:val="both"/>
              <w:rPr>
                <w:sz w:val="28"/>
                <w:szCs w:val="28"/>
              </w:rPr>
            </w:pPr>
            <w:r>
              <w:rPr>
                <w:sz w:val="28"/>
                <w:szCs w:val="28"/>
              </w:rPr>
              <w:t>→ выявление проблемных кредитов</w:t>
            </w:r>
          </w:p>
          <w:p w14:paraId="601EBB5F">
            <w:pPr>
              <w:pStyle w:val="30"/>
              <w:spacing w:before="0" w:beforeAutospacing="0" w:after="0" w:afterAutospacing="0"/>
              <w:jc w:val="both"/>
              <w:rPr>
                <w:sz w:val="28"/>
                <w:szCs w:val="28"/>
              </w:rPr>
            </w:pPr>
            <w:r>
              <w:rPr>
                <w:sz w:val="28"/>
                <w:szCs w:val="28"/>
              </w:rPr>
              <w:t>→ реструктуризация / взыскание</w:t>
            </w:r>
          </w:p>
          <w:p w14:paraId="1607043B">
            <w:pPr>
              <w:pStyle w:val="30"/>
              <w:spacing w:before="0" w:beforeAutospacing="0" w:after="0" w:afterAutospacing="0"/>
              <w:jc w:val="both"/>
              <w:rPr>
                <w:sz w:val="28"/>
                <w:szCs w:val="28"/>
              </w:rPr>
            </w:pPr>
            <w:r>
              <w:rPr>
                <w:sz w:val="28"/>
                <w:szCs w:val="28"/>
              </w:rPr>
              <w:t>→ списание или реализация</w:t>
            </w:r>
          </w:p>
        </w:tc>
      </w:tr>
      <w:tr w14:paraId="3033F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2"/>
            <w:tcBorders>
              <w:top w:val="nil"/>
            </w:tcBorders>
          </w:tcPr>
          <w:p w14:paraId="1A50FE2E">
            <w:pPr>
              <w:pStyle w:val="30"/>
              <w:numPr>
                <w:ilvl w:val="0"/>
                <w:numId w:val="11"/>
              </w:numPr>
              <w:spacing w:before="0" w:beforeAutospacing="0" w:after="0" w:afterAutospacing="0"/>
              <w:jc w:val="both"/>
              <w:rPr>
                <w:sz w:val="28"/>
                <w:szCs w:val="28"/>
              </w:rPr>
            </w:pPr>
            <w:r>
              <w:rPr>
                <w:rStyle w:val="14"/>
                <w:sz w:val="28"/>
                <w:szCs w:val="28"/>
              </w:rPr>
              <w:t>Результат:</w:t>
            </w:r>
            <w:r>
              <w:rPr>
                <w:sz w:val="28"/>
                <w:szCs w:val="28"/>
              </w:rPr>
              <w:br w:type="textWrapping"/>
            </w:r>
            <w:r>
              <w:rPr>
                <w:sz w:val="28"/>
                <w:szCs w:val="28"/>
              </w:rPr>
              <w:t>снижение формального уровня NPL при сохранении структурных рисков.</w:t>
            </w:r>
          </w:p>
        </w:tc>
      </w:tr>
    </w:tbl>
    <w:p w14:paraId="540A44A3">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[133]</w:t>
      </w:r>
    </w:p>
    <w:p w14:paraId="28F815BB">
      <w:pPr>
        <w:pStyle w:val="30"/>
        <w:spacing w:before="0" w:beforeAutospacing="0" w:after="0" w:afterAutospacing="0"/>
        <w:ind w:firstLine="708"/>
        <w:jc w:val="both"/>
      </w:pPr>
    </w:p>
    <w:p w14:paraId="50666BB8">
      <w:pPr>
        <w:pStyle w:val="30"/>
        <w:spacing w:before="0" w:beforeAutospacing="0" w:after="0" w:afterAutospacing="0"/>
        <w:ind w:firstLine="708"/>
        <w:jc w:val="both"/>
        <w:rPr>
          <w:sz w:val="28"/>
          <w:szCs w:val="28"/>
        </w:rPr>
      </w:pPr>
      <w:r>
        <w:rPr>
          <w:sz w:val="28"/>
          <w:szCs w:val="28"/>
        </w:rPr>
        <w:t xml:space="preserve">В банковской практике Республики Казахстан условно выделяются </w:t>
      </w:r>
      <w:r>
        <w:rPr>
          <w:rStyle w:val="14"/>
          <w:b w:val="0"/>
          <w:bCs w:val="0"/>
          <w:sz w:val="28"/>
          <w:szCs w:val="28"/>
        </w:rPr>
        <w:t>пассивная</w:t>
      </w:r>
      <w:r>
        <w:rPr>
          <w:b/>
          <w:bCs/>
          <w:sz w:val="28"/>
          <w:szCs w:val="28"/>
        </w:rPr>
        <w:t xml:space="preserve"> </w:t>
      </w:r>
      <w:r>
        <w:rPr>
          <w:sz w:val="28"/>
          <w:szCs w:val="28"/>
        </w:rPr>
        <w:t xml:space="preserve">и </w:t>
      </w:r>
      <w:r>
        <w:rPr>
          <w:rStyle w:val="14"/>
          <w:b w:val="0"/>
          <w:bCs w:val="0"/>
          <w:sz w:val="28"/>
          <w:szCs w:val="28"/>
        </w:rPr>
        <w:t>активная</w:t>
      </w:r>
      <w:r>
        <w:rPr>
          <w:b/>
          <w:bCs/>
          <w:sz w:val="28"/>
          <w:szCs w:val="28"/>
        </w:rPr>
        <w:t xml:space="preserve"> </w:t>
      </w:r>
      <w:r>
        <w:rPr>
          <w:sz w:val="28"/>
          <w:szCs w:val="28"/>
        </w:rPr>
        <w:t>модели управления проблемными активами, различающиеся по степени вовлечённости банков, государства и специализированных институтов в процесс оздоровления кредитных портфелей.</w:t>
      </w:r>
    </w:p>
    <w:p w14:paraId="043F41F2">
      <w:pPr>
        <w:pStyle w:val="30"/>
        <w:spacing w:before="0" w:beforeAutospacing="0" w:after="0" w:afterAutospacing="0"/>
        <w:ind w:firstLine="708"/>
        <w:jc w:val="both"/>
        <w:rPr>
          <w:sz w:val="28"/>
          <w:szCs w:val="28"/>
        </w:rPr>
      </w:pPr>
      <w:r>
        <w:rPr>
          <w:sz w:val="28"/>
          <w:szCs w:val="28"/>
        </w:rPr>
        <w:t>Пассивная модель управления проблемными активами основывается на сохранении таких активов на балансе банка с применением стандартных процедур риск-менеджмента. Основными характеристиками этой модели являются классификация кредитов, формирование провизий, реструктуризация задолженности, пролонгация кредитных договоров и последующее списание безнадёжных требований. Пассивная модель позволяет банкам сохранять формальный контроль над активами, однако ведет к длительной концентрации неработающих займов на балансе, снижает капитальную достаточность и ограничивает возможности расширенного кредитования экономики [135-138].</w:t>
      </w:r>
    </w:p>
    <w:p w14:paraId="09D19B10">
      <w:pPr>
        <w:pStyle w:val="30"/>
        <w:spacing w:before="0" w:beforeAutospacing="0" w:after="0" w:afterAutospacing="0"/>
        <w:ind w:firstLine="708"/>
        <w:jc w:val="both"/>
        <w:rPr>
          <w:sz w:val="28"/>
          <w:szCs w:val="28"/>
        </w:rPr>
      </w:pPr>
      <w:r>
        <w:rPr>
          <w:sz w:val="28"/>
          <w:szCs w:val="28"/>
        </w:rPr>
        <w:t>Особенностью пассивной модели в казахстанских условиях является её процикличность: в периоды экономического роста проблемные активы нивелируются за счёт реструктуризации, тогда как в фазе спада происходит резкое ухудшение качества портфеля. Это свидетельство недостаточной адаптивности модели к системным рискам и её ограниченной эффективности в долгосрочной перспективе.</w:t>
      </w:r>
    </w:p>
    <w:p w14:paraId="4936667D">
      <w:pPr>
        <w:pStyle w:val="30"/>
        <w:spacing w:before="0" w:beforeAutospacing="0" w:after="0" w:afterAutospacing="0"/>
        <w:ind w:firstLine="708"/>
        <w:jc w:val="both"/>
        <w:rPr>
          <w:sz w:val="28"/>
          <w:szCs w:val="28"/>
        </w:rPr>
      </w:pPr>
      <w:r>
        <w:rPr>
          <w:sz w:val="28"/>
          <w:szCs w:val="28"/>
        </w:rPr>
        <w:t>Активная модель управления проблемными активами предусматривает вывод неработающих активов за пределы банковских балансов с передачей их специализированным структурам. В отличие от пассивного подхода, активная модель ориентирована на ускоренное очищение балансов, перераспределение рисков и восстановление кредитного потенциала банковского сектора. В Республике Казахстан ключевым элементом данной модели выступает государственное участие, реализуемое через специализированный институт — Фонд проблемных кредитов [139-141]</w:t>
      </w:r>
      <w:r>
        <w:t xml:space="preserve">. </w:t>
      </w:r>
      <w:r>
        <w:rPr>
          <w:sz w:val="28"/>
          <w:szCs w:val="28"/>
        </w:rPr>
        <w:t>Принцип работы Фонда обеспечивает снятие проблемных активов с балансов банков, что способствует более эффективному управлению рисками и поддерживает стабильность банковской системы.</w:t>
      </w:r>
    </w:p>
    <w:p w14:paraId="67272399">
      <w:pPr>
        <w:spacing w:after="0" w:line="240" w:lineRule="auto"/>
        <w:jc w:val="both"/>
        <w:rPr>
          <w:rFonts w:ascii="Times New Roman" w:hAnsi="Times New Roman" w:eastAsia="Times New Roman" w:cs="Times New Roman"/>
          <w:sz w:val="28"/>
          <w:szCs w:val="28"/>
          <w:lang w:eastAsia="zh-CN"/>
        </w:rPr>
      </w:pPr>
    </w:p>
    <w:p w14:paraId="638D902D">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Таблица 19 - Сравнительный анализ моделей управления проблемными активами банков</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29"/>
        <w:gridCol w:w="2805"/>
        <w:gridCol w:w="3694"/>
      </w:tblGrid>
      <w:tr w14:paraId="1B1D5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9" w:type="dxa"/>
          </w:tcPr>
          <w:p w14:paraId="48E10841">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Критерий сравнения</w:t>
            </w:r>
          </w:p>
        </w:tc>
        <w:tc>
          <w:tcPr>
            <w:tcW w:w="2805" w:type="dxa"/>
          </w:tcPr>
          <w:p w14:paraId="7C0693C1">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Пассивная модель</w:t>
            </w:r>
          </w:p>
        </w:tc>
        <w:tc>
          <w:tcPr>
            <w:tcW w:w="3694" w:type="dxa"/>
          </w:tcPr>
          <w:p w14:paraId="235F53C4">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Активная модель</w:t>
            </w:r>
          </w:p>
        </w:tc>
      </w:tr>
      <w:tr w14:paraId="08DFF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9" w:type="dxa"/>
          </w:tcPr>
          <w:p w14:paraId="50481FAF">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Место проблемных активов</w:t>
            </w:r>
          </w:p>
        </w:tc>
        <w:tc>
          <w:tcPr>
            <w:tcW w:w="2805" w:type="dxa"/>
          </w:tcPr>
          <w:p w14:paraId="79F46F49">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На балансе банка</w:t>
            </w:r>
          </w:p>
        </w:tc>
        <w:tc>
          <w:tcPr>
            <w:tcW w:w="3694" w:type="dxa"/>
          </w:tcPr>
          <w:p w14:paraId="315E473F">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Вне баланса банка</w:t>
            </w:r>
          </w:p>
        </w:tc>
      </w:tr>
      <w:tr w14:paraId="24227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9" w:type="dxa"/>
          </w:tcPr>
          <w:p w14:paraId="13D17EBC">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Основные инструменты</w:t>
            </w:r>
          </w:p>
        </w:tc>
        <w:tc>
          <w:tcPr>
            <w:tcW w:w="2805" w:type="dxa"/>
          </w:tcPr>
          <w:p w14:paraId="66F7A386">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Резервирование, реструктуризация, списание</w:t>
            </w:r>
          </w:p>
        </w:tc>
        <w:tc>
          <w:tcPr>
            <w:tcW w:w="3694" w:type="dxa"/>
          </w:tcPr>
          <w:p w14:paraId="4549327B">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Продажа, передача в ФПК, специализированное управление</w:t>
            </w:r>
          </w:p>
        </w:tc>
      </w:tr>
      <w:tr w14:paraId="6C229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9" w:type="dxa"/>
            <w:tcBorders>
              <w:bottom w:val="single" w:color="auto" w:sz="4" w:space="0"/>
            </w:tcBorders>
          </w:tcPr>
          <w:p w14:paraId="59C6C262">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Скорость очистки баланса</w:t>
            </w:r>
          </w:p>
        </w:tc>
        <w:tc>
          <w:tcPr>
            <w:tcW w:w="2805" w:type="dxa"/>
            <w:tcBorders>
              <w:bottom w:val="single" w:color="auto" w:sz="4" w:space="0"/>
            </w:tcBorders>
          </w:tcPr>
          <w:p w14:paraId="391C1247">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Низкая</w:t>
            </w:r>
          </w:p>
        </w:tc>
        <w:tc>
          <w:tcPr>
            <w:tcW w:w="3694" w:type="dxa"/>
            <w:tcBorders>
              <w:bottom w:val="single" w:color="auto" w:sz="4" w:space="0"/>
            </w:tcBorders>
          </w:tcPr>
          <w:p w14:paraId="04F5FE1F">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Высокая</w:t>
            </w:r>
          </w:p>
        </w:tc>
      </w:tr>
      <w:tr w14:paraId="66A9A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9" w:type="dxa"/>
            <w:tcBorders>
              <w:top w:val="single" w:color="auto" w:sz="4" w:space="0"/>
            </w:tcBorders>
          </w:tcPr>
          <w:p w14:paraId="05929CF5">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Нагрузка на капитал банка</w:t>
            </w:r>
          </w:p>
        </w:tc>
        <w:tc>
          <w:tcPr>
            <w:tcW w:w="2805" w:type="dxa"/>
            <w:tcBorders>
              <w:top w:val="single" w:color="auto" w:sz="4" w:space="0"/>
            </w:tcBorders>
          </w:tcPr>
          <w:p w14:paraId="649C2829">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Существенная</w:t>
            </w:r>
          </w:p>
        </w:tc>
        <w:tc>
          <w:tcPr>
            <w:tcW w:w="3694" w:type="dxa"/>
            <w:tcBorders>
              <w:top w:val="single" w:color="auto" w:sz="4" w:space="0"/>
            </w:tcBorders>
          </w:tcPr>
          <w:p w14:paraId="55BD9FD5">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Ограниченная</w:t>
            </w:r>
          </w:p>
        </w:tc>
      </w:tr>
      <w:tr w14:paraId="7A5D4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9" w:type="dxa"/>
          </w:tcPr>
          <w:p w14:paraId="1484B3DC">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Участие государства</w:t>
            </w:r>
          </w:p>
        </w:tc>
        <w:tc>
          <w:tcPr>
            <w:tcW w:w="2805" w:type="dxa"/>
          </w:tcPr>
          <w:p w14:paraId="41F4B133">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Минимальное</w:t>
            </w:r>
          </w:p>
        </w:tc>
        <w:tc>
          <w:tcPr>
            <w:tcW w:w="3694" w:type="dxa"/>
          </w:tcPr>
          <w:p w14:paraId="633EC6CB">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Активное (через ФПК)</w:t>
            </w:r>
          </w:p>
        </w:tc>
      </w:tr>
    </w:tbl>
    <w:p w14:paraId="236202E8">
      <w:pPr>
        <w:spacing w:after="0" w:line="240" w:lineRule="auto"/>
        <w:rPr>
          <w:rFonts w:ascii="Times New Roman" w:hAnsi="Times New Roman" w:cs="Times New Roman"/>
        </w:rPr>
      </w:pPr>
      <w:r>
        <w:rPr>
          <w:rFonts w:ascii="Times New Roman" w:hAnsi="Times New Roman" w:cs="Times New Roman"/>
        </w:rPr>
        <w:t>Продолжение таблицы 19</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29"/>
        <w:gridCol w:w="2805"/>
        <w:gridCol w:w="3694"/>
      </w:tblGrid>
      <w:tr w14:paraId="335D5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9" w:type="dxa"/>
          </w:tcPr>
          <w:p w14:paraId="68A16459">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Влияние на кредитование</w:t>
            </w:r>
          </w:p>
        </w:tc>
        <w:tc>
          <w:tcPr>
            <w:tcW w:w="2805" w:type="dxa"/>
          </w:tcPr>
          <w:p w14:paraId="12938812">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Сдерживающее</w:t>
            </w:r>
          </w:p>
        </w:tc>
        <w:tc>
          <w:tcPr>
            <w:tcW w:w="3694" w:type="dxa"/>
          </w:tcPr>
          <w:p w14:paraId="40D7D6EE">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Стимулирующее</w:t>
            </w:r>
          </w:p>
        </w:tc>
      </w:tr>
      <w:tr w14:paraId="12B1B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9" w:type="dxa"/>
          </w:tcPr>
          <w:p w14:paraId="1E157B01">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Системные риски</w:t>
            </w:r>
          </w:p>
        </w:tc>
        <w:tc>
          <w:tcPr>
            <w:tcW w:w="2805" w:type="dxa"/>
          </w:tcPr>
          <w:p w14:paraId="391CA9CF">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Накапливаются</w:t>
            </w:r>
          </w:p>
        </w:tc>
        <w:tc>
          <w:tcPr>
            <w:tcW w:w="3694" w:type="dxa"/>
          </w:tcPr>
          <w:p w14:paraId="1BAB38E0">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Снижаются</w:t>
            </w:r>
          </w:p>
        </w:tc>
      </w:tr>
      <w:tr w14:paraId="66285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9" w:type="dxa"/>
          </w:tcPr>
          <w:p w14:paraId="4702B904">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Долгосрочная эффективность</w:t>
            </w:r>
          </w:p>
        </w:tc>
        <w:tc>
          <w:tcPr>
            <w:tcW w:w="2805" w:type="dxa"/>
          </w:tcPr>
          <w:p w14:paraId="4E80B195">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Ограниченная</w:t>
            </w:r>
          </w:p>
        </w:tc>
        <w:tc>
          <w:tcPr>
            <w:tcW w:w="3694" w:type="dxa"/>
          </w:tcPr>
          <w:p w14:paraId="3A2986E2">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Более высокая</w:t>
            </w:r>
          </w:p>
        </w:tc>
      </w:tr>
    </w:tbl>
    <w:p w14:paraId="34F2F636">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[140]</w:t>
      </w:r>
    </w:p>
    <w:p w14:paraId="67DC32AF">
      <w:pPr>
        <w:spacing w:after="0" w:line="240" w:lineRule="auto"/>
        <w:rPr>
          <w:rFonts w:ascii="Times New Roman" w:hAnsi="Times New Roman" w:eastAsia="Times New Roman" w:cs="Times New Roman"/>
          <w:sz w:val="28"/>
          <w:szCs w:val="28"/>
          <w:lang w:eastAsia="zh-CN"/>
        </w:rPr>
      </w:pPr>
    </w:p>
    <w:p w14:paraId="05913ED7">
      <w:pPr>
        <w:pStyle w:val="30"/>
        <w:spacing w:before="0" w:beforeAutospacing="0" w:after="0" w:afterAutospacing="0"/>
        <w:ind w:firstLine="708"/>
        <w:jc w:val="both"/>
        <w:rPr>
          <w:sz w:val="28"/>
          <w:szCs w:val="28"/>
        </w:rPr>
      </w:pPr>
      <w:r>
        <w:rPr>
          <w:sz w:val="28"/>
          <w:szCs w:val="28"/>
        </w:rPr>
        <w:t>Сравнительный анализ показывает, что активная модель является более результативной с точки зрения макрофинансовой стабильности, однако требует развитой институциональной среды, прозрачных механизмов оценки активов и эффективного регуляторного контроля.</w:t>
      </w:r>
    </w:p>
    <w:p w14:paraId="30247AB9">
      <w:pPr>
        <w:pStyle w:val="30"/>
        <w:spacing w:before="0" w:beforeAutospacing="0" w:after="0" w:afterAutospacing="0"/>
        <w:ind w:firstLine="708"/>
        <w:jc w:val="both"/>
        <w:rPr>
          <w:sz w:val="28"/>
          <w:szCs w:val="28"/>
        </w:rPr>
      </w:pPr>
      <w:r>
        <w:rPr>
          <w:sz w:val="28"/>
          <w:szCs w:val="28"/>
        </w:rPr>
        <w:t>В Республике Казахстан институциональным механизмом государственной поддержки банковского сектора в части выведения проблемных активов является АО «Фонд проблемных кредитов», подчинённое Министерству финансов Республики Казахстан. Основной задачей Фонда выступает повышение качества кредитных портфелей банков второго уровня посредством выкупа проблемных кредитов, управления приобретёнными активами и финансирования своей деятельности через выпуск облигаций [122, 142-148].</w:t>
      </w:r>
    </w:p>
    <w:p w14:paraId="0284E307">
      <w:pPr>
        <w:pStyle w:val="30"/>
        <w:spacing w:before="0" w:beforeAutospacing="0" w:after="0" w:afterAutospacing="0"/>
        <w:ind w:firstLine="708"/>
        <w:jc w:val="both"/>
        <w:rPr>
          <w:sz w:val="28"/>
          <w:szCs w:val="28"/>
        </w:rPr>
      </w:pPr>
      <w:r>
        <w:rPr>
          <w:sz w:val="28"/>
          <w:szCs w:val="28"/>
        </w:rPr>
        <w:t>Исторически Фонд начал функционирование в качестве юридического лица с начала 2012 года. Единственным акционером Фонда является Правительство Республики Казахстан в лице Комитета государственного имущества и приватизации Министерства финансов. Основными направлениями служат:</w:t>
      </w:r>
    </w:p>
    <w:p w14:paraId="3F063286">
      <w:pPr>
        <w:autoSpaceDE w:val="0"/>
        <w:autoSpaceDN w:val="0"/>
        <w:adjustRightInd w:val="0"/>
        <w:spacing w:after="0" w:line="240" w:lineRule="auto"/>
        <w:ind w:left="993"/>
        <w:jc w:val="both"/>
        <w:rPr>
          <w:rFonts w:ascii="Times New Roman" w:hAnsi="Times New Roman" w:cs="Times New Roman"/>
          <w:sz w:val="28"/>
          <w:szCs w:val="28"/>
        </w:rPr>
      </w:pPr>
      <w:r>
        <w:rPr>
          <w:rFonts w:ascii="Times New Roman" w:hAnsi="Times New Roman" w:cs="Times New Roman"/>
          <w:sz w:val="28"/>
          <w:szCs w:val="28"/>
        </w:rPr>
        <w:t>- выкуп проблемных кредитов у банков второго уровня;</w:t>
      </w:r>
    </w:p>
    <w:p w14:paraId="6BCD143F">
      <w:pPr>
        <w:autoSpaceDE w:val="0"/>
        <w:autoSpaceDN w:val="0"/>
        <w:adjustRightInd w:val="0"/>
        <w:spacing w:after="0" w:line="240" w:lineRule="auto"/>
        <w:ind w:left="993"/>
        <w:jc w:val="both"/>
        <w:rPr>
          <w:rFonts w:ascii="Times New Roman" w:hAnsi="Times New Roman" w:cs="Times New Roman"/>
          <w:sz w:val="28"/>
          <w:szCs w:val="28"/>
        </w:rPr>
      </w:pPr>
      <w:r>
        <w:rPr>
          <w:rFonts w:ascii="Times New Roman" w:hAnsi="Times New Roman" w:cs="Times New Roman"/>
          <w:sz w:val="28"/>
          <w:szCs w:val="28"/>
        </w:rPr>
        <w:t>- управление приобретёнными активами;</w:t>
      </w:r>
    </w:p>
    <w:p w14:paraId="358EB65D">
      <w:pPr>
        <w:autoSpaceDE w:val="0"/>
        <w:autoSpaceDN w:val="0"/>
        <w:adjustRightInd w:val="0"/>
        <w:spacing w:after="0" w:line="240" w:lineRule="auto"/>
        <w:ind w:left="993"/>
        <w:jc w:val="both"/>
        <w:rPr>
          <w:rFonts w:ascii="Times New Roman" w:hAnsi="Times New Roman" w:cs="Times New Roman"/>
          <w:sz w:val="28"/>
          <w:szCs w:val="28"/>
        </w:rPr>
      </w:pPr>
      <w:r>
        <w:rPr>
          <w:rFonts w:ascii="Times New Roman" w:hAnsi="Times New Roman" w:cs="Times New Roman"/>
          <w:sz w:val="28"/>
          <w:szCs w:val="28"/>
        </w:rPr>
        <w:t>- выпуск облигаций для финансирования деятельности Фонда.</w:t>
      </w:r>
    </w:p>
    <w:p w14:paraId="3EF6E2D4">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Первоначально предполагалось, что срок работы Фонда составит пять лет, однако он был продлён до минимального срока 15 лет. На старте деятельности акционером являлся Национальный банк РК, позднее управление было передано на правительственный уровень. Отмечена ориентация на привлечение финансовых ресурсов через выпуск облигаций и их размещение среди банков, пенсионных фондов и Национального банка.</w:t>
      </w:r>
    </w:p>
    <w:p w14:paraId="2068BF13">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 2023 года функции по управлению проблемными активами частично перераспределены между Фондом и институтами развития, в частности холдингом «Байтерек», что позволило повысить эффективность управления низкокачественными активами и укрепить устойчивость банковского сектора [145].</w:t>
      </w:r>
    </w:p>
    <w:p w14:paraId="6D77107E">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целях повышения операционной эффективности 16 ноября 2018 года принято постановление о реорганизации Фонда с присоединением к нему АО «Компания по реабилитации и управлению активами» [139]. Основной задачей стало объединение однородных активов подведомственных организаций, исключение дублирующих функций, снижение затрат и повышение качества услуг.</w:t>
      </w:r>
    </w:p>
    <w:p w14:paraId="0BC0B4C0">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Деятельность Фонда предусматривает оздоровление заёмщиков посредством реструктуризации задолженности, повышения рыночной стоимости имущества‑залогов, а также реализацию совместных проектов с инвесторами и органами местного самоуправления.</w:t>
      </w:r>
    </w:p>
    <w:p w14:paraId="7AE2F0B4">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По данным Фонда, с 2017 г. и далее фондом было возвращено более 106,77 млрд тенге, выполнено свыше 120 реструктуризаций задолженности для 69 заёмщиков [139]. </w:t>
      </w:r>
    </w:p>
    <w:p w14:paraId="6F392A1D">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аналитическом отчёте Правительства за 2023 год отмечено, что от АО «Фонд проблемных кредитов» поступило 22,9 млрд тенге в Национальный фонд от продажи финансовых активов. </w:t>
      </w:r>
    </w:p>
    <w:p w14:paraId="7F119D22">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p>
    <w:p w14:paraId="61C61244">
      <w:pPr>
        <w:autoSpaceDE w:val="0"/>
        <w:autoSpaceDN w:val="0"/>
        <w:adjustRightInd w:val="0"/>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sz w:val="28"/>
          <w:szCs w:val="28"/>
        </w:rPr>
        <w:drawing>
          <wp:inline distT="0" distB="0" distL="0" distR="0">
            <wp:extent cx="6048375" cy="3200400"/>
            <wp:effectExtent l="0" t="0" r="0" b="0"/>
            <wp:docPr id="230" name="Диаграмма 2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6B7B0B8">
      <w:pPr>
        <w:autoSpaceDE w:val="0"/>
        <w:autoSpaceDN w:val="0"/>
        <w:adjustRightInd w:val="0"/>
        <w:spacing w:after="0" w:line="240" w:lineRule="auto"/>
        <w:ind w:firstLine="709"/>
        <w:contextualSpacing/>
        <w:jc w:val="both"/>
        <w:rPr>
          <w:rFonts w:ascii="Times New Roman" w:hAnsi="Times New Roman" w:eastAsia="Times New Roman" w:cs="Times New Roman"/>
          <w:sz w:val="28"/>
          <w:szCs w:val="28"/>
          <w:lang w:eastAsia="zh-CN"/>
        </w:rPr>
      </w:pPr>
      <w:r>
        <w:rPr>
          <w:rFonts w:ascii="Times New Roman" w:hAnsi="Times New Roman" w:cs="Times New Roman"/>
          <w:color w:val="000000"/>
          <w:sz w:val="28"/>
          <w:szCs w:val="28"/>
        </w:rPr>
        <w:t>Рисунок 14 - Активы АО «Фонд проблемных кредитов, млрд тенге</w:t>
      </w:r>
      <w:r>
        <w:rPr>
          <w:rFonts w:ascii="Times New Roman" w:hAnsi="Times New Roman" w:eastAsia="Times New Roman" w:cs="Times New Roman"/>
          <w:sz w:val="28"/>
          <w:szCs w:val="28"/>
          <w:lang w:eastAsia="zh-CN"/>
        </w:rPr>
        <w:t xml:space="preserve"> [123]</w:t>
      </w:r>
    </w:p>
    <w:p w14:paraId="5003398A">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p>
    <w:p w14:paraId="26C353E7">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В 2018 году активы Фонда составили 1 трлн тенге на конец третьего квартала, это более чем в 2,5 раза больше, по сравнение с концом 2017 года (365,1 млрд тенге). В основном рост показателя был обусловлен тем, что в 6 раз увеличилось количество выкупленных кредитов, стоимость которых составила 667,4 млрд тг. Показатель чистой прибыли Фонда составил 14,2 млрд тенге по итогам 9 месяцев 2018 года [145, 146].</w:t>
      </w:r>
    </w:p>
    <w:p w14:paraId="2E76868E">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С 2019 по настоящее время Правительство Республики Казахстан продолжает оказывать поддержку казахстанским банкам, которые имеют системную значимость для банковского сектора [147]. Поддерживающие подходы к отечественным банкам со стороны государства постепенно меняются и совершенствуются с учетом опыта зарубежных стран.</w:t>
      </w:r>
    </w:p>
    <w:p w14:paraId="1414D3EC">
      <w:pPr>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Деятельность Фонда проблемных кредитов по оздоровлению проектов за счет реструктуризации кредитов позволила обеспечить стабилизацию бизнеса компаний-должников, сохранение более 260 тысяч рабочих мест, а также поступление налогов в бюджет государства на 26 млрд тенге [143-148]. </w:t>
      </w:r>
    </w:p>
    <w:p w14:paraId="7E12D282">
      <w:pPr>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rPr>
      </w:pPr>
    </w:p>
    <w:p w14:paraId="3322B3E6">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Таблица 20 - Функциональная и экономическая оценка деятельности ФПК</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53"/>
        <w:gridCol w:w="6501"/>
      </w:tblGrid>
      <w:tr w14:paraId="4C482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55C3CF8">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Параметр оценки</w:t>
            </w:r>
          </w:p>
        </w:tc>
        <w:tc>
          <w:tcPr>
            <w:tcW w:w="0" w:type="auto"/>
          </w:tcPr>
          <w:p w14:paraId="4E9BDBB2">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Характеристика</w:t>
            </w:r>
          </w:p>
        </w:tc>
      </w:tr>
      <w:tr w14:paraId="6C364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62E335D">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Основная цель</w:t>
            </w:r>
          </w:p>
        </w:tc>
        <w:tc>
          <w:tcPr>
            <w:tcW w:w="0" w:type="auto"/>
          </w:tcPr>
          <w:p w14:paraId="3575331A">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Снижение системных рисков банковского сектора</w:t>
            </w:r>
          </w:p>
        </w:tc>
      </w:tr>
      <w:tr w14:paraId="2902E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A780193">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Тип института</w:t>
            </w:r>
          </w:p>
        </w:tc>
        <w:tc>
          <w:tcPr>
            <w:tcW w:w="0" w:type="auto"/>
          </w:tcPr>
          <w:p w14:paraId="68E15EE8">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Государственный специализированный фонд</w:t>
            </w:r>
          </w:p>
        </w:tc>
      </w:tr>
      <w:tr w14:paraId="643E2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FD369C0">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Основные функции</w:t>
            </w:r>
          </w:p>
        </w:tc>
        <w:tc>
          <w:tcPr>
            <w:tcW w:w="0" w:type="auto"/>
          </w:tcPr>
          <w:p w14:paraId="1C8CE51C">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Выкуп, реструктуризация, реализация проблемных активов</w:t>
            </w:r>
          </w:p>
        </w:tc>
      </w:tr>
      <w:tr w14:paraId="58B2F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089C6DA">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Экономический эффект</w:t>
            </w:r>
          </w:p>
        </w:tc>
        <w:tc>
          <w:tcPr>
            <w:tcW w:w="0" w:type="auto"/>
          </w:tcPr>
          <w:p w14:paraId="009E6C72">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Очистка балансов банков, стабилизация кредитной системы</w:t>
            </w:r>
          </w:p>
        </w:tc>
      </w:tr>
      <w:tr w14:paraId="5A06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5AD1D90">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Влияние на реальный сектор</w:t>
            </w:r>
          </w:p>
        </w:tc>
        <w:tc>
          <w:tcPr>
            <w:tcW w:w="0" w:type="auto"/>
          </w:tcPr>
          <w:p w14:paraId="3D53FC66">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Косвенное, через вовлечение активов в оборот</w:t>
            </w:r>
          </w:p>
        </w:tc>
      </w:tr>
      <w:tr w14:paraId="6AACA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A9359D7">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Преимущества</w:t>
            </w:r>
          </w:p>
        </w:tc>
        <w:tc>
          <w:tcPr>
            <w:tcW w:w="0" w:type="auto"/>
          </w:tcPr>
          <w:p w14:paraId="11EA758F">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Централизация экспертизы, снижение NPL</w:t>
            </w:r>
          </w:p>
        </w:tc>
      </w:tr>
      <w:tr w14:paraId="23E1C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D10B38F">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Ограничения</w:t>
            </w:r>
          </w:p>
        </w:tc>
        <w:tc>
          <w:tcPr>
            <w:tcW w:w="0" w:type="auto"/>
          </w:tcPr>
          <w:p w14:paraId="04C565DF">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Зависимость от бюджета, сложность реабилитации активов</w:t>
            </w:r>
          </w:p>
        </w:tc>
      </w:tr>
      <w:tr w14:paraId="132C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75AD1AC">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Потенциал развития</w:t>
            </w:r>
          </w:p>
        </w:tc>
        <w:tc>
          <w:tcPr>
            <w:tcW w:w="0" w:type="auto"/>
          </w:tcPr>
          <w:p w14:paraId="622A7DE3">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Интеграция с проектным управлением</w:t>
            </w:r>
          </w:p>
        </w:tc>
      </w:tr>
    </w:tbl>
    <w:p w14:paraId="26D79491">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[139]</w:t>
      </w:r>
    </w:p>
    <w:p w14:paraId="376B4C74">
      <w:pPr>
        <w:spacing w:after="0" w:line="240" w:lineRule="auto"/>
        <w:rPr>
          <w:rFonts w:ascii="Times New Roman" w:hAnsi="Times New Roman" w:eastAsia="Times New Roman" w:cs="Times New Roman"/>
          <w:sz w:val="28"/>
          <w:szCs w:val="28"/>
          <w:lang w:eastAsia="zh-CN"/>
        </w:rPr>
      </w:pPr>
    </w:p>
    <w:p w14:paraId="2A60C673">
      <w:pPr>
        <w:pStyle w:val="30"/>
        <w:spacing w:before="0" w:beforeAutospacing="0" w:after="0" w:afterAutospacing="0"/>
        <w:ind w:firstLine="708"/>
        <w:jc w:val="both"/>
        <w:rPr>
          <w:sz w:val="28"/>
          <w:szCs w:val="28"/>
        </w:rPr>
      </w:pPr>
      <w:r>
        <w:rPr>
          <w:sz w:val="28"/>
          <w:szCs w:val="28"/>
        </w:rPr>
        <w:t xml:space="preserve">На основе анализа данных таблицы 20, можно сделать вывод, что ФПК рассматривается </w:t>
      </w:r>
      <w:r>
        <w:rPr>
          <w:rStyle w:val="14"/>
          <w:b w:val="0"/>
          <w:bCs w:val="0"/>
          <w:sz w:val="28"/>
          <w:szCs w:val="28"/>
        </w:rPr>
        <w:t>не только как санационный механизм</w:t>
      </w:r>
      <w:r>
        <w:rPr>
          <w:sz w:val="28"/>
          <w:szCs w:val="28"/>
        </w:rPr>
        <w:t xml:space="preserve">, но как </w:t>
      </w:r>
      <w:r>
        <w:rPr>
          <w:rStyle w:val="14"/>
          <w:b w:val="0"/>
          <w:bCs w:val="0"/>
          <w:sz w:val="28"/>
          <w:szCs w:val="28"/>
        </w:rPr>
        <w:t>потенциальный элемент проектной инфраструктуры</w:t>
      </w:r>
      <w:r>
        <w:rPr>
          <w:sz w:val="28"/>
          <w:szCs w:val="28"/>
        </w:rPr>
        <w:t>. На наш взгляд, Фонд обладает необходимым институциональным потенциалом для расширения своей роли: не только как «чистильщик» банковских балансов, но также как механизм поддержки реального сектора экономики посредством выкупа проблемной задолженности предприятий реального сектора и реализации мер по их оздоровлению для восстановления полноценной хозяйственной деятельности.</w:t>
      </w:r>
    </w:p>
    <w:p w14:paraId="5DA9E81E">
      <w:pPr>
        <w:spacing w:after="0" w:line="240" w:lineRule="auto"/>
        <w:ind w:firstLine="708"/>
        <w:jc w:val="both"/>
        <w:rPr>
          <w:rFonts w:ascii="Times New Roman" w:hAnsi="Times New Roman" w:eastAsia="Times New Roman" w:cs="Times New Roman"/>
          <w:color w:val="FF0000"/>
          <w:sz w:val="28"/>
          <w:szCs w:val="28"/>
          <w:lang w:eastAsia="zh-CN"/>
        </w:rPr>
      </w:pPr>
      <w:r>
        <w:rPr>
          <w:rFonts w:ascii="Times New Roman" w:hAnsi="Times New Roman" w:cs="Times New Roman"/>
          <w:sz w:val="28"/>
          <w:szCs w:val="28"/>
          <w:shd w:val="clear" w:color="auto" w:fill="FFFFFF"/>
        </w:rPr>
        <w:t>В стратегической деятельности Фонда поставлена цель, что к 2027 году он должен достичь уровня профессиональной управляющей компании и национального центра компетенций в области очистки ссудных портфелей финансовых организаций, реструктуризации активов и управления стрессовыми активами [143]. В нашей стране одним из главных агрегатов борьбы с финансовым кризисом являются государственные компании, управляющие проблемными активами. Их функционирование позволит не только минимизировать последствия финансовых кризисов, но и предотвратить рост долговых обязательств крупных банков, стагнацию в экономике, снижение рейтинга страны на мировом уровне и остановку или ослабление инвестиционных потоков.</w:t>
      </w:r>
      <w:r>
        <w:rPr>
          <w:rFonts w:ascii="Times New Roman" w:hAnsi="Times New Roman" w:cs="Times New Roman"/>
          <w:color w:val="212529"/>
          <w:sz w:val="28"/>
          <w:szCs w:val="28"/>
          <w:shd w:val="clear" w:color="auto" w:fill="FFFFFF"/>
        </w:rPr>
        <w:t xml:space="preserve"> </w:t>
      </w:r>
      <w:r>
        <w:rPr>
          <w:rFonts w:ascii="Times New Roman" w:hAnsi="Times New Roman" w:cs="Times New Roman"/>
          <w:sz w:val="28"/>
          <w:szCs w:val="28"/>
          <w:shd w:val="clear" w:color="auto" w:fill="FFFFFF"/>
        </w:rPr>
        <w:t>Данный подход государственной компании (ФПК) по управлению выкупленных проблемных активов является методом регулирования экономики страны и вовлечения в нее неработающих активов, даже в случае, если фонд принимает удар на себя по потере финансов [122].</w:t>
      </w:r>
    </w:p>
    <w:p w14:paraId="5A3AA588">
      <w:pPr>
        <w:pStyle w:val="30"/>
        <w:spacing w:before="0" w:beforeAutospacing="0" w:after="0" w:afterAutospacing="0"/>
        <w:ind w:firstLine="708"/>
        <w:jc w:val="both"/>
      </w:pPr>
      <w:r>
        <w:rPr>
          <w:sz w:val="28"/>
          <w:szCs w:val="28"/>
        </w:rPr>
        <w:t>С учётом вышеизложенного предлагается следующее видение проектного подхода:</w:t>
      </w:r>
    </w:p>
    <w:p w14:paraId="16ED3C0F">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Этап 1 — подготовка и оценка: выявление проблемных кредитов реального сектора, соответствующих установленным критериям передачи, оценка качества активов, подготовка планов по реструктуризации и реанимации предприятий‑заёмщиков.</w:t>
      </w:r>
    </w:p>
    <w:p w14:paraId="2625C346">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Этап 2 — выкуп и консолидация активов: выкуп кредитов у банков второго уровня, передача прав требования, проведение комплексной оценки залогового обеспечения и условий реструктуризации.</w:t>
      </w:r>
    </w:p>
    <w:p w14:paraId="11C11446">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Этап 3 — реструктуризация и оздоровление: разработка индивидуальных планов для предприятий‑заёмщиков: изменение графика платежей, снижение долговой нагрузки, привлечение новых инвестиций, реализация залога или иных активов, повышение операционной эффективности предприятия.</w:t>
      </w:r>
    </w:p>
    <w:p w14:paraId="37336B9D">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Этап 4 — реализация и вовлечение в экономический оборот: реализация либо переуступка прав на активы, вовлечение инвесторов, реализация залога или имущественных прав, возврат активов в хозяйственный оборот.</w:t>
      </w:r>
    </w:p>
    <w:p w14:paraId="4AB449FD">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Этап 5 — мониторинг и отчётность: постоянный мониторинг состояния оздоровленных предприятий, отчётность перед акционером (Правительством РК) и публикуемая аналитика (годовые отчёты, данные о возвратах, реструктуризациях).</w:t>
      </w:r>
    </w:p>
    <w:p w14:paraId="781E1C4A">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предложенном подходе особое внимание должно быть уделено интеграции выкупленных активов в хозяйственный оборот, поддержке реального сектора экономики и сохранению рабочих мест, а также минимизации социальной и системной нестабильности банковской системы. </w:t>
      </w:r>
    </w:p>
    <w:p w14:paraId="01875498">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Помимо этого, внедрение зарубежных практик, таких как оценка рыночной стоимости проблемных долгов, создание рынка проблемных активов, применение инвестиционно‑реабилитационных стратегий может повысить рентабельность и инвестиционную привлекательность предприятий, прошедших реструктуризацию.</w:t>
      </w:r>
    </w:p>
    <w:p w14:paraId="7C30564E">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 xml:space="preserve">Национальный Банк Республики Казахстан (НБРК) является ключевым институтом макропруденциального и микропруденциального регулирования банковского сектора, определяет правила идентификации, оценки и управления проблемными активами [123]. </w:t>
      </w:r>
    </w:p>
    <w:p w14:paraId="72542E4A">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 xml:space="preserve">Регуляторная политика Национального Банка Республики Казахстан направлена на снижение системных рисков и ограничение объемов неработающих кредитов посредством применения комплекса пруденциальных инструментов. </w:t>
      </w:r>
    </w:p>
    <w:p w14:paraId="3F7CD704">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 xml:space="preserve">К основным механизмам относятся требования классификации активов по степени кредитного риска, формирования провизий, соблюдения нормативов достаточности капитала и ликвидности, а также проведения стресс-тестирования [122]. </w:t>
      </w:r>
    </w:p>
    <w:p w14:paraId="0077C65B">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Указанные инструменты соответствуют базовым принципам Базельского комитета по банковскому надзору и направлены на повышение устойчивости банков к кредитным потерям (Таблица 21) [146].</w:t>
      </w:r>
    </w:p>
    <w:p w14:paraId="0E0132DB">
      <w:pPr>
        <w:spacing w:after="0" w:line="240" w:lineRule="auto"/>
        <w:jc w:val="both"/>
        <w:rPr>
          <w:rFonts w:ascii="Times New Roman" w:hAnsi="Times New Roman" w:cs="Times New Roman"/>
          <w:sz w:val="28"/>
          <w:szCs w:val="28"/>
        </w:rPr>
      </w:pPr>
    </w:p>
    <w:p w14:paraId="5F08ABF6">
      <w:pPr>
        <w:spacing w:after="0" w:line="240" w:lineRule="auto"/>
        <w:jc w:val="both"/>
        <w:rPr>
          <w:rFonts w:ascii="Times New Roman" w:hAnsi="Times New Roman" w:eastAsia="Times New Roman" w:cs="Times New Roman"/>
          <w:color w:val="FF0000"/>
          <w:sz w:val="28"/>
          <w:szCs w:val="28"/>
          <w:lang w:eastAsia="zh-CN"/>
        </w:rPr>
      </w:pPr>
      <w:r>
        <w:rPr>
          <w:rFonts w:ascii="Times New Roman" w:hAnsi="Times New Roman" w:cs="Times New Roman"/>
          <w:sz w:val="28"/>
          <w:szCs w:val="28"/>
        </w:rPr>
        <w:t>Таблица 21 - Регуляторные инструменты НБРК в системе управления проблемными активами</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9"/>
        <w:gridCol w:w="2568"/>
        <w:gridCol w:w="2388"/>
        <w:gridCol w:w="2499"/>
      </w:tblGrid>
      <w:tr w14:paraId="1CC81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AB9EEB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Инструмент</w:t>
            </w:r>
          </w:p>
        </w:tc>
        <w:tc>
          <w:tcPr>
            <w:tcW w:w="0" w:type="auto"/>
          </w:tcPr>
          <w:p w14:paraId="7A08E6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Содержание</w:t>
            </w:r>
          </w:p>
        </w:tc>
        <w:tc>
          <w:tcPr>
            <w:tcW w:w="0" w:type="auto"/>
          </w:tcPr>
          <w:p w14:paraId="4283C4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Цель применения</w:t>
            </w:r>
          </w:p>
        </w:tc>
        <w:tc>
          <w:tcPr>
            <w:tcW w:w="0" w:type="auto"/>
          </w:tcPr>
          <w:p w14:paraId="541AA2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Ограничения</w:t>
            </w:r>
          </w:p>
        </w:tc>
      </w:tr>
      <w:tr w14:paraId="7205A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2259D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Классификация активов</w:t>
            </w:r>
          </w:p>
        </w:tc>
        <w:tc>
          <w:tcPr>
            <w:tcW w:w="0" w:type="auto"/>
          </w:tcPr>
          <w:p w14:paraId="381847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Разделение кредитов по степени риска</w:t>
            </w:r>
          </w:p>
        </w:tc>
        <w:tc>
          <w:tcPr>
            <w:tcW w:w="0" w:type="auto"/>
          </w:tcPr>
          <w:p w14:paraId="16820A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Раннее выявление проблемных активов</w:t>
            </w:r>
          </w:p>
        </w:tc>
        <w:tc>
          <w:tcPr>
            <w:tcW w:w="0" w:type="auto"/>
          </w:tcPr>
          <w:p w14:paraId="15DA47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Ретроспективный характер</w:t>
            </w:r>
          </w:p>
        </w:tc>
      </w:tr>
      <w:tr w14:paraId="1324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ED6663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Провизирование</w:t>
            </w:r>
          </w:p>
        </w:tc>
        <w:tc>
          <w:tcPr>
            <w:tcW w:w="0" w:type="auto"/>
          </w:tcPr>
          <w:p w14:paraId="621D61B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Формирование резервов под ECL</w:t>
            </w:r>
          </w:p>
        </w:tc>
        <w:tc>
          <w:tcPr>
            <w:tcW w:w="0" w:type="auto"/>
          </w:tcPr>
          <w:p w14:paraId="1C3A99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Покрытие потенциальных убытков</w:t>
            </w:r>
          </w:p>
        </w:tc>
        <w:tc>
          <w:tcPr>
            <w:tcW w:w="0" w:type="auto"/>
          </w:tcPr>
          <w:p w14:paraId="0F282B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Процикличность</w:t>
            </w:r>
          </w:p>
        </w:tc>
      </w:tr>
      <w:tr w14:paraId="2F92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8A188D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Нормативы капитала</w:t>
            </w:r>
          </w:p>
        </w:tc>
        <w:tc>
          <w:tcPr>
            <w:tcW w:w="0" w:type="auto"/>
          </w:tcPr>
          <w:p w14:paraId="380B0D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Требования Basel III</w:t>
            </w:r>
          </w:p>
        </w:tc>
        <w:tc>
          <w:tcPr>
            <w:tcW w:w="0" w:type="auto"/>
          </w:tcPr>
          <w:p w14:paraId="1B23E4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Устойчивость банков</w:t>
            </w:r>
          </w:p>
        </w:tc>
        <w:tc>
          <w:tcPr>
            <w:tcW w:w="0" w:type="auto"/>
          </w:tcPr>
          <w:p w14:paraId="4B12E9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Рост нагрузки на капитал</w:t>
            </w:r>
          </w:p>
        </w:tc>
      </w:tr>
      <w:tr w14:paraId="6C5F2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7A6F08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Стресс-тестирование</w:t>
            </w:r>
          </w:p>
        </w:tc>
        <w:tc>
          <w:tcPr>
            <w:tcW w:w="0" w:type="auto"/>
          </w:tcPr>
          <w:p w14:paraId="7A66F5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Оценка макрошоков</w:t>
            </w:r>
          </w:p>
        </w:tc>
        <w:tc>
          <w:tcPr>
            <w:tcW w:w="0" w:type="auto"/>
          </w:tcPr>
          <w:p w14:paraId="5AF2F2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Прогнозирование рисков</w:t>
            </w:r>
          </w:p>
        </w:tc>
        <w:tc>
          <w:tcPr>
            <w:tcW w:w="0" w:type="auto"/>
          </w:tcPr>
          <w:p w14:paraId="35467E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Ограниченные сценарии</w:t>
            </w:r>
          </w:p>
        </w:tc>
      </w:tr>
      <w:tr w14:paraId="4F795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8CC96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Надзорные меры</w:t>
            </w:r>
          </w:p>
        </w:tc>
        <w:tc>
          <w:tcPr>
            <w:tcW w:w="0" w:type="auto"/>
          </w:tcPr>
          <w:p w14:paraId="7BC103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Планы оздоровления, ограничения</w:t>
            </w:r>
          </w:p>
        </w:tc>
        <w:tc>
          <w:tcPr>
            <w:tcW w:w="0" w:type="auto"/>
          </w:tcPr>
          <w:p w14:paraId="36A92F0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Снижение системных рисков</w:t>
            </w:r>
          </w:p>
        </w:tc>
        <w:tc>
          <w:tcPr>
            <w:tcW w:w="0" w:type="auto"/>
          </w:tcPr>
          <w:p w14:paraId="137D78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Реактивный подход</w:t>
            </w:r>
          </w:p>
        </w:tc>
      </w:tr>
    </w:tbl>
    <w:p w14:paraId="7CC79950">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[146]</w:t>
      </w:r>
    </w:p>
    <w:p w14:paraId="10518CF3">
      <w:pPr>
        <w:spacing w:after="0" w:line="240" w:lineRule="auto"/>
        <w:ind w:firstLine="708"/>
        <w:jc w:val="both"/>
        <w:rPr>
          <w:rFonts w:ascii="Times New Roman" w:hAnsi="Times New Roman" w:eastAsia="Times New Roman" w:cs="Times New Roman"/>
          <w:color w:val="FF0000"/>
          <w:sz w:val="28"/>
          <w:szCs w:val="28"/>
          <w:lang w:eastAsia="zh-CN"/>
        </w:rPr>
      </w:pPr>
    </w:p>
    <w:p w14:paraId="2398F58F">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Регуляторные и надзорные инициативы (информационно-аналитические проверки качества портфелей, AQR-инициативы и усиление отчетности по IFRS) направлены на повышение прозрачности и упреждающее выявление проблемных кредитов. Вместе с тем различия между «регуляторным» NPL и IFRS stage-3 подчёркивают необходимость использования нескольких показателей качества портфеля при оценке устойчивости банков к шокам [105].</w:t>
      </w:r>
    </w:p>
    <w:p w14:paraId="3E113A07">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 xml:space="preserve">На уровне банков второго уровня управление проблемными активами реализуется через систему внутрибанковских процедур, включающих мониторинг кредитного портфеля, раннее выявление проблемных заёмщиков, реструктуризацию задолженности, взыскание просроченных обязательств и реализацию залогового имущества. </w:t>
      </w:r>
    </w:p>
    <w:p w14:paraId="35EBF888">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Как правило, данные функции регламентируются внутренними кредитными политиками и методиками управления рисками, разработанными с учётом требований регулятора [106].</w:t>
      </w:r>
    </w:p>
    <w:p w14:paraId="4D4D8E4B">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 xml:space="preserve">Наиболее распространённым инструментом работы с проблемной задолженностью является реструктуризация кредитов, предполагающая изменение условий обслуживания долга с целью восстановления платёжеспособности заёмщика (таблица 22). </w:t>
      </w:r>
    </w:p>
    <w:p w14:paraId="38AA5904">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Однако ряд исследований указывает на то, что при отсутствии комплексной оценки бизнес-модели заёмщика и макроэкономических факторов реструктуризация может носить формальный характер и приводить к пролонгации проблемных активов без реального улучшения их качества [91]. Это снижает эффективность управления кредитным риском и приводит к отложенному признанию убытков.</w:t>
      </w:r>
    </w:p>
    <w:p w14:paraId="7A25BF99">
      <w:pPr>
        <w:spacing w:after="0" w:line="240" w:lineRule="auto"/>
        <w:ind w:firstLine="708"/>
        <w:jc w:val="both"/>
        <w:rPr>
          <w:rFonts w:ascii="Times New Roman" w:hAnsi="Times New Roman" w:eastAsia="Times New Roman" w:cs="Times New Roman"/>
          <w:color w:val="FF0000"/>
          <w:sz w:val="28"/>
          <w:szCs w:val="28"/>
          <w:lang w:eastAsia="zh-CN"/>
        </w:rPr>
      </w:pPr>
    </w:p>
    <w:p w14:paraId="4EEB2192">
      <w:pPr>
        <w:spacing w:after="0" w:line="240" w:lineRule="auto"/>
        <w:jc w:val="both"/>
        <w:rPr>
          <w:rFonts w:ascii="Times New Roman" w:hAnsi="Times New Roman" w:cs="Times New Roman"/>
          <w:sz w:val="28"/>
          <w:szCs w:val="28"/>
        </w:rPr>
      </w:pPr>
    </w:p>
    <w:p w14:paraId="153445EC">
      <w:pPr>
        <w:spacing w:after="0" w:line="240" w:lineRule="auto"/>
        <w:jc w:val="both"/>
        <w:rPr>
          <w:rFonts w:ascii="Times New Roman" w:hAnsi="Times New Roman" w:eastAsia="Times New Roman" w:cs="Times New Roman"/>
          <w:color w:val="FF0000"/>
          <w:sz w:val="28"/>
          <w:szCs w:val="28"/>
          <w:lang w:eastAsia="zh-CN"/>
        </w:rPr>
      </w:pPr>
      <w:r>
        <w:rPr>
          <w:rFonts w:ascii="Times New Roman" w:hAnsi="Times New Roman" w:cs="Times New Roman"/>
          <w:sz w:val="28"/>
          <w:szCs w:val="28"/>
        </w:rPr>
        <w:t>Таблица 22 - Внутрибанковские инструменты управления проблемными активами</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2"/>
        <w:gridCol w:w="3010"/>
        <w:gridCol w:w="2319"/>
        <w:gridCol w:w="2113"/>
      </w:tblGrid>
      <w:tr w14:paraId="67122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16B33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Инструмент</w:t>
            </w:r>
          </w:p>
        </w:tc>
        <w:tc>
          <w:tcPr>
            <w:tcW w:w="0" w:type="auto"/>
          </w:tcPr>
          <w:p w14:paraId="58A725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Характеристика</w:t>
            </w:r>
          </w:p>
        </w:tc>
        <w:tc>
          <w:tcPr>
            <w:tcW w:w="0" w:type="auto"/>
          </w:tcPr>
          <w:p w14:paraId="1F4E3D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Эффективность</w:t>
            </w:r>
          </w:p>
        </w:tc>
        <w:tc>
          <w:tcPr>
            <w:tcW w:w="0" w:type="auto"/>
          </w:tcPr>
          <w:p w14:paraId="17A9C5B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Основные риски</w:t>
            </w:r>
          </w:p>
        </w:tc>
      </w:tr>
      <w:tr w14:paraId="71C16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E0AEB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Реструктуризация</w:t>
            </w:r>
          </w:p>
        </w:tc>
        <w:tc>
          <w:tcPr>
            <w:tcW w:w="0" w:type="auto"/>
          </w:tcPr>
          <w:p w14:paraId="43F1635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Изменение условий кредита</w:t>
            </w:r>
          </w:p>
        </w:tc>
        <w:tc>
          <w:tcPr>
            <w:tcW w:w="0" w:type="auto"/>
          </w:tcPr>
          <w:p w14:paraId="1E7D5B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Средняя</w:t>
            </w:r>
          </w:p>
        </w:tc>
        <w:tc>
          <w:tcPr>
            <w:tcW w:w="0" w:type="auto"/>
          </w:tcPr>
          <w:p w14:paraId="4A3F19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Пролонгация NPL</w:t>
            </w:r>
          </w:p>
        </w:tc>
      </w:tr>
      <w:tr w14:paraId="54C27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3A63E6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Взыскание</w:t>
            </w:r>
          </w:p>
        </w:tc>
        <w:tc>
          <w:tcPr>
            <w:tcW w:w="0" w:type="auto"/>
          </w:tcPr>
          <w:p w14:paraId="3BB518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Судебное/досудебное</w:t>
            </w:r>
          </w:p>
        </w:tc>
        <w:tc>
          <w:tcPr>
            <w:tcW w:w="0" w:type="auto"/>
          </w:tcPr>
          <w:p w14:paraId="2D86A9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Низкая</w:t>
            </w:r>
          </w:p>
        </w:tc>
        <w:tc>
          <w:tcPr>
            <w:tcW w:w="0" w:type="auto"/>
          </w:tcPr>
          <w:p w14:paraId="222732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Длительность процедур</w:t>
            </w:r>
          </w:p>
        </w:tc>
      </w:tr>
      <w:tr w14:paraId="09EC4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48F35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Реализация залога</w:t>
            </w:r>
          </w:p>
        </w:tc>
        <w:tc>
          <w:tcPr>
            <w:tcW w:w="0" w:type="auto"/>
          </w:tcPr>
          <w:p w14:paraId="4514F33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Продажа активов</w:t>
            </w:r>
          </w:p>
        </w:tc>
        <w:tc>
          <w:tcPr>
            <w:tcW w:w="0" w:type="auto"/>
          </w:tcPr>
          <w:p w14:paraId="4FC3FD5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Ограниченная</w:t>
            </w:r>
          </w:p>
        </w:tc>
        <w:tc>
          <w:tcPr>
            <w:tcW w:w="0" w:type="auto"/>
          </w:tcPr>
          <w:p w14:paraId="2CDBDE4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Низкая ликвидность</w:t>
            </w:r>
          </w:p>
        </w:tc>
      </w:tr>
      <w:tr w14:paraId="27CB1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8EF12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Продажа портфеля</w:t>
            </w:r>
          </w:p>
        </w:tc>
        <w:tc>
          <w:tcPr>
            <w:tcW w:w="0" w:type="auto"/>
          </w:tcPr>
          <w:p w14:paraId="16AF5E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Передача третьим лицам</w:t>
            </w:r>
          </w:p>
        </w:tc>
        <w:tc>
          <w:tcPr>
            <w:tcW w:w="0" w:type="auto"/>
          </w:tcPr>
          <w:p w14:paraId="60D9FB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Потенциально высокая</w:t>
            </w:r>
          </w:p>
        </w:tc>
        <w:tc>
          <w:tcPr>
            <w:tcW w:w="0" w:type="auto"/>
          </w:tcPr>
          <w:p w14:paraId="259031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Недоразвитость рынка</w:t>
            </w:r>
          </w:p>
        </w:tc>
      </w:tr>
      <w:tr w14:paraId="7E2C5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4C802B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Digital-мониторинг</w:t>
            </w:r>
          </w:p>
        </w:tc>
        <w:tc>
          <w:tcPr>
            <w:tcW w:w="0" w:type="auto"/>
          </w:tcPr>
          <w:p w14:paraId="781C6F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Аналитика и скоринг</w:t>
            </w:r>
          </w:p>
        </w:tc>
        <w:tc>
          <w:tcPr>
            <w:tcW w:w="0" w:type="auto"/>
          </w:tcPr>
          <w:p w14:paraId="75E235F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Высокая (потенциал)</w:t>
            </w:r>
          </w:p>
        </w:tc>
        <w:tc>
          <w:tcPr>
            <w:tcW w:w="0" w:type="auto"/>
          </w:tcPr>
          <w:p w14:paraId="023D21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Ограниченное внедрение</w:t>
            </w:r>
          </w:p>
        </w:tc>
      </w:tr>
    </w:tbl>
    <w:p w14:paraId="05AE47AB">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[19]</w:t>
      </w:r>
    </w:p>
    <w:p w14:paraId="0A000C51">
      <w:pPr>
        <w:pStyle w:val="30"/>
        <w:spacing w:before="0" w:beforeAutospacing="0" w:after="0" w:afterAutospacing="0"/>
        <w:jc w:val="both"/>
        <w:rPr>
          <w:rStyle w:val="11"/>
          <w:i w:val="0"/>
          <w:iCs w:val="0"/>
          <w:sz w:val="28"/>
          <w:szCs w:val="28"/>
        </w:rPr>
      </w:pPr>
    </w:p>
    <w:p w14:paraId="3EE544CF">
      <w:pPr>
        <w:pStyle w:val="30"/>
        <w:spacing w:before="0" w:beforeAutospacing="0" w:after="0" w:afterAutospacing="0"/>
        <w:ind w:firstLine="708"/>
        <w:jc w:val="both"/>
        <w:rPr>
          <w:sz w:val="28"/>
          <w:szCs w:val="28"/>
        </w:rPr>
      </w:pPr>
      <w:r>
        <w:rPr>
          <w:sz w:val="28"/>
          <w:szCs w:val="28"/>
        </w:rPr>
        <w:t>Регуляторные инструменты НБРК формируют институциональную основу управления проблемными активами, однако ориентированы преимущественно на контроль последствий кредитного риска. Отсутствие механизмов стимулирования активного восстановления стоимости проблемных активов ограничивает долгосрочную эффективность регулирования.</w:t>
      </w:r>
    </w:p>
    <w:p w14:paraId="7C8D9AA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стабилизации ситуации в банковской сфере и оздоровления финансовой системы в целом АО «Народный Банк» было предоставлено 2,4 трлн тенге для выкупа акций АО «Казкоммерцбанк». Программа повышения финансовой устойчивости банковского сектора, инициированная Национальным банком Республики Казахстан в 2017 году, стала одним из последних масштабных примеров государственной поддержки. Первоначально на реализацию программы предполагалось выделить 500 млрд тенге, однако к октябрю 2017 года объём государственной помощи достиг 653 млрд тенге. В программу вошли такие банки, как АО «АТФБанк», АО «Евразийский банк», АО «Цеснабанк», АО «Банк ЦентрКредит» и впоследствии АО «РБК» [126-128].</w:t>
      </w:r>
    </w:p>
    <w:p w14:paraId="5F73EB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Глобализация и интеграционные процессы в банковском секторе существенно усложнили задачи финансового надзора. Возникновение крупных банковских групп с разветвлённой структурой подразделений потребовало введения единых стандартов контроля и прозрачности деятельности. Для обеспечения надежности операций и повышения доверия к банковской системе коммерческие банки формируют провизии (резервы) в соответствии с Международными стандартами финансовой отчётности (МСФО) [136].</w:t>
      </w:r>
    </w:p>
    <w:p w14:paraId="7D0F92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Применение МСФО в разных странах имеет свои особенности. Многие государства приняли данные стандарты в качестве национальных норм бухгалтерского учёта. В Казахстане обязательность ведения учёта на основе МСФО закреплена Законом «О бухгалтерском учёте и финансовой отчётности». При отсутствии конкретных национальных положений предприятия руководствуются международными стандартами.</w:t>
      </w:r>
    </w:p>
    <w:p w14:paraId="5976DF7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 назначение МСФО заключается в унификации подходов к составлению финансовой отчётности, повышении её качества, сопоставимости и прозрачности. Единая система стандартов способствует более объективной оценке финансовых результатов и сравнительному анализу деятельности компаний на международном уровне. Концептуальные основы МСФО включают ключевые принципы: начисления, непрерывности, осмотрительности и достоверности.</w:t>
      </w:r>
    </w:p>
    <w:p w14:paraId="40682F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МСФО разрабатываются и публикуются Советом по международным стандартам финансовой отчётности. Их внедрение направлено на создание единой универсальной системы учёта, обеспечивающей сопоставимость финансовых показателей компаний различных стран. Применение МСФО способствует укреплению прозрачности бизнеса и повышению доверия со стороны инвесторов [150-153].</w:t>
      </w:r>
    </w:p>
    <w:p w14:paraId="77F8D5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Республике Казахстан переход на стандарт МСФО (IFRS) 9 «Финансовые инструменты» был завершён в 2018 году, после двухлетнего подготовительного периода [151]. Особенностью нового стандарта является переход от модели понесённых убытков к модели ожидаемых кредитных потерь, что требует от банков применения прогнозных оценок и сложных моделей расчёта рисков. IFRS 9 задаёт рамочные принципы, в пределах которых каждая организация формирует собственную учётную политику. </w:t>
      </w:r>
    </w:p>
    <w:p w14:paraId="2021E7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Переход на IFRS 9 вызвал определенные затруднения: необходимость модернизации IT-инфраструктуры, изменения подходов к риск-менеджменту и адаптации внутренних процедур. По предварительным оценкам экспертов, введение нового стандарта должно было привести к росту резервов по кредитам на 30–50%, а в отдельных сегментах (ипотека и розничное кредитование) – до 250%.</w:t>
      </w:r>
    </w:p>
    <w:p w14:paraId="4FC4D9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2018 г. Национальный банк РК предпринял меры для избежания системного кризиса, выделив 410 млрд тенге на оздоровление четырёх коммерческих банков и снизив ключевую ставку. Внедрение МСФО 9 способствовало интеграции процессов управления рисками и финансового планирования.</w:t>
      </w:r>
    </w:p>
    <w:p w14:paraId="4DE6CBB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Новые стандарты также повысили требования к качеству данных, что привело к интеграции подразделений рисков и информационных технологий, с целью минимизации системных рисков и предотвращения кризисных ситуаций [152].</w:t>
      </w:r>
    </w:p>
    <w:p w14:paraId="2A2178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Международная унификация стандартов учёта обеспечила сопоставимость отчётности компаний, функционирующих в разных странах. Единые стандарты дают возможность инвесторам объективно оценивать финансовое положение организаций и принимать обоснованные решения.  </w:t>
      </w:r>
    </w:p>
    <w:p w14:paraId="61225F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то же время переход на МСФО 9 оказал влияние на изменение бизнес-моделей банков. Рост резервов и необходимость соблюдения новых требований снизили показатели прибыльности ряда коммерческих банков, что в отдельных случаях привело к их слиянию или ликвидации. Национальный банк РК был вынужден принимать меры по санации и консолидации банковского сектора.</w:t>
      </w:r>
    </w:p>
    <w:p w14:paraId="7EA6495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Уровень NPL традиционно отражает качество кредитного портфеля банков и эффективность риск-менеджмента в банковской системе. При этом специфика банковского регулирования РК, историческая концентрация депозитов и особенности правового поля требуют глубокой научной оценки действующих моделей управления данными активами.</w:t>
      </w:r>
    </w:p>
    <w:p w14:paraId="4C59A9D0">
      <w:pPr>
        <w:spacing w:after="0" w:line="240" w:lineRule="auto"/>
        <w:ind w:firstLine="708"/>
        <w:jc w:val="both"/>
      </w:pPr>
      <w:r>
        <w:rPr>
          <w:rFonts w:ascii="Times New Roman" w:hAnsi="Times New Roman" w:eastAsia="Times New Roman" w:cs="Times New Roman"/>
          <w:sz w:val="28"/>
          <w:szCs w:val="28"/>
          <w:lang w:eastAsia="zh-CN"/>
        </w:rPr>
        <w:t>В Республике Казахстан действуют Правила формирования системы управления банковскими рисками и внутреннего контроля, утверждённые постановлением Правления Национального Банка РК № 188 от 12 ноября 2019 г. Эти правила предписывают банкам иметь разработанную систему управления рисками, включающую процедуры определения, мониторинга и управления проблемными активами [153]</w:t>
      </w:r>
      <w:r>
        <w:t>.</w:t>
      </w:r>
    </w:p>
    <w:p w14:paraId="26D46469">
      <w:pPr>
        <w:spacing w:after="0" w:line="240" w:lineRule="auto"/>
        <w:ind w:firstLine="708"/>
        <w:jc w:val="both"/>
      </w:pPr>
      <w:r>
        <w:rPr>
          <w:rFonts w:ascii="Times New Roman" w:hAnsi="Times New Roman" w:eastAsia="Times New Roman" w:cs="Times New Roman"/>
          <w:sz w:val="28"/>
          <w:szCs w:val="28"/>
          <w:lang w:eastAsia="zh-CN"/>
        </w:rPr>
        <w:t>В рамках корпоративного управления банки обязаны утверждать политику управления проблемными активами, содержащую:</w:t>
      </w:r>
    </w:p>
    <w:p w14:paraId="3D1CCD70">
      <w:pPr>
        <w:spacing w:after="0" w:line="240" w:lineRule="auto"/>
        <w:ind w:firstLine="709"/>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 определение проблемных активов,</w:t>
      </w:r>
    </w:p>
    <w:p w14:paraId="15020B7F">
      <w:pPr>
        <w:spacing w:after="0" w:line="240" w:lineRule="auto"/>
        <w:ind w:firstLine="709"/>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-методы управления (реструктуризация, продажа, списание и др.),</w:t>
      </w:r>
    </w:p>
    <w:p w14:paraId="0A7FB765">
      <w:pPr>
        <w:spacing w:after="0" w:line="240" w:lineRule="auto"/>
        <w:ind w:firstLine="709"/>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 лимиты и сроки применения методов,</w:t>
      </w:r>
    </w:p>
    <w:p w14:paraId="60AB5044">
      <w:pPr>
        <w:spacing w:after="0" w:line="240" w:lineRule="auto"/>
        <w:ind w:firstLine="709"/>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-параметры раннего реагирования,</w:t>
      </w:r>
    </w:p>
    <w:p w14:paraId="273331D9">
      <w:pPr>
        <w:spacing w:after="0" w:line="240" w:lineRule="auto"/>
        <w:ind w:firstLine="708"/>
        <w:jc w:val="both"/>
      </w:pPr>
      <w:r>
        <w:rPr>
          <w:rFonts w:ascii="Times New Roman" w:hAnsi="Times New Roman" w:eastAsia="Times New Roman" w:cs="Times New Roman"/>
          <w:sz w:val="28"/>
          <w:szCs w:val="28"/>
          <w:lang w:eastAsia="zh-CN"/>
        </w:rPr>
        <w:t xml:space="preserve">порядок взаимодействия подразделений и отчетности совету директоров. </w:t>
      </w:r>
    </w:p>
    <w:p w14:paraId="53CCA702">
      <w:pPr>
        <w:spacing w:after="0" w:line="240" w:lineRule="auto"/>
        <w:ind w:firstLine="708"/>
        <w:jc w:val="both"/>
      </w:pPr>
      <w:r>
        <w:rPr>
          <w:rFonts w:ascii="Times New Roman" w:hAnsi="Times New Roman" w:eastAsia="Times New Roman" w:cs="Times New Roman"/>
          <w:sz w:val="28"/>
          <w:szCs w:val="28"/>
          <w:lang w:eastAsia="zh-CN"/>
        </w:rPr>
        <w:t>Государственные органы финансового надзора РК согласовали с банками индивидуальные планы по снижению уровня стрессовых активов с активов порядка трлн тенге до целевых уровней и ограничили сроки нахождения таких активов на балансе банка. Регулятор намерен развивать ликвидный рынок проблемных активов, в том числе расширяя круг допустимых покупателей NPL [128, 131]</w:t>
      </w:r>
      <w:r>
        <w:t xml:space="preserve">.   </w:t>
      </w:r>
      <w:r>
        <w:rPr>
          <w:rFonts w:ascii="Times New Roman" w:hAnsi="Times New Roman" w:cs="Times New Roman"/>
          <w:sz w:val="28"/>
          <w:szCs w:val="28"/>
        </w:rPr>
        <w:t>На уровне государственного регулирования NPL</w:t>
      </w:r>
      <w:r>
        <w:t xml:space="preserve"> </w:t>
      </w:r>
      <w:r>
        <w:rPr>
          <w:rFonts w:ascii="Times New Roman" w:hAnsi="Times New Roman" w:eastAsia="Times New Roman" w:cs="Times New Roman"/>
          <w:sz w:val="28"/>
          <w:szCs w:val="28"/>
          <w:lang w:eastAsia="zh-CN"/>
        </w:rPr>
        <w:t>продают проблемные активы с участием специализированных фондов.</w:t>
      </w:r>
      <w:r>
        <w:rPr>
          <w:rFonts w:ascii="Times New Roman" w:hAnsi="Times New Roman" w:eastAsia="Times New Roman" w:cs="Times New Roman"/>
          <w:b/>
          <w:bCs/>
          <w:sz w:val="28"/>
          <w:szCs w:val="28"/>
          <w:lang w:eastAsia="zh-CN"/>
        </w:rPr>
        <w:t xml:space="preserve"> </w:t>
      </w:r>
      <w:r>
        <w:rPr>
          <w:rFonts w:ascii="Times New Roman" w:hAnsi="Times New Roman" w:eastAsia="Times New Roman" w:cs="Times New Roman"/>
          <w:sz w:val="28"/>
          <w:szCs w:val="28"/>
          <w:lang w:eastAsia="zh-CN"/>
        </w:rPr>
        <w:t>Данный подход включает продажу NPL на вторичном рынке или передачу их специализированным организациям (asset management companies — AMC), что снижает нагрузку на баланс банка.</w:t>
      </w:r>
    </w:p>
    <w:p w14:paraId="6D2FC75F">
      <w:pPr>
        <w:spacing w:before="100" w:beforeAutospacing="1" w:after="100" w:afterAutospacing="1"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Таблица 23 - Результативность регуляторных инструментов НБРК</w:t>
      </w:r>
    </w:p>
    <w:tbl>
      <w:tblPr>
        <w:tblStyle w:val="31"/>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8"/>
        <w:gridCol w:w="2228"/>
        <w:gridCol w:w="2931"/>
        <w:gridCol w:w="2087"/>
      </w:tblGrid>
      <w:tr w14:paraId="62604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2608" w:type="dxa"/>
          </w:tcPr>
          <w:p w14:paraId="5D008AEF">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Регуляторная мера</w:t>
            </w:r>
          </w:p>
        </w:tc>
        <w:tc>
          <w:tcPr>
            <w:tcW w:w="2228" w:type="dxa"/>
          </w:tcPr>
          <w:p w14:paraId="78DEE3BD">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Цель</w:t>
            </w:r>
          </w:p>
        </w:tc>
        <w:tc>
          <w:tcPr>
            <w:tcW w:w="2931" w:type="dxa"/>
          </w:tcPr>
          <w:p w14:paraId="19D3BF9A">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Эффект</w:t>
            </w:r>
          </w:p>
        </w:tc>
        <w:tc>
          <w:tcPr>
            <w:tcW w:w="2087" w:type="dxa"/>
          </w:tcPr>
          <w:p w14:paraId="6B6A26D2">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Ограничения</w:t>
            </w:r>
          </w:p>
        </w:tc>
      </w:tr>
      <w:tr w14:paraId="7F229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8" w:type="dxa"/>
            <w:tcBorders>
              <w:bottom w:val="single" w:color="auto" w:sz="4" w:space="0"/>
            </w:tcBorders>
          </w:tcPr>
          <w:p w14:paraId="22E1BD12">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Классификация и резервирование</w:t>
            </w:r>
          </w:p>
        </w:tc>
        <w:tc>
          <w:tcPr>
            <w:tcW w:w="2228" w:type="dxa"/>
            <w:tcBorders>
              <w:bottom w:val="single" w:color="auto" w:sz="4" w:space="0"/>
            </w:tcBorders>
          </w:tcPr>
          <w:p w14:paraId="491F25B8">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Повышение прозрачности</w:t>
            </w:r>
          </w:p>
        </w:tc>
        <w:tc>
          <w:tcPr>
            <w:tcW w:w="2931" w:type="dxa"/>
            <w:tcBorders>
              <w:bottom w:val="single" w:color="auto" w:sz="4" w:space="0"/>
            </w:tcBorders>
          </w:tcPr>
          <w:p w14:paraId="4AF6D6F0">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Улучшение отчетности</w:t>
            </w:r>
          </w:p>
        </w:tc>
        <w:tc>
          <w:tcPr>
            <w:tcW w:w="2087" w:type="dxa"/>
            <w:tcBorders>
              <w:bottom w:val="single" w:color="auto" w:sz="4" w:space="0"/>
            </w:tcBorders>
          </w:tcPr>
          <w:p w14:paraId="7AA09FE2">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Формальный характер</w:t>
            </w:r>
          </w:p>
        </w:tc>
      </w:tr>
      <w:tr w14:paraId="21CA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2608" w:type="dxa"/>
            <w:tcBorders>
              <w:top w:val="single" w:color="auto" w:sz="4" w:space="0"/>
            </w:tcBorders>
          </w:tcPr>
          <w:p w14:paraId="6C9915D7">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Ограничение срока удержания NPL</w:t>
            </w:r>
          </w:p>
        </w:tc>
        <w:tc>
          <w:tcPr>
            <w:tcW w:w="2228" w:type="dxa"/>
            <w:tcBorders>
              <w:top w:val="single" w:color="auto" w:sz="4" w:space="0"/>
            </w:tcBorders>
          </w:tcPr>
          <w:p w14:paraId="47E7DC4E">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Стимулирование списания</w:t>
            </w:r>
          </w:p>
        </w:tc>
        <w:tc>
          <w:tcPr>
            <w:tcW w:w="2931" w:type="dxa"/>
            <w:tcBorders>
              <w:top w:val="single" w:color="auto" w:sz="4" w:space="0"/>
            </w:tcBorders>
          </w:tcPr>
          <w:p w14:paraId="24FB7846">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Снижение «зависших» активов</w:t>
            </w:r>
          </w:p>
        </w:tc>
        <w:tc>
          <w:tcPr>
            <w:tcW w:w="2087" w:type="dxa"/>
            <w:tcBorders>
              <w:top w:val="single" w:color="auto" w:sz="4" w:space="0"/>
            </w:tcBorders>
          </w:tcPr>
          <w:p w14:paraId="5E41EA66">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Давление на капитал</w:t>
            </w:r>
          </w:p>
        </w:tc>
      </w:tr>
      <w:tr w14:paraId="7D3F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8" w:type="dxa"/>
          </w:tcPr>
          <w:p w14:paraId="62D97828">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Планы по снижению NPL</w:t>
            </w:r>
          </w:p>
        </w:tc>
        <w:tc>
          <w:tcPr>
            <w:tcW w:w="2228" w:type="dxa"/>
          </w:tcPr>
          <w:p w14:paraId="4BE372C4">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Контроль системных рисков</w:t>
            </w:r>
          </w:p>
        </w:tc>
        <w:tc>
          <w:tcPr>
            <w:tcW w:w="2931" w:type="dxa"/>
          </w:tcPr>
          <w:p w14:paraId="6FB6BA0B">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Дисциплина банков</w:t>
            </w:r>
          </w:p>
        </w:tc>
        <w:tc>
          <w:tcPr>
            <w:tcW w:w="2087" w:type="dxa"/>
          </w:tcPr>
          <w:p w14:paraId="500C26F7">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Неравномерная реализация</w:t>
            </w:r>
          </w:p>
        </w:tc>
      </w:tr>
      <w:tr w14:paraId="74EE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8" w:type="dxa"/>
          </w:tcPr>
          <w:p w14:paraId="0EB710F0">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Развитие рынка стрессовых активов</w:t>
            </w:r>
          </w:p>
        </w:tc>
        <w:tc>
          <w:tcPr>
            <w:tcW w:w="2228" w:type="dxa"/>
          </w:tcPr>
          <w:p w14:paraId="201187DA">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Рыночное перераспределение</w:t>
            </w:r>
          </w:p>
        </w:tc>
        <w:tc>
          <w:tcPr>
            <w:tcW w:w="2931" w:type="dxa"/>
          </w:tcPr>
          <w:p w14:paraId="5B9586AB">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Потенциальная ликвидность</w:t>
            </w:r>
          </w:p>
        </w:tc>
        <w:tc>
          <w:tcPr>
            <w:tcW w:w="2087" w:type="dxa"/>
          </w:tcPr>
          <w:p w14:paraId="125C2B1C">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Недостаточный спрос</w:t>
            </w:r>
          </w:p>
        </w:tc>
      </w:tr>
    </w:tbl>
    <w:p w14:paraId="7FC7EA6D">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[115]</w:t>
      </w:r>
    </w:p>
    <w:p w14:paraId="33795BFF">
      <w:pPr>
        <w:spacing w:after="0" w:line="240" w:lineRule="auto"/>
        <w:ind w:firstLine="708"/>
        <w:jc w:val="both"/>
        <w:rPr>
          <w:rFonts w:ascii="Times New Roman" w:hAnsi="Times New Roman" w:eastAsia="Times New Roman" w:cs="Times New Roman"/>
          <w:sz w:val="28"/>
          <w:szCs w:val="28"/>
          <w:lang w:eastAsia="zh-CN"/>
        </w:rPr>
      </w:pPr>
    </w:p>
    <w:p w14:paraId="51CB1DFA">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В целом оценка действующих моделей управления проблемными активами свидетельствует о преобладании реактивного подхода, ориентированного на выполнение регуляторных требований и минимизацию краткосрочных рисков, в то время как стратегические аспекты восстановления стоимости активов и оптимизации процессов управления остаются недостаточно развитыми [8].</w:t>
      </w:r>
    </w:p>
    <w:p w14:paraId="7849DF93">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Институциональные ограничения системы управления проблемными активами в банковском секторе Республики Казахстан проявляются, прежде всего, в недостаточной развитости инфраструктуры рынка проблемных активов. Ограниченная ликвидность вторичного рынка и слабое развитие механизмов передачи проблемных активов специализированным организациям снижают возможности банков по активному очищению балансов [129]. Существенным барьером также остаётся несовершенство судебной и исполнительной практики, характеризующееся длительными сроками взыскания и высокой неопределённостью результатов реализации залогового имущества.</w:t>
      </w:r>
    </w:p>
    <w:p w14:paraId="45130FDA">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Методические проблемы обусловлены отсутствием унифицированных подходов к оценке эффективности управления проблемными активами. В практике банков акцент делается на агрегированные количественные показатели, такие как уровень NPL и объём сформированных провизий, тогда как показатели скорости восстановления активов, стоимости управления и результативности отдельных инструментов остаются недостаточно формализованными [121]. Кроме того, применяемые модели оценки кредитного риска зачастую имеют ретроспективный характер и в ограниченной степени учитывают влияние макроэкономических и отраслевых факторов [145].</w:t>
      </w:r>
    </w:p>
    <w:p w14:paraId="0753E502">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Организационные ограничения связаны с недостаточной интеграцией функций управления проблемными активами в систему стратегического управления банком. Отсутствие чёткого разграничения ответственности между подразделениями кредитования, риск-менеджмента и взыскания, а также недостаточная координация их деятельности приводят к снижению эффективности управленческих решений [143]. Дополнительным сдерживающим фактором является ограниченное применение проектных и процессных методов управления, а также дефицит специализированных кадров в области работы с проблемными активами [145].</w:t>
      </w:r>
    </w:p>
    <w:p w14:paraId="388523CA">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Совокупность выявленных проблем и ограничений подтверждает необходимость трансформации действующей системы управления проблемными активами банков Республики Казахстан в направлении внедрения интегрированного, методологически унифицированного и проектно-ориентированного подхода, соответствующего международным стандартам банковского регулирования и практикам управления рисками.</w:t>
      </w:r>
    </w:p>
    <w:p w14:paraId="66BAE0B6">
      <w:pPr>
        <w:spacing w:after="0" w:line="240" w:lineRule="auto"/>
        <w:ind w:firstLine="360"/>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Проведённая оценка действующих моделей управления проблемными активами банков Республики Казахстан позволяет сделать следующие выводы:</w:t>
      </w:r>
    </w:p>
    <w:p w14:paraId="2A4B8846">
      <w:pPr>
        <w:pStyle w:val="32"/>
        <w:numPr>
          <w:ilvl w:val="0"/>
          <w:numId w:val="12"/>
        </w:num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Пассивная модель управления проблемными активами обладает ограниченной эффективностью и не обеспечивает устойчивого снижения системных рисков.</w:t>
      </w:r>
    </w:p>
    <w:p w14:paraId="2EB7BD52">
      <w:pPr>
        <w:numPr>
          <w:ilvl w:val="0"/>
          <w:numId w:val="12"/>
        </w:num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Активная модель с участием Фонда проблемных кредитов способствует стабилизации банковского сектора, однако требует дальнейшего институционального развития.</w:t>
      </w:r>
    </w:p>
    <w:p w14:paraId="59E6CF19">
      <w:pPr>
        <w:numPr>
          <w:ilvl w:val="0"/>
          <w:numId w:val="12"/>
        </w:num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Регуляторные меры НБРК обеспечивают формальную дисциплину, но не в полной мере решают задачу экономической реабилитации проблемных активов.</w:t>
      </w:r>
    </w:p>
    <w:p w14:paraId="06A3E9E5">
      <w:pPr>
        <w:numPr>
          <w:ilvl w:val="0"/>
          <w:numId w:val="12"/>
        </w:num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Существующая система управления проблемными активами нуждается в эволюции в сторону проектного подхода, предполагающего интеграцию банков, государства и частных инвесторов в рамках целевых программ восстановления активов реального сектора экономики.</w:t>
      </w:r>
    </w:p>
    <w:p w14:paraId="5950BAAD">
      <w:pPr>
        <w:spacing w:after="0" w:line="240" w:lineRule="auto"/>
        <w:ind w:left="720"/>
        <w:jc w:val="both"/>
        <w:rPr>
          <w:rFonts w:ascii="Times New Roman" w:hAnsi="Times New Roman" w:eastAsia="Times New Roman" w:cs="Times New Roman"/>
          <w:sz w:val="28"/>
          <w:szCs w:val="28"/>
          <w:lang w:eastAsia="zh-CN"/>
        </w:rPr>
      </w:pPr>
    </w:p>
    <w:p w14:paraId="09165971">
      <w:pPr>
        <w:pStyle w:val="2"/>
        <w:spacing w:before="0" w:line="240" w:lineRule="auto"/>
        <w:ind w:firstLine="709"/>
        <w:jc w:val="both"/>
        <w:rPr>
          <w:rFonts w:ascii="Times New Roman" w:hAnsi="Times New Roman" w:eastAsia="Times New Roman" w:cs="Times New Roman"/>
          <w:color w:val="auto"/>
          <w:lang w:eastAsia="zh-CN"/>
        </w:rPr>
      </w:pPr>
      <w:bookmarkStart w:id="14" w:name="_Toc219671647"/>
      <w:r>
        <w:rPr>
          <w:rFonts w:ascii="Times New Roman" w:hAnsi="Times New Roman" w:eastAsia="Times New Roman" w:cs="Times New Roman"/>
          <w:color w:val="auto"/>
          <w:lang w:eastAsia="zh-CN"/>
        </w:rPr>
        <w:t>2.4</w:t>
      </w:r>
      <w:r>
        <w:rPr>
          <w:rFonts w:ascii="Times New Roman" w:hAnsi="Times New Roman" w:eastAsia="Times New Roman" w:cs="Times New Roman"/>
          <w:color w:val="auto"/>
          <w:sz w:val="24"/>
          <w:szCs w:val="24"/>
          <w:lang w:eastAsia="zh-CN"/>
        </w:rPr>
        <w:t xml:space="preserve"> </w:t>
      </w:r>
      <w:r>
        <w:rPr>
          <w:rFonts w:ascii="Times New Roman" w:hAnsi="Times New Roman" w:eastAsia="Times New Roman" w:cs="Times New Roman"/>
          <w:color w:val="auto"/>
          <w:lang w:eastAsia="zh-CN"/>
        </w:rPr>
        <w:t>Ограничения и системные проблемы управления проблемными активами банков, кредитующих реальный сектор</w:t>
      </w:r>
      <w:bookmarkEnd w:id="14"/>
    </w:p>
    <w:p w14:paraId="3971E851">
      <w:pPr>
        <w:rPr>
          <w:lang w:eastAsia="zh-CN"/>
        </w:rPr>
      </w:pPr>
    </w:p>
    <w:p w14:paraId="61EA41F7">
      <w:pPr>
        <w:pStyle w:val="30"/>
        <w:spacing w:before="0" w:beforeAutospacing="0" w:after="0" w:afterAutospacing="0"/>
        <w:ind w:firstLine="708"/>
        <w:jc w:val="both"/>
        <w:rPr>
          <w:sz w:val="28"/>
          <w:szCs w:val="28"/>
        </w:rPr>
      </w:pPr>
      <w:r>
        <w:rPr>
          <w:sz w:val="28"/>
          <w:szCs w:val="28"/>
        </w:rPr>
        <w:t>Несмотря на сформированную в Республике Казахстан систему управления проблемными активами, её практическая реализация в сегменте кредитования реального сектора экономики сталкивается с рядом устойчивых институциональных и правовых ограничений. Эти барьеры носят системный характер и обусловлены несовершенством взаимодействия банковского сектора, регулятора и хозяйствующих субъектов [61, 155-158].</w:t>
      </w:r>
    </w:p>
    <w:p w14:paraId="72F19910">
      <w:pPr>
        <w:pStyle w:val="30"/>
        <w:spacing w:before="0" w:beforeAutospacing="0" w:after="0" w:afterAutospacing="0"/>
        <w:ind w:firstLine="708"/>
        <w:jc w:val="both"/>
        <w:rPr>
          <w:sz w:val="28"/>
          <w:szCs w:val="28"/>
        </w:rPr>
      </w:pPr>
      <w:r>
        <w:rPr>
          <w:sz w:val="28"/>
          <w:szCs w:val="28"/>
        </w:rPr>
        <w:t xml:space="preserve">Ключевым институциональным ограничением является </w:t>
      </w:r>
      <w:r>
        <w:rPr>
          <w:rStyle w:val="14"/>
          <w:b w:val="0"/>
          <w:bCs w:val="0"/>
          <w:sz w:val="28"/>
          <w:szCs w:val="28"/>
        </w:rPr>
        <w:t>разрыв между финансовым и производственным контурами экономики (таблица 24)</w:t>
      </w:r>
      <w:r>
        <w:rPr>
          <w:b/>
          <w:bCs/>
          <w:sz w:val="28"/>
          <w:szCs w:val="28"/>
        </w:rPr>
        <w:t>.</w:t>
      </w:r>
      <w:r>
        <w:rPr>
          <w:sz w:val="28"/>
          <w:szCs w:val="28"/>
        </w:rPr>
        <w:t xml:space="preserve"> Банки второго уровня, ориентируясь на регуляторные показатели и требования к капиталу, воспринимают проблемные активы преимущественно как источник риска, а не как потенциальный объект экономической трансформации. В результате управление задолженностью предприятий реального сектора осуществляется без учёта отраслевой специфики, инвестиционных циклов и возможностей технологического восстановления.</w:t>
      </w:r>
    </w:p>
    <w:p w14:paraId="3989F013">
      <w:pPr>
        <w:pStyle w:val="30"/>
        <w:spacing w:before="0" w:beforeAutospacing="0" w:after="0" w:afterAutospacing="0"/>
        <w:ind w:firstLine="708"/>
        <w:jc w:val="both"/>
        <w:rPr>
          <w:sz w:val="28"/>
          <w:szCs w:val="28"/>
        </w:rPr>
      </w:pPr>
    </w:p>
    <w:p w14:paraId="7BCBED14">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Таблица 24</w:t>
      </w:r>
      <w:r>
        <w:rPr>
          <w:rFonts w:ascii="Times New Roman" w:hAnsi="Times New Roman" w:eastAsia="Times New Roman" w:cs="Times New Roman"/>
          <w:b/>
          <w:bCs/>
          <w:sz w:val="28"/>
          <w:szCs w:val="28"/>
          <w:lang w:eastAsia="zh-CN"/>
        </w:rPr>
        <w:t xml:space="preserve"> - </w:t>
      </w:r>
      <w:r>
        <w:rPr>
          <w:rFonts w:ascii="Times New Roman" w:hAnsi="Times New Roman" w:cs="Times New Roman"/>
          <w:sz w:val="28"/>
          <w:szCs w:val="28"/>
        </w:rPr>
        <w:t>Системные ограничения управления проблемными активами банков реального сектора</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1"/>
        <w:gridCol w:w="4611"/>
        <w:gridCol w:w="2346"/>
      </w:tblGrid>
      <w:tr w14:paraId="5376F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1" w:type="dxa"/>
          </w:tcPr>
          <w:p w14:paraId="595312D9">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Группа ограничений</w:t>
            </w:r>
          </w:p>
        </w:tc>
        <w:tc>
          <w:tcPr>
            <w:tcW w:w="4611" w:type="dxa"/>
          </w:tcPr>
          <w:p w14:paraId="6306EEF7">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Проявление в банковской практике</w:t>
            </w:r>
          </w:p>
        </w:tc>
        <w:tc>
          <w:tcPr>
            <w:tcW w:w="2346" w:type="dxa"/>
          </w:tcPr>
          <w:p w14:paraId="1C0A554C">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Экономические последствия</w:t>
            </w:r>
          </w:p>
        </w:tc>
      </w:tr>
      <w:tr w14:paraId="48B68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1" w:type="dxa"/>
          </w:tcPr>
          <w:p w14:paraId="15E477FF">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Институциональные</w:t>
            </w:r>
          </w:p>
        </w:tc>
        <w:tc>
          <w:tcPr>
            <w:tcW w:w="4611" w:type="dxa"/>
          </w:tcPr>
          <w:p w14:paraId="78DC221D">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Разрыв между банками и производственным сектором</w:t>
            </w:r>
          </w:p>
        </w:tc>
        <w:tc>
          <w:tcPr>
            <w:tcW w:w="2346" w:type="dxa"/>
          </w:tcPr>
          <w:p w14:paraId="3015A062">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Потеря потенциала восстановления активов</w:t>
            </w:r>
          </w:p>
        </w:tc>
      </w:tr>
      <w:tr w14:paraId="0D8EE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1" w:type="dxa"/>
          </w:tcPr>
          <w:p w14:paraId="1E78D4CD">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Организационные</w:t>
            </w:r>
          </w:p>
        </w:tc>
        <w:tc>
          <w:tcPr>
            <w:tcW w:w="4611" w:type="dxa"/>
          </w:tcPr>
          <w:p w14:paraId="1C887366">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Отсутствие междисциплинарных команд</w:t>
            </w:r>
          </w:p>
        </w:tc>
        <w:tc>
          <w:tcPr>
            <w:tcW w:w="2346" w:type="dxa"/>
          </w:tcPr>
          <w:p w14:paraId="39BFC900">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Формальное взыскание без реабилитации</w:t>
            </w:r>
          </w:p>
        </w:tc>
      </w:tr>
    </w:tbl>
    <w:p w14:paraId="77D42A2F"/>
    <w:p w14:paraId="2163463C">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Продолжение таблицы 24</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1"/>
        <w:gridCol w:w="4611"/>
        <w:gridCol w:w="2346"/>
      </w:tblGrid>
      <w:tr w14:paraId="3B14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1" w:type="dxa"/>
          </w:tcPr>
          <w:p w14:paraId="3D4CACAD">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Правовые</w:t>
            </w:r>
          </w:p>
        </w:tc>
        <w:tc>
          <w:tcPr>
            <w:tcW w:w="4611" w:type="dxa"/>
          </w:tcPr>
          <w:p w14:paraId="41892C0F">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Сложность банкротных процедур</w:t>
            </w:r>
          </w:p>
        </w:tc>
        <w:tc>
          <w:tcPr>
            <w:tcW w:w="2346" w:type="dxa"/>
          </w:tcPr>
          <w:p w14:paraId="466C12AA">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Ликвидация вместо санации</w:t>
            </w:r>
          </w:p>
        </w:tc>
      </w:tr>
      <w:tr w14:paraId="4B5ED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2671" w:type="dxa"/>
          </w:tcPr>
          <w:p w14:paraId="2CFE6BCE">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Регуляторные</w:t>
            </w:r>
          </w:p>
        </w:tc>
        <w:tc>
          <w:tcPr>
            <w:tcW w:w="4611" w:type="dxa"/>
          </w:tcPr>
          <w:p w14:paraId="377A7EF3">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Фокус на нормативы, а не на развитие</w:t>
            </w:r>
          </w:p>
        </w:tc>
        <w:tc>
          <w:tcPr>
            <w:tcW w:w="2346" w:type="dxa"/>
          </w:tcPr>
          <w:p w14:paraId="71650432">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Краткосрочная стабилизация</w:t>
            </w:r>
          </w:p>
        </w:tc>
      </w:tr>
      <w:tr w14:paraId="35760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2671" w:type="dxa"/>
          </w:tcPr>
          <w:p w14:paraId="1148F725">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Рыночные</w:t>
            </w:r>
          </w:p>
        </w:tc>
        <w:tc>
          <w:tcPr>
            <w:tcW w:w="4611" w:type="dxa"/>
          </w:tcPr>
          <w:p w14:paraId="373DFE0A">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Слабый рынок стрессовых активов</w:t>
            </w:r>
          </w:p>
        </w:tc>
        <w:tc>
          <w:tcPr>
            <w:tcW w:w="2346" w:type="dxa"/>
          </w:tcPr>
          <w:p w14:paraId="604796EE">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Консервация NPL</w:t>
            </w:r>
          </w:p>
        </w:tc>
      </w:tr>
    </w:tbl>
    <w:p w14:paraId="5F153CC3">
      <w:pPr>
        <w:autoSpaceDE w:val="0"/>
        <w:autoSpaceDN w:val="0"/>
        <w:adjustRightInd w:val="0"/>
        <w:spacing w:after="0" w:line="240" w:lineRule="auto"/>
        <w:contextualSpacing/>
        <w:jc w:val="both"/>
        <w:rPr>
          <w:rFonts w:ascii="Times New Roman" w:hAnsi="Times New Roman" w:eastAsia="Times New Roman" w:cs="Times New Roman"/>
          <w:sz w:val="28"/>
          <w:szCs w:val="28"/>
          <w:lang w:val="en-US" w:eastAsia="zh-CN"/>
        </w:rPr>
      </w:pPr>
    </w:p>
    <w:p w14:paraId="0BB8F058">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[179]</w:t>
      </w:r>
    </w:p>
    <w:p w14:paraId="50E929D9">
      <w:pPr>
        <w:pStyle w:val="30"/>
        <w:spacing w:before="0" w:beforeAutospacing="0" w:after="0" w:afterAutospacing="0"/>
        <w:ind w:firstLine="708"/>
        <w:jc w:val="both"/>
        <w:rPr>
          <w:sz w:val="28"/>
          <w:szCs w:val="28"/>
        </w:rPr>
      </w:pPr>
    </w:p>
    <w:p w14:paraId="1BF7476C">
      <w:pPr>
        <w:pStyle w:val="30"/>
        <w:spacing w:before="0" w:beforeAutospacing="0" w:after="0" w:afterAutospacing="0"/>
        <w:ind w:firstLine="708"/>
        <w:jc w:val="both"/>
        <w:rPr>
          <w:sz w:val="28"/>
          <w:szCs w:val="28"/>
        </w:rPr>
      </w:pPr>
      <w:r>
        <w:rPr>
          <w:sz w:val="28"/>
          <w:szCs w:val="28"/>
        </w:rPr>
        <w:t xml:space="preserve">Ограничения носят </w:t>
      </w:r>
      <w:r>
        <w:rPr>
          <w:rStyle w:val="14"/>
          <w:b w:val="0"/>
          <w:bCs w:val="0"/>
          <w:sz w:val="28"/>
          <w:szCs w:val="28"/>
        </w:rPr>
        <w:t>взаимосвязанный характер</w:t>
      </w:r>
      <w:r>
        <w:rPr>
          <w:sz w:val="28"/>
          <w:szCs w:val="28"/>
        </w:rPr>
        <w:t>, формируя замкнутую систему, ориентированную на сокращение рисков, но не на экономический эффект (Таблица 24).</w:t>
      </w:r>
    </w:p>
    <w:p w14:paraId="787BA8B0">
      <w:pPr>
        <w:pStyle w:val="30"/>
        <w:spacing w:before="0" w:beforeAutospacing="0" w:after="0" w:afterAutospacing="0"/>
        <w:ind w:firstLine="708"/>
        <w:jc w:val="both"/>
        <w:rPr>
          <w:sz w:val="28"/>
          <w:szCs w:val="28"/>
        </w:rPr>
      </w:pPr>
      <w:r>
        <w:rPr>
          <w:sz w:val="28"/>
          <w:szCs w:val="28"/>
        </w:rPr>
        <w:t>Организационные барьеры проявляются в фрагментарности функций управления проблемными активами внутри банков. Как правило, данные функции сосредоточены в подразделениях по работе с рисками или взысканию задолженности, которые не обладают компетенциями в области инвестиционного анализа, проектного финансирования и антикризисного управления предприятиями [157]. Это ограничивает способность банков разрабатывать комплексные решения по восстановлению бизнеса заёмщиков реального сектора.</w:t>
      </w:r>
    </w:p>
    <w:p w14:paraId="180224F1">
      <w:pPr>
        <w:pStyle w:val="30"/>
        <w:spacing w:before="0" w:beforeAutospacing="0" w:after="0" w:afterAutospacing="0"/>
        <w:ind w:firstLine="708"/>
        <w:jc w:val="both"/>
        <w:rPr>
          <w:sz w:val="28"/>
          <w:szCs w:val="28"/>
        </w:rPr>
      </w:pPr>
      <w:r>
        <w:rPr>
          <w:sz w:val="28"/>
          <w:szCs w:val="28"/>
        </w:rPr>
        <w:t>Правовые ограничения связаны с высокой сложностью обращения взыскания, банкротства и последующей реабилитации активов. Действующее законодательство в большей степени ориентировано на защиту формальных прав кредитора, чем на стимулирование реструктуризации бизнеса должника.</w:t>
      </w:r>
    </w:p>
    <w:p w14:paraId="3B035974">
      <w:pPr>
        <w:pStyle w:val="30"/>
        <w:spacing w:before="0" w:beforeAutospacing="0" w:after="0" w:afterAutospacing="0"/>
        <w:ind w:firstLine="708"/>
        <w:jc w:val="both"/>
        <w:rPr>
          <w:sz w:val="28"/>
          <w:szCs w:val="28"/>
        </w:rPr>
      </w:pPr>
      <w:r>
        <w:rPr>
          <w:sz w:val="28"/>
          <w:szCs w:val="28"/>
        </w:rPr>
        <w:t xml:space="preserve"> В результате процедуры банкротства часто приводят к ликвидации предприятий, утрате производственного потенциала и снижению экономической отдачи от проблемных активов.</w:t>
      </w:r>
    </w:p>
    <w:p w14:paraId="0A8B982D">
      <w:pPr>
        <w:pStyle w:val="30"/>
        <w:spacing w:before="0" w:beforeAutospacing="0" w:after="0" w:afterAutospacing="0"/>
        <w:ind w:firstLine="708"/>
        <w:jc w:val="both"/>
        <w:rPr>
          <w:sz w:val="28"/>
          <w:szCs w:val="28"/>
        </w:rPr>
      </w:pPr>
      <w:r>
        <w:rPr>
          <w:sz w:val="28"/>
          <w:szCs w:val="28"/>
        </w:rPr>
        <w:t xml:space="preserve">Таким образом, институциональная среда управления проблемными активами в реальном секторе формирует </w:t>
      </w:r>
      <w:r>
        <w:rPr>
          <w:rStyle w:val="14"/>
          <w:b w:val="0"/>
          <w:bCs w:val="0"/>
          <w:sz w:val="28"/>
          <w:szCs w:val="28"/>
        </w:rPr>
        <w:t>ликвидационную логику</w:t>
      </w:r>
      <w:r>
        <w:rPr>
          <w:sz w:val="28"/>
          <w:szCs w:val="28"/>
        </w:rPr>
        <w:t>, при которой приоритет отдается юридическому завершению обязательств, а не экономическому восстановлению стоимости активов (Рисунок 15).</w:t>
      </w:r>
    </w:p>
    <w:p w14:paraId="2859B271">
      <w:pPr>
        <w:pStyle w:val="30"/>
        <w:spacing w:before="0" w:beforeAutospacing="0" w:after="0" w:afterAutospacing="0"/>
        <w:ind w:firstLine="708"/>
        <w:jc w:val="both"/>
        <w:rPr>
          <w:vanish/>
          <w:sz w:val="28"/>
          <w:szCs w:val="28"/>
        </w:rPr>
      </w:pPr>
      <w:r>
        <w:rPr>
          <w:vanish/>
          <w:sz w:val="28"/>
          <w:szCs w:val="28"/>
        </w:rPr>
        <w:t>Конец формы</w:t>
      </w:r>
    </w:p>
    <w:p w14:paraId="141F6674">
      <w:pPr>
        <w:pStyle w:val="30"/>
        <w:spacing w:before="0" w:beforeAutospacing="0" w:after="0" w:afterAutospacing="0"/>
        <w:ind w:firstLine="708"/>
        <w:jc w:val="both"/>
        <w:rPr>
          <w:b/>
          <w:bCs/>
          <w:sz w:val="28"/>
          <w:szCs w:val="28"/>
        </w:rPr>
      </w:pPr>
      <w:r>
        <w:rPr>
          <w:b/>
          <w:bCs/>
          <w:sz w:val="28"/>
          <w:szCs w:val="28"/>
        </w:rPr>
        <w:drawing>
          <wp:inline distT="0" distB="0" distL="0" distR="0">
            <wp:extent cx="5486400" cy="3200400"/>
            <wp:effectExtent l="0" t="0" r="19050" b="19050"/>
            <wp:docPr id="1355738755"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13AA3BF9">
      <w:pPr>
        <w:pStyle w:val="30"/>
        <w:spacing w:before="0" w:beforeAutospacing="0" w:after="0" w:afterAutospacing="0"/>
        <w:jc w:val="center"/>
        <w:rPr>
          <w:sz w:val="28"/>
          <w:szCs w:val="28"/>
        </w:rPr>
      </w:pPr>
      <w:r>
        <w:rPr>
          <w:sz w:val="28"/>
          <w:szCs w:val="28"/>
        </w:rPr>
        <w:t>Рисунок 15 - Логика процессного управления проблемным активом</w:t>
      </w:r>
    </w:p>
    <w:p w14:paraId="04CB6C0B">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[79]</w:t>
      </w:r>
    </w:p>
    <w:p w14:paraId="0AFC9866">
      <w:pPr>
        <w:pStyle w:val="30"/>
        <w:spacing w:before="0" w:beforeAutospacing="0" w:after="0" w:afterAutospacing="0"/>
        <w:jc w:val="both"/>
        <w:rPr>
          <w:sz w:val="28"/>
          <w:szCs w:val="28"/>
        </w:rPr>
      </w:pPr>
    </w:p>
    <w:p w14:paraId="176F2F97">
      <w:pPr>
        <w:pStyle w:val="30"/>
        <w:spacing w:before="0" w:beforeAutospacing="0" w:after="0" w:afterAutospacing="0"/>
        <w:ind w:firstLine="708"/>
        <w:jc w:val="both"/>
        <w:rPr>
          <w:sz w:val="28"/>
          <w:szCs w:val="28"/>
        </w:rPr>
      </w:pPr>
      <w:r>
        <w:rPr>
          <w:rStyle w:val="14"/>
          <w:b w:val="0"/>
          <w:bCs w:val="0"/>
          <w:sz w:val="28"/>
          <w:szCs w:val="28"/>
        </w:rPr>
        <w:t>Вывод к рисунку 15:</w:t>
      </w:r>
      <w:r>
        <w:rPr>
          <w:sz w:val="28"/>
          <w:szCs w:val="28"/>
        </w:rPr>
        <w:t xml:space="preserve"> Процессная логика ориентирована на </w:t>
      </w:r>
      <w:r>
        <w:rPr>
          <w:rStyle w:val="14"/>
          <w:b w:val="0"/>
          <w:bCs w:val="0"/>
          <w:sz w:val="28"/>
          <w:szCs w:val="28"/>
        </w:rPr>
        <w:t>завершение кредитного цикла</w:t>
      </w:r>
      <w:r>
        <w:rPr>
          <w:sz w:val="28"/>
          <w:szCs w:val="28"/>
        </w:rPr>
        <w:t>, а не на восстановление стоимости актива. В свою очередь, автором настоящей работы предлагается комплексный проектный подход по управлению и успешному достижению целей и получению запланированных результатов в своем приоритете, направленных на сохранение и реабилитацию предприятий реального сектора экономики.</w:t>
      </w:r>
    </w:p>
    <w:p w14:paraId="1F815F9E">
      <w:pPr>
        <w:pStyle w:val="30"/>
        <w:spacing w:before="0" w:beforeAutospacing="0" w:after="0" w:afterAutospacing="0"/>
        <w:ind w:firstLine="708"/>
        <w:jc w:val="both"/>
        <w:rPr>
          <w:sz w:val="28"/>
          <w:szCs w:val="28"/>
        </w:rPr>
      </w:pPr>
    </w:p>
    <w:p w14:paraId="413DE6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связи со сложившейся критической ситуацией правительством РК был поставлена задача перед национальным регулятором снизить удельный вес проблемных кредитов к 1 января 2016 г. до 10%. Но эта задача оказалась невыполнимой – по состоянию на 1 декабря 2016 г. суммарные займы с просроченной задолженностью свыше 90 дней составили 23,5% от ссудного портфеля казахстанских БВУ, снижение по сравнению с 2014 г. составило 19,7% [128, 132].  </w:t>
      </w:r>
    </w:p>
    <w:p w14:paraId="7ECED4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Около двух третей всех проблемных кредитов составили кредиты с просроченной задолженностью более 90 дней. Объем NPL на 01.01.2018 г. составил 1265 млрд. тг. Удельный вес кредитов с просроченной задолженностью 90 и более дней за 2017 г. вырос с 6,72% до 9,31%.</w:t>
      </w:r>
    </w:p>
    <w:p w14:paraId="5FC963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неработающие кредиты (или как мы называем их просроченные задолженности более 90 дней) на 01.01.2015 г. составили 3340 млрд. тг. Это составляет 23,5% от общего ссудного портфеля БВУ [132].</w:t>
      </w:r>
    </w:p>
    <w:p w14:paraId="4BF6372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1 января 2025 года уровень займов с просроченной задолженностью свыше 90 дней составил 3,1% от ссудного портфеля или ≈ 1 094 млрд тенге. В том числе: по бизнес‑кредитам — 2,1% или ≈ 304 млрд тенге (на 1 янв 2024: 2,3% или ≈ 289 млрд). По кредитам населению — 3,8% или ≈ 790 млрд тенге (на 1 янв 2024: 3,4% или ≈ 575 млрд). Покрытие провизиями неработающих займов — 67,0%. </w:t>
      </w:r>
    </w:p>
    <w:p w14:paraId="3FAEFF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Как показывают данные рисунка 16, доля NPL: ≈ 3.0–3.2% (крупные отчётные точки: 2023 — 2.89%; 2024 (май) — 3.07%; янв 2025 — 3.2%).  Объём кредитного портфеля (по данным обзоров на 01.05.2024): ≈ 30 723 млрд KZT; объём NPL — ≈ 958.6 млрд KZT (доля ≈ 3.1%).  Структура NPL: Физические лица — ~70%, МСБ — ~27%, юридические лица — ~4%.  IFRS / Stage-3 (консервативная оценка): ≈ 6.6% (IFRS Stage-3 по оценке IMF / FSAP 2024).</w:t>
      </w:r>
    </w:p>
    <w:p w14:paraId="37814987">
      <w:pPr>
        <w:spacing w:after="0" w:line="240" w:lineRule="auto"/>
        <w:ind w:firstLine="709"/>
        <w:jc w:val="both"/>
        <w:rPr>
          <w:rFonts w:ascii="Times New Roman" w:hAnsi="Times New Roman" w:cs="Times New Roman"/>
          <w:sz w:val="28"/>
          <w:szCs w:val="28"/>
        </w:rPr>
      </w:pPr>
    </w:p>
    <w:p w14:paraId="75EE9F80">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drawing>
          <wp:inline distT="0" distB="0" distL="0" distR="0">
            <wp:extent cx="5204460" cy="2887980"/>
            <wp:effectExtent l="0" t="0" r="0" b="0"/>
            <wp:docPr id="6093874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387410" name="Рисунок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5204460" cy="2887980"/>
                    </a:xfrm>
                    <a:prstGeom prst="rect">
                      <a:avLst/>
                    </a:prstGeom>
                    <a:noFill/>
                    <a:ln>
                      <a:noFill/>
                    </a:ln>
                  </pic:spPr>
                </pic:pic>
              </a:graphicData>
            </a:graphic>
          </wp:inline>
        </w:drawing>
      </w:r>
    </w:p>
    <w:p w14:paraId="5E69DB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Рисунок 16 - Структура NPL по категориям заемщиков (2024 год.)</w:t>
      </w:r>
    </w:p>
    <w:p w14:paraId="1E063F32">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[124]</w:t>
      </w:r>
    </w:p>
    <w:p w14:paraId="70B32C17">
      <w:pPr>
        <w:spacing w:after="0" w:line="240" w:lineRule="auto"/>
        <w:jc w:val="both"/>
        <w:rPr>
          <w:rFonts w:ascii="Times New Roman" w:hAnsi="Times New Roman" w:cs="Times New Roman"/>
          <w:sz w:val="28"/>
          <w:szCs w:val="28"/>
        </w:rPr>
      </w:pPr>
    </w:p>
    <w:p w14:paraId="24AF60C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Казахстане эффективное списание проблемных активов затруднено текущими правилами налогообложения: банки, которые официально списывают NPL, обязаны уплачивать обратно часть налоговой льготы (около 20 %), что делает списание экономически невыгодным [124].</w:t>
      </w:r>
      <w:r>
        <w:t xml:space="preserve"> </w:t>
      </w:r>
      <w:r>
        <w:rPr>
          <w:rFonts w:ascii="Times New Roman" w:hAnsi="Times New Roman" w:cs="Times New Roman"/>
          <w:sz w:val="28"/>
          <w:szCs w:val="28"/>
        </w:rPr>
        <w:t>Банки предпочитают держать проблемные кредиты на балансе, искусственно занижая качество портфеля.</w:t>
      </w:r>
    </w:p>
    <w:p w14:paraId="77204D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состоянию на 2025 год, относительно высокий уровень NPL в банковских портфелях отмечен у следующих банков: Eurasian Bank, Alatau City Bank, Bereke Bank, Home Credit Bank, Kaspi Bank — вместе они формируют более половины всех NPL [133].</w:t>
      </w:r>
    </w:p>
    <w:p w14:paraId="2D49B2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Наблюдается тенденция к сокращению доли неработающих кредитов в банковском секторе, однако запланированные государственные ориентиры пока не выполнены. На основании имеющихся данных можно констатировать, что проблема просроченной задолженности остаётся значимой и носит критический характер для устойчивости банковской системы страны. Высокий уровень неработающих кредитов оказывает негативное влияние на финансовое состояние кредитных организаций [135].</w:t>
      </w:r>
    </w:p>
    <w:p w14:paraId="7F43E1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объёмы просроченной задолженности достигают критических отметок, это может привести к банкротству банков и их выходу с рынка — сценарий, наблюдавшийся в мировой экономике в 2007 – 2008 гг. Разумеется, внешние экономические шоки, включая финансовые кризисы, способствуют росту проблемных активов банков. Вместе с тем, не следует переоценивать исключительно внешние факторы. В условиях нестабильной экономической среды банковские институты должны не только внедрять современные технологии управления просроченной задолженностью, но и реализовывать адекватные меры превентивного характера по снижению кредитных рисков. Наиболее эффективным способом управления проблемной задолженностью является предупреждение возникновения таких кредитов на ранней стадии [127].</w:t>
      </w:r>
    </w:p>
    <w:p w14:paraId="6A205E7E">
      <w:pPr>
        <w:pStyle w:val="30"/>
        <w:spacing w:before="0" w:beforeAutospacing="0" w:after="0" w:afterAutospacing="0"/>
        <w:ind w:firstLine="708"/>
        <w:jc w:val="both"/>
        <w:rPr>
          <w:sz w:val="28"/>
          <w:szCs w:val="28"/>
        </w:rPr>
      </w:pPr>
      <w:r>
        <w:rPr>
          <w:sz w:val="28"/>
          <w:szCs w:val="28"/>
        </w:rPr>
        <w:t>АРРФР согласовало с банками планы по снижению стрессовых активов с 2,7 трлн тенге до 0,9 трлн тенге до 2025 года, а также ограничила срок нахождения NPL на балансе до 5 лет [114].</w:t>
      </w:r>
    </w:p>
    <w:p w14:paraId="76D5E7E7">
      <w:pPr>
        <w:pStyle w:val="30"/>
        <w:spacing w:before="0" w:beforeAutospacing="0" w:after="0" w:afterAutospacing="0"/>
        <w:ind w:firstLine="708"/>
        <w:jc w:val="both"/>
        <w:rPr>
          <w:sz w:val="28"/>
          <w:szCs w:val="28"/>
        </w:rPr>
      </w:pPr>
      <w:r>
        <w:rPr>
          <w:sz w:val="28"/>
          <w:szCs w:val="28"/>
        </w:rPr>
        <w:t>Несмотря на достигнутый прогресс, в системе регулирования остаются определённые вызовы. Среди них — недостаточная диверсификация финансового рынка, ограниченные источники долгосрочного финансирования и зависимость банков от внешних экономических условий. В условиях мировых кризисов государственное регулирование должно быть направлено не только на предотвращение рисков, но и на стимулирование внутреннего экономического роста.</w:t>
      </w:r>
    </w:p>
    <w:p w14:paraId="072E8A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Особое значение имеет баланс между жёстким регулированием и свободой рыночных механизмов. Избыточные нормативные требования могут сдерживать инвестиционную активность банков и повышать стоимость кредитов для бизнеса, что в конечном итоге негативно отражается на темпах экономического роста [139, 140]. Поэтому ключевой задачей регулятора остаётся обеспечение устойчивости без потери гибкости финансовой системы.</w:t>
      </w:r>
    </w:p>
    <w:p w14:paraId="1F9159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Следует подчеркнуть, что действующие в Казахстане государственные системы регулирования и банковского надзора направлены не только на контроль за кредитной деятельностью коммерческих банков, но и на управление качеством проблемных активов. Это объясняется тем, что именно кредитные операции формируют основную долю доходов банков, и, соответственно, на них приходится значительная часть рисковой деятельности финансовых институтов.</w:t>
      </w:r>
    </w:p>
    <w:p w14:paraId="26145C7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Существенной системной проблемой является доминирование </w:t>
      </w:r>
      <w:r>
        <w:rPr>
          <w:rStyle w:val="14"/>
          <w:rFonts w:ascii="Times New Roman" w:hAnsi="Times New Roman" w:cs="Times New Roman"/>
          <w:b w:val="0"/>
          <w:bCs w:val="0"/>
          <w:sz w:val="28"/>
          <w:szCs w:val="28"/>
        </w:rPr>
        <w:t>процессного подхода</w:t>
      </w:r>
      <w:r>
        <w:rPr>
          <w:rFonts w:ascii="Times New Roman" w:hAnsi="Times New Roman" w:cs="Times New Roman"/>
          <w:sz w:val="28"/>
          <w:szCs w:val="28"/>
        </w:rPr>
        <w:t xml:space="preserve"> в управлении проблемными активами банков. Процессное управление ориентировано на формализацию и стандартизацию операций, что позволяет обеспечить соблюдение регуляторных требований, но существенно ограничивает гибкость управленческих решений [23, 46, 128].</w:t>
      </w:r>
    </w:p>
    <w:p w14:paraId="762B29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процессного подхода работа с проблемными активами строится по линейной схеме: выявление просрочки, классификация актива, формирование резервов, проведение реструктуризации или взыскания. Такая последовательность ориентирована на внутренние банковские процедуры и не предполагает адаптации к изменяющимся экономическим условиям функционирования заёмщика (Таблица 12).</w:t>
      </w:r>
    </w:p>
    <w:p w14:paraId="70E9B3E5">
      <w:pPr>
        <w:pStyle w:val="30"/>
        <w:spacing w:before="0" w:beforeAutospacing="0" w:after="0" w:afterAutospacing="0"/>
        <w:ind w:firstLine="708"/>
        <w:jc w:val="both"/>
        <w:rPr>
          <w:sz w:val="28"/>
          <w:szCs w:val="28"/>
        </w:rPr>
      </w:pPr>
      <w:r>
        <w:rPr>
          <w:sz w:val="28"/>
          <w:szCs w:val="28"/>
        </w:rPr>
        <w:t>Для предприятий реального сектора данный подход является особенно проблематичным, поскольку их финансовое состояние во многом определяется внешними факторами — конъюнктурой рынков, инвестиционными циклами, государственными программами поддержки. Процессное управление не позволяет учитывать данные факторы в полной мере, что приводит к формальному признанию активов проблемными даже при наличии потенциала их восстановления.</w:t>
      </w:r>
    </w:p>
    <w:p w14:paraId="50A75C4A">
      <w:pPr>
        <w:pStyle w:val="30"/>
        <w:spacing w:before="0" w:beforeAutospacing="0" w:after="0" w:afterAutospacing="0"/>
        <w:ind w:firstLine="708"/>
        <w:jc w:val="both"/>
        <w:rPr>
          <w:sz w:val="28"/>
          <w:szCs w:val="28"/>
        </w:rPr>
      </w:pPr>
      <w:r>
        <w:rPr>
          <w:sz w:val="28"/>
          <w:szCs w:val="28"/>
        </w:rPr>
        <w:t>Кроме того, процессный подход стимулирует краткосрочную оптимизацию показателей банковской отчётности. Решения принимаются исходя из минимизации регуляторных рисков, а не из оценки долгосрочной экономической эффективности управления активом. В результате банки предпочитают списание или передачу активов внешним структурам вместо разработки сложных, но потенциально более результативных стратегий реабилитации заёмщиков.</w:t>
      </w:r>
    </w:p>
    <w:p w14:paraId="3F8C65B7">
      <w:pPr>
        <w:pStyle w:val="30"/>
        <w:spacing w:before="0" w:beforeAutospacing="0" w:after="0" w:afterAutospacing="0"/>
        <w:ind w:firstLine="708"/>
        <w:jc w:val="both"/>
        <w:rPr>
          <w:sz w:val="28"/>
          <w:szCs w:val="28"/>
        </w:rPr>
      </w:pPr>
    </w:p>
    <w:p w14:paraId="0826E75D">
      <w:pPr>
        <w:pStyle w:val="30"/>
        <w:spacing w:before="0" w:beforeAutospacing="0" w:after="0" w:afterAutospacing="0"/>
        <w:jc w:val="both"/>
        <w:rPr>
          <w:sz w:val="28"/>
          <w:szCs w:val="28"/>
        </w:rPr>
      </w:pPr>
      <w:r>
        <w:rPr>
          <w:sz w:val="28"/>
          <w:szCs w:val="28"/>
          <w:lang w:eastAsia="zh-CN"/>
        </w:rPr>
        <w:t>Таблица 25 - Сравнение процессного и проектного подходов в управлении проблемными активами</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8"/>
        <w:gridCol w:w="2889"/>
        <w:gridCol w:w="4167"/>
      </w:tblGrid>
      <w:tr w14:paraId="35130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tcPr>
          <w:p w14:paraId="57869202">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Критерий</w:t>
            </w:r>
          </w:p>
        </w:tc>
        <w:tc>
          <w:tcPr>
            <w:tcW w:w="0" w:type="auto"/>
          </w:tcPr>
          <w:p w14:paraId="609C2B8B">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Процессный подход</w:t>
            </w:r>
          </w:p>
        </w:tc>
        <w:tc>
          <w:tcPr>
            <w:tcW w:w="0" w:type="auto"/>
          </w:tcPr>
          <w:p w14:paraId="623F6503">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Последствия для реального сектора</w:t>
            </w:r>
          </w:p>
        </w:tc>
      </w:tr>
      <w:tr w14:paraId="13704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5B578D9">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Цель</w:t>
            </w:r>
          </w:p>
        </w:tc>
        <w:tc>
          <w:tcPr>
            <w:tcW w:w="0" w:type="auto"/>
          </w:tcPr>
          <w:p w14:paraId="0DE9EE5B">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Соблюдение регламента</w:t>
            </w:r>
          </w:p>
        </w:tc>
        <w:tc>
          <w:tcPr>
            <w:tcW w:w="0" w:type="auto"/>
          </w:tcPr>
          <w:p w14:paraId="6269E482">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Потеря экономической ценности</w:t>
            </w:r>
          </w:p>
        </w:tc>
      </w:tr>
      <w:tr w14:paraId="79748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622A674">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Горизонт планирования</w:t>
            </w:r>
          </w:p>
        </w:tc>
        <w:tc>
          <w:tcPr>
            <w:tcW w:w="0" w:type="auto"/>
          </w:tcPr>
          <w:p w14:paraId="0A58832A">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Краткосрочный</w:t>
            </w:r>
          </w:p>
        </w:tc>
        <w:tc>
          <w:tcPr>
            <w:tcW w:w="0" w:type="auto"/>
          </w:tcPr>
          <w:p w14:paraId="00AC9FA1">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Отсутствие инвестиционного эффекта</w:t>
            </w:r>
          </w:p>
        </w:tc>
      </w:tr>
      <w:tr w14:paraId="563D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774830E">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Инструменты</w:t>
            </w:r>
          </w:p>
        </w:tc>
        <w:tc>
          <w:tcPr>
            <w:tcW w:w="0" w:type="auto"/>
          </w:tcPr>
          <w:p w14:paraId="1BD46EA7">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Резервы, взыскание</w:t>
            </w:r>
          </w:p>
        </w:tc>
        <w:tc>
          <w:tcPr>
            <w:tcW w:w="0" w:type="auto"/>
          </w:tcPr>
          <w:p w14:paraId="3FA5C9D8">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Ликвидация бизнеса</w:t>
            </w:r>
          </w:p>
        </w:tc>
      </w:tr>
      <w:tr w14:paraId="1644D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6EA0B6D">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Управленческая логика</w:t>
            </w:r>
          </w:p>
        </w:tc>
        <w:tc>
          <w:tcPr>
            <w:tcW w:w="0" w:type="auto"/>
          </w:tcPr>
          <w:p w14:paraId="5BC509DF">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Линейная</w:t>
            </w:r>
          </w:p>
        </w:tc>
        <w:tc>
          <w:tcPr>
            <w:tcW w:w="0" w:type="auto"/>
          </w:tcPr>
          <w:p w14:paraId="31188F79">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Неадаптивность</w:t>
            </w:r>
          </w:p>
        </w:tc>
      </w:tr>
      <w:tr w14:paraId="18714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A25C0D6">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Оценка результата</w:t>
            </w:r>
          </w:p>
        </w:tc>
        <w:tc>
          <w:tcPr>
            <w:tcW w:w="0" w:type="auto"/>
          </w:tcPr>
          <w:p w14:paraId="4563BC11">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Снижение NPL</w:t>
            </w:r>
          </w:p>
        </w:tc>
        <w:tc>
          <w:tcPr>
            <w:tcW w:w="0" w:type="auto"/>
          </w:tcPr>
          <w:p w14:paraId="1E32A85A">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Сокращение производства</w:t>
            </w:r>
          </w:p>
        </w:tc>
      </w:tr>
    </w:tbl>
    <w:p w14:paraId="4C8FEA1E">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[79]</w:t>
      </w:r>
    </w:p>
    <w:p w14:paraId="48156B85">
      <w:pPr>
        <w:spacing w:after="0" w:line="240" w:lineRule="auto"/>
        <w:jc w:val="both"/>
        <w:rPr>
          <w:rFonts w:ascii="Times New Roman" w:hAnsi="Times New Roman" w:eastAsia="Times New Roman" w:cs="Times New Roman"/>
          <w:sz w:val="28"/>
          <w:szCs w:val="28"/>
          <w:lang w:eastAsia="zh-CN"/>
        </w:rPr>
      </w:pPr>
    </w:p>
    <w:p w14:paraId="78CAB95C">
      <w:pPr>
        <w:pBdr>
          <w:top w:val="single" w:color="auto" w:sz="6" w:space="1"/>
        </w:pBdr>
        <w:spacing w:after="0" w:line="240" w:lineRule="auto"/>
        <w:jc w:val="both"/>
        <w:rPr>
          <w:rFonts w:ascii="Times New Roman" w:hAnsi="Times New Roman" w:eastAsia="Times New Roman" w:cs="Times New Roman"/>
          <w:vanish/>
          <w:sz w:val="28"/>
          <w:szCs w:val="28"/>
          <w:lang w:eastAsia="zh-CN"/>
        </w:rPr>
      </w:pPr>
      <w:r>
        <w:rPr>
          <w:rFonts w:ascii="Times New Roman" w:hAnsi="Times New Roman" w:eastAsia="Times New Roman" w:cs="Times New Roman"/>
          <w:vanish/>
          <w:sz w:val="28"/>
          <w:szCs w:val="28"/>
          <w:lang w:eastAsia="zh-CN"/>
        </w:rPr>
        <w:t>Конец формы</w:t>
      </w:r>
    </w:p>
    <w:p w14:paraId="1435FBC8">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Представленные таблицы и схемы подтверждают, что действующая система управления проблемными активами банков Республики Казахстан характеризуется преобладанием регуляторно-ориентированного и реактивного подхода. Несмотря на снижение формальных показателей NPL, сохраняются институциональные, методические и организационные ограничения, препятствующие восстановлению экономической стоимости проблемных активов [132]. Это обосновывает необходимость перехода к проектно-ориентированной модели управления, рассматриваемой в последующей главе диссертационного исследования.</w:t>
      </w:r>
    </w:p>
    <w:p w14:paraId="7608D6C8">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Следствием этого является снижение качества кредитного портфеля не только количественно, но и структурно, поскольку банки теряют стимулы к работе с инвестиционно сложными проектами реального сектора [128, 131].</w:t>
      </w:r>
    </w:p>
    <w:p w14:paraId="4C24C08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Наиболее существенным ограничением действующей системы управления проблемными активами является </w:t>
      </w:r>
      <w:r>
        <w:rPr>
          <w:rStyle w:val="14"/>
          <w:rFonts w:ascii="Times New Roman" w:hAnsi="Times New Roman" w:cs="Times New Roman"/>
          <w:b w:val="0"/>
          <w:bCs w:val="0"/>
          <w:sz w:val="28"/>
          <w:szCs w:val="28"/>
        </w:rPr>
        <w:t>отсутствие проектной логики</w:t>
      </w:r>
      <w:r>
        <w:rPr>
          <w:rFonts w:ascii="Times New Roman" w:hAnsi="Times New Roman" w:cs="Times New Roman"/>
          <w:sz w:val="28"/>
          <w:szCs w:val="28"/>
        </w:rPr>
        <w:t>, ориентированной на восстановление экономической ценности активов. В существующей практике проблемный актив рассматривается как завершённый кредитный случай, а не как объект управляемой трансформации.</w:t>
      </w:r>
    </w:p>
    <w:p w14:paraId="38FAB6E9">
      <w:pPr>
        <w:spacing w:after="0" w:line="240" w:lineRule="auto"/>
        <w:ind w:firstLine="708"/>
        <w:jc w:val="both"/>
        <w:rPr>
          <w:rFonts w:ascii="Times New Roman" w:hAnsi="Times New Roman" w:cs="Times New Roman"/>
          <w:sz w:val="28"/>
          <w:szCs w:val="28"/>
        </w:rPr>
      </w:pPr>
    </w:p>
    <w:p w14:paraId="0547E782">
      <w:pPr>
        <w:spacing w:after="0" w:line="240" w:lineRule="auto"/>
        <w:ind w:firstLine="708"/>
        <w:jc w:val="both"/>
        <w:rPr>
          <w:rFonts w:ascii="Times New Roman" w:hAnsi="Times New Roman" w:cs="Times New Roman"/>
          <w:sz w:val="28"/>
          <w:szCs w:val="28"/>
        </w:rPr>
      </w:pPr>
      <w:r>
        <w:rPr>
          <w:rFonts w:ascii="Times New Roman" w:hAnsi="Times New Roman" w:eastAsia="Times New Roman" w:cs="Times New Roman"/>
          <w:b/>
          <w:bCs/>
          <w:sz w:val="28"/>
          <w:szCs w:val="28"/>
          <w:lang w:eastAsia="zh-CN"/>
        </w:rPr>
        <w:drawing>
          <wp:inline distT="0" distB="0" distL="0" distR="0">
            <wp:extent cx="5772150" cy="3200400"/>
            <wp:effectExtent l="0" t="0" r="19050" b="19050"/>
            <wp:docPr id="877858659"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3289180E">
      <w:pPr>
        <w:spacing w:after="0" w:line="240" w:lineRule="auto"/>
        <w:ind w:firstLine="708"/>
        <w:jc w:val="both"/>
        <w:rPr>
          <w:rFonts w:ascii="Times New Roman" w:hAnsi="Times New Roman" w:cs="Times New Roman"/>
          <w:sz w:val="28"/>
          <w:szCs w:val="28"/>
        </w:rPr>
      </w:pPr>
    </w:p>
    <w:p w14:paraId="506CA2E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Рисунок 17 - Логика формирования ограничений существующей системы [79]</w:t>
      </w:r>
    </w:p>
    <w:p w14:paraId="72B2859B">
      <w:pPr>
        <w:spacing w:after="0" w:line="240" w:lineRule="auto"/>
        <w:ind w:firstLine="708"/>
        <w:jc w:val="both"/>
        <w:rPr>
          <w:rFonts w:ascii="Times New Roman" w:hAnsi="Times New Roman" w:cs="Times New Roman"/>
          <w:sz w:val="28"/>
          <w:szCs w:val="28"/>
        </w:rPr>
      </w:pPr>
    </w:p>
    <w:p w14:paraId="45BC77A8">
      <w:pPr>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drawing>
          <wp:inline distT="0" distB="0" distL="0" distR="0">
            <wp:extent cx="5486400" cy="3200400"/>
            <wp:effectExtent l="0" t="0" r="19050" b="19050"/>
            <wp:docPr id="758295921"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6A4734AE">
      <w:pPr>
        <w:spacing w:after="0" w:line="240" w:lineRule="auto"/>
        <w:jc w:val="both"/>
        <w:rPr>
          <w:rFonts w:ascii="Times New Roman" w:hAnsi="Times New Roman" w:cs="Times New Roman"/>
          <w:sz w:val="28"/>
          <w:szCs w:val="28"/>
        </w:rPr>
      </w:pPr>
    </w:p>
    <w:p w14:paraId="48BCF072">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cs="Times New Roman"/>
          <w:sz w:val="28"/>
          <w:szCs w:val="28"/>
        </w:rPr>
        <w:t>Рисунок 18 - Причинно-следственная модель системных проблем</w:t>
      </w:r>
      <w:r>
        <w:rPr>
          <w:rFonts w:ascii="Times New Roman" w:hAnsi="Times New Roman" w:eastAsia="Times New Roman" w:cs="Times New Roman"/>
          <w:sz w:val="28"/>
          <w:szCs w:val="28"/>
          <w:lang w:eastAsia="zh-CN"/>
        </w:rPr>
        <w:t xml:space="preserve"> [79]</w:t>
      </w:r>
    </w:p>
    <w:p w14:paraId="13611B36">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p>
    <w:p w14:paraId="0F5D994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Системные проблемы имеют </w:t>
      </w:r>
      <w:r>
        <w:rPr>
          <w:rStyle w:val="14"/>
          <w:rFonts w:ascii="Times New Roman" w:hAnsi="Times New Roman" w:cs="Times New Roman"/>
          <w:b w:val="0"/>
          <w:bCs w:val="0"/>
          <w:sz w:val="28"/>
          <w:szCs w:val="28"/>
        </w:rPr>
        <w:t>каскадный характер</w:t>
      </w:r>
      <w:r>
        <w:rPr>
          <w:rFonts w:ascii="Times New Roman" w:hAnsi="Times New Roman" w:cs="Times New Roman"/>
          <w:sz w:val="28"/>
          <w:szCs w:val="28"/>
        </w:rPr>
        <w:t>, что исключает их решение отдельными регуляторными мерами (Рисунок 18)</w:t>
      </w:r>
    </w:p>
    <w:p w14:paraId="14CDBDD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Проектная логика предполагает наличие цели, сроков, ресурсов, показателей эффективности и ответственных участников. В управлении проблемными активами банков данные элементы, как правило, отсутствуют или носят формальный характер. Реструктуризация задолженности не сопровождается инвестиционными планами, изменением бизнес-модели заёмщика или внедрением механизмов совместного управления рисками.</w:t>
      </w:r>
    </w:p>
    <w:p w14:paraId="33F7B4E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Отсутствие проектного подхода особенно негативно отражается на кредитах реального сектора, где восстановление платёжеспособности возможно только при условии технологической модернизации, расширения рынков сбыта или изменения структуры управления предприятием. Банковская система, действуя в рамках процессной логики, не располагает инструментами для сопровождения таких трансформаций.</w:t>
      </w:r>
    </w:p>
    <w:p w14:paraId="40E48BD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результате проблемные активы реального сектора либо надолго консервируются в статусе неработающих, либо выводятся из экономического оборота через процедуры ликвидации. Это снижает совокупную эффективность использования финансовых ресурсов и усиливает разрыв между банковским сектором и реальной экономикой.</w:t>
      </w:r>
    </w:p>
    <w:p w14:paraId="1AD5833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Отсутствие проектной логики в управлении проблемными активами следует рассматривать как ключевой системный дефицит, преодоление которого требует перехода к новой модели взаимодействия банков, государства и инвесторов.</w:t>
      </w:r>
    </w:p>
    <w:p w14:paraId="0C185D4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Результаты анализа показали, что у</w:t>
      </w:r>
      <w:r>
        <w:rPr>
          <w:rFonts w:ascii="Times New Roman" w:hAnsi="Times New Roman" w:eastAsia="Times New Roman" w:cs="Times New Roman"/>
          <w:sz w:val="28"/>
          <w:szCs w:val="28"/>
          <w:lang w:eastAsia="zh-CN"/>
        </w:rPr>
        <w:t>правление проблемными активами банков, кредитующих реальный сектор, ограничено институциональными, организационными и правовыми барьерами, ориентированными на ликвидацию, а не восстановление активов.</w:t>
      </w:r>
      <w:r>
        <w:rPr>
          <w:rFonts w:ascii="Times New Roman" w:hAnsi="Times New Roman" w:cs="Times New Roman"/>
          <w:sz w:val="28"/>
          <w:szCs w:val="28"/>
        </w:rPr>
        <w:t xml:space="preserve"> </w:t>
      </w:r>
      <w:r>
        <w:rPr>
          <w:rFonts w:ascii="Times New Roman" w:hAnsi="Times New Roman" w:eastAsia="Times New Roman" w:cs="Times New Roman"/>
          <w:sz w:val="28"/>
          <w:szCs w:val="28"/>
          <w:lang w:eastAsia="zh-CN"/>
        </w:rPr>
        <w:t>Доминирование процессного подхода снижает адаптивность банковских решений и препятствует учёту экономической специфики заёмщиков реального сектора.</w:t>
      </w:r>
    </w:p>
    <w:p w14:paraId="1DBE52E5">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Отсутствие проектной логики исключает возможность системной реабилитации проблемных активов и восстановления их инвестиционного потенциала.</w:t>
      </w:r>
      <w:r>
        <w:rPr>
          <w:rFonts w:ascii="Times New Roman" w:hAnsi="Times New Roman" w:cs="Times New Roman"/>
          <w:sz w:val="28"/>
          <w:szCs w:val="28"/>
        </w:rPr>
        <w:t xml:space="preserve"> </w:t>
      </w:r>
      <w:r>
        <w:rPr>
          <w:rFonts w:ascii="Times New Roman" w:hAnsi="Times New Roman" w:eastAsia="Times New Roman" w:cs="Times New Roman"/>
          <w:sz w:val="28"/>
          <w:szCs w:val="28"/>
          <w:lang w:eastAsia="zh-CN"/>
        </w:rPr>
        <w:t>Выявленные ограничения обосновывают необходимость формирования проектно-ориентированной модели управления проблемными активами, что составляет методологическую основу следующей главы диссертационного исследования.</w:t>
      </w:r>
    </w:p>
    <w:p w14:paraId="297ECB39">
      <w:pPr>
        <w:spacing w:after="0" w:line="240" w:lineRule="auto"/>
        <w:ind w:firstLine="708"/>
        <w:jc w:val="both"/>
        <w:rPr>
          <w:rFonts w:ascii="Times New Roman" w:hAnsi="Times New Roman" w:eastAsia="Times New Roman" w:cs="Times New Roman"/>
          <w:sz w:val="28"/>
          <w:szCs w:val="28"/>
          <w:lang w:eastAsia="zh-CN"/>
        </w:rPr>
      </w:pPr>
    </w:p>
    <w:p w14:paraId="00470DBF">
      <w:pPr>
        <w:pStyle w:val="2"/>
        <w:spacing w:before="0" w:line="240" w:lineRule="auto"/>
        <w:ind w:firstLine="709"/>
        <w:jc w:val="both"/>
        <w:rPr>
          <w:rFonts w:ascii="Times New Roman" w:hAnsi="Times New Roman" w:cs="Times New Roman"/>
          <w:color w:val="000000"/>
        </w:rPr>
      </w:pPr>
      <w:bookmarkStart w:id="15" w:name="_Toc219671648"/>
    </w:p>
    <w:p w14:paraId="40E7092A">
      <w:pPr>
        <w:rPr>
          <w:rFonts w:ascii="Times New Roman" w:hAnsi="Times New Roman" w:cs="Times New Roman"/>
          <w:color w:val="000000"/>
        </w:rPr>
      </w:pPr>
      <w:r>
        <w:rPr>
          <w:rFonts w:ascii="Times New Roman" w:hAnsi="Times New Roman" w:cs="Times New Roman"/>
          <w:color w:val="000000"/>
        </w:rPr>
        <w:br w:type="page"/>
      </w:r>
    </w:p>
    <w:p w14:paraId="7A57739C">
      <w:pPr>
        <w:pStyle w:val="2"/>
        <w:spacing w:before="0" w:line="240" w:lineRule="auto"/>
        <w:ind w:firstLine="709"/>
        <w:jc w:val="both"/>
        <w:rPr>
          <w:rFonts w:ascii="Times New Roman" w:hAnsi="Times New Roman" w:cs="Times New Roman"/>
          <w:color w:val="000000"/>
        </w:rPr>
      </w:pPr>
      <w:r>
        <w:rPr>
          <w:rFonts w:ascii="Times New Roman" w:hAnsi="Times New Roman" w:cs="Times New Roman"/>
          <w:color w:val="000000"/>
        </w:rPr>
        <w:t xml:space="preserve">3 </w:t>
      </w:r>
      <w:bookmarkEnd w:id="15"/>
      <w:r>
        <w:rPr>
          <w:rFonts w:ascii="Times New Roman" w:hAnsi="Times New Roman" w:cs="Times New Roman"/>
          <w:color w:val="000000"/>
        </w:rPr>
        <w:t>АНАЛИЗ ВЛИЯНИЯ МАКРОЭКОНОМИЧЕСКИХ ФАКТОРОВ НА РЕАЛИЗАЦИЮ ПРОЕКТНОГО ПОДХОДА В УПРАВЛЕНИИ ПРОБЛЕМНЫМИ АКТИВАМИ БАНКОВ РЕСПУБЛИКИ КАЗАХСТАН</w:t>
      </w:r>
    </w:p>
    <w:p w14:paraId="07FB30B8">
      <w:pPr>
        <w:jc w:val="both"/>
      </w:pPr>
    </w:p>
    <w:p w14:paraId="4A88BEDC">
      <w:pPr>
        <w:pStyle w:val="2"/>
        <w:spacing w:before="0" w:line="240" w:lineRule="auto"/>
        <w:ind w:firstLine="709"/>
        <w:jc w:val="both"/>
        <w:rPr>
          <w:rFonts w:ascii="Times New Roman" w:hAnsi="Times New Roman" w:cs="Times New Roman"/>
          <w:color w:val="auto"/>
        </w:rPr>
      </w:pPr>
      <w:bookmarkStart w:id="16" w:name="_Toc219671649"/>
      <w:r>
        <w:rPr>
          <w:rFonts w:ascii="Times New Roman" w:hAnsi="Times New Roman" w:eastAsia="Times-Bold" w:cs="Times New Roman"/>
          <w:color w:val="auto"/>
        </w:rPr>
        <w:t xml:space="preserve">3.1 </w:t>
      </w:r>
      <w:bookmarkEnd w:id="16"/>
      <w:r>
        <w:rPr>
          <w:rFonts w:ascii="Times New Roman" w:hAnsi="Times New Roman" w:eastAsia="Times New Roman"/>
          <w:color w:val="auto"/>
          <w:lang w:eastAsia="ru-RU"/>
        </w:rPr>
        <w:t>Методологические подходы к анализу влияния макроэкономических факторов на NPL как объектов проектного управления</w:t>
      </w:r>
    </w:p>
    <w:p w14:paraId="7B0EEAB7">
      <w:pPr>
        <w:jc w:val="both"/>
        <w:rPr>
          <w:rFonts w:ascii="Times New Roman" w:hAnsi="Times New Roman" w:cs="Times New Roman"/>
        </w:rPr>
      </w:pPr>
    </w:p>
    <w:p w14:paraId="064F64CC">
      <w:pPr>
        <w:pStyle w:val="30"/>
        <w:spacing w:before="0" w:beforeAutospacing="0" w:after="0" w:afterAutospacing="0"/>
        <w:ind w:firstLine="708"/>
        <w:jc w:val="both"/>
        <w:rPr>
          <w:sz w:val="28"/>
          <w:szCs w:val="28"/>
        </w:rPr>
      </w:pPr>
      <w:r>
        <w:rPr>
          <w:sz w:val="28"/>
          <w:szCs w:val="28"/>
        </w:rPr>
        <w:t xml:space="preserve">Анализ влияния макроэкономических факторов на формирование проблемных кредитов требует соблюдения принципов системности, сопоставимости и причинно-следственной интерпретации. Методология исследования должна учитывать, что показатели NPL являются </w:t>
      </w:r>
      <w:r>
        <w:rPr>
          <w:rStyle w:val="14"/>
          <w:b w:val="0"/>
          <w:bCs w:val="0"/>
          <w:sz w:val="28"/>
          <w:szCs w:val="28"/>
        </w:rPr>
        <w:t>инерционными по своей природе</w:t>
      </w:r>
      <w:r>
        <w:rPr>
          <w:sz w:val="28"/>
          <w:szCs w:val="28"/>
        </w:rPr>
        <w:t xml:space="preserve"> и реагируют на изменения макроэкономической среды с временным лагом.</w:t>
      </w:r>
    </w:p>
    <w:p w14:paraId="2EDA9265">
      <w:pPr>
        <w:pStyle w:val="30"/>
        <w:spacing w:before="0" w:beforeAutospacing="0" w:after="0" w:afterAutospacing="0"/>
        <w:ind w:firstLine="708"/>
        <w:jc w:val="both"/>
        <w:rPr>
          <w:sz w:val="28"/>
          <w:szCs w:val="28"/>
        </w:rPr>
      </w:pPr>
      <w:r>
        <w:rPr>
          <w:sz w:val="28"/>
          <w:szCs w:val="28"/>
        </w:rPr>
        <w:t>В этой связи методологическая база исследования строится на следующих принципах [129, 141]:</w:t>
      </w:r>
    </w:p>
    <w:p w14:paraId="122EED95">
      <w:pPr>
        <w:pStyle w:val="30"/>
        <w:spacing w:before="0" w:beforeAutospacing="0" w:after="0" w:afterAutospacing="0"/>
        <w:ind w:firstLine="709"/>
        <w:jc w:val="both"/>
        <w:rPr>
          <w:sz w:val="28"/>
          <w:szCs w:val="28"/>
        </w:rPr>
      </w:pPr>
      <w:r>
        <w:rPr>
          <w:sz w:val="28"/>
          <w:szCs w:val="28"/>
        </w:rPr>
        <w:t>- учёт временной задержки между макроэкономическими шоками и изменением качества кредитного портфеля;</w:t>
      </w:r>
    </w:p>
    <w:p w14:paraId="2D5D2C25">
      <w:pPr>
        <w:pStyle w:val="30"/>
        <w:spacing w:before="0" w:beforeAutospacing="0" w:after="0" w:afterAutospacing="0"/>
        <w:ind w:firstLine="709"/>
        <w:jc w:val="both"/>
        <w:rPr>
          <w:sz w:val="28"/>
          <w:szCs w:val="28"/>
        </w:rPr>
      </w:pPr>
      <w:r>
        <w:rPr>
          <w:sz w:val="28"/>
          <w:szCs w:val="28"/>
        </w:rPr>
        <w:t>- разграничение краткосрочных и долгосрочных эффектов;</w:t>
      </w:r>
    </w:p>
    <w:p w14:paraId="6A735810">
      <w:pPr>
        <w:pStyle w:val="30"/>
        <w:spacing w:before="0" w:beforeAutospacing="0" w:after="0" w:afterAutospacing="0"/>
        <w:ind w:firstLine="709"/>
        <w:jc w:val="both"/>
        <w:rPr>
          <w:sz w:val="28"/>
          <w:szCs w:val="28"/>
        </w:rPr>
      </w:pPr>
      <w:r>
        <w:rPr>
          <w:sz w:val="28"/>
          <w:szCs w:val="28"/>
        </w:rPr>
        <w:t>- исключение эндогенности между макроэкономическими переменными и банковскими показателями;</w:t>
      </w:r>
    </w:p>
    <w:p w14:paraId="660648BC">
      <w:pPr>
        <w:pStyle w:val="30"/>
        <w:spacing w:before="0" w:beforeAutospacing="0" w:after="0" w:afterAutospacing="0"/>
        <w:ind w:firstLine="709"/>
        <w:jc w:val="both"/>
        <w:rPr>
          <w:sz w:val="28"/>
          <w:szCs w:val="28"/>
        </w:rPr>
      </w:pPr>
      <w:r>
        <w:rPr>
          <w:sz w:val="28"/>
          <w:szCs w:val="28"/>
        </w:rPr>
        <w:t>- адаптация методов анализа к структуре национальной экономики.</w:t>
      </w:r>
    </w:p>
    <w:p w14:paraId="1A2135DB">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Начальным этапом методологического анализа является дескриптивно-статистический подход, направленный на выявление общих закономерностей динамики NPL и макроэкономических индикаторов [10, 23, 142]. В рамках данного подхода анализируются:</w:t>
      </w:r>
    </w:p>
    <w:p w14:paraId="071BD912">
      <w:pPr>
        <w:spacing w:after="0" w:line="240" w:lineRule="auto"/>
        <w:ind w:left="106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темпы роста ВВП;</w:t>
      </w:r>
    </w:p>
    <w:p w14:paraId="52633818">
      <w:pPr>
        <w:spacing w:after="0" w:line="240" w:lineRule="auto"/>
        <w:ind w:left="106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инфляция;</w:t>
      </w:r>
    </w:p>
    <w:p w14:paraId="436BBF2B">
      <w:pPr>
        <w:spacing w:after="0" w:line="240" w:lineRule="auto"/>
        <w:ind w:left="106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базовая процентная ставка;</w:t>
      </w:r>
    </w:p>
    <w:p w14:paraId="1791B548">
      <w:pPr>
        <w:spacing w:after="0" w:line="240" w:lineRule="auto"/>
        <w:ind w:left="106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обменный курс;</w:t>
      </w:r>
    </w:p>
    <w:p w14:paraId="4BE44AC5">
      <w:pPr>
        <w:spacing w:after="0" w:line="240" w:lineRule="auto"/>
        <w:ind w:left="106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уровень безработицы.</w:t>
      </w:r>
    </w:p>
    <w:p w14:paraId="10154993">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Использование методов описательной статистики позволяет выявить устойчивые тренды, циклические колебания и структурные разрывы, что формирует основу для последующего формального моделирования. </w:t>
      </w:r>
    </w:p>
    <w:p w14:paraId="1BB4565C">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cs="Times New Roman"/>
          <w:sz w:val="28"/>
          <w:szCs w:val="28"/>
        </w:rPr>
        <w:t>Корреляционный анализ применяется для оценки направленности и силы взаимосвязи между уровнем проблемных кредитов и отдельными макроэкономическими переменными [78, 143, 144]. Данный подход позволяет:</w:t>
      </w:r>
    </w:p>
    <w:p w14:paraId="7061C59C">
      <w:pPr>
        <w:pStyle w:val="30"/>
        <w:spacing w:before="0" w:beforeAutospacing="0" w:after="0" w:afterAutospacing="0"/>
        <w:ind w:firstLine="709"/>
        <w:jc w:val="both"/>
        <w:rPr>
          <w:sz w:val="28"/>
          <w:szCs w:val="28"/>
        </w:rPr>
      </w:pPr>
      <w:r>
        <w:rPr>
          <w:sz w:val="28"/>
          <w:szCs w:val="28"/>
        </w:rPr>
        <w:t xml:space="preserve">  - определить наличие статистически значимых связей;</w:t>
      </w:r>
    </w:p>
    <w:p w14:paraId="71E6E8BB">
      <w:pPr>
        <w:pStyle w:val="30"/>
        <w:spacing w:before="0" w:beforeAutospacing="0" w:after="0" w:afterAutospacing="0"/>
        <w:ind w:firstLine="709"/>
        <w:jc w:val="both"/>
        <w:rPr>
          <w:sz w:val="28"/>
          <w:szCs w:val="28"/>
        </w:rPr>
      </w:pPr>
      <w:r>
        <w:rPr>
          <w:sz w:val="28"/>
          <w:szCs w:val="28"/>
        </w:rPr>
        <w:t xml:space="preserve">  - выделить наиболее чувствительные факторы;</w:t>
      </w:r>
    </w:p>
    <w:p w14:paraId="427B3FE6">
      <w:pPr>
        <w:pStyle w:val="30"/>
        <w:spacing w:before="0" w:beforeAutospacing="0" w:after="0" w:afterAutospacing="0"/>
        <w:ind w:firstLine="709"/>
        <w:jc w:val="both"/>
        <w:rPr>
          <w:sz w:val="28"/>
          <w:szCs w:val="28"/>
        </w:rPr>
      </w:pPr>
      <w:r>
        <w:rPr>
          <w:sz w:val="28"/>
          <w:szCs w:val="28"/>
        </w:rPr>
        <w:t xml:space="preserve">  - обосновать выбор переменных для регрессионного анализа.</w:t>
      </w:r>
    </w:p>
    <w:p w14:paraId="0D4F3F09">
      <w:pPr>
        <w:pStyle w:val="30"/>
        <w:spacing w:before="0" w:beforeAutospacing="0" w:after="0" w:afterAutospacing="0"/>
        <w:ind w:firstLine="709"/>
        <w:jc w:val="both"/>
        <w:rPr>
          <w:sz w:val="28"/>
          <w:szCs w:val="28"/>
        </w:rPr>
      </w:pPr>
      <w:r>
        <w:rPr>
          <w:sz w:val="28"/>
          <w:szCs w:val="28"/>
        </w:rPr>
        <w:t>Однако корреляция не отражает причинно-следственные зависимости, что требует использования более сложных методов.</w:t>
      </w:r>
    </w:p>
    <w:p w14:paraId="34320600">
      <w:pPr>
        <w:pStyle w:val="30"/>
        <w:spacing w:before="0" w:beforeAutospacing="0" w:after="0" w:afterAutospacing="0"/>
        <w:ind w:firstLine="709"/>
        <w:jc w:val="both"/>
        <w:rPr>
          <w:sz w:val="28"/>
          <w:szCs w:val="28"/>
        </w:rPr>
      </w:pPr>
      <w:r>
        <w:rPr>
          <w:sz w:val="28"/>
          <w:szCs w:val="28"/>
        </w:rPr>
        <w:t>Регрессионный анализ является ключевым методологическим инструментом в исследованиях влияния макроэкономических факторов на NPL [52, 78,129, 144]. В зависимости от целей исследования применяются:</w:t>
      </w:r>
    </w:p>
    <w:p w14:paraId="7E1CFDA5">
      <w:pPr>
        <w:pStyle w:val="30"/>
        <w:spacing w:before="0" w:beforeAutospacing="0" w:after="0" w:afterAutospacing="0"/>
        <w:ind w:left="284" w:firstLine="425"/>
        <w:jc w:val="both"/>
        <w:rPr>
          <w:sz w:val="28"/>
          <w:szCs w:val="28"/>
        </w:rPr>
      </w:pPr>
      <w:r>
        <w:rPr>
          <w:sz w:val="28"/>
          <w:szCs w:val="28"/>
        </w:rPr>
        <w:t>- модели множественной линейной регрессии;</w:t>
      </w:r>
    </w:p>
    <w:p w14:paraId="393BA65E">
      <w:pPr>
        <w:pStyle w:val="30"/>
        <w:spacing w:before="0" w:beforeAutospacing="0" w:after="0" w:afterAutospacing="0"/>
        <w:ind w:left="284" w:firstLine="425"/>
        <w:jc w:val="both"/>
        <w:rPr>
          <w:sz w:val="28"/>
          <w:szCs w:val="28"/>
        </w:rPr>
      </w:pPr>
      <w:r>
        <w:rPr>
          <w:sz w:val="28"/>
          <w:szCs w:val="28"/>
        </w:rPr>
        <w:t>- динамические регрессионные модели с лагами;</w:t>
      </w:r>
    </w:p>
    <w:p w14:paraId="406A2EB4">
      <w:pPr>
        <w:pStyle w:val="30"/>
        <w:spacing w:before="0" w:beforeAutospacing="0" w:after="0" w:afterAutospacing="0"/>
        <w:ind w:left="284" w:firstLine="425"/>
        <w:jc w:val="both"/>
        <w:rPr>
          <w:sz w:val="28"/>
          <w:szCs w:val="28"/>
          <w:lang w:val="en-US"/>
        </w:rPr>
      </w:pPr>
      <w:r>
        <w:rPr>
          <w:sz w:val="28"/>
          <w:szCs w:val="28"/>
          <w:lang w:val="en-US"/>
        </w:rPr>
        <w:t xml:space="preserve">- </w:t>
      </w:r>
      <w:r>
        <w:rPr>
          <w:sz w:val="28"/>
          <w:szCs w:val="28"/>
        </w:rPr>
        <w:t>панельные</w:t>
      </w:r>
      <w:r>
        <w:rPr>
          <w:sz w:val="28"/>
          <w:szCs w:val="28"/>
          <w:lang w:val="en-US"/>
        </w:rPr>
        <w:t xml:space="preserve"> </w:t>
      </w:r>
      <w:r>
        <w:rPr>
          <w:sz w:val="28"/>
          <w:szCs w:val="28"/>
        </w:rPr>
        <w:t>модели</w:t>
      </w:r>
      <w:r>
        <w:rPr>
          <w:sz w:val="28"/>
          <w:szCs w:val="28"/>
          <w:lang w:val="en-US"/>
        </w:rPr>
        <w:t xml:space="preserve"> (fixed effects, random effects).</w:t>
      </w:r>
    </w:p>
    <w:p w14:paraId="448E7EF7">
      <w:pPr>
        <w:pStyle w:val="30"/>
        <w:spacing w:before="0" w:beforeAutospacing="0" w:after="0" w:afterAutospacing="0"/>
        <w:ind w:firstLine="425"/>
        <w:jc w:val="both"/>
        <w:rPr>
          <w:sz w:val="28"/>
          <w:szCs w:val="28"/>
        </w:rPr>
      </w:pPr>
      <w:r>
        <w:rPr>
          <w:sz w:val="28"/>
          <w:szCs w:val="28"/>
        </w:rPr>
        <w:t>Использование регрессионного подхода позволяет количественно оценить вклад каждого макроэкономического фактора в изменение уровня проблемных кредитов и определить статистическую значимость полученных результатов [78, 129, 145]. Особое внимание уделяется диагностике моделей на предмет автокорреляции, мультиколлинеарности и гетероскедастичности [143]. Для анализа временной природы NPL широко применяются динамические модели временных рядов, включая:</w:t>
      </w:r>
    </w:p>
    <w:p w14:paraId="29A99FD3">
      <w:pPr>
        <w:pStyle w:val="30"/>
        <w:spacing w:before="0" w:beforeAutospacing="0" w:after="0" w:afterAutospacing="0"/>
        <w:ind w:left="360"/>
        <w:jc w:val="both"/>
        <w:rPr>
          <w:sz w:val="28"/>
          <w:szCs w:val="28"/>
        </w:rPr>
      </w:pPr>
      <w:r>
        <w:rPr>
          <w:sz w:val="28"/>
          <w:szCs w:val="28"/>
        </w:rPr>
        <w:t>- ARDL-модели;</w:t>
      </w:r>
    </w:p>
    <w:p w14:paraId="6B65302D">
      <w:pPr>
        <w:pStyle w:val="30"/>
        <w:spacing w:before="0" w:beforeAutospacing="0" w:after="0" w:afterAutospacing="0"/>
        <w:ind w:left="360"/>
        <w:jc w:val="both"/>
        <w:rPr>
          <w:sz w:val="28"/>
          <w:szCs w:val="28"/>
        </w:rPr>
      </w:pPr>
      <w:r>
        <w:rPr>
          <w:sz w:val="28"/>
          <w:szCs w:val="28"/>
        </w:rPr>
        <w:t>- VAR- и VEC-модели;</w:t>
      </w:r>
    </w:p>
    <w:p w14:paraId="23F615FA">
      <w:pPr>
        <w:pStyle w:val="30"/>
        <w:spacing w:before="0" w:beforeAutospacing="0" w:after="0" w:afterAutospacing="0"/>
        <w:ind w:left="360"/>
        <w:jc w:val="both"/>
        <w:rPr>
          <w:sz w:val="28"/>
          <w:szCs w:val="28"/>
        </w:rPr>
      </w:pPr>
      <w:r>
        <w:rPr>
          <w:sz w:val="28"/>
          <w:szCs w:val="28"/>
        </w:rPr>
        <w:t>- модели коррекции ошибок.</w:t>
      </w:r>
    </w:p>
    <w:p w14:paraId="32B5D364">
      <w:pPr>
        <w:pStyle w:val="30"/>
        <w:spacing w:before="0" w:beforeAutospacing="0" w:after="0" w:afterAutospacing="0"/>
        <w:ind w:left="360" w:firstLine="349"/>
        <w:jc w:val="both"/>
        <w:rPr>
          <w:sz w:val="28"/>
          <w:szCs w:val="28"/>
        </w:rPr>
      </w:pPr>
      <w:r>
        <w:rPr>
          <w:sz w:val="28"/>
          <w:szCs w:val="28"/>
        </w:rPr>
        <w:t>Данные методы позволяют:</w:t>
      </w:r>
    </w:p>
    <w:p w14:paraId="047B6651">
      <w:pPr>
        <w:pStyle w:val="30"/>
        <w:spacing w:before="0" w:beforeAutospacing="0" w:after="0" w:afterAutospacing="0"/>
        <w:ind w:firstLine="709"/>
        <w:jc w:val="both"/>
        <w:rPr>
          <w:sz w:val="28"/>
          <w:szCs w:val="28"/>
        </w:rPr>
      </w:pPr>
      <w:r>
        <w:rPr>
          <w:sz w:val="28"/>
          <w:szCs w:val="28"/>
        </w:rPr>
        <w:t>- учитывать взаимное влияние макроэкономических переменных;</w:t>
      </w:r>
    </w:p>
    <w:p w14:paraId="0D10F3BE">
      <w:pPr>
        <w:pStyle w:val="30"/>
        <w:spacing w:before="0" w:beforeAutospacing="0" w:after="0" w:afterAutospacing="0"/>
        <w:ind w:firstLine="709"/>
        <w:jc w:val="both"/>
        <w:rPr>
          <w:sz w:val="28"/>
          <w:szCs w:val="28"/>
        </w:rPr>
      </w:pPr>
      <w:r>
        <w:rPr>
          <w:sz w:val="28"/>
          <w:szCs w:val="28"/>
        </w:rPr>
        <w:t>- разделять краткосрочные и долгосрочные эффекты;</w:t>
      </w:r>
    </w:p>
    <w:p w14:paraId="5E6369FB">
      <w:pPr>
        <w:pStyle w:val="30"/>
        <w:spacing w:before="0" w:beforeAutospacing="0" w:after="0" w:afterAutospacing="0"/>
        <w:ind w:firstLine="709"/>
        <w:jc w:val="both"/>
        <w:rPr>
          <w:sz w:val="28"/>
          <w:szCs w:val="28"/>
        </w:rPr>
      </w:pPr>
      <w:r>
        <w:rPr>
          <w:sz w:val="28"/>
          <w:szCs w:val="28"/>
        </w:rPr>
        <w:t>- выявлять устойчивые равновесные зависимости.</w:t>
      </w:r>
    </w:p>
    <w:p w14:paraId="26E5B799">
      <w:pPr>
        <w:pStyle w:val="30"/>
        <w:spacing w:before="0" w:beforeAutospacing="0" w:after="0" w:afterAutospacing="0"/>
        <w:ind w:firstLine="708"/>
        <w:jc w:val="both"/>
        <w:rPr>
          <w:sz w:val="28"/>
          <w:szCs w:val="28"/>
        </w:rPr>
      </w:pPr>
      <w:r>
        <w:rPr>
          <w:sz w:val="28"/>
          <w:szCs w:val="28"/>
        </w:rPr>
        <w:t>Применение данных моделей особенно актуально для экономик с высокой волатильностью макроэкономических показателей.</w:t>
      </w:r>
    </w:p>
    <w:p w14:paraId="55C13442">
      <w:pPr>
        <w:pStyle w:val="30"/>
        <w:spacing w:before="0" w:beforeAutospacing="0" w:after="0" w:afterAutospacing="0"/>
        <w:ind w:firstLine="709"/>
        <w:jc w:val="both"/>
        <w:rPr>
          <w:sz w:val="28"/>
          <w:szCs w:val="28"/>
        </w:rPr>
      </w:pPr>
      <w:r>
        <w:rPr>
          <w:sz w:val="28"/>
          <w:szCs w:val="28"/>
        </w:rPr>
        <w:t>Панельный анализ объединяет временное и межобъектное измерения, что позволяет учитывать [78, 135, 146]:</w:t>
      </w:r>
    </w:p>
    <w:p w14:paraId="6FFEB359">
      <w:pPr>
        <w:pStyle w:val="30"/>
        <w:spacing w:before="0" w:beforeAutospacing="0" w:after="0" w:afterAutospacing="0"/>
        <w:ind w:left="142" w:firstLine="567"/>
        <w:jc w:val="both"/>
        <w:rPr>
          <w:sz w:val="28"/>
          <w:szCs w:val="28"/>
        </w:rPr>
      </w:pPr>
      <w:r>
        <w:rPr>
          <w:sz w:val="28"/>
          <w:szCs w:val="28"/>
        </w:rPr>
        <w:t>- индивидуальные характеристики банков;</w:t>
      </w:r>
    </w:p>
    <w:p w14:paraId="19334257">
      <w:pPr>
        <w:pStyle w:val="30"/>
        <w:spacing w:before="0" w:beforeAutospacing="0" w:after="0" w:afterAutospacing="0"/>
        <w:ind w:left="142" w:firstLine="567"/>
        <w:jc w:val="both"/>
        <w:rPr>
          <w:sz w:val="28"/>
          <w:szCs w:val="28"/>
        </w:rPr>
      </w:pPr>
      <w:r>
        <w:rPr>
          <w:sz w:val="28"/>
          <w:szCs w:val="28"/>
        </w:rPr>
        <w:t>- различия в стратегиях кредитования;</w:t>
      </w:r>
    </w:p>
    <w:p w14:paraId="5E84B163">
      <w:pPr>
        <w:pStyle w:val="30"/>
        <w:spacing w:before="0" w:beforeAutospacing="0" w:after="0" w:afterAutospacing="0"/>
        <w:ind w:left="142" w:firstLine="567"/>
        <w:jc w:val="both"/>
        <w:rPr>
          <w:sz w:val="28"/>
          <w:szCs w:val="28"/>
        </w:rPr>
      </w:pPr>
      <w:r>
        <w:rPr>
          <w:sz w:val="28"/>
          <w:szCs w:val="28"/>
        </w:rPr>
        <w:t>- неоднородность реакции банков на макроэкономические шоки.</w:t>
      </w:r>
    </w:p>
    <w:p w14:paraId="2395FC22">
      <w:pPr>
        <w:pStyle w:val="30"/>
        <w:spacing w:before="0" w:beforeAutospacing="0" w:after="0" w:afterAutospacing="0"/>
        <w:ind w:firstLine="709"/>
        <w:jc w:val="both"/>
        <w:rPr>
          <w:sz w:val="28"/>
          <w:szCs w:val="28"/>
        </w:rPr>
      </w:pPr>
      <w:r>
        <w:rPr>
          <w:sz w:val="28"/>
          <w:szCs w:val="28"/>
        </w:rPr>
        <w:t>Панельные модели повышают точность оценок и позволяют выявлять структурные различия в формировании проблемных кредитов. Для анализа сложных нелинейных и опосредованных связей между макроэкономическими факторами и NPL применяется структурное моделирование, включая метод частичных наименьших квадратов (PLS-SEM) [110, 144]. Данный подход позволяет:</w:t>
      </w:r>
    </w:p>
    <w:p w14:paraId="4BF65DAC">
      <w:pPr>
        <w:pStyle w:val="30"/>
        <w:tabs>
          <w:tab w:val="left" w:pos="567"/>
        </w:tabs>
        <w:spacing w:before="0" w:beforeAutospacing="0" w:after="0" w:afterAutospacing="0"/>
        <w:ind w:firstLine="567"/>
        <w:jc w:val="both"/>
        <w:rPr>
          <w:sz w:val="28"/>
          <w:szCs w:val="28"/>
        </w:rPr>
      </w:pPr>
      <w:r>
        <w:rPr>
          <w:sz w:val="28"/>
          <w:szCs w:val="28"/>
        </w:rPr>
        <w:t>- учитывать латентные переменные;</w:t>
      </w:r>
    </w:p>
    <w:p w14:paraId="4574679A">
      <w:pPr>
        <w:pStyle w:val="30"/>
        <w:tabs>
          <w:tab w:val="left" w:pos="567"/>
        </w:tabs>
        <w:spacing w:before="0" w:beforeAutospacing="0" w:after="0" w:afterAutospacing="0"/>
        <w:ind w:firstLine="567"/>
        <w:jc w:val="both"/>
        <w:rPr>
          <w:sz w:val="28"/>
          <w:szCs w:val="28"/>
        </w:rPr>
      </w:pPr>
      <w:r>
        <w:rPr>
          <w:sz w:val="28"/>
          <w:szCs w:val="28"/>
        </w:rPr>
        <w:t>- анализировать косвенные эффекты;</w:t>
      </w:r>
    </w:p>
    <w:p w14:paraId="1DB749CD">
      <w:pPr>
        <w:pStyle w:val="30"/>
        <w:tabs>
          <w:tab w:val="left" w:pos="567"/>
        </w:tabs>
        <w:spacing w:before="0" w:beforeAutospacing="0" w:after="0" w:afterAutospacing="0"/>
        <w:ind w:firstLine="567"/>
        <w:jc w:val="both"/>
        <w:rPr>
          <w:sz w:val="28"/>
          <w:szCs w:val="28"/>
        </w:rPr>
      </w:pPr>
      <w:r>
        <w:rPr>
          <w:sz w:val="28"/>
          <w:szCs w:val="28"/>
        </w:rPr>
        <w:t>- оценивать комплексное воздействие макрофакторов на кредитные риски.</w:t>
      </w:r>
    </w:p>
    <w:p w14:paraId="1B97028F">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Стресс-тестирование используется для оценки устойчивости банковской системы к негативным макроэкономическим сценариям [78, 147]. В рамках данного подхода моделируются:</w:t>
      </w:r>
    </w:p>
    <w:p w14:paraId="0B49ED90">
      <w:pPr>
        <w:spacing w:after="0" w:line="240" w:lineRule="auto"/>
        <w:ind w:firstLine="709"/>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резкое снижение ВВП;</w:t>
      </w:r>
    </w:p>
    <w:p w14:paraId="2E2B56F9">
      <w:pPr>
        <w:spacing w:after="0" w:line="240" w:lineRule="auto"/>
        <w:ind w:firstLine="709"/>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рост процентных ставок;</w:t>
      </w:r>
    </w:p>
    <w:p w14:paraId="4FB467FF">
      <w:pPr>
        <w:spacing w:after="0" w:line="240" w:lineRule="auto"/>
        <w:ind w:firstLine="709"/>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девальвация национальной валюты;</w:t>
      </w:r>
    </w:p>
    <w:p w14:paraId="57067DCC">
      <w:pPr>
        <w:spacing w:after="0" w:line="240" w:lineRule="auto"/>
        <w:ind w:firstLine="709"/>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ухудшение условий на рынке труда.</w:t>
      </w:r>
    </w:p>
    <w:p w14:paraId="2F14E4FC">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Результаты стресс-тестирования позволяют оценить потенциальный рост NPL и сформировать рекомендации по управлению кредитными рисками [110, 144]. Современные исследования основываются на интеграции различных методологических подходов, что позволяет:</w:t>
      </w:r>
    </w:p>
    <w:p w14:paraId="4FA16446">
      <w:pPr>
        <w:spacing w:after="0" w:line="240" w:lineRule="auto"/>
        <w:ind w:firstLine="709"/>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учитывать многомерность факторов;</w:t>
      </w:r>
    </w:p>
    <w:p w14:paraId="7D90AB44">
      <w:pPr>
        <w:spacing w:after="0" w:line="240" w:lineRule="auto"/>
        <w:ind w:firstLine="709"/>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минимизировать методологические ограничения отдельных методов;</w:t>
      </w:r>
    </w:p>
    <w:p w14:paraId="320747BD">
      <w:pPr>
        <w:spacing w:after="0" w:line="240" w:lineRule="auto"/>
        <w:ind w:firstLine="709"/>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повысить обоснованность выводов.</w:t>
      </w:r>
    </w:p>
    <w:p w14:paraId="5C57F733">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Интегрированный подход является наиболее адекватным для анализа NPL в экономиках с переходным и сырьевым характером развития (Таблица 26)</w:t>
      </w:r>
    </w:p>
    <w:p w14:paraId="35B33BB1">
      <w:pPr>
        <w:spacing w:after="0" w:line="240" w:lineRule="auto"/>
        <w:ind w:firstLine="708"/>
        <w:jc w:val="both"/>
        <w:rPr>
          <w:rFonts w:ascii="Times New Roman" w:hAnsi="Times New Roman" w:eastAsia="Times-Roman" w:cs="Times New Roman"/>
          <w:color w:val="000000"/>
          <w:sz w:val="28"/>
          <w:szCs w:val="28"/>
        </w:rPr>
      </w:pPr>
    </w:p>
    <w:p w14:paraId="3805B8D0">
      <w:pPr>
        <w:spacing w:after="0"/>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Таблица 26 - Анализ влияния макроэкономических факторов на уровень проблемных кредитов (NPL)</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
        <w:gridCol w:w="1812"/>
        <w:gridCol w:w="1854"/>
        <w:gridCol w:w="2010"/>
        <w:gridCol w:w="1640"/>
        <w:gridCol w:w="1786"/>
      </w:tblGrid>
      <w:tr w14:paraId="39AF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36" w:type="dxa"/>
          </w:tcPr>
          <w:p w14:paraId="4E8FD04A">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w:t>
            </w:r>
          </w:p>
        </w:tc>
        <w:tc>
          <w:tcPr>
            <w:tcW w:w="1812" w:type="dxa"/>
          </w:tcPr>
          <w:p w14:paraId="7E3680B8">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Методологический подход</w:t>
            </w:r>
          </w:p>
        </w:tc>
        <w:tc>
          <w:tcPr>
            <w:tcW w:w="1854" w:type="dxa"/>
          </w:tcPr>
          <w:p w14:paraId="0BF50AE2">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Сущность подхода</w:t>
            </w:r>
          </w:p>
        </w:tc>
        <w:tc>
          <w:tcPr>
            <w:tcW w:w="2010" w:type="dxa"/>
          </w:tcPr>
          <w:p w14:paraId="52AF3347">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Ключевые макроэкономические переменные</w:t>
            </w:r>
          </w:p>
        </w:tc>
        <w:tc>
          <w:tcPr>
            <w:tcW w:w="1640" w:type="dxa"/>
          </w:tcPr>
          <w:p w14:paraId="264F06F5">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Преимущества</w:t>
            </w:r>
          </w:p>
        </w:tc>
        <w:tc>
          <w:tcPr>
            <w:tcW w:w="1786" w:type="dxa"/>
          </w:tcPr>
          <w:p w14:paraId="40CAA884">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Ограничения и риски</w:t>
            </w:r>
          </w:p>
        </w:tc>
      </w:tr>
      <w:tr w14:paraId="63878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tcPr>
          <w:p w14:paraId="211A990D">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1</w:t>
            </w:r>
          </w:p>
        </w:tc>
        <w:tc>
          <w:tcPr>
            <w:tcW w:w="1812" w:type="dxa"/>
          </w:tcPr>
          <w:p w14:paraId="146E5966">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Дескриптивно-статистический анализ</w:t>
            </w:r>
          </w:p>
        </w:tc>
        <w:tc>
          <w:tcPr>
            <w:tcW w:w="1854" w:type="dxa"/>
          </w:tcPr>
          <w:p w14:paraId="68685114">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Анализ динамики, структуры и тенденций NPL и макроэкономических показателей</w:t>
            </w:r>
          </w:p>
        </w:tc>
        <w:tc>
          <w:tcPr>
            <w:tcW w:w="2010" w:type="dxa"/>
          </w:tcPr>
          <w:p w14:paraId="04FB60DC">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ВВП, инфляция, процентная ставка, курс валюты, безработица</w:t>
            </w:r>
          </w:p>
        </w:tc>
        <w:tc>
          <w:tcPr>
            <w:tcW w:w="1640" w:type="dxa"/>
          </w:tcPr>
          <w:p w14:paraId="3ABF7D50">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Простота интерпретации, выявление общих закономерностей</w:t>
            </w:r>
          </w:p>
        </w:tc>
        <w:tc>
          <w:tcPr>
            <w:tcW w:w="1786" w:type="dxa"/>
          </w:tcPr>
          <w:p w14:paraId="5F37320A">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Отсутствие причинно-следственных выводов</w:t>
            </w:r>
          </w:p>
        </w:tc>
      </w:tr>
      <w:tr w14:paraId="097A6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tcPr>
          <w:p w14:paraId="61D9BE78">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2</w:t>
            </w:r>
          </w:p>
        </w:tc>
        <w:tc>
          <w:tcPr>
            <w:tcW w:w="1812" w:type="dxa"/>
          </w:tcPr>
          <w:p w14:paraId="796CFD99">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Корреляционный анализ</w:t>
            </w:r>
          </w:p>
        </w:tc>
        <w:tc>
          <w:tcPr>
            <w:tcW w:w="1854" w:type="dxa"/>
          </w:tcPr>
          <w:p w14:paraId="6549C806">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Оценка силы и направленности взаимосвязи между NPL и макропоказателями</w:t>
            </w:r>
          </w:p>
        </w:tc>
        <w:tc>
          <w:tcPr>
            <w:tcW w:w="2010" w:type="dxa"/>
          </w:tcPr>
          <w:p w14:paraId="5A8B6851">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ВВП, инфляция, ставка, курс</w:t>
            </w:r>
          </w:p>
        </w:tc>
        <w:tc>
          <w:tcPr>
            <w:tcW w:w="1640" w:type="dxa"/>
          </w:tcPr>
          <w:p w14:paraId="312DD8F9">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Быстрая идентификация значимых факторов</w:t>
            </w:r>
          </w:p>
        </w:tc>
        <w:tc>
          <w:tcPr>
            <w:tcW w:w="1786" w:type="dxa"/>
          </w:tcPr>
          <w:p w14:paraId="46E9915D">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Не выявляет причинность, чувствителен к выбросам</w:t>
            </w:r>
          </w:p>
        </w:tc>
      </w:tr>
      <w:tr w14:paraId="4653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tcPr>
          <w:p w14:paraId="38A19B42">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3</w:t>
            </w:r>
          </w:p>
        </w:tc>
        <w:tc>
          <w:tcPr>
            <w:tcW w:w="1812" w:type="dxa"/>
          </w:tcPr>
          <w:p w14:paraId="2ACDF943">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Регрессионный анализ</w:t>
            </w:r>
          </w:p>
        </w:tc>
        <w:tc>
          <w:tcPr>
            <w:tcW w:w="1854" w:type="dxa"/>
          </w:tcPr>
          <w:p w14:paraId="3AE0415A">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Количественная оценка влияния макрофакторов на уровень NPL</w:t>
            </w:r>
          </w:p>
        </w:tc>
        <w:tc>
          <w:tcPr>
            <w:tcW w:w="2010" w:type="dxa"/>
          </w:tcPr>
          <w:p w14:paraId="4837F482">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ВВП, инфляция, ставка, курс, доходы населения</w:t>
            </w:r>
          </w:p>
        </w:tc>
        <w:tc>
          <w:tcPr>
            <w:tcW w:w="1640" w:type="dxa"/>
          </w:tcPr>
          <w:p w14:paraId="25ABFEC3">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Позволяет определить вклад каждого фактора</w:t>
            </w:r>
          </w:p>
        </w:tc>
        <w:tc>
          <w:tcPr>
            <w:tcW w:w="1786" w:type="dxa"/>
          </w:tcPr>
          <w:p w14:paraId="52594905">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Возможная эндогенность, требования к качеству данных</w:t>
            </w:r>
          </w:p>
        </w:tc>
      </w:tr>
      <w:tr w14:paraId="24559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tcPr>
          <w:p w14:paraId="7CC93057">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4</w:t>
            </w:r>
          </w:p>
        </w:tc>
        <w:tc>
          <w:tcPr>
            <w:tcW w:w="1812" w:type="dxa"/>
          </w:tcPr>
          <w:p w14:paraId="4D506C9F">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Динамические модели временных рядов (VAR, ARDL, VECM)</w:t>
            </w:r>
          </w:p>
        </w:tc>
        <w:tc>
          <w:tcPr>
            <w:tcW w:w="1854" w:type="dxa"/>
          </w:tcPr>
          <w:p w14:paraId="2163E2B6">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Анализ кратко- и долгосрочных эффектов макрофакторов</w:t>
            </w:r>
          </w:p>
        </w:tc>
        <w:tc>
          <w:tcPr>
            <w:tcW w:w="2010" w:type="dxa"/>
          </w:tcPr>
          <w:p w14:paraId="0FFD1685">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ВВП, инфляция, курс, ставка</w:t>
            </w:r>
          </w:p>
        </w:tc>
        <w:tc>
          <w:tcPr>
            <w:tcW w:w="1640" w:type="dxa"/>
          </w:tcPr>
          <w:p w14:paraId="7B559AD8">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Учет временных лагов и обратных связей</w:t>
            </w:r>
          </w:p>
        </w:tc>
        <w:tc>
          <w:tcPr>
            <w:tcW w:w="1786" w:type="dxa"/>
          </w:tcPr>
          <w:p w14:paraId="1E2248F5">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Сложность интерпретации, высокие требования к данным</w:t>
            </w:r>
          </w:p>
        </w:tc>
      </w:tr>
    </w:tbl>
    <w:p w14:paraId="02544530">
      <w:pPr>
        <w:spacing w:after="0" w:line="240" w:lineRule="auto"/>
        <w:rPr>
          <w:rFonts w:ascii="Times New Roman" w:hAnsi="Times New Roman" w:cs="Times New Roman"/>
        </w:rPr>
      </w:pPr>
      <w:r>
        <w:rPr>
          <w:rFonts w:ascii="Times New Roman" w:hAnsi="Times New Roman" w:cs="Times New Roman"/>
        </w:rPr>
        <w:t>Продолжение таблицы 26</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
        <w:gridCol w:w="1812"/>
        <w:gridCol w:w="1854"/>
        <w:gridCol w:w="2010"/>
        <w:gridCol w:w="1640"/>
        <w:gridCol w:w="1786"/>
      </w:tblGrid>
      <w:tr w14:paraId="15409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tcPr>
          <w:p w14:paraId="75EEEA12">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5</w:t>
            </w:r>
          </w:p>
        </w:tc>
        <w:tc>
          <w:tcPr>
            <w:tcW w:w="1812" w:type="dxa"/>
          </w:tcPr>
          <w:p w14:paraId="6996B81D">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Панельный анализ (FE, RE)</w:t>
            </w:r>
          </w:p>
        </w:tc>
        <w:tc>
          <w:tcPr>
            <w:tcW w:w="1854" w:type="dxa"/>
          </w:tcPr>
          <w:p w14:paraId="56221FF4">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Исследование реакции отдельных банков на макрошоки</w:t>
            </w:r>
          </w:p>
        </w:tc>
        <w:tc>
          <w:tcPr>
            <w:tcW w:w="2010" w:type="dxa"/>
          </w:tcPr>
          <w:p w14:paraId="7630B14C">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Макрофакторы + банковские показатели</w:t>
            </w:r>
          </w:p>
        </w:tc>
        <w:tc>
          <w:tcPr>
            <w:tcW w:w="1640" w:type="dxa"/>
          </w:tcPr>
          <w:p w14:paraId="450EB2C3">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Учет неоднородности банков</w:t>
            </w:r>
          </w:p>
        </w:tc>
        <w:tc>
          <w:tcPr>
            <w:tcW w:w="1786" w:type="dxa"/>
          </w:tcPr>
          <w:p w14:paraId="5FECA9F2">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Необходимость детализированных данных</w:t>
            </w:r>
          </w:p>
        </w:tc>
      </w:tr>
      <w:tr w14:paraId="60E5D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tcPr>
          <w:p w14:paraId="690FBED3">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6</w:t>
            </w:r>
          </w:p>
        </w:tc>
        <w:tc>
          <w:tcPr>
            <w:tcW w:w="1812" w:type="dxa"/>
          </w:tcPr>
          <w:p w14:paraId="1C18884F">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Структурное моделирование (PLS-SEM)</w:t>
            </w:r>
          </w:p>
        </w:tc>
        <w:tc>
          <w:tcPr>
            <w:tcW w:w="1854" w:type="dxa"/>
          </w:tcPr>
          <w:p w14:paraId="74320880">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Анализ прямых и косвенных эффектов макрофакторов</w:t>
            </w:r>
          </w:p>
        </w:tc>
        <w:tc>
          <w:tcPr>
            <w:tcW w:w="2010" w:type="dxa"/>
          </w:tcPr>
          <w:p w14:paraId="3E7D137B">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Латентные макро- и финансовые факторы</w:t>
            </w:r>
          </w:p>
        </w:tc>
        <w:tc>
          <w:tcPr>
            <w:tcW w:w="1640" w:type="dxa"/>
          </w:tcPr>
          <w:p w14:paraId="5F612E9F">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Комплексный анализ сложных взаимосвязей</w:t>
            </w:r>
          </w:p>
        </w:tc>
        <w:tc>
          <w:tcPr>
            <w:tcW w:w="1786" w:type="dxa"/>
          </w:tcPr>
          <w:p w14:paraId="2E467AE8">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Сложность спецификации модели</w:t>
            </w:r>
          </w:p>
        </w:tc>
      </w:tr>
      <w:tr w14:paraId="2EEC2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tcPr>
          <w:p w14:paraId="6C1216C8">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7</w:t>
            </w:r>
          </w:p>
        </w:tc>
        <w:tc>
          <w:tcPr>
            <w:tcW w:w="1812" w:type="dxa"/>
          </w:tcPr>
          <w:p w14:paraId="0D00ECAC">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Стресс-тестирование</w:t>
            </w:r>
          </w:p>
        </w:tc>
        <w:tc>
          <w:tcPr>
            <w:tcW w:w="1854" w:type="dxa"/>
          </w:tcPr>
          <w:p w14:paraId="77843941">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Оценка устойчивости NPL к негативным сценариям</w:t>
            </w:r>
          </w:p>
        </w:tc>
        <w:tc>
          <w:tcPr>
            <w:tcW w:w="2010" w:type="dxa"/>
          </w:tcPr>
          <w:p w14:paraId="26956A5A">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ВВП, инфляция, курс, ставка</w:t>
            </w:r>
          </w:p>
        </w:tc>
        <w:tc>
          <w:tcPr>
            <w:tcW w:w="1640" w:type="dxa"/>
          </w:tcPr>
          <w:p w14:paraId="4D1DBC5C">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Практическая применимость для регулятора</w:t>
            </w:r>
          </w:p>
        </w:tc>
        <w:tc>
          <w:tcPr>
            <w:tcW w:w="1786" w:type="dxa"/>
          </w:tcPr>
          <w:p w14:paraId="08D00212">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Зависимость от сценарных допущений</w:t>
            </w:r>
          </w:p>
        </w:tc>
      </w:tr>
      <w:tr w14:paraId="19111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tcPr>
          <w:p w14:paraId="35C2B209">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8</w:t>
            </w:r>
          </w:p>
        </w:tc>
        <w:tc>
          <w:tcPr>
            <w:tcW w:w="1812" w:type="dxa"/>
          </w:tcPr>
          <w:p w14:paraId="0934E2CF">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Интегрированный макрофинансовый подход</w:t>
            </w:r>
          </w:p>
        </w:tc>
        <w:tc>
          <w:tcPr>
            <w:tcW w:w="1854" w:type="dxa"/>
          </w:tcPr>
          <w:p w14:paraId="4CEDC304">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Совмещение нескольких методов анализа</w:t>
            </w:r>
          </w:p>
        </w:tc>
        <w:tc>
          <w:tcPr>
            <w:tcW w:w="2010" w:type="dxa"/>
          </w:tcPr>
          <w:p w14:paraId="585F438C">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Комплекс макро- и микрофакторов</w:t>
            </w:r>
          </w:p>
        </w:tc>
        <w:tc>
          <w:tcPr>
            <w:tcW w:w="1640" w:type="dxa"/>
          </w:tcPr>
          <w:p w14:paraId="59AF3C8E">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Повышенная достоверность результатов</w:t>
            </w:r>
          </w:p>
        </w:tc>
        <w:tc>
          <w:tcPr>
            <w:tcW w:w="1786" w:type="dxa"/>
          </w:tcPr>
          <w:p w14:paraId="32B3069A">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Методологическая сложность</w:t>
            </w:r>
          </w:p>
        </w:tc>
      </w:tr>
    </w:tbl>
    <w:p w14:paraId="3F586BB8">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[144]</w:t>
      </w:r>
    </w:p>
    <w:p w14:paraId="3E294ADC">
      <w:pPr>
        <w:spacing w:after="0" w:line="240" w:lineRule="auto"/>
        <w:jc w:val="both"/>
        <w:rPr>
          <w:rFonts w:ascii="Times New Roman" w:hAnsi="Times New Roman" w:eastAsia="Times New Roman" w:cs="Times New Roman"/>
          <w:sz w:val="28"/>
          <w:szCs w:val="28"/>
          <w:lang w:eastAsia="zh-CN"/>
        </w:rPr>
      </w:pPr>
    </w:p>
    <w:p w14:paraId="5129ABAB">
      <w:pPr>
        <w:spacing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Представленные методологические подходы позволяют всесторонне оценить влияние макроэкономических факторов на формирование проблемных кредитов. Наиболее обоснованным для условий Республики Казахстан является интегрированный макрофинансовый подход, сочетающий эконометрическое моделирование, панельный анализ и стресс-тестирование, что позволяет учитывать специфику экономики и банковского сектора страны.</w:t>
      </w:r>
    </w:p>
    <w:p w14:paraId="46AB9F7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Методологический анализ показывает, что исследование влияния макроэкономических факторов на уровень проблемных кредитов требует сочетания статистических, эконометрических и структурных методов. Применение интегрированного макрофинансового подхода обеспечивает комплексное понимание природы NPL и формирует основу для разработки эффективных инструментов макропруденциального регулирования.</w:t>
      </w:r>
    </w:p>
    <w:p w14:paraId="4111FBCA">
      <w:pPr>
        <w:pStyle w:val="2"/>
        <w:ind w:firstLine="709"/>
        <w:jc w:val="both"/>
        <w:rPr>
          <w:rFonts w:ascii="Times New Roman" w:hAnsi="Times New Roman" w:eastAsia="Times-Roman" w:cs="Times New Roman"/>
          <w:color w:val="000000"/>
        </w:rPr>
      </w:pPr>
      <w:bookmarkStart w:id="17" w:name="_Toc219671650"/>
      <w:r>
        <w:rPr>
          <w:rFonts w:ascii="Times New Roman" w:hAnsi="Times New Roman" w:cs="Times New Roman"/>
          <w:color w:val="auto"/>
        </w:rPr>
        <w:t>3.2 Обоснование</w:t>
      </w:r>
      <w:r>
        <w:rPr>
          <w:rFonts w:ascii="Times New Roman" w:hAnsi="Times New Roman" w:eastAsia="Times-Roman" w:cs="Times New Roman"/>
          <w:color w:val="000000"/>
        </w:rPr>
        <w:t xml:space="preserve"> применения структурного моделирования (PLS-SEM) в анализе влияния макроэкономических факторов на уровень проблемных кредитов</w:t>
      </w:r>
      <w:bookmarkEnd w:id="17"/>
    </w:p>
    <w:p w14:paraId="69F54082">
      <w:pPr>
        <w:spacing w:after="0" w:line="240" w:lineRule="auto"/>
        <w:ind w:firstLine="708"/>
        <w:jc w:val="both"/>
        <w:rPr>
          <w:rFonts w:ascii="Times New Roman" w:hAnsi="Times New Roman" w:eastAsia="Times-Roman" w:cs="Times New Roman"/>
          <w:color w:val="000000"/>
          <w:sz w:val="28"/>
          <w:szCs w:val="28"/>
        </w:rPr>
      </w:pPr>
    </w:p>
    <w:p w14:paraId="00B8AA0D">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Проблемные кредиты не только влияют на прибыльность банков и достаточность капитала, но и снижают доступность кредитов, замедляют экономический рост и развитие. В развивающихся странах, таких как Казахстан, банковские системы играют ведущую роль в перенаправлении финансовых ресурсов в реальные секторы экономики; они подвержены серьезным рискам [150, 151]. Поэтому влияние макроэкономических факторов на эффективность кредитов становится особенно заметным.</w:t>
      </w:r>
    </w:p>
    <w:p w14:paraId="47605AA3">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Цель данного подраздела — определить влияние макроэкономических факторов на NPL с учетом эффекта посредничества внешнеэкономических факторов, сберегательных факторов и социальных факторов в Казахстане. Факторы для анализа были выбраны на основе существенного обзора литературы (методология представлена в разделах 1.4 и 2.4). Как мы видим, ученые уделяют большое внимание влиянию макроэкономических показателей на NPL.</w:t>
      </w:r>
    </w:p>
    <w:p w14:paraId="5681F59B">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Поэтому тема не является абсолютно новой. Однако исследователи традиционно выбирают широкий спектр показателей для применения статистического анализа. Мы приняли решение сосредоточиться на довольно небольшом числе показателей, чтобы иметь более точное и яркое представление о взаимосвязи факторов. А также попытались выбрать минимальный набор показателей, способных влиять на платежеспособность заемщиков и общее доверие к финансовой системе, которые, как мы предполагали, являются ведущими факторами ухудшения кредитов.</w:t>
      </w:r>
    </w:p>
    <w:p w14:paraId="52B8312C">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Выбранные показатели отражают макроэкономическую нестабильность, внешнее финансовое давление, сберегательное поведение населения, динамику депозитов и показатели социального неравенства, а также анализируют их влияние на «плохие кредиты» (NPL) в банковском секторе Казахстана. </w:t>
      </w:r>
    </w:p>
    <w:p w14:paraId="7F43341B">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Необходимо признать, что это влияние не было полностью исследовано. Прежде всего, мы не нашли информацию или данные, рассматривающие экономики Центральной Азии в соответствии с критериями включения. Существуют анализы европейских и азиатских стран, стран БРИКС, США, Турции и стран Южной Америки, а также африканских стран. Тем не менее, постсоветские страны Центральной Азии не были проанализированы, хотя они богаты ресурсами, имеют хорошо развитую горнодобывающую и обрабатывающую промышленность, а также интенсивное финансирование реального сектора экономики через банковскую систему.</w:t>
      </w:r>
    </w:p>
    <w:p w14:paraId="5032E8D1">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Было логично предположить, что это уникальное сочетание особенностей должно быть изучено отдельно. Экономики и банковские системы Казахстана и других стран Центральной Азии (Узбекистан, Туркменистан, Таджикистан и Кыргызстан) имеют много общего, что, по-видимому, обусловлено историческими, политическими и географическими факторами. Все страны Центральной Азии находятся на стадии создания рыночной экономики [152, 153], хотя в большинстве из них государство продолжает играть значительную роль, особенно в стратегических секторах экономики. Экономики этих стран основаны на ресурсах и в значительной степени зависят от экспорта природных ресурсов. Эта зависимость от экспорта сырья влияет на стабильность национальных валют и банковского сектора [154]. Тем не менее, развитие цифровых банковских услуг (мобильный банкинг, онлайн-платежи, электронные кошельки, финтех-стартапы) является одной из приоритетных задач в этих странах. Растет интерес к цифровизации и финансовым технологиям, и страны активно разрабатывают собственные электронные решения [155, 156]. </w:t>
      </w:r>
    </w:p>
    <w:p w14:paraId="4C1A8140">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Казахстан является одним из региональных лидеров в этой области (например, платформа KASPI.kz). В этих странах активно поддерживается малый и средний бизнес как через банковский, так и через небанковский сектор [157]; поэтому сектор микрофинансирования хорошо развит.</w:t>
      </w:r>
    </w:p>
    <w:p w14:paraId="2FDD6099">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Страны Центральной Азии зависят от внешней торговли и внешних инвестиций, а их банковские системы зависят от международных резервов, иностранных инвестиций и займов от международных организаций [158]. Следовательно, в этих странах действуют валютные ограничения или правила. Центральные банки играют ключевую роль в денежно-кредитной политике, регулировании обменного курса и надзоре.</w:t>
      </w:r>
    </w:p>
    <w:p w14:paraId="5ACF9A15">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Кроме того, банковские системы в этих странах столкнулись с такими проблемами, как низкое качество кредитного портфеля и просроченная задолженность, что требует жесткого регулирования [159]. </w:t>
      </w:r>
    </w:p>
    <w:p w14:paraId="695702ED">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Казахстан выделяется в этом контексте более высоким уровнем экономического развития, либерализации и цифровизации банковского сектора, что делает его относительным лидером в регионе. Принципиально новым является наш подход к тестированию показателей. Мы тестировали не прямое влияние этих показателей, а рассматривали их как посредников для экономических факторов. Мы считаем, что это может показать более сложную структуру взаимосвязи факторов, когда они взаимодействуют и изменяют окончательный эффект на NPL. Для этого был применен метод PLS-SEM для исследования взаимосвязи между переменными. Использование этого метода является хорошим дополнением к другим статистическим инструментам, применяемым для изучения этой темы, например, моделям авторегрессии (AR), скользящего среднего (MA) и авторегрессионным интегрированным моделям скользящего среднего (ARIMA). Мы надеемся, что это исследование внесет свой вклад в эту тему и будет интересно как научному сообществу, так и практическим специалистам отрасли, заинтересованным в управлении финансовыми потоками, включая кредиты.</w:t>
      </w:r>
    </w:p>
    <w:p w14:paraId="4A181C22">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Цель данного подраздела — проанализировать влияние макропоказателей на NPL. В данном исследовании используется моделирование структурными уравнениями методом частных наименьших квадратов (PLS-SEM) для изучения структурных взаимосвязей между макроэкономическими, финансовыми, иностранными и социальными детерминантами и уровнем проблемных кредитов (NPL) в банковском секторе Казахстана. </w:t>
      </w:r>
    </w:p>
    <w:p w14:paraId="19FC1C9F">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PLS-SEM особенно подходит для разведочного моделирования с небольшими и средними выборками и когда целью является прогнозирование и разработка теории [160]. Существует два подхода к моделированию структурными уравнениями (SEM): методом частных наименьших квадратов (PLS) и методом, основанным на ковариации (CB) [158, 159]. </w:t>
      </w:r>
    </w:p>
    <w:p w14:paraId="77E2B22F">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Моделирование структурными уравнениями позволяет анализировать отношения между скрытыми переменными. Каждая скрытая переменная, в свою очередь, состоит из индикаторов — измеряемых переменных. Полученные сложные переменные, состоящие из нескольких индикаторов, проверяются на надежность и достоверность [158, 159, 160]. CB-SEM традиционно используется для проверки и подтверждения существующих результатов и для поддержки правильного выбора факторов. Это один из методов, который использует конструкты (скрытые переменные) как общие факторы [159]. В отличие от этого, PLS использует составные переменные, включающие линейную комбинацию измерений (индикаторов).  </w:t>
      </w:r>
    </w:p>
    <w:p w14:paraId="4EDABEA4">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PLS-SEM традиционно используется для причинно-прогностического анализа дисперсии в независимых конструктах. Практически это комбинация регрессии пути и анализа компонентов; он используется для прогнозирования того, как будет вести себя определенный конструкт (скрытая переменная) [158, 159, 160, 161, 162]. Кроме того, PLS-SEM позволяет применять факторы-модераторы и факторы-медиаторы путем расчета прямых и косвенных отношений [160]. Поэтому этот метод используется многими исследователями.</w:t>
      </w:r>
    </w:p>
    <w:p w14:paraId="38D0864D">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Мы разработали набор гипотез, направленных на доказательство взаимосвязи между макроэкономическими показателями и проблемными кредитами. Были взяты макроэкономические показатели, традиционно используемые для прогнозирования NPL: реальный ВВП, темпы роста ВВП, инфляция. Использование этих макроэкономических показателей было доказано для других регионов мира (см. Приложение 2), и авторы предполагают, что те же показатели могут быть использованы для экономики Казахстана. То же самое относится и ко всем другим показателям, используемым для формирования скрытых переменных: мы сформировали их, используя показатели, исследованные учеными для других регионов мира.</w:t>
      </w:r>
    </w:p>
    <w:p w14:paraId="32BD00F4">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Однако цель данного раздела — определить влияние макроэкономических факторов; мы предположили, что на это влияние могут повлиять другие факторы, и решили рассмотреть эффект посредничества некоторых факторов, которые, как мы предполагали, имеют первостепенное значение для NPL. Мы постарались сократить количество скрытых переменных, чтобы избежать мультиколлинеарности и получить более очевидные результаты. Затем мы взяли отдельные факторы, отражающие иностранное влияние на экономику Казахстана. Экономика Казахстана основана на ресурсах и сильно зависит от иностранного сектора. Поэтому логично рассмотреть влияние внешнеэкономических факторов на NPL. Сберегательное поведение очень важно для формирования кредитов. Поэтому авторы используют скрытую переменную «Сберегательные факторы» для определения эффекта посредничества на NPL. Затем мы предполагаем, что NPL связаны не только с преднамеренным неправомерным поведением людей; наиболее очевидным случаем появления NPL являются социальные факторы, которые влияют на поведение людей. Поэтому эта скрытая переменная также была включена в исследование. Разработанные гипотезы рассматривают эффект посредничества внешнеэкономических, сберегательных и социальных факторов.</w:t>
      </w:r>
    </w:p>
    <w:p w14:paraId="17DA6756">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H1. Макроэкономические показатели оказывают прямое влияние на NPL с обратной связью.</w:t>
      </w:r>
    </w:p>
    <w:p w14:paraId="30BB07CA">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H2. Макроэкономические показатели оказывают влияние на NPL с обратной связью при посредничестве внешне экономических факторов.</w:t>
      </w:r>
    </w:p>
    <w:p w14:paraId="1226970B">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H3. Макроэкономические показатели оказывают влияние на NPL с обратной связью при посредничестве сберегательных факторов.</w:t>
      </w:r>
    </w:p>
    <w:p w14:paraId="6D7D3F7C">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H4. Макроэкономические показатели оказывают влияние на NPL с прямой связью при посредничестве социальных факторов.</w:t>
      </w:r>
    </w:p>
    <w:p w14:paraId="78F9649D">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Концептуальная модель, представленная на Рисунке 19, была разработана для визуализации гипотез.</w:t>
      </w:r>
    </w:p>
    <w:p w14:paraId="1295E2E2">
      <w:pPr>
        <w:spacing w:after="0" w:line="240" w:lineRule="auto"/>
        <w:ind w:firstLine="708"/>
        <w:jc w:val="both"/>
        <w:rPr>
          <w:rFonts w:ascii="Times New Roman" w:hAnsi="Times New Roman" w:eastAsia="Times-Roman" w:cs="Times New Roman"/>
          <w:color w:val="000000"/>
          <w:sz w:val="28"/>
          <w:szCs w:val="28"/>
        </w:rPr>
      </w:pPr>
    </w:p>
    <w:p w14:paraId="1B2DB7B8">
      <w:pPr>
        <w:spacing w:after="0" w:line="240" w:lineRule="auto"/>
        <w:ind w:left="2608" w:hanging="26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drawing>
          <wp:inline distT="0" distB="0" distL="0" distR="0">
            <wp:extent cx="5701665" cy="3019425"/>
            <wp:effectExtent l="0" t="0" r="0" b="0"/>
            <wp:docPr id="50344422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444227" name="Рисунок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5704822" cy="3021044"/>
                    </a:xfrm>
                    <a:prstGeom prst="rect">
                      <a:avLst/>
                    </a:prstGeom>
                    <a:noFill/>
                    <a:ln>
                      <a:noFill/>
                    </a:ln>
                  </pic:spPr>
                </pic:pic>
              </a:graphicData>
            </a:graphic>
          </wp:inline>
        </w:drawing>
      </w:r>
    </w:p>
    <w:p w14:paraId="43EDC97D">
      <w:pPr>
        <w:spacing w:after="0" w:line="240" w:lineRule="auto"/>
        <w:jc w:val="both"/>
        <w:rPr>
          <w:rFonts w:ascii="Times New Roman" w:hAnsi="Times New Roman" w:eastAsia="Times-Bold" w:cs="Times New Roman"/>
          <w:b/>
          <w:bCs/>
          <w:color w:val="000000"/>
          <w:sz w:val="28"/>
          <w:szCs w:val="28"/>
        </w:rPr>
      </w:pPr>
    </w:p>
    <w:p w14:paraId="14578A5E">
      <w:pPr>
        <w:spacing w:after="0" w:line="240" w:lineRule="auto"/>
        <w:jc w:val="center"/>
        <w:rPr>
          <w:rFonts w:ascii="Times New Roman" w:hAnsi="Times New Roman" w:eastAsia="Times-Bold" w:cs="Times New Roman"/>
          <w:b/>
          <w:bCs/>
          <w:color w:val="000000"/>
          <w:sz w:val="28"/>
          <w:szCs w:val="28"/>
        </w:rPr>
      </w:pPr>
      <w:r>
        <w:rPr>
          <w:rFonts w:ascii="Times New Roman" w:hAnsi="Times New Roman" w:eastAsia="Times-Bold" w:cs="Times New Roman"/>
          <w:color w:val="000000"/>
          <w:sz w:val="28"/>
          <w:szCs w:val="28"/>
        </w:rPr>
        <w:t>Рисунок 19 - Концептуальная модель исследования</w:t>
      </w:r>
    </w:p>
    <w:p w14:paraId="7D63F656">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[144]</w:t>
      </w:r>
    </w:p>
    <w:p w14:paraId="7EEE384D">
      <w:pPr>
        <w:spacing w:after="0" w:line="240" w:lineRule="auto"/>
        <w:jc w:val="center"/>
        <w:rPr>
          <w:rFonts w:ascii="Times New Roman" w:hAnsi="Times New Roman" w:eastAsia="Times-Roman" w:cs="Times New Roman"/>
          <w:color w:val="000000"/>
          <w:sz w:val="28"/>
          <w:szCs w:val="28"/>
        </w:rPr>
      </w:pPr>
    </w:p>
    <w:p w14:paraId="13F2D3F1">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Методологическая рамка исследования основана на разработанной концептуальной модели.</w:t>
      </w:r>
    </w:p>
    <w:p w14:paraId="65B982AA">
      <w:pPr>
        <w:spacing w:after="0" w:line="240" w:lineRule="auto"/>
        <w:ind w:firstLine="708"/>
        <w:jc w:val="both"/>
        <w:rPr>
          <w:rFonts w:ascii="Times New Roman" w:hAnsi="Times New Roman" w:eastAsia="Times-Roman" w:cs="Times New Roman"/>
          <w:color w:val="000000"/>
          <w:sz w:val="28"/>
          <w:szCs w:val="28"/>
        </w:rPr>
      </w:pPr>
    </w:p>
    <w:p w14:paraId="18D6A3DA">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Модель построена на основе пяти скрытых переменных. Скрытые переменные, в свою очередь, используют общедоступные макроэкономические данные по Республике Казахстан за 20 лет — с 2004 по 2024 год (Бюро национальной статистики, н.д.; Министерство финансов, н.д.; Национальный банк Казахстана, н.д.). 20-летний период дает достаточно входных данных для статистического анализа, что является конечной целью выбора данных; еще одним критерием этого выбора является доступность данных. Более ранняя информация не в полной мере доступна для всех показателей, которые использовались в исследовании. Данные использовались в виде временных рядов, без каких-либо исключений из-за положительных или отрицательных шоков в экономике Казахстана. Данные были стандартизированы перед применением к анализу (см. Приложение A). Следующие показатели первоначально использовались для построения модели (Таблица 27).</w:t>
      </w:r>
    </w:p>
    <w:p w14:paraId="7D58B1D7">
      <w:pPr>
        <w:spacing w:after="0" w:line="240" w:lineRule="auto"/>
        <w:jc w:val="both"/>
        <w:rPr>
          <w:rFonts w:ascii="Times New Roman" w:hAnsi="Times New Roman" w:eastAsia="Times-Roman" w:cs="Times New Roman"/>
          <w:color w:val="000000"/>
          <w:sz w:val="28"/>
          <w:szCs w:val="28"/>
        </w:rPr>
      </w:pPr>
    </w:p>
    <w:p w14:paraId="4EAB8887">
      <w:pPr>
        <w:spacing w:after="0" w:line="240" w:lineRule="auto"/>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Таблица 27 - Факторы кредитного риска (Источник: сгенерировано авторами).</w:t>
      </w:r>
    </w:p>
    <w:tbl>
      <w:tblPr>
        <w:tblStyle w:val="7"/>
        <w:tblW w:w="97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80" w:type="dxa"/>
          <w:bottom w:w="80" w:type="dxa"/>
          <w:right w:w="80" w:type="dxa"/>
        </w:tblCellMar>
      </w:tblPr>
      <w:tblGrid>
        <w:gridCol w:w="2399"/>
        <w:gridCol w:w="2410"/>
        <w:gridCol w:w="4897"/>
      </w:tblGrid>
      <w:tr w14:paraId="39FBB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853" w:hRule="exact"/>
          <w:jc w:val="center"/>
        </w:trPr>
        <w:tc>
          <w:tcPr>
            <w:tcW w:w="2399" w:type="dxa"/>
            <w:vAlign w:val="center"/>
          </w:tcPr>
          <w:p w14:paraId="25A193F6">
            <w:pPr>
              <w:pStyle w:val="71"/>
              <w:widowControl/>
              <w:jc w:val="both"/>
              <w:rPr>
                <w:rFonts w:ascii="Times New Roman" w:hAnsi="Times New Roman" w:eastAsia="Times-Bold" w:cs="Times New Roman"/>
                <w:color w:val="000000"/>
                <w:sz w:val="28"/>
                <w:szCs w:val="28"/>
                <w:lang w:val="ru-RU"/>
              </w:rPr>
            </w:pPr>
            <w:r>
              <w:rPr>
                <w:rFonts w:ascii="Times New Roman" w:hAnsi="Times New Roman" w:eastAsia="Times-Bold" w:cs="Times New Roman"/>
                <w:color w:val="000000"/>
                <w:sz w:val="28"/>
                <w:szCs w:val="28"/>
                <w:lang w:val="ru-RU"/>
              </w:rPr>
              <w:t>Скрытая переменная</w:t>
            </w:r>
          </w:p>
        </w:tc>
        <w:tc>
          <w:tcPr>
            <w:tcW w:w="2410" w:type="dxa"/>
            <w:vAlign w:val="center"/>
          </w:tcPr>
          <w:p w14:paraId="42B613F1">
            <w:pPr>
              <w:pStyle w:val="71"/>
              <w:widowControl/>
              <w:jc w:val="both"/>
              <w:rPr>
                <w:rFonts w:ascii="Times New Roman" w:hAnsi="Times New Roman" w:eastAsia="Times-Bold" w:cs="Times New Roman"/>
                <w:color w:val="000000"/>
                <w:sz w:val="28"/>
                <w:szCs w:val="28"/>
                <w:lang w:val="ru-RU"/>
              </w:rPr>
            </w:pPr>
            <w:r>
              <w:rPr>
                <w:rFonts w:ascii="Times New Roman" w:hAnsi="Times New Roman" w:eastAsia="Times-Bold" w:cs="Times New Roman"/>
                <w:color w:val="000000"/>
                <w:sz w:val="28"/>
                <w:szCs w:val="28"/>
                <w:lang w:val="ru-RU"/>
              </w:rPr>
              <w:t>Показатель</w:t>
            </w:r>
          </w:p>
        </w:tc>
        <w:tc>
          <w:tcPr>
            <w:tcW w:w="4897" w:type="dxa"/>
            <w:vAlign w:val="center"/>
          </w:tcPr>
          <w:p w14:paraId="5E27DAA4">
            <w:pPr>
              <w:pStyle w:val="71"/>
              <w:widowControl/>
              <w:jc w:val="both"/>
              <w:rPr>
                <w:rFonts w:ascii="Times New Roman" w:hAnsi="Times New Roman" w:eastAsia="Times-Bold" w:cs="Times New Roman"/>
                <w:color w:val="000000"/>
                <w:sz w:val="28"/>
                <w:szCs w:val="28"/>
                <w:lang w:val="ru-RU"/>
              </w:rPr>
            </w:pPr>
            <w:r>
              <w:rPr>
                <w:rFonts w:ascii="Times New Roman" w:hAnsi="Times New Roman" w:eastAsia="Times-Bold" w:cs="Times New Roman"/>
                <w:color w:val="000000"/>
                <w:sz w:val="28"/>
                <w:szCs w:val="28"/>
                <w:lang w:val="ru-RU"/>
              </w:rPr>
              <w:t>Описание показателя</w:t>
            </w:r>
          </w:p>
        </w:tc>
      </w:tr>
      <w:tr w14:paraId="37953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7751" w:hRule="exact"/>
          <w:jc w:val="center"/>
        </w:trPr>
        <w:tc>
          <w:tcPr>
            <w:tcW w:w="2399" w:type="dxa"/>
            <w:vAlign w:val="center"/>
          </w:tcPr>
          <w:p w14:paraId="092D4EDC">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Макроэкономические факторы (M)</w:t>
            </w:r>
          </w:p>
        </w:tc>
        <w:tc>
          <w:tcPr>
            <w:tcW w:w="2410" w:type="dxa"/>
            <w:vAlign w:val="center"/>
          </w:tcPr>
          <w:p w14:paraId="2A37096B">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ВВП</w:t>
            </w:r>
          </w:p>
        </w:tc>
        <w:tc>
          <w:tcPr>
            <w:tcW w:w="4897" w:type="dxa"/>
            <w:vAlign w:val="center"/>
          </w:tcPr>
          <w:p w14:paraId="1C7109E4">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Структура ВВП влияет на кредитный риск: промышленные секторы часто имеют высокую долю заемных средств и капиталоемкость. Корпоративные NPL, особенно связанные с горнодобывающей и нефтяной промышленностью, исторически увеличивались в Казахстане в ответ на изменения в промышленном ВВП. Изменение климата и волатильность цен на сырьевые товары влияют на кредитование сельского хозяйства. Масштабные дефолты могут возникнуть в результате засухи или неурожая, особенно для сельских банков с сильно взвешенными сельскохозяйственными портфелями. Хотя заемщики в секторе услуг, как правило, более разнообразны и меньше, они также более подвержены кризисам, таким как рецессия и пандемии. Когда ВВП услуг снижается, может наблюдаться рост дефолтов по розничным кредитам и кредитам малому и среднему бизнесу в городских районах. Таким образом, гипотеза проверяет отрицательную корреляцию с NPL.</w:t>
            </w:r>
          </w:p>
        </w:tc>
      </w:tr>
      <w:tr w14:paraId="70051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2760" w:hRule="exact"/>
          <w:jc w:val="center"/>
        </w:trPr>
        <w:tc>
          <w:tcPr>
            <w:tcW w:w="2399" w:type="dxa"/>
            <w:shd w:val="clear" w:color="auto" w:fill="CDD4E9"/>
            <w:tcMar>
              <w:top w:w="55" w:type="dxa"/>
              <w:left w:w="55" w:type="dxa"/>
              <w:bottom w:w="55" w:type="dxa"/>
              <w:right w:w="55" w:type="dxa"/>
            </w:tcMar>
          </w:tcPr>
          <w:p w14:paraId="724F7849">
            <w:pPr>
              <w:spacing w:after="0" w:line="240" w:lineRule="auto"/>
              <w:jc w:val="both"/>
              <w:rPr>
                <w:rFonts w:ascii="Times New Roman" w:hAnsi="Times New Roman" w:cs="Times New Roman"/>
                <w:sz w:val="26"/>
                <w:szCs w:val="26"/>
              </w:rPr>
            </w:pPr>
          </w:p>
        </w:tc>
        <w:tc>
          <w:tcPr>
            <w:tcW w:w="2410" w:type="dxa"/>
            <w:vAlign w:val="center"/>
          </w:tcPr>
          <w:p w14:paraId="6DC68174">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Темпы роста ВВП</w:t>
            </w:r>
          </w:p>
        </w:tc>
        <w:tc>
          <w:tcPr>
            <w:tcW w:w="4897" w:type="dxa"/>
            <w:vAlign w:val="center"/>
          </w:tcPr>
          <w:p w14:paraId="73611F92">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 xml:space="preserve">Рост ВВП и качество кредитов имеют сильную положительную корреляцию. Негативные последствия рецессионного давления затрудняют для заемщиков погашение их кредитов, что увеличивает NPL в развивающихся странах. Таким образом, гипотеза проверяет отрицательную корреляцию с NPL. </w:t>
            </w:r>
          </w:p>
        </w:tc>
      </w:tr>
    </w:tbl>
    <w:p w14:paraId="0EFEBF46"/>
    <w:p w14:paraId="5DFCAC2E"/>
    <w:p w14:paraId="4166530D">
      <w:pPr>
        <w:spacing w:after="0" w:line="240" w:lineRule="auto"/>
      </w:pPr>
      <w:r>
        <w:t>Продолжение таблицы 27</w:t>
      </w:r>
    </w:p>
    <w:tbl>
      <w:tblPr>
        <w:tblStyle w:val="7"/>
        <w:tblW w:w="97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80" w:type="dxa"/>
          <w:bottom w:w="80" w:type="dxa"/>
          <w:right w:w="80" w:type="dxa"/>
        </w:tblCellMar>
      </w:tblPr>
      <w:tblGrid>
        <w:gridCol w:w="2399"/>
        <w:gridCol w:w="2410"/>
        <w:gridCol w:w="4897"/>
      </w:tblGrid>
      <w:tr w14:paraId="6DEBF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4391" w:hRule="exact"/>
          <w:jc w:val="center"/>
        </w:trPr>
        <w:tc>
          <w:tcPr>
            <w:tcW w:w="2399" w:type="dxa"/>
            <w:shd w:val="clear" w:color="auto" w:fill="E8EBF5"/>
            <w:tcMar>
              <w:top w:w="55" w:type="dxa"/>
              <w:left w:w="55" w:type="dxa"/>
              <w:bottom w:w="55" w:type="dxa"/>
              <w:right w:w="55" w:type="dxa"/>
            </w:tcMar>
            <w:vAlign w:val="center"/>
          </w:tcPr>
          <w:p w14:paraId="0D8CFA9C">
            <w:pPr>
              <w:spacing w:after="0" w:line="240" w:lineRule="auto"/>
              <w:jc w:val="both"/>
              <w:rPr>
                <w:rFonts w:ascii="Times New Roman" w:hAnsi="Times New Roman" w:cs="Times New Roman"/>
                <w:sz w:val="26"/>
                <w:szCs w:val="26"/>
              </w:rPr>
            </w:pPr>
          </w:p>
        </w:tc>
        <w:tc>
          <w:tcPr>
            <w:tcW w:w="2410" w:type="dxa"/>
            <w:vAlign w:val="center"/>
          </w:tcPr>
          <w:p w14:paraId="7476E0D3">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Уровень инфляции</w:t>
            </w:r>
          </w:p>
        </w:tc>
        <w:tc>
          <w:tcPr>
            <w:tcW w:w="4897" w:type="dxa"/>
            <w:vAlign w:val="center"/>
          </w:tcPr>
          <w:p w14:paraId="0F9BFAA9">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Инфляция снижает реальные доходы и делает кредиты с фиксированной ставкой более обременительными, что негативно влияет на качество кредитов. Она также ограничивает долгосрочные инвестиции и делает заимствования более неопределенными. Девальвация валюты, вызванная инфляцией, может усугубить долговую нагрузку в развивающихся странах, таких как Казахстан, где большая часть кредитования измеряется в иностранных валютах. Таким образом, гипотеза проверяет положительную корреляцию с NPL.</w:t>
            </w:r>
          </w:p>
        </w:tc>
      </w:tr>
      <w:tr w14:paraId="4098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2611" w:hRule="exact"/>
          <w:jc w:val="center"/>
        </w:trPr>
        <w:tc>
          <w:tcPr>
            <w:tcW w:w="2399" w:type="dxa"/>
            <w:vAlign w:val="center"/>
          </w:tcPr>
          <w:p w14:paraId="0F780BD2">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Социальные факторы (Soc)</w:t>
            </w:r>
          </w:p>
        </w:tc>
        <w:tc>
          <w:tcPr>
            <w:tcW w:w="2410" w:type="dxa"/>
            <w:vAlign w:val="center"/>
          </w:tcPr>
          <w:p w14:paraId="0B6A2C91">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Уровень безработицы</w:t>
            </w:r>
          </w:p>
        </w:tc>
        <w:tc>
          <w:tcPr>
            <w:tcW w:w="4897" w:type="dxa"/>
            <w:vAlign w:val="center"/>
          </w:tcPr>
          <w:p w14:paraId="033C6FC6">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Безработица снижает располагаемый доход домохозяйств, влияет на способность человека погашать кредиты, увеличивает количество дефолтов по личным кредитам и увеличивает NPL на развивающихся рынках. Таким образом, гипотеза проверяет положительную корреляцию с NPL</w:t>
            </w:r>
          </w:p>
        </w:tc>
      </w:tr>
      <w:tr w14:paraId="3C277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755" w:hRule="exact"/>
          <w:jc w:val="center"/>
        </w:trPr>
        <w:tc>
          <w:tcPr>
            <w:tcW w:w="2399" w:type="dxa"/>
            <w:shd w:val="clear" w:color="auto" w:fill="E8EBF5"/>
            <w:tcMar>
              <w:top w:w="55" w:type="dxa"/>
              <w:left w:w="55" w:type="dxa"/>
              <w:bottom w:w="55" w:type="dxa"/>
              <w:right w:w="55" w:type="dxa"/>
            </w:tcMar>
            <w:vAlign w:val="center"/>
          </w:tcPr>
          <w:p w14:paraId="3F5CB64C">
            <w:pPr>
              <w:spacing w:after="0" w:line="240" w:lineRule="auto"/>
              <w:jc w:val="both"/>
              <w:rPr>
                <w:rFonts w:ascii="Times New Roman" w:hAnsi="Times New Roman" w:cs="Times New Roman"/>
                <w:sz w:val="26"/>
                <w:szCs w:val="26"/>
              </w:rPr>
            </w:pPr>
          </w:p>
        </w:tc>
        <w:tc>
          <w:tcPr>
            <w:tcW w:w="2410" w:type="dxa"/>
            <w:vAlign w:val="center"/>
          </w:tcPr>
          <w:p w14:paraId="62CA5C92">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Квинтильный коэффициент</w:t>
            </w:r>
          </w:p>
        </w:tc>
        <w:tc>
          <w:tcPr>
            <w:tcW w:w="4897" w:type="dxa"/>
            <w:vAlign w:val="center"/>
          </w:tcPr>
          <w:p w14:paraId="084E3A83">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Стратификация общества предполагает различный доступ к финансовым ресурсам и платежеспособности; более высокое неравенство доходов коррелирует с более высоким кредитным риском. Население с более низким доходом более чувствительно к экономическим шокам и имеет высокий шанс не погасить кредиты. Таким образом, гипотеза проверяет положительную корреляцию с NPL. Таким образом, гипотеза проверяет положительную корреляцию с NPL.</w:t>
            </w:r>
          </w:p>
        </w:tc>
      </w:tr>
    </w:tbl>
    <w:p w14:paraId="50D48FE3">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[144]</w:t>
      </w:r>
    </w:p>
    <w:p w14:paraId="05A0DB20"/>
    <w:p w14:paraId="0702FE12"/>
    <w:p w14:paraId="18D9A8CC"/>
    <w:p w14:paraId="712D4CAF"/>
    <w:p w14:paraId="71E3C6B7"/>
    <w:p w14:paraId="4A4B3F1C"/>
    <w:p w14:paraId="43C0ECEA">
      <w:pPr>
        <w:spacing w:after="0" w:line="240" w:lineRule="auto"/>
      </w:pPr>
      <w:r>
        <w:t xml:space="preserve"> Продолжение таблицы 27</w:t>
      </w:r>
    </w:p>
    <w:tbl>
      <w:tblPr>
        <w:tblStyle w:val="7"/>
        <w:tblW w:w="97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80" w:type="dxa"/>
          <w:bottom w:w="80" w:type="dxa"/>
          <w:right w:w="80" w:type="dxa"/>
        </w:tblCellMar>
      </w:tblPr>
      <w:tblGrid>
        <w:gridCol w:w="2399"/>
        <w:gridCol w:w="2410"/>
        <w:gridCol w:w="4897"/>
      </w:tblGrid>
      <w:tr w14:paraId="014A1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468" w:hRule="exact"/>
          <w:jc w:val="center"/>
        </w:trPr>
        <w:tc>
          <w:tcPr>
            <w:tcW w:w="2399" w:type="dxa"/>
            <w:shd w:val="clear" w:color="auto" w:fill="CDD4E9"/>
            <w:tcMar>
              <w:top w:w="55" w:type="dxa"/>
              <w:left w:w="55" w:type="dxa"/>
              <w:bottom w:w="55" w:type="dxa"/>
              <w:right w:w="55" w:type="dxa"/>
            </w:tcMar>
          </w:tcPr>
          <w:p w14:paraId="5B4D9B62">
            <w:pPr>
              <w:spacing w:after="0" w:line="240" w:lineRule="auto"/>
              <w:jc w:val="both"/>
              <w:rPr>
                <w:rFonts w:ascii="Times New Roman" w:hAnsi="Times New Roman" w:cs="Times New Roman"/>
                <w:sz w:val="26"/>
                <w:szCs w:val="26"/>
              </w:rPr>
            </w:pPr>
          </w:p>
        </w:tc>
        <w:tc>
          <w:tcPr>
            <w:tcW w:w="2410" w:type="dxa"/>
            <w:vAlign w:val="center"/>
          </w:tcPr>
          <w:p w14:paraId="4B4ED84A">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Индекс Джини</w:t>
            </w:r>
          </w:p>
        </w:tc>
        <w:tc>
          <w:tcPr>
            <w:tcW w:w="4897" w:type="dxa"/>
            <w:vAlign w:val="center"/>
          </w:tcPr>
          <w:p w14:paraId="2ACC78FC">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Индекс Джини подчеркивает различия в распределении богатства и финансовой устойчивости. Это более полный показатель неравенства доходов по сравнению с квинтильным коэффициентом. Чем выше значение индекса Джини, тем выше положительное влияние на NPL. Таким образом, гипотеза проверяет положительную корреляцию с NPL.</w:t>
            </w:r>
          </w:p>
        </w:tc>
      </w:tr>
      <w:tr w14:paraId="20A6B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2468" w:hRule="exact"/>
          <w:jc w:val="center"/>
        </w:trPr>
        <w:tc>
          <w:tcPr>
            <w:tcW w:w="2399" w:type="dxa"/>
            <w:vAlign w:val="center"/>
          </w:tcPr>
          <w:p w14:paraId="125A1D68">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Сберегательные факторы (S)</w:t>
            </w:r>
          </w:p>
        </w:tc>
        <w:tc>
          <w:tcPr>
            <w:tcW w:w="2410" w:type="dxa"/>
            <w:vAlign w:val="center"/>
          </w:tcPr>
          <w:p w14:paraId="2626CB38">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Депозиты домохозяйств</w:t>
            </w:r>
          </w:p>
        </w:tc>
        <w:tc>
          <w:tcPr>
            <w:tcW w:w="4897" w:type="dxa"/>
            <w:vAlign w:val="center"/>
          </w:tcPr>
          <w:p w14:paraId="394ED74F">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Устойчивые сбережения домохозяйств (депозиты) служат защитой от дефолтов в трудные времена, позволяя снизить риски невыплаты кредитов, что позволяет уменьшить сумму NPL. Таким образом, гипотеза проверяет отрицательную корреляцию с NPL.</w:t>
            </w:r>
          </w:p>
        </w:tc>
      </w:tr>
      <w:tr w14:paraId="3E15E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4058" w:hRule="exact"/>
          <w:jc w:val="center"/>
        </w:trPr>
        <w:tc>
          <w:tcPr>
            <w:tcW w:w="2399" w:type="dxa"/>
            <w:shd w:val="clear" w:color="auto" w:fill="CDD4E9"/>
            <w:tcMar>
              <w:top w:w="55" w:type="dxa"/>
              <w:left w:w="55" w:type="dxa"/>
              <w:bottom w:w="55" w:type="dxa"/>
              <w:right w:w="55" w:type="dxa"/>
            </w:tcMar>
          </w:tcPr>
          <w:p w14:paraId="36CBF216">
            <w:pPr>
              <w:spacing w:after="0" w:line="240" w:lineRule="auto"/>
              <w:jc w:val="both"/>
              <w:rPr>
                <w:rFonts w:ascii="Times New Roman" w:hAnsi="Times New Roman" w:cs="Times New Roman"/>
                <w:sz w:val="26"/>
                <w:szCs w:val="26"/>
              </w:rPr>
            </w:pPr>
          </w:p>
        </w:tc>
        <w:tc>
          <w:tcPr>
            <w:tcW w:w="2410" w:type="dxa"/>
            <w:vAlign w:val="center"/>
          </w:tcPr>
          <w:p w14:paraId="4912F6F4">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Остаток на счетах домохозяйств</w:t>
            </w:r>
          </w:p>
        </w:tc>
        <w:tc>
          <w:tcPr>
            <w:tcW w:w="4897" w:type="dxa"/>
            <w:vAlign w:val="center"/>
          </w:tcPr>
          <w:p w14:paraId="7798DAFC">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Остаток на счетах домохозяйств является мерой ликвидности и финансовой устойчивости домохозяйств, представляя собой способность людей управлять краткосрочными финансовыми обязательствами, включая погашение кредитов. Более сильный остаток на счетах обычно отражает более высокую сберегательную способность и более низкую уязвимость к колебаниям доходов, что снижает вероятность дефолта. Таким образом, гипотеза проверяет отрицательную корреляцию с NPL.</w:t>
            </w:r>
          </w:p>
        </w:tc>
      </w:tr>
      <w:tr w14:paraId="2598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2267" w:hRule="exact"/>
          <w:jc w:val="center"/>
        </w:trPr>
        <w:tc>
          <w:tcPr>
            <w:tcW w:w="2399" w:type="dxa"/>
            <w:shd w:val="clear" w:color="auto" w:fill="E8EBF5"/>
            <w:tcMar>
              <w:top w:w="55" w:type="dxa"/>
              <w:left w:w="55" w:type="dxa"/>
              <w:bottom w:w="55" w:type="dxa"/>
              <w:right w:w="55" w:type="dxa"/>
            </w:tcMar>
            <w:vAlign w:val="center"/>
          </w:tcPr>
          <w:p w14:paraId="6981EF84">
            <w:pPr>
              <w:spacing w:after="0" w:line="240" w:lineRule="auto"/>
              <w:jc w:val="both"/>
              <w:rPr>
                <w:rFonts w:ascii="Times New Roman" w:hAnsi="Times New Roman" w:cs="Times New Roman"/>
                <w:sz w:val="26"/>
                <w:szCs w:val="26"/>
              </w:rPr>
            </w:pPr>
          </w:p>
        </w:tc>
        <w:tc>
          <w:tcPr>
            <w:tcW w:w="2410" w:type="dxa"/>
            <w:vAlign w:val="center"/>
          </w:tcPr>
          <w:p w14:paraId="38CE7FF5">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Общие банковские депозиты</w:t>
            </w:r>
          </w:p>
        </w:tc>
        <w:tc>
          <w:tcPr>
            <w:tcW w:w="4897" w:type="dxa"/>
            <w:vAlign w:val="center"/>
          </w:tcPr>
          <w:p w14:paraId="650FAE25">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Растущие депозиты способствуют увеличению общего количества кредитов, служат признаком растущего доверия населения к банковской системе и способности погашать кредиты, снижая риски NPL. Таким образом, гипотеза проверяет отрицательную корреляцию с NPL.</w:t>
            </w:r>
          </w:p>
        </w:tc>
      </w:tr>
    </w:tbl>
    <w:p w14:paraId="702FC9C6"/>
    <w:p w14:paraId="745CAF68"/>
    <w:p w14:paraId="22C21A00"/>
    <w:p w14:paraId="0B6C372A">
      <w:pPr>
        <w:spacing w:after="0" w:line="240" w:lineRule="auto"/>
      </w:pPr>
      <w:r>
        <w:t>Продолжение таблицы 27</w:t>
      </w:r>
    </w:p>
    <w:tbl>
      <w:tblPr>
        <w:tblStyle w:val="7"/>
        <w:tblW w:w="97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80" w:type="dxa"/>
          <w:bottom w:w="80" w:type="dxa"/>
          <w:right w:w="80" w:type="dxa"/>
        </w:tblCellMar>
      </w:tblPr>
      <w:tblGrid>
        <w:gridCol w:w="2399"/>
        <w:gridCol w:w="2410"/>
        <w:gridCol w:w="4897"/>
      </w:tblGrid>
      <w:tr w14:paraId="6F398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476" w:hRule="exact"/>
          <w:jc w:val="center"/>
        </w:trPr>
        <w:tc>
          <w:tcPr>
            <w:tcW w:w="2399" w:type="dxa"/>
            <w:vAlign w:val="center"/>
          </w:tcPr>
          <w:p w14:paraId="518CEC78">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8"/>
                <w:szCs w:val="28"/>
                <w:lang w:val="ru-RU"/>
              </w:rPr>
              <w:t>Внешне экономические</w:t>
            </w:r>
            <w:r>
              <w:rPr>
                <w:rFonts w:ascii="Times New Roman" w:hAnsi="Times New Roman" w:eastAsia="Times-Roman" w:cs="Times New Roman"/>
                <w:color w:val="000000"/>
                <w:sz w:val="26"/>
                <w:szCs w:val="26"/>
                <w:lang w:val="ru-RU"/>
              </w:rPr>
              <w:t xml:space="preserve"> факторы (F)</w:t>
            </w:r>
          </w:p>
        </w:tc>
        <w:tc>
          <w:tcPr>
            <w:tcW w:w="2410" w:type="dxa"/>
            <w:vAlign w:val="center"/>
          </w:tcPr>
          <w:p w14:paraId="2658A9DC">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Государственный долг</w:t>
            </w:r>
          </w:p>
        </w:tc>
        <w:tc>
          <w:tcPr>
            <w:tcW w:w="4897" w:type="dxa"/>
            <w:vAlign w:val="center"/>
          </w:tcPr>
          <w:p w14:paraId="327936D6">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Чрезмерный государственный долг может препятствовать заимствованиям в частном секторе и повышать фискальные риски, влияя на кредитоспособность отраслей, зависящих от правительства, и государственных предприятий. Частные компании могут пострадать от сокращения субсидий и давления, связанного с обслуживанием долга. Таким образом, гипотеза проверяет положительную корреляцию с NPL.</w:t>
            </w:r>
          </w:p>
        </w:tc>
      </w:tr>
      <w:tr w14:paraId="7C47F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598" w:hRule="exact"/>
          <w:jc w:val="center"/>
        </w:trPr>
        <w:tc>
          <w:tcPr>
            <w:tcW w:w="2399" w:type="dxa"/>
            <w:shd w:val="clear" w:color="auto" w:fill="E8EBF5"/>
            <w:tcMar>
              <w:top w:w="55" w:type="dxa"/>
              <w:left w:w="55" w:type="dxa"/>
              <w:bottom w:w="55" w:type="dxa"/>
              <w:right w:w="55" w:type="dxa"/>
            </w:tcMar>
            <w:vAlign w:val="center"/>
          </w:tcPr>
          <w:p w14:paraId="0D31ECE0">
            <w:pPr>
              <w:spacing w:after="0" w:line="240" w:lineRule="auto"/>
              <w:jc w:val="both"/>
              <w:rPr>
                <w:rFonts w:ascii="Times New Roman" w:hAnsi="Times New Roman" w:cs="Times New Roman"/>
                <w:sz w:val="26"/>
                <w:szCs w:val="26"/>
              </w:rPr>
            </w:pPr>
          </w:p>
        </w:tc>
        <w:tc>
          <w:tcPr>
            <w:tcW w:w="2410" w:type="dxa"/>
            <w:vAlign w:val="center"/>
          </w:tcPr>
          <w:p w14:paraId="4F58F5C3">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Обменный курс</w:t>
            </w:r>
          </w:p>
        </w:tc>
        <w:tc>
          <w:tcPr>
            <w:tcW w:w="4897" w:type="dxa"/>
            <w:vAlign w:val="center"/>
          </w:tcPr>
          <w:p w14:paraId="22D91002">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Колебания обменного курса являются важным фактором роста NPL в странах с большим портфелем кредитов в иностранной валюте. Например, исторически периоды девальвации тенге в Казахстане приводили к росту дефолтов корпораций и домохозяйств, особенно для предприятий с непокрытыми обязательствами в иностранной валюте. Таким образом, гипотеза проверяет положительную корреляцию с NPL.</w:t>
            </w:r>
          </w:p>
        </w:tc>
      </w:tr>
      <w:tr w14:paraId="3D7B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500" w:hRule="exact"/>
          <w:jc w:val="center"/>
        </w:trPr>
        <w:tc>
          <w:tcPr>
            <w:tcW w:w="2399" w:type="dxa"/>
            <w:shd w:val="clear" w:color="auto" w:fill="CDD4E9"/>
            <w:tcMar>
              <w:top w:w="55" w:type="dxa"/>
              <w:left w:w="55" w:type="dxa"/>
              <w:bottom w:w="55" w:type="dxa"/>
              <w:right w:w="55" w:type="dxa"/>
            </w:tcMar>
          </w:tcPr>
          <w:p w14:paraId="6F2431D9">
            <w:pPr>
              <w:spacing w:after="0" w:line="240" w:lineRule="auto"/>
              <w:jc w:val="both"/>
              <w:rPr>
                <w:rFonts w:ascii="Times New Roman" w:hAnsi="Times New Roman" w:cs="Times New Roman"/>
                <w:sz w:val="26"/>
                <w:szCs w:val="26"/>
              </w:rPr>
            </w:pPr>
          </w:p>
        </w:tc>
        <w:tc>
          <w:tcPr>
            <w:tcW w:w="2410" w:type="dxa"/>
            <w:vAlign w:val="center"/>
          </w:tcPr>
          <w:p w14:paraId="5A993410">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Прямые иностранные инвестиции</w:t>
            </w:r>
          </w:p>
        </w:tc>
        <w:tc>
          <w:tcPr>
            <w:tcW w:w="4897" w:type="dxa"/>
            <w:vAlign w:val="center"/>
          </w:tcPr>
          <w:p w14:paraId="426F28BF">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Положительный приток ПИИ, как правило, свидетельствует об экономическом оптимизме и снижает кредитный риск корпоративного сегмента. Однако капиталоемкие отрасли, такие как горнодобывающая или энергетическая (типичные для Казахстана), могут стать нестабильными из-за падения ПИИ, что может привести к дефолтам по кредитам. Таким образом, гипотеза проверяет положительную корреляцию с NPL.</w:t>
            </w:r>
          </w:p>
        </w:tc>
      </w:tr>
      <w:tr w14:paraId="5A1A6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983" w:hRule="exact"/>
          <w:jc w:val="center"/>
        </w:trPr>
        <w:tc>
          <w:tcPr>
            <w:tcW w:w="2399" w:type="dxa"/>
            <w:vAlign w:val="center"/>
          </w:tcPr>
          <w:p w14:paraId="33B6F690">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NPL</w:t>
            </w:r>
          </w:p>
        </w:tc>
        <w:tc>
          <w:tcPr>
            <w:tcW w:w="2410" w:type="dxa"/>
            <w:vAlign w:val="center"/>
          </w:tcPr>
          <w:p w14:paraId="0D1DB3A7">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проблемные кредиты физических лиц</w:t>
            </w:r>
          </w:p>
        </w:tc>
        <w:tc>
          <w:tcPr>
            <w:tcW w:w="4897" w:type="dxa"/>
            <w:vAlign w:val="center"/>
          </w:tcPr>
          <w:p w14:paraId="4781D021">
            <w:pPr>
              <w:spacing w:after="0" w:line="240" w:lineRule="auto"/>
              <w:jc w:val="both"/>
              <w:rPr>
                <w:rFonts w:ascii="Times New Roman" w:hAnsi="Times New Roman" w:cs="Times New Roman"/>
                <w:sz w:val="26"/>
                <w:szCs w:val="26"/>
              </w:rPr>
            </w:pPr>
          </w:p>
        </w:tc>
      </w:tr>
      <w:tr w14:paraId="165D3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1065" w:hRule="exact"/>
          <w:jc w:val="center"/>
        </w:trPr>
        <w:tc>
          <w:tcPr>
            <w:tcW w:w="2399" w:type="dxa"/>
            <w:shd w:val="clear" w:color="auto" w:fill="CDD4E9"/>
            <w:tcMar>
              <w:top w:w="55" w:type="dxa"/>
              <w:left w:w="55" w:type="dxa"/>
              <w:bottom w:w="55" w:type="dxa"/>
              <w:right w:w="55" w:type="dxa"/>
            </w:tcMar>
          </w:tcPr>
          <w:p w14:paraId="40EB3E0F">
            <w:pPr>
              <w:spacing w:after="0" w:line="240" w:lineRule="auto"/>
              <w:jc w:val="both"/>
              <w:rPr>
                <w:rFonts w:ascii="Times New Roman" w:hAnsi="Times New Roman" w:cs="Times New Roman"/>
                <w:sz w:val="26"/>
                <w:szCs w:val="26"/>
              </w:rPr>
            </w:pPr>
          </w:p>
        </w:tc>
        <w:tc>
          <w:tcPr>
            <w:tcW w:w="2410" w:type="dxa"/>
            <w:vAlign w:val="center"/>
          </w:tcPr>
          <w:p w14:paraId="1BB891E1">
            <w:pPr>
              <w:pStyle w:val="71"/>
              <w:widowControl/>
              <w:jc w:val="both"/>
              <w:rPr>
                <w:rFonts w:ascii="Times New Roman" w:hAnsi="Times New Roman" w:eastAsia="Times-Roman" w:cs="Times New Roman"/>
                <w:color w:val="000000"/>
                <w:sz w:val="26"/>
                <w:szCs w:val="26"/>
                <w:lang w:val="ru-RU"/>
              </w:rPr>
            </w:pPr>
            <w:r>
              <w:rPr>
                <w:rFonts w:ascii="Times New Roman" w:hAnsi="Times New Roman" w:eastAsia="Times-Roman" w:cs="Times New Roman"/>
                <w:color w:val="000000"/>
                <w:sz w:val="26"/>
                <w:szCs w:val="26"/>
                <w:lang w:val="ru-RU"/>
              </w:rPr>
              <w:t>проблемные кредиты юридических лиц</w:t>
            </w:r>
          </w:p>
        </w:tc>
        <w:tc>
          <w:tcPr>
            <w:tcW w:w="4897" w:type="dxa"/>
            <w:vAlign w:val="center"/>
          </w:tcPr>
          <w:p w14:paraId="12C122B5">
            <w:pPr>
              <w:spacing w:after="0" w:line="240" w:lineRule="auto"/>
              <w:jc w:val="both"/>
              <w:rPr>
                <w:rFonts w:ascii="Times New Roman" w:hAnsi="Times New Roman" w:cs="Times New Roman"/>
                <w:sz w:val="26"/>
                <w:szCs w:val="26"/>
              </w:rPr>
            </w:pPr>
          </w:p>
        </w:tc>
      </w:tr>
    </w:tbl>
    <w:p w14:paraId="10DC13C1">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[144]</w:t>
      </w:r>
    </w:p>
    <w:p w14:paraId="65EE890F">
      <w:pPr>
        <w:spacing w:after="0" w:line="240" w:lineRule="auto"/>
        <w:jc w:val="both"/>
        <w:rPr>
          <w:rFonts w:ascii="Times New Roman" w:hAnsi="Times New Roman" w:eastAsia="Times-Roman" w:cs="Times New Roman"/>
          <w:color w:val="000000"/>
          <w:sz w:val="28"/>
          <w:szCs w:val="28"/>
        </w:rPr>
      </w:pPr>
    </w:p>
    <w:p w14:paraId="0B0CFC43">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Эти показатели были применены к анализу PLS-SEM. После тестирования внешней модели показатели с нагрузками ниже 0,5 были исключены [163]. Показатели, участвующие в дальнейшем анализе, показаны в Таблице 28.</w:t>
      </w:r>
    </w:p>
    <w:p w14:paraId="0C365AD4">
      <w:pPr>
        <w:spacing w:after="0" w:line="240" w:lineRule="auto"/>
        <w:ind w:firstLine="708"/>
        <w:jc w:val="both"/>
        <w:rPr>
          <w:rFonts w:ascii="Times New Roman" w:hAnsi="Times New Roman" w:eastAsia="Times-Roman" w:cs="Times New Roman"/>
          <w:color w:val="000000"/>
          <w:sz w:val="28"/>
          <w:szCs w:val="28"/>
        </w:rPr>
      </w:pPr>
    </w:p>
    <w:p w14:paraId="1C472B3E">
      <w:pPr>
        <w:spacing w:after="0" w:line="240" w:lineRule="auto"/>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Таблица 28 - Показатели модели с нагрузками и p-значениями </w:t>
      </w:r>
    </w:p>
    <w:tbl>
      <w:tblPr>
        <w:tblStyle w:val="7"/>
        <w:tblW w:w="97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80" w:type="dxa"/>
          <w:bottom w:w="80" w:type="dxa"/>
          <w:right w:w="80" w:type="dxa"/>
        </w:tblCellMar>
      </w:tblPr>
      <w:tblGrid>
        <w:gridCol w:w="4111"/>
        <w:gridCol w:w="2972"/>
        <w:gridCol w:w="2623"/>
      </w:tblGrid>
      <w:tr w14:paraId="7991F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749" w:hRule="exact"/>
        </w:trPr>
        <w:tc>
          <w:tcPr>
            <w:tcW w:w="4111" w:type="dxa"/>
            <w:vAlign w:val="center"/>
          </w:tcPr>
          <w:p w14:paraId="7152B426">
            <w:pPr>
              <w:pStyle w:val="71"/>
              <w:widowControl/>
              <w:jc w:val="both"/>
              <w:rPr>
                <w:rFonts w:ascii="Times New Roman" w:hAnsi="Times New Roman" w:eastAsia="Times-Bold" w:cs="Times New Roman"/>
                <w:color w:val="000000"/>
                <w:sz w:val="28"/>
                <w:szCs w:val="28"/>
                <w:lang w:val="ru-RU"/>
              </w:rPr>
            </w:pPr>
            <w:r>
              <w:rPr>
                <w:rFonts w:ascii="Times New Roman" w:hAnsi="Times New Roman" w:eastAsia="Times-Bold" w:cs="Times New Roman"/>
                <w:color w:val="000000"/>
                <w:sz w:val="28"/>
                <w:szCs w:val="28"/>
                <w:lang w:val="ru-RU"/>
              </w:rPr>
              <w:t>Показатели модели</w:t>
            </w:r>
          </w:p>
        </w:tc>
        <w:tc>
          <w:tcPr>
            <w:tcW w:w="2972" w:type="dxa"/>
            <w:vAlign w:val="center"/>
          </w:tcPr>
          <w:p w14:paraId="0CD612B7">
            <w:pPr>
              <w:pStyle w:val="71"/>
              <w:widowControl/>
              <w:jc w:val="both"/>
              <w:rPr>
                <w:rFonts w:ascii="Times New Roman" w:hAnsi="Times New Roman" w:eastAsia="Times-Bold" w:cs="Times New Roman"/>
                <w:color w:val="000000"/>
                <w:sz w:val="28"/>
                <w:szCs w:val="28"/>
                <w:lang w:val="ru-RU"/>
              </w:rPr>
            </w:pPr>
            <w:r>
              <w:rPr>
                <w:rFonts w:ascii="Times New Roman" w:hAnsi="Times New Roman" w:eastAsia="Times-Bold" w:cs="Times New Roman"/>
                <w:color w:val="000000"/>
                <w:sz w:val="28"/>
                <w:szCs w:val="28"/>
                <w:lang w:val="ru-RU"/>
              </w:rPr>
              <w:t>Нагрузки и p-значения</w:t>
            </w:r>
          </w:p>
        </w:tc>
        <w:tc>
          <w:tcPr>
            <w:tcW w:w="2623" w:type="dxa"/>
            <w:vAlign w:val="center"/>
          </w:tcPr>
          <w:p w14:paraId="0B98A22B">
            <w:pPr>
              <w:pStyle w:val="71"/>
              <w:widowControl/>
              <w:jc w:val="both"/>
              <w:rPr>
                <w:rFonts w:ascii="Times New Roman" w:hAnsi="Times New Roman" w:eastAsia="Times-Bold" w:cs="Times New Roman"/>
                <w:color w:val="000000"/>
                <w:sz w:val="28"/>
                <w:szCs w:val="28"/>
                <w:lang w:val="ru-RU"/>
              </w:rPr>
            </w:pPr>
            <w:r>
              <w:rPr>
                <w:rFonts w:ascii="Times New Roman" w:hAnsi="Times New Roman" w:eastAsia="Times-Bold" w:cs="Times New Roman"/>
                <w:color w:val="000000"/>
                <w:sz w:val="28"/>
                <w:szCs w:val="28"/>
                <w:lang w:val="ru-RU"/>
              </w:rPr>
              <w:t>Исключенные показатели</w:t>
            </w:r>
          </w:p>
        </w:tc>
      </w:tr>
      <w:tr w14:paraId="74C55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492" w:hRule="exact"/>
        </w:trPr>
        <w:tc>
          <w:tcPr>
            <w:tcW w:w="4111" w:type="dxa"/>
            <w:vAlign w:val="center"/>
          </w:tcPr>
          <w:p w14:paraId="705BDA9B">
            <w:pPr>
              <w:pStyle w:val="71"/>
              <w:widowControl/>
              <w:jc w:val="both"/>
              <w:rPr>
                <w:rFonts w:ascii="Times New Roman" w:hAnsi="Times New Roman" w:eastAsia="Times-Bold" w:cs="Times New Roman"/>
                <w:b/>
                <w:bCs/>
                <w:color w:val="000000"/>
                <w:sz w:val="28"/>
                <w:szCs w:val="28"/>
                <w:lang w:val="ru-RU"/>
              </w:rPr>
            </w:pPr>
            <w:r>
              <w:rPr>
                <w:rFonts w:ascii="Times New Roman" w:hAnsi="Times New Roman" w:eastAsia="Times-Bold" w:cs="Times New Roman"/>
                <w:b/>
                <w:bCs/>
                <w:color w:val="000000"/>
                <w:sz w:val="28"/>
                <w:szCs w:val="28"/>
                <w:lang w:val="ru-RU"/>
              </w:rPr>
              <w:t>Нагрузки и p-значения</w:t>
            </w:r>
          </w:p>
        </w:tc>
        <w:tc>
          <w:tcPr>
            <w:tcW w:w="2972" w:type="dxa"/>
            <w:shd w:val="clear" w:color="auto" w:fill="E8EBF5"/>
            <w:tcMar>
              <w:top w:w="55" w:type="dxa"/>
              <w:left w:w="55" w:type="dxa"/>
              <w:bottom w:w="55" w:type="dxa"/>
              <w:right w:w="55" w:type="dxa"/>
            </w:tcMar>
            <w:vAlign w:val="center"/>
          </w:tcPr>
          <w:p w14:paraId="0EDE6060">
            <w:pPr>
              <w:spacing w:after="0" w:line="240" w:lineRule="auto"/>
              <w:jc w:val="both"/>
              <w:rPr>
                <w:rFonts w:ascii="Times New Roman" w:hAnsi="Times New Roman" w:cs="Times New Roman"/>
                <w:sz w:val="28"/>
                <w:szCs w:val="28"/>
              </w:rPr>
            </w:pPr>
          </w:p>
        </w:tc>
        <w:tc>
          <w:tcPr>
            <w:tcW w:w="2623" w:type="dxa"/>
            <w:shd w:val="clear" w:color="auto" w:fill="E8EBF5"/>
            <w:tcMar>
              <w:top w:w="55" w:type="dxa"/>
              <w:left w:w="55" w:type="dxa"/>
              <w:bottom w:w="55" w:type="dxa"/>
              <w:right w:w="55" w:type="dxa"/>
            </w:tcMar>
            <w:vAlign w:val="center"/>
          </w:tcPr>
          <w:p w14:paraId="0424044B">
            <w:pPr>
              <w:spacing w:after="0" w:line="240" w:lineRule="auto"/>
              <w:jc w:val="both"/>
              <w:rPr>
                <w:rFonts w:ascii="Times New Roman" w:hAnsi="Times New Roman" w:cs="Times New Roman"/>
                <w:sz w:val="28"/>
                <w:szCs w:val="28"/>
              </w:rPr>
            </w:pPr>
          </w:p>
        </w:tc>
      </w:tr>
      <w:tr w14:paraId="6F502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789" w:hRule="exact"/>
        </w:trPr>
        <w:tc>
          <w:tcPr>
            <w:tcW w:w="4111" w:type="dxa"/>
            <w:vAlign w:val="center"/>
          </w:tcPr>
          <w:p w14:paraId="51405B33">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Рост ВВП (M1)</w:t>
            </w:r>
          </w:p>
        </w:tc>
        <w:tc>
          <w:tcPr>
            <w:tcW w:w="2972" w:type="dxa"/>
            <w:vAlign w:val="center"/>
          </w:tcPr>
          <w:p w14:paraId="2CF7A126">
            <w:pPr>
              <w:pStyle w:val="71"/>
              <w:widowControl/>
              <w:jc w:val="both"/>
              <w:rPr>
                <w:rFonts w:ascii="Times New Roman" w:hAnsi="Times New Roman" w:cs="Times New Roman"/>
                <w:sz w:val="28"/>
                <w:szCs w:val="28"/>
                <w:lang w:val="ru-RU"/>
              </w:rPr>
            </w:pPr>
            <w:r>
              <w:rPr>
                <w:rFonts w:ascii="Times New Roman" w:hAnsi="Times New Roman" w:eastAsia="Times-Roman" w:cs="Times New Roman"/>
                <w:color w:val="000000"/>
                <w:sz w:val="28"/>
                <w:szCs w:val="28"/>
                <w:lang w:val="ru-RU"/>
              </w:rPr>
              <w:t xml:space="preserve">0.875; </w:t>
            </w:r>
            <w:r>
              <w:rPr>
                <w:rFonts w:ascii="Times New Roman" w:hAnsi="Times New Roman" w:eastAsia="Times-Italic" w:cs="Times New Roman"/>
                <w:i/>
                <w:iCs/>
                <w:color w:val="000000"/>
                <w:sz w:val="28"/>
                <w:szCs w:val="28"/>
                <w:lang w:val="ru-RU"/>
              </w:rPr>
              <w:t>p</w:t>
            </w:r>
            <w:r>
              <w:rPr>
                <w:rFonts w:ascii="Times New Roman" w:hAnsi="Times New Roman" w:eastAsia="Times-Roman" w:cs="Times New Roman"/>
                <w:color w:val="000000"/>
                <w:sz w:val="28"/>
                <w:szCs w:val="28"/>
                <w:lang w:val="ru-RU"/>
              </w:rPr>
              <w:t xml:space="preserve"> &lt; 0.001</w:t>
            </w:r>
          </w:p>
        </w:tc>
        <w:tc>
          <w:tcPr>
            <w:tcW w:w="2623" w:type="dxa"/>
            <w:vAlign w:val="center"/>
          </w:tcPr>
          <w:p w14:paraId="32EDFEAE">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ВВП</w:t>
            </w:r>
          </w:p>
        </w:tc>
      </w:tr>
      <w:tr w14:paraId="7A1B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20" w:hRule="exact"/>
        </w:trPr>
        <w:tc>
          <w:tcPr>
            <w:tcW w:w="4111" w:type="dxa"/>
            <w:vAlign w:val="center"/>
          </w:tcPr>
          <w:p w14:paraId="70A123F7">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Инфляция (M2)</w:t>
            </w:r>
          </w:p>
        </w:tc>
        <w:tc>
          <w:tcPr>
            <w:tcW w:w="2972" w:type="dxa"/>
            <w:vAlign w:val="center"/>
          </w:tcPr>
          <w:p w14:paraId="70EDA3DA">
            <w:pPr>
              <w:pStyle w:val="71"/>
              <w:widowControl/>
              <w:jc w:val="both"/>
              <w:rPr>
                <w:rFonts w:ascii="Times New Roman" w:hAnsi="Times New Roman" w:cs="Times New Roman"/>
                <w:sz w:val="28"/>
                <w:szCs w:val="28"/>
                <w:lang w:val="ru-RU"/>
              </w:rPr>
            </w:pPr>
            <w:r>
              <w:rPr>
                <w:rFonts w:ascii="Times New Roman" w:hAnsi="Times New Roman" w:eastAsia="Times-Roman" w:cs="Times New Roman"/>
                <w:color w:val="000000"/>
                <w:sz w:val="28"/>
                <w:szCs w:val="28"/>
                <w:lang w:val="ru-RU"/>
              </w:rPr>
              <w:t xml:space="preserve">0.943; </w:t>
            </w:r>
            <w:r>
              <w:rPr>
                <w:rFonts w:ascii="Times New Roman" w:hAnsi="Times New Roman" w:eastAsia="Times-Italic" w:cs="Times New Roman"/>
                <w:i/>
                <w:iCs/>
                <w:color w:val="000000"/>
                <w:sz w:val="28"/>
                <w:szCs w:val="28"/>
                <w:lang w:val="ru-RU"/>
              </w:rPr>
              <w:t>p</w:t>
            </w:r>
            <w:r>
              <w:rPr>
                <w:rFonts w:ascii="Times New Roman" w:hAnsi="Times New Roman" w:eastAsia="Times-Roman" w:cs="Times New Roman"/>
                <w:color w:val="000000"/>
                <w:sz w:val="28"/>
                <w:szCs w:val="28"/>
                <w:lang w:val="ru-RU"/>
              </w:rPr>
              <w:t xml:space="preserve"> &lt; 0.001</w:t>
            </w:r>
          </w:p>
        </w:tc>
        <w:tc>
          <w:tcPr>
            <w:tcW w:w="2623" w:type="dxa"/>
            <w:shd w:val="clear" w:color="auto" w:fill="E8EBF5"/>
            <w:tcMar>
              <w:top w:w="55" w:type="dxa"/>
              <w:left w:w="55" w:type="dxa"/>
              <w:bottom w:w="55" w:type="dxa"/>
              <w:right w:w="55" w:type="dxa"/>
            </w:tcMar>
            <w:vAlign w:val="center"/>
          </w:tcPr>
          <w:p w14:paraId="67B3DC67">
            <w:pPr>
              <w:spacing w:after="0" w:line="240" w:lineRule="auto"/>
              <w:jc w:val="both"/>
              <w:rPr>
                <w:rFonts w:ascii="Times New Roman" w:hAnsi="Times New Roman" w:cs="Times New Roman"/>
                <w:sz w:val="28"/>
                <w:szCs w:val="28"/>
              </w:rPr>
            </w:pPr>
          </w:p>
        </w:tc>
      </w:tr>
      <w:tr w14:paraId="03B44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31" w:hRule="exact"/>
        </w:trPr>
        <w:tc>
          <w:tcPr>
            <w:tcW w:w="4111" w:type="dxa"/>
            <w:vAlign w:val="center"/>
          </w:tcPr>
          <w:p w14:paraId="02526595">
            <w:pPr>
              <w:pStyle w:val="71"/>
              <w:widowControl/>
              <w:jc w:val="both"/>
              <w:rPr>
                <w:rFonts w:ascii="Times New Roman" w:hAnsi="Times New Roman" w:eastAsia="Times-Italic" w:cs="Times New Roman"/>
                <w:i/>
                <w:iCs/>
                <w:color w:val="000000"/>
                <w:sz w:val="28"/>
                <w:szCs w:val="28"/>
                <w:shd w:val="clear" w:color="auto" w:fill="FFFF00"/>
                <w:lang w:val="ru-RU"/>
              </w:rPr>
            </w:pPr>
            <w:r>
              <w:rPr>
                <w:rFonts w:ascii="Times New Roman" w:hAnsi="Times New Roman" w:eastAsia="Times-Italic" w:cs="Times New Roman"/>
                <w:i/>
                <w:iCs/>
                <w:color w:val="000000"/>
                <w:sz w:val="28"/>
                <w:szCs w:val="28"/>
                <w:shd w:val="clear" w:color="auto" w:fill="FFFF00"/>
                <w:lang w:val="ru-RU"/>
              </w:rPr>
              <w:t>Фактор сбережений (S)</w:t>
            </w:r>
          </w:p>
        </w:tc>
        <w:tc>
          <w:tcPr>
            <w:tcW w:w="2972" w:type="dxa"/>
            <w:shd w:val="clear" w:color="auto" w:fill="CDD4E9"/>
            <w:tcMar>
              <w:top w:w="55" w:type="dxa"/>
              <w:left w:w="55" w:type="dxa"/>
              <w:bottom w:w="55" w:type="dxa"/>
              <w:right w:w="55" w:type="dxa"/>
            </w:tcMar>
          </w:tcPr>
          <w:p w14:paraId="2E0FB16A">
            <w:pPr>
              <w:spacing w:after="0" w:line="240" w:lineRule="auto"/>
              <w:jc w:val="both"/>
              <w:rPr>
                <w:rFonts w:ascii="Times New Roman" w:hAnsi="Times New Roman" w:cs="Times New Roman"/>
                <w:sz w:val="28"/>
                <w:szCs w:val="28"/>
              </w:rPr>
            </w:pPr>
          </w:p>
        </w:tc>
        <w:tc>
          <w:tcPr>
            <w:tcW w:w="2623" w:type="dxa"/>
            <w:shd w:val="clear" w:color="auto" w:fill="CDD4E9"/>
            <w:tcMar>
              <w:top w:w="55" w:type="dxa"/>
              <w:left w:w="55" w:type="dxa"/>
              <w:bottom w:w="55" w:type="dxa"/>
              <w:right w:w="55" w:type="dxa"/>
            </w:tcMar>
          </w:tcPr>
          <w:p w14:paraId="2B15F066">
            <w:pPr>
              <w:spacing w:after="0" w:line="240" w:lineRule="auto"/>
              <w:jc w:val="both"/>
              <w:rPr>
                <w:rFonts w:ascii="Times New Roman" w:hAnsi="Times New Roman" w:cs="Times New Roman"/>
                <w:sz w:val="28"/>
                <w:szCs w:val="28"/>
              </w:rPr>
            </w:pPr>
          </w:p>
        </w:tc>
      </w:tr>
      <w:tr w14:paraId="28FB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880" w:hRule="exact"/>
        </w:trPr>
        <w:tc>
          <w:tcPr>
            <w:tcW w:w="4111" w:type="dxa"/>
            <w:vAlign w:val="center"/>
          </w:tcPr>
          <w:p w14:paraId="374A5376">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Депозиты домохозяйств (S1)</w:t>
            </w:r>
          </w:p>
        </w:tc>
        <w:tc>
          <w:tcPr>
            <w:tcW w:w="2972" w:type="dxa"/>
            <w:vAlign w:val="center"/>
          </w:tcPr>
          <w:p w14:paraId="39709B40">
            <w:pPr>
              <w:pStyle w:val="71"/>
              <w:widowControl/>
              <w:jc w:val="both"/>
              <w:rPr>
                <w:rFonts w:ascii="Times New Roman" w:hAnsi="Times New Roman" w:cs="Times New Roman"/>
                <w:sz w:val="28"/>
                <w:szCs w:val="28"/>
                <w:lang w:val="ru-RU"/>
              </w:rPr>
            </w:pPr>
            <w:r>
              <w:rPr>
                <w:rFonts w:ascii="Times New Roman" w:hAnsi="Times New Roman" w:eastAsia="Times-Roman" w:cs="Times New Roman"/>
                <w:color w:val="000000"/>
                <w:sz w:val="28"/>
                <w:szCs w:val="28"/>
                <w:lang w:val="ru-RU"/>
              </w:rPr>
              <w:t xml:space="preserve">0.999; </w:t>
            </w:r>
            <w:r>
              <w:rPr>
                <w:rFonts w:ascii="Times New Roman" w:hAnsi="Times New Roman" w:eastAsia="Times-Italic" w:cs="Times New Roman"/>
                <w:i/>
                <w:iCs/>
                <w:color w:val="000000"/>
                <w:sz w:val="28"/>
                <w:szCs w:val="28"/>
                <w:lang w:val="ru-RU"/>
              </w:rPr>
              <w:t>p</w:t>
            </w:r>
            <w:r>
              <w:rPr>
                <w:rFonts w:ascii="Times New Roman" w:hAnsi="Times New Roman" w:eastAsia="Times-Roman" w:cs="Times New Roman"/>
                <w:color w:val="000000"/>
                <w:sz w:val="28"/>
                <w:szCs w:val="28"/>
                <w:lang w:val="ru-RU"/>
              </w:rPr>
              <w:t xml:space="preserve"> &lt; 0.001</w:t>
            </w:r>
          </w:p>
        </w:tc>
        <w:tc>
          <w:tcPr>
            <w:tcW w:w="2623" w:type="dxa"/>
            <w:vAlign w:val="center"/>
          </w:tcPr>
          <w:p w14:paraId="3000C7BC">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Остаток на счетах домохозяйств</w:t>
            </w:r>
          </w:p>
        </w:tc>
      </w:tr>
      <w:tr w14:paraId="1A7F5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25" w:hRule="exact"/>
        </w:trPr>
        <w:tc>
          <w:tcPr>
            <w:tcW w:w="4111" w:type="dxa"/>
            <w:vAlign w:val="center"/>
          </w:tcPr>
          <w:p w14:paraId="48738AC8">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Общие банковские депозиты (S2)</w:t>
            </w:r>
          </w:p>
        </w:tc>
        <w:tc>
          <w:tcPr>
            <w:tcW w:w="2972" w:type="dxa"/>
            <w:vAlign w:val="center"/>
          </w:tcPr>
          <w:p w14:paraId="139FE8BC">
            <w:pPr>
              <w:pStyle w:val="71"/>
              <w:widowControl/>
              <w:jc w:val="both"/>
              <w:rPr>
                <w:rFonts w:ascii="Times New Roman" w:hAnsi="Times New Roman" w:cs="Times New Roman"/>
                <w:sz w:val="28"/>
                <w:szCs w:val="28"/>
                <w:lang w:val="ru-RU"/>
              </w:rPr>
            </w:pPr>
            <w:r>
              <w:rPr>
                <w:rFonts w:ascii="Times New Roman" w:hAnsi="Times New Roman" w:eastAsia="Times-Roman" w:cs="Times New Roman"/>
                <w:color w:val="000000"/>
                <w:sz w:val="28"/>
                <w:szCs w:val="28"/>
                <w:lang w:val="ru-RU"/>
              </w:rPr>
              <w:t xml:space="preserve">0.999; </w:t>
            </w:r>
            <w:r>
              <w:rPr>
                <w:rFonts w:ascii="Times New Roman" w:hAnsi="Times New Roman" w:eastAsia="Times-Italic" w:cs="Times New Roman"/>
                <w:i/>
                <w:iCs/>
                <w:color w:val="000000"/>
                <w:sz w:val="28"/>
                <w:szCs w:val="28"/>
                <w:lang w:val="ru-RU"/>
              </w:rPr>
              <w:t>p</w:t>
            </w:r>
            <w:r>
              <w:rPr>
                <w:rFonts w:ascii="Times New Roman" w:hAnsi="Times New Roman" w:eastAsia="Times-Roman" w:cs="Times New Roman"/>
                <w:color w:val="000000"/>
                <w:sz w:val="28"/>
                <w:szCs w:val="28"/>
                <w:lang w:val="ru-RU"/>
              </w:rPr>
              <w:t xml:space="preserve"> &lt; 0.001</w:t>
            </w:r>
          </w:p>
        </w:tc>
        <w:tc>
          <w:tcPr>
            <w:tcW w:w="2623" w:type="dxa"/>
            <w:shd w:val="clear" w:color="auto" w:fill="CDD4E9"/>
            <w:tcMar>
              <w:top w:w="55" w:type="dxa"/>
              <w:left w:w="55" w:type="dxa"/>
              <w:bottom w:w="55" w:type="dxa"/>
              <w:right w:w="55" w:type="dxa"/>
            </w:tcMar>
          </w:tcPr>
          <w:p w14:paraId="78B0321C">
            <w:pPr>
              <w:spacing w:after="0" w:line="240" w:lineRule="auto"/>
              <w:jc w:val="both"/>
              <w:rPr>
                <w:rFonts w:ascii="Times New Roman" w:hAnsi="Times New Roman" w:cs="Times New Roman"/>
                <w:sz w:val="28"/>
                <w:szCs w:val="28"/>
              </w:rPr>
            </w:pPr>
          </w:p>
        </w:tc>
      </w:tr>
      <w:tr w14:paraId="6065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822" w:hRule="exact"/>
        </w:trPr>
        <w:tc>
          <w:tcPr>
            <w:tcW w:w="4111" w:type="dxa"/>
            <w:vAlign w:val="center"/>
          </w:tcPr>
          <w:p w14:paraId="22300A40">
            <w:pPr>
              <w:pStyle w:val="71"/>
              <w:widowControl/>
              <w:jc w:val="both"/>
              <w:rPr>
                <w:rFonts w:ascii="Times New Roman" w:hAnsi="Times New Roman" w:eastAsia="Times-Italic" w:cs="Times New Roman"/>
                <w:i/>
                <w:iCs/>
                <w:color w:val="000000"/>
                <w:sz w:val="28"/>
                <w:szCs w:val="28"/>
                <w:shd w:val="clear" w:color="auto" w:fill="FFFF00"/>
                <w:lang w:val="ru-RU"/>
              </w:rPr>
            </w:pPr>
            <w:r>
              <w:rPr>
                <w:rFonts w:ascii="Times New Roman" w:hAnsi="Times New Roman" w:eastAsia="Times-Roman" w:cs="Times New Roman"/>
                <w:color w:val="000000"/>
                <w:sz w:val="28"/>
                <w:szCs w:val="28"/>
                <w:lang w:val="ru-RU"/>
              </w:rPr>
              <w:t>Внешне экономические</w:t>
            </w:r>
            <w:r>
              <w:rPr>
                <w:rFonts w:ascii="Times New Roman" w:hAnsi="Times New Roman" w:eastAsia="Times-Italic" w:cs="Times New Roman"/>
                <w:i/>
                <w:iCs/>
                <w:color w:val="000000"/>
                <w:sz w:val="28"/>
                <w:szCs w:val="28"/>
                <w:shd w:val="clear" w:color="auto" w:fill="FFFF00"/>
                <w:lang w:val="ru-RU"/>
              </w:rPr>
              <w:t xml:space="preserve"> факторы (F)</w:t>
            </w:r>
          </w:p>
          <w:p w14:paraId="2805EE73">
            <w:pPr>
              <w:pStyle w:val="71"/>
              <w:widowControl/>
              <w:jc w:val="both"/>
              <w:rPr>
                <w:rFonts w:ascii="Times New Roman" w:hAnsi="Times New Roman" w:eastAsia="Times-Italic" w:cs="Times New Roman"/>
                <w:i/>
                <w:iCs/>
                <w:color w:val="000000"/>
                <w:sz w:val="28"/>
                <w:szCs w:val="28"/>
                <w:shd w:val="clear" w:color="auto" w:fill="FFFF00"/>
                <w:lang w:val="ru-RU"/>
              </w:rPr>
            </w:pPr>
          </w:p>
        </w:tc>
        <w:tc>
          <w:tcPr>
            <w:tcW w:w="2972" w:type="dxa"/>
            <w:shd w:val="clear" w:color="auto" w:fill="E8EBF5"/>
            <w:tcMar>
              <w:top w:w="55" w:type="dxa"/>
              <w:left w:w="55" w:type="dxa"/>
              <w:bottom w:w="55" w:type="dxa"/>
              <w:right w:w="55" w:type="dxa"/>
            </w:tcMar>
            <w:vAlign w:val="center"/>
          </w:tcPr>
          <w:p w14:paraId="06998A46">
            <w:pPr>
              <w:spacing w:after="0" w:line="240" w:lineRule="auto"/>
              <w:jc w:val="both"/>
              <w:rPr>
                <w:rFonts w:ascii="Times New Roman" w:hAnsi="Times New Roman" w:cs="Times New Roman"/>
                <w:sz w:val="28"/>
                <w:szCs w:val="28"/>
              </w:rPr>
            </w:pPr>
          </w:p>
        </w:tc>
        <w:tc>
          <w:tcPr>
            <w:tcW w:w="2623" w:type="dxa"/>
            <w:shd w:val="clear" w:color="auto" w:fill="E8EBF5"/>
            <w:tcMar>
              <w:top w:w="55" w:type="dxa"/>
              <w:left w:w="55" w:type="dxa"/>
              <w:bottom w:w="55" w:type="dxa"/>
              <w:right w:w="55" w:type="dxa"/>
            </w:tcMar>
            <w:vAlign w:val="center"/>
          </w:tcPr>
          <w:p w14:paraId="4B5A4066">
            <w:pPr>
              <w:spacing w:after="0" w:line="240" w:lineRule="auto"/>
              <w:jc w:val="both"/>
              <w:rPr>
                <w:rFonts w:ascii="Times New Roman" w:hAnsi="Times New Roman" w:cs="Times New Roman"/>
                <w:sz w:val="28"/>
                <w:szCs w:val="28"/>
              </w:rPr>
            </w:pPr>
          </w:p>
        </w:tc>
      </w:tr>
      <w:tr w14:paraId="1C843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1726" w:hRule="exact"/>
        </w:trPr>
        <w:tc>
          <w:tcPr>
            <w:tcW w:w="4111" w:type="dxa"/>
            <w:vAlign w:val="center"/>
          </w:tcPr>
          <w:p w14:paraId="2C1CC20A">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Обменный курс (KZT/USD) (F1)</w:t>
            </w:r>
          </w:p>
        </w:tc>
        <w:tc>
          <w:tcPr>
            <w:tcW w:w="2972" w:type="dxa"/>
            <w:vAlign w:val="center"/>
          </w:tcPr>
          <w:p w14:paraId="664CB80C">
            <w:pPr>
              <w:pStyle w:val="71"/>
              <w:widowControl/>
              <w:jc w:val="both"/>
              <w:rPr>
                <w:rFonts w:ascii="Times New Roman" w:hAnsi="Times New Roman" w:cs="Times New Roman"/>
                <w:sz w:val="28"/>
                <w:szCs w:val="28"/>
                <w:lang w:val="ru-RU"/>
              </w:rPr>
            </w:pPr>
            <w:r>
              <w:rPr>
                <w:rFonts w:ascii="Times New Roman" w:hAnsi="Times New Roman" w:eastAsia="Times-Roman" w:cs="Times New Roman"/>
                <w:color w:val="000000"/>
                <w:sz w:val="28"/>
                <w:szCs w:val="28"/>
                <w:lang w:val="ru-RU"/>
              </w:rPr>
              <w:t xml:space="preserve">0.994; </w:t>
            </w:r>
            <w:r>
              <w:rPr>
                <w:rFonts w:ascii="Times New Roman" w:hAnsi="Times New Roman" w:eastAsia="Times-Italic" w:cs="Times New Roman"/>
                <w:i/>
                <w:iCs/>
                <w:color w:val="000000"/>
                <w:sz w:val="28"/>
                <w:szCs w:val="28"/>
                <w:lang w:val="ru-RU"/>
              </w:rPr>
              <w:t>p</w:t>
            </w:r>
            <w:r>
              <w:rPr>
                <w:rFonts w:ascii="Times New Roman" w:hAnsi="Times New Roman" w:eastAsia="Times-Roman" w:cs="Times New Roman"/>
                <w:color w:val="000000"/>
                <w:sz w:val="28"/>
                <w:szCs w:val="28"/>
                <w:lang w:val="ru-RU"/>
              </w:rPr>
              <w:t xml:space="preserve"> &lt; 0.001</w:t>
            </w:r>
          </w:p>
        </w:tc>
        <w:tc>
          <w:tcPr>
            <w:tcW w:w="2623" w:type="dxa"/>
            <w:vAlign w:val="center"/>
          </w:tcPr>
          <w:p w14:paraId="283D89F7">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Государственный долг;</w:t>
            </w:r>
          </w:p>
          <w:p w14:paraId="5BE287E5">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Прямые иностранные инвестиции</w:t>
            </w:r>
          </w:p>
        </w:tc>
      </w:tr>
      <w:tr w14:paraId="4096A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45" w:hRule="exact"/>
        </w:trPr>
        <w:tc>
          <w:tcPr>
            <w:tcW w:w="4111" w:type="dxa"/>
            <w:vAlign w:val="center"/>
          </w:tcPr>
          <w:p w14:paraId="17CEBA6F">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Государственный долг в процентах от ВВП (F2)</w:t>
            </w:r>
          </w:p>
        </w:tc>
        <w:tc>
          <w:tcPr>
            <w:tcW w:w="2972" w:type="dxa"/>
            <w:vAlign w:val="center"/>
          </w:tcPr>
          <w:p w14:paraId="70D2F044">
            <w:pPr>
              <w:pStyle w:val="71"/>
              <w:widowControl/>
              <w:jc w:val="both"/>
              <w:rPr>
                <w:rFonts w:ascii="Times New Roman" w:hAnsi="Times New Roman" w:cs="Times New Roman"/>
                <w:sz w:val="28"/>
                <w:szCs w:val="28"/>
                <w:lang w:val="ru-RU"/>
              </w:rPr>
            </w:pPr>
            <w:r>
              <w:rPr>
                <w:rFonts w:ascii="Times New Roman" w:hAnsi="Times New Roman" w:eastAsia="Times-Roman" w:cs="Times New Roman"/>
                <w:color w:val="000000"/>
                <w:sz w:val="28"/>
                <w:szCs w:val="28"/>
                <w:lang w:val="ru-RU"/>
              </w:rPr>
              <w:t xml:space="preserve">0.992; </w:t>
            </w:r>
            <w:r>
              <w:rPr>
                <w:rFonts w:ascii="Times New Roman" w:hAnsi="Times New Roman" w:eastAsia="Times-Italic" w:cs="Times New Roman"/>
                <w:i/>
                <w:iCs/>
                <w:color w:val="000000"/>
                <w:sz w:val="28"/>
                <w:szCs w:val="28"/>
                <w:lang w:val="ru-RU"/>
              </w:rPr>
              <w:t>p</w:t>
            </w:r>
            <w:r>
              <w:rPr>
                <w:rFonts w:ascii="Times New Roman" w:hAnsi="Times New Roman" w:eastAsia="Times-Roman" w:cs="Times New Roman"/>
                <w:color w:val="000000"/>
                <w:sz w:val="28"/>
                <w:szCs w:val="28"/>
                <w:lang w:val="ru-RU"/>
              </w:rPr>
              <w:t xml:space="preserve"> &lt; 0.001</w:t>
            </w:r>
          </w:p>
        </w:tc>
        <w:tc>
          <w:tcPr>
            <w:tcW w:w="2623" w:type="dxa"/>
            <w:shd w:val="clear" w:color="auto" w:fill="E8EBF5"/>
            <w:tcMar>
              <w:top w:w="55" w:type="dxa"/>
              <w:left w:w="55" w:type="dxa"/>
              <w:bottom w:w="55" w:type="dxa"/>
              <w:right w:w="55" w:type="dxa"/>
            </w:tcMar>
            <w:vAlign w:val="center"/>
          </w:tcPr>
          <w:p w14:paraId="67584687">
            <w:pPr>
              <w:spacing w:after="0" w:line="240" w:lineRule="auto"/>
              <w:jc w:val="both"/>
              <w:rPr>
                <w:rFonts w:ascii="Times New Roman" w:hAnsi="Times New Roman" w:cs="Times New Roman"/>
                <w:sz w:val="28"/>
                <w:szCs w:val="28"/>
              </w:rPr>
            </w:pPr>
          </w:p>
        </w:tc>
      </w:tr>
      <w:tr w14:paraId="310FC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13" w:hRule="exact"/>
        </w:trPr>
        <w:tc>
          <w:tcPr>
            <w:tcW w:w="4111" w:type="dxa"/>
            <w:vAlign w:val="center"/>
          </w:tcPr>
          <w:p w14:paraId="6E0D3163">
            <w:pPr>
              <w:pStyle w:val="71"/>
              <w:widowControl/>
              <w:jc w:val="both"/>
              <w:rPr>
                <w:rFonts w:ascii="Times New Roman" w:hAnsi="Times New Roman" w:eastAsia="Times-Italic" w:cs="Times New Roman"/>
                <w:i/>
                <w:iCs/>
                <w:color w:val="000000"/>
                <w:sz w:val="28"/>
                <w:szCs w:val="28"/>
                <w:shd w:val="clear" w:color="auto" w:fill="FFFF00"/>
                <w:lang w:val="ru-RU"/>
              </w:rPr>
            </w:pPr>
            <w:r>
              <w:rPr>
                <w:rFonts w:ascii="Times New Roman" w:hAnsi="Times New Roman" w:eastAsia="Times-Italic" w:cs="Times New Roman"/>
                <w:i/>
                <w:iCs/>
                <w:color w:val="000000"/>
                <w:sz w:val="28"/>
                <w:szCs w:val="28"/>
                <w:shd w:val="clear" w:color="auto" w:fill="FFFF00"/>
                <w:lang w:val="ru-RU"/>
              </w:rPr>
              <w:t>Социальные факторы (Soc)</w:t>
            </w:r>
          </w:p>
        </w:tc>
        <w:tc>
          <w:tcPr>
            <w:tcW w:w="2972" w:type="dxa"/>
            <w:shd w:val="clear" w:color="auto" w:fill="CDD4E9"/>
            <w:tcMar>
              <w:top w:w="55" w:type="dxa"/>
              <w:left w:w="55" w:type="dxa"/>
              <w:bottom w:w="55" w:type="dxa"/>
              <w:right w:w="55" w:type="dxa"/>
            </w:tcMar>
          </w:tcPr>
          <w:p w14:paraId="0B2C82A7">
            <w:pPr>
              <w:spacing w:after="0" w:line="240" w:lineRule="auto"/>
              <w:jc w:val="both"/>
              <w:rPr>
                <w:rFonts w:ascii="Times New Roman" w:hAnsi="Times New Roman" w:cs="Times New Roman"/>
                <w:sz w:val="28"/>
                <w:szCs w:val="28"/>
              </w:rPr>
            </w:pPr>
          </w:p>
        </w:tc>
        <w:tc>
          <w:tcPr>
            <w:tcW w:w="2623" w:type="dxa"/>
            <w:shd w:val="clear" w:color="auto" w:fill="CDD4E9"/>
            <w:tcMar>
              <w:top w:w="55" w:type="dxa"/>
              <w:left w:w="55" w:type="dxa"/>
              <w:bottom w:w="55" w:type="dxa"/>
              <w:right w:w="55" w:type="dxa"/>
            </w:tcMar>
          </w:tcPr>
          <w:p w14:paraId="459CF27F">
            <w:pPr>
              <w:spacing w:after="0" w:line="240" w:lineRule="auto"/>
              <w:jc w:val="both"/>
              <w:rPr>
                <w:rFonts w:ascii="Times New Roman" w:hAnsi="Times New Roman" w:cs="Times New Roman"/>
                <w:sz w:val="28"/>
                <w:szCs w:val="28"/>
              </w:rPr>
            </w:pPr>
          </w:p>
        </w:tc>
      </w:tr>
      <w:tr w14:paraId="3051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37" w:hRule="exact"/>
        </w:trPr>
        <w:tc>
          <w:tcPr>
            <w:tcW w:w="4111" w:type="dxa"/>
            <w:vAlign w:val="center"/>
          </w:tcPr>
          <w:p w14:paraId="44DD7554">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Индекс Джини (Soc1)</w:t>
            </w:r>
          </w:p>
        </w:tc>
        <w:tc>
          <w:tcPr>
            <w:tcW w:w="2972" w:type="dxa"/>
            <w:vAlign w:val="center"/>
          </w:tcPr>
          <w:p w14:paraId="7EEB03DC">
            <w:pPr>
              <w:pStyle w:val="71"/>
              <w:widowControl/>
              <w:jc w:val="both"/>
              <w:rPr>
                <w:rFonts w:ascii="Times New Roman" w:hAnsi="Times New Roman" w:cs="Times New Roman"/>
                <w:sz w:val="28"/>
                <w:szCs w:val="28"/>
                <w:lang w:val="ru-RU"/>
              </w:rPr>
            </w:pPr>
            <w:r>
              <w:rPr>
                <w:rFonts w:ascii="Times New Roman" w:hAnsi="Times New Roman" w:eastAsia="Times-Roman" w:cs="Times New Roman"/>
                <w:color w:val="000000"/>
                <w:sz w:val="28"/>
                <w:szCs w:val="28"/>
                <w:lang w:val="ru-RU"/>
              </w:rPr>
              <w:t xml:space="preserve">0.963; </w:t>
            </w:r>
            <w:r>
              <w:rPr>
                <w:rFonts w:ascii="Times New Roman" w:hAnsi="Times New Roman" w:eastAsia="Times-Italic" w:cs="Times New Roman"/>
                <w:i/>
                <w:iCs/>
                <w:color w:val="000000"/>
                <w:sz w:val="28"/>
                <w:szCs w:val="28"/>
                <w:lang w:val="ru-RU"/>
              </w:rPr>
              <w:t>p</w:t>
            </w:r>
            <w:r>
              <w:rPr>
                <w:rFonts w:ascii="Times New Roman" w:hAnsi="Times New Roman" w:eastAsia="Times-Roman" w:cs="Times New Roman"/>
                <w:color w:val="000000"/>
                <w:sz w:val="28"/>
                <w:szCs w:val="28"/>
                <w:lang w:val="ru-RU"/>
              </w:rPr>
              <w:t xml:space="preserve"> &lt; 0.001</w:t>
            </w:r>
          </w:p>
        </w:tc>
        <w:tc>
          <w:tcPr>
            <w:tcW w:w="2623" w:type="dxa"/>
            <w:vAlign w:val="center"/>
          </w:tcPr>
          <w:p w14:paraId="190001CA">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Уровень безработицы</w:t>
            </w:r>
          </w:p>
        </w:tc>
      </w:tr>
      <w:tr w14:paraId="24CBC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19" w:hRule="exact"/>
        </w:trPr>
        <w:tc>
          <w:tcPr>
            <w:tcW w:w="4111" w:type="dxa"/>
            <w:vAlign w:val="center"/>
          </w:tcPr>
          <w:p w14:paraId="3DF84C55">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Квинтильный коэффициент (Soc2)</w:t>
            </w:r>
          </w:p>
        </w:tc>
        <w:tc>
          <w:tcPr>
            <w:tcW w:w="2972" w:type="dxa"/>
            <w:vAlign w:val="center"/>
          </w:tcPr>
          <w:p w14:paraId="79952D05">
            <w:pPr>
              <w:pStyle w:val="71"/>
              <w:widowControl/>
              <w:jc w:val="both"/>
              <w:rPr>
                <w:rFonts w:ascii="Times New Roman" w:hAnsi="Times New Roman" w:cs="Times New Roman"/>
                <w:sz w:val="28"/>
                <w:szCs w:val="28"/>
                <w:lang w:val="ru-RU"/>
              </w:rPr>
            </w:pPr>
            <w:r>
              <w:rPr>
                <w:rFonts w:ascii="Times New Roman" w:hAnsi="Times New Roman" w:eastAsia="Times-Roman" w:cs="Times New Roman"/>
                <w:color w:val="000000"/>
                <w:sz w:val="28"/>
                <w:szCs w:val="28"/>
                <w:lang w:val="ru-RU"/>
              </w:rPr>
              <w:t xml:space="preserve">0.966; </w:t>
            </w:r>
            <w:r>
              <w:rPr>
                <w:rFonts w:ascii="Times New Roman" w:hAnsi="Times New Roman" w:eastAsia="Times-Italic" w:cs="Times New Roman"/>
                <w:i/>
                <w:iCs/>
                <w:color w:val="000000"/>
                <w:sz w:val="28"/>
                <w:szCs w:val="28"/>
                <w:lang w:val="ru-RU"/>
              </w:rPr>
              <w:t>p</w:t>
            </w:r>
            <w:r>
              <w:rPr>
                <w:rFonts w:ascii="Times New Roman" w:hAnsi="Times New Roman" w:eastAsia="Times-Roman" w:cs="Times New Roman"/>
                <w:color w:val="000000"/>
                <w:sz w:val="28"/>
                <w:szCs w:val="28"/>
                <w:lang w:val="ru-RU"/>
              </w:rPr>
              <w:t xml:space="preserve"> &lt; 0.001</w:t>
            </w:r>
          </w:p>
        </w:tc>
        <w:tc>
          <w:tcPr>
            <w:tcW w:w="2623" w:type="dxa"/>
            <w:shd w:val="clear" w:color="auto" w:fill="CDD4E9"/>
            <w:tcMar>
              <w:top w:w="55" w:type="dxa"/>
              <w:left w:w="55" w:type="dxa"/>
              <w:bottom w:w="55" w:type="dxa"/>
              <w:right w:w="55" w:type="dxa"/>
            </w:tcMar>
          </w:tcPr>
          <w:p w14:paraId="6AED1858">
            <w:pPr>
              <w:spacing w:after="0" w:line="240" w:lineRule="auto"/>
              <w:jc w:val="both"/>
              <w:rPr>
                <w:rFonts w:ascii="Times New Roman" w:hAnsi="Times New Roman" w:cs="Times New Roman"/>
                <w:sz w:val="28"/>
                <w:szCs w:val="28"/>
              </w:rPr>
            </w:pPr>
          </w:p>
        </w:tc>
      </w:tr>
      <w:tr w14:paraId="4497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20" w:hRule="exact"/>
        </w:trPr>
        <w:tc>
          <w:tcPr>
            <w:tcW w:w="4111" w:type="dxa"/>
            <w:vAlign w:val="center"/>
          </w:tcPr>
          <w:p w14:paraId="38BCE99A">
            <w:pPr>
              <w:pStyle w:val="71"/>
              <w:widowControl/>
              <w:jc w:val="both"/>
              <w:rPr>
                <w:rFonts w:ascii="Times New Roman" w:hAnsi="Times New Roman" w:eastAsia="Times-Italic" w:cs="Times New Roman"/>
                <w:i/>
                <w:iCs/>
                <w:color w:val="000000"/>
                <w:sz w:val="28"/>
                <w:szCs w:val="28"/>
                <w:shd w:val="clear" w:color="auto" w:fill="FFFF00"/>
                <w:lang w:val="ru-RU"/>
              </w:rPr>
            </w:pPr>
            <w:r>
              <w:rPr>
                <w:rFonts w:ascii="Times New Roman" w:hAnsi="Times New Roman" w:eastAsia="Times-Italic" w:cs="Times New Roman"/>
                <w:i/>
                <w:iCs/>
                <w:color w:val="000000"/>
                <w:sz w:val="28"/>
                <w:szCs w:val="28"/>
                <w:shd w:val="clear" w:color="auto" w:fill="FFFF00"/>
                <w:lang w:val="ru-RU"/>
              </w:rPr>
              <w:t>NPL</w:t>
            </w:r>
          </w:p>
        </w:tc>
        <w:tc>
          <w:tcPr>
            <w:tcW w:w="2972" w:type="dxa"/>
            <w:shd w:val="clear" w:color="auto" w:fill="E8EBF5"/>
            <w:tcMar>
              <w:top w:w="55" w:type="dxa"/>
              <w:left w:w="55" w:type="dxa"/>
              <w:bottom w:w="55" w:type="dxa"/>
              <w:right w:w="55" w:type="dxa"/>
            </w:tcMar>
            <w:vAlign w:val="center"/>
          </w:tcPr>
          <w:p w14:paraId="425A8286">
            <w:pPr>
              <w:spacing w:after="0" w:line="240" w:lineRule="auto"/>
              <w:jc w:val="both"/>
              <w:rPr>
                <w:rFonts w:ascii="Times New Roman" w:hAnsi="Times New Roman" w:cs="Times New Roman"/>
                <w:sz w:val="28"/>
                <w:szCs w:val="28"/>
              </w:rPr>
            </w:pPr>
          </w:p>
        </w:tc>
        <w:tc>
          <w:tcPr>
            <w:tcW w:w="2623" w:type="dxa"/>
            <w:shd w:val="clear" w:color="auto" w:fill="E8EBF5"/>
            <w:tcMar>
              <w:top w:w="55" w:type="dxa"/>
              <w:left w:w="55" w:type="dxa"/>
              <w:bottom w:w="55" w:type="dxa"/>
              <w:right w:w="55" w:type="dxa"/>
            </w:tcMar>
            <w:vAlign w:val="center"/>
          </w:tcPr>
          <w:p w14:paraId="254E36C2">
            <w:pPr>
              <w:spacing w:after="0" w:line="240" w:lineRule="auto"/>
              <w:jc w:val="both"/>
              <w:rPr>
                <w:rFonts w:ascii="Times New Roman" w:hAnsi="Times New Roman" w:cs="Times New Roman"/>
                <w:sz w:val="28"/>
                <w:szCs w:val="28"/>
              </w:rPr>
            </w:pPr>
          </w:p>
        </w:tc>
      </w:tr>
      <w:tr w14:paraId="57C4D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63" w:hRule="exact"/>
        </w:trPr>
        <w:tc>
          <w:tcPr>
            <w:tcW w:w="4111" w:type="dxa"/>
            <w:vAlign w:val="center"/>
          </w:tcPr>
          <w:p w14:paraId="009A2588">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NPL 1</w:t>
            </w:r>
          </w:p>
        </w:tc>
        <w:tc>
          <w:tcPr>
            <w:tcW w:w="2972" w:type="dxa"/>
            <w:vAlign w:val="center"/>
          </w:tcPr>
          <w:p w14:paraId="349E74B9">
            <w:pPr>
              <w:pStyle w:val="71"/>
              <w:widowControl/>
              <w:jc w:val="both"/>
              <w:rPr>
                <w:rFonts w:ascii="Times New Roman" w:hAnsi="Times New Roman" w:cs="Times New Roman"/>
                <w:sz w:val="28"/>
                <w:szCs w:val="28"/>
                <w:lang w:val="ru-RU"/>
              </w:rPr>
            </w:pPr>
            <w:r>
              <w:rPr>
                <w:rFonts w:ascii="Times New Roman" w:hAnsi="Times New Roman" w:eastAsia="Times-Roman" w:cs="Times New Roman"/>
                <w:color w:val="000000"/>
                <w:sz w:val="28"/>
                <w:szCs w:val="28"/>
                <w:lang w:val="ru-RU"/>
              </w:rPr>
              <w:t xml:space="preserve">0.993; </w:t>
            </w:r>
            <w:r>
              <w:rPr>
                <w:rFonts w:ascii="Times New Roman" w:hAnsi="Times New Roman" w:eastAsia="Times-Italic" w:cs="Times New Roman"/>
                <w:i/>
                <w:iCs/>
                <w:color w:val="000000"/>
                <w:sz w:val="28"/>
                <w:szCs w:val="28"/>
                <w:lang w:val="ru-RU"/>
              </w:rPr>
              <w:t>p</w:t>
            </w:r>
            <w:r>
              <w:rPr>
                <w:rFonts w:ascii="Times New Roman" w:hAnsi="Times New Roman" w:eastAsia="Times-Roman" w:cs="Times New Roman"/>
                <w:color w:val="000000"/>
                <w:sz w:val="28"/>
                <w:szCs w:val="28"/>
                <w:lang w:val="ru-RU"/>
              </w:rPr>
              <w:t xml:space="preserve"> &lt; 0.001</w:t>
            </w:r>
          </w:p>
        </w:tc>
        <w:tc>
          <w:tcPr>
            <w:tcW w:w="2623" w:type="dxa"/>
            <w:vAlign w:val="center"/>
          </w:tcPr>
          <w:p w14:paraId="3DF0BE64">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w:t>
            </w:r>
          </w:p>
        </w:tc>
      </w:tr>
      <w:tr w14:paraId="60BA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18" w:hRule="exact"/>
        </w:trPr>
        <w:tc>
          <w:tcPr>
            <w:tcW w:w="4111" w:type="dxa"/>
            <w:vAlign w:val="center"/>
          </w:tcPr>
          <w:p w14:paraId="3599E6B1">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NPL 2</w:t>
            </w:r>
          </w:p>
        </w:tc>
        <w:tc>
          <w:tcPr>
            <w:tcW w:w="2972" w:type="dxa"/>
            <w:vAlign w:val="center"/>
          </w:tcPr>
          <w:p w14:paraId="6C33F0FC">
            <w:pPr>
              <w:pStyle w:val="71"/>
              <w:widowControl/>
              <w:jc w:val="both"/>
              <w:rPr>
                <w:rFonts w:ascii="Times New Roman" w:hAnsi="Times New Roman" w:cs="Times New Roman"/>
                <w:sz w:val="28"/>
                <w:szCs w:val="28"/>
                <w:lang w:val="ru-RU"/>
              </w:rPr>
            </w:pPr>
            <w:r>
              <w:rPr>
                <w:rFonts w:ascii="Times New Roman" w:hAnsi="Times New Roman" w:eastAsia="Times-Roman" w:cs="Times New Roman"/>
                <w:color w:val="000000"/>
                <w:sz w:val="28"/>
                <w:szCs w:val="28"/>
                <w:lang w:val="ru-RU"/>
              </w:rPr>
              <w:t xml:space="preserve">0.991; </w:t>
            </w:r>
            <w:r>
              <w:rPr>
                <w:rFonts w:ascii="Times New Roman" w:hAnsi="Times New Roman" w:eastAsia="Times-Italic" w:cs="Times New Roman"/>
                <w:i/>
                <w:iCs/>
                <w:color w:val="000000"/>
                <w:sz w:val="28"/>
                <w:szCs w:val="28"/>
                <w:lang w:val="ru-RU"/>
              </w:rPr>
              <w:t>p</w:t>
            </w:r>
            <w:r>
              <w:rPr>
                <w:rFonts w:ascii="Times New Roman" w:hAnsi="Times New Roman" w:eastAsia="Times-Roman" w:cs="Times New Roman"/>
                <w:color w:val="000000"/>
                <w:sz w:val="28"/>
                <w:szCs w:val="28"/>
                <w:lang w:val="ru-RU"/>
              </w:rPr>
              <w:t xml:space="preserve"> &lt; 0.001</w:t>
            </w:r>
          </w:p>
        </w:tc>
        <w:tc>
          <w:tcPr>
            <w:tcW w:w="2623" w:type="dxa"/>
            <w:shd w:val="clear" w:color="auto" w:fill="E8EBF5"/>
            <w:tcMar>
              <w:top w:w="55" w:type="dxa"/>
              <w:left w:w="55" w:type="dxa"/>
              <w:bottom w:w="55" w:type="dxa"/>
              <w:right w:w="55" w:type="dxa"/>
            </w:tcMar>
            <w:vAlign w:val="center"/>
          </w:tcPr>
          <w:p w14:paraId="1FB0E7D6">
            <w:pPr>
              <w:spacing w:after="0" w:line="240" w:lineRule="auto"/>
              <w:jc w:val="both"/>
              <w:rPr>
                <w:rFonts w:ascii="Times New Roman" w:hAnsi="Times New Roman" w:cs="Times New Roman"/>
                <w:sz w:val="28"/>
                <w:szCs w:val="28"/>
              </w:rPr>
            </w:pPr>
          </w:p>
        </w:tc>
      </w:tr>
    </w:tbl>
    <w:p w14:paraId="7A3CEA01">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[144]</w:t>
      </w:r>
    </w:p>
    <w:p w14:paraId="0DEA2E1D">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Модель была построена и оценена в программном обеспечении SmartPLS 4.0. На первом этапе была оценена внешняя модель. Качество внешней модели представляет качество скрытых переменных. Скрытые переменные, отвечающие всем требованиям и всем критериям оценки, позволяют исследователю с максимальной точностью определить дальнейшие взаимосвязи в структурной модели. Были оценены нагрузки всех показателей, а показатели с нагрузками ниже 0,5 были исключены как имеющие низкий вклад в модель. Полученная модель демонстрирует очень хорошие нагрузки и p-значения. Нагрузки выше 0,8, что демонстрирует очень удовлетворительное качество конструктов, а все p-значения меньше 0,001 (Таблица 27) [159]. Затем модель тестируется на надежность, конвергентную и дискриминантную валидность. Полученные значения оцениваются в соответствии с критериями, установленными для оценок внешней модели PLS-SEM [159, 163, 164, 165]. Стабильность и сходимость модели оценивается по количеству итераций, необходимых для завершения оценки, с максимальным порогом в 300 итераций [158, 159]. Мультиколлинеарность измеряется с помощью коэффициента инфляции дисперсии (VIF). Обычно для моделей устанавливается порог 3; однако для некоторых макроэкономических показателей порог может быть установлен на уровне 10 (165, 166). Среднее извлечение дисперсии (AVE) используется для оценки конвергентной валидности; критерий приемлемости — AVE выше 0,5, что означает объяснение более 50% дисперсии показателей. Мера ρA используется для внутренней согласованности, которая считается «приблизительно точной мерой надежности композитов PLS-SEM» [167]. Другой критерий, который считается самым мягким и «либеральным» для измерения надежности модели. Это композитная надежность (CR) [168]. Это исследование имеет разведочные цели, и в этом типе исследований принято принимать CR больше или равно 0,6. [158, 159, 168]. Некоторые авторы предполагают, что CR должен быть ≥0,7 [161] (Mateos-Aparicio, 2011) или даже ≥0,8 [167, 169]. Обычно такие значения используются для подтверждения существующих теорий. Однако в этом исследовании CR составляет более 0,799, поэтому он удовлетворяет самым высоким критериям. Крайне важно поддерживать уникальность переменных. Измерение альфа-коэффициента Кронбаха некоторые авторы считают «консервативной мерой» [158, 168, 170]. Дискриминантная валидность показывает степень независимости переменных. Самый строгий критерий, применяемый к переменным, — это мера отношения гетеротрейт-монотрейт корреляций (HTMT). </w:t>
      </w:r>
    </w:p>
    <w:p w14:paraId="6BF7CADA">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Согласно авторам Hair and Henseler [159, 164], оно должно быть &lt;0,85, если переменные различны, и &lt;0,90, если переменные тесно взаимосвязаны. Авторы также использовали критерий Форнелла-Ларкера и перекрестные нагрузки [164] для измерения дискриминантной валидности, которые являются более «либеральными» и, по-видимому, применимы к этому исследованию. Вторым шагом является оценка внутренней, или структурной, модели. </w:t>
      </w:r>
    </w:p>
    <w:p w14:paraId="1C2DEF81">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Модель тестирует прямое влияние макроэкономических факторов на NPL, а также влияние этих факторов при посредничестве социальных, сберегательных и внешне экономические факторов. В связи с целями исследования авторы измерили общее влияние, без разделения на прямые и косвенные воздействия. Было решено, что основной интерес представляет выявление влияния макроэкономических факторов, а не посредников. Стандартизированные коэффициенты пути (β) традиционно принимаются в диапазоне от -1 до +1; полученные беты находятся в этом приемлемом диапазоне. Значения F2 (размеры эффекта) могут быть слабыми, умеренными и сильными в пределах определенных путей. Слабые — f2 ≥ 0,02, умеренные — f2 ≥ 0,15, а сильные — f2 ≥ 0,35 [160]. Чем выше значения f2, тем большее влияние оказывает экзогенная переменная.</w:t>
      </w:r>
    </w:p>
    <w:p w14:paraId="2949E754">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Применимость модели определяется с помощью стандартизированного среднеквадратичного остатка (SRMR), который показывает уровень расхождения между фактической и оценочной корреляционной матрицей. Согласно Henseler (2015), хорошая применимость с низким расхождением будет при значении SRMR менее 0,08, что свидетельствует о минимальном расхождении.</w:t>
      </w:r>
    </w:p>
    <w:p w14:paraId="133C5597">
      <w:pPr>
        <w:spacing w:after="0" w:line="240" w:lineRule="auto"/>
        <w:ind w:firstLine="708"/>
        <w:jc w:val="both"/>
        <w:rPr>
          <w:rFonts w:ascii="Times New Roman" w:hAnsi="Times New Roman" w:eastAsia="Times-Roman" w:cs="Times New Roman"/>
          <w:color w:val="000000"/>
          <w:sz w:val="28"/>
          <w:szCs w:val="28"/>
        </w:rPr>
      </w:pPr>
    </w:p>
    <w:p w14:paraId="0CAC2DB1">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Первым шагом является оценка качества внешней модели, чтобы создать основу для корректной оценки структурной модели.</w:t>
      </w:r>
    </w:p>
    <w:p w14:paraId="44619CBE">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Проверка валидности и надёжности выполняется на основе показателей средней дисперсии, извлечённой из факторов (Average Variance Extracted, AVE), составной надёжности (Composite Reliability, CR) и альфы Кронбаха (Таблица 29).</w:t>
      </w:r>
    </w:p>
    <w:p w14:paraId="6FC6FCC3">
      <w:pPr>
        <w:spacing w:after="0" w:line="240" w:lineRule="auto"/>
        <w:jc w:val="both"/>
        <w:rPr>
          <w:rFonts w:ascii="Times New Roman" w:hAnsi="Times New Roman" w:eastAsia="Times-Roman" w:cs="Times New Roman"/>
          <w:color w:val="000000"/>
          <w:sz w:val="28"/>
          <w:szCs w:val="28"/>
        </w:rPr>
      </w:pPr>
    </w:p>
    <w:p w14:paraId="3FDBB994">
      <w:pPr>
        <w:spacing w:after="0" w:line="240" w:lineRule="auto"/>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Таблица 29 - Измерения внешней модели: надёжность и валидность. </w:t>
      </w:r>
    </w:p>
    <w:tbl>
      <w:tblPr>
        <w:tblStyle w:val="7"/>
        <w:tblW w:w="90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80" w:type="dxa"/>
          <w:bottom w:w="80" w:type="dxa"/>
          <w:right w:w="80" w:type="dxa"/>
        </w:tblCellMar>
      </w:tblPr>
      <w:tblGrid>
        <w:gridCol w:w="2506"/>
        <w:gridCol w:w="1317"/>
        <w:gridCol w:w="1802"/>
        <w:gridCol w:w="1174"/>
        <w:gridCol w:w="2203"/>
      </w:tblGrid>
      <w:tr w14:paraId="23178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35" w:hRule="exact"/>
          <w:jc w:val="center"/>
        </w:trPr>
        <w:tc>
          <w:tcPr>
            <w:tcW w:w="2506" w:type="dxa"/>
            <w:vAlign w:val="center"/>
          </w:tcPr>
          <w:p w14:paraId="6B6B3C9A">
            <w:pPr>
              <w:spacing w:after="0" w:line="240" w:lineRule="auto"/>
              <w:jc w:val="both"/>
              <w:rPr>
                <w:rFonts w:ascii="Times New Roman" w:hAnsi="Times New Roman" w:cs="Times New Roman"/>
                <w:sz w:val="28"/>
                <w:szCs w:val="28"/>
              </w:rPr>
            </w:pPr>
          </w:p>
        </w:tc>
        <w:tc>
          <w:tcPr>
            <w:tcW w:w="1317" w:type="dxa"/>
            <w:vAlign w:val="center"/>
          </w:tcPr>
          <w:p w14:paraId="0C00D7FC">
            <w:pPr>
              <w:pStyle w:val="71"/>
              <w:widowControl/>
              <w:jc w:val="both"/>
              <w:rPr>
                <w:rFonts w:ascii="Times New Roman" w:hAnsi="Times New Roman" w:eastAsia="Times-Bold" w:cs="Times New Roman"/>
                <w:b/>
                <w:bCs/>
                <w:color w:val="000000"/>
                <w:sz w:val="28"/>
                <w:szCs w:val="28"/>
                <w:lang w:val="ru-RU"/>
              </w:rPr>
            </w:pPr>
            <w:r>
              <w:rPr>
                <w:rFonts w:ascii="Times New Roman" w:hAnsi="Times New Roman" w:eastAsia="Times-Bold" w:cs="Times New Roman"/>
                <w:b/>
                <w:bCs/>
                <w:color w:val="000000"/>
                <w:sz w:val="28"/>
                <w:szCs w:val="28"/>
                <w:lang w:val="ru-RU"/>
              </w:rPr>
              <w:t>pA</w:t>
            </w:r>
          </w:p>
        </w:tc>
        <w:tc>
          <w:tcPr>
            <w:tcW w:w="1802" w:type="dxa"/>
            <w:vAlign w:val="center"/>
          </w:tcPr>
          <w:p w14:paraId="176A91BA">
            <w:pPr>
              <w:pStyle w:val="71"/>
              <w:widowControl/>
              <w:jc w:val="both"/>
              <w:rPr>
                <w:rFonts w:ascii="Times New Roman" w:hAnsi="Times New Roman" w:eastAsia="Times-Bold" w:cs="Times New Roman"/>
                <w:b/>
                <w:bCs/>
                <w:color w:val="000000"/>
                <w:sz w:val="28"/>
                <w:szCs w:val="28"/>
                <w:lang w:val="ru-RU"/>
              </w:rPr>
            </w:pPr>
            <w:r>
              <w:rPr>
                <w:rFonts w:ascii="Times New Roman" w:hAnsi="Times New Roman" w:eastAsia="Times-Bold" w:cs="Times New Roman"/>
                <w:b/>
                <w:bCs/>
                <w:color w:val="000000"/>
                <w:sz w:val="28"/>
                <w:szCs w:val="28"/>
                <w:lang w:val="ru-RU"/>
              </w:rPr>
              <w:t>AVE</w:t>
            </w:r>
          </w:p>
        </w:tc>
        <w:tc>
          <w:tcPr>
            <w:tcW w:w="1174" w:type="dxa"/>
            <w:vAlign w:val="center"/>
          </w:tcPr>
          <w:p w14:paraId="6E65425E">
            <w:pPr>
              <w:pStyle w:val="71"/>
              <w:widowControl/>
              <w:jc w:val="both"/>
              <w:rPr>
                <w:rFonts w:ascii="Times New Roman" w:hAnsi="Times New Roman" w:eastAsia="Times-Bold" w:cs="Times New Roman"/>
                <w:b/>
                <w:bCs/>
                <w:color w:val="000000"/>
                <w:sz w:val="28"/>
                <w:szCs w:val="28"/>
                <w:lang w:val="ru-RU"/>
              </w:rPr>
            </w:pPr>
            <w:r>
              <w:rPr>
                <w:rFonts w:ascii="Times New Roman" w:hAnsi="Times New Roman" w:eastAsia="Times-Bold" w:cs="Times New Roman"/>
                <w:b/>
                <w:bCs/>
                <w:color w:val="000000"/>
                <w:sz w:val="28"/>
                <w:szCs w:val="28"/>
                <w:lang w:val="ru-RU"/>
              </w:rPr>
              <w:t>CR</w:t>
            </w:r>
          </w:p>
        </w:tc>
        <w:tc>
          <w:tcPr>
            <w:tcW w:w="2203" w:type="dxa"/>
            <w:vAlign w:val="center"/>
          </w:tcPr>
          <w:p w14:paraId="3DAFFA06">
            <w:pPr>
              <w:pStyle w:val="71"/>
              <w:widowControl/>
              <w:jc w:val="both"/>
              <w:rPr>
                <w:rFonts w:ascii="Times New Roman" w:hAnsi="Times New Roman" w:eastAsia="Times-Bold" w:cs="Times New Roman"/>
                <w:b/>
                <w:bCs/>
                <w:color w:val="000000"/>
                <w:sz w:val="28"/>
                <w:szCs w:val="28"/>
                <w:lang w:val="ru-RU"/>
              </w:rPr>
            </w:pPr>
            <w:r>
              <w:rPr>
                <w:rFonts w:ascii="Times New Roman" w:hAnsi="Times New Roman" w:eastAsia="Times-Bold" w:cs="Times New Roman"/>
                <w:b/>
                <w:bCs/>
                <w:color w:val="000000"/>
                <w:sz w:val="28"/>
                <w:szCs w:val="28"/>
                <w:lang w:val="ru-RU"/>
              </w:rPr>
              <w:t>Cronbach’ Alfa</w:t>
            </w:r>
          </w:p>
        </w:tc>
      </w:tr>
      <w:tr w14:paraId="7042B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31" w:hRule="exact"/>
          <w:jc w:val="center"/>
        </w:trPr>
        <w:tc>
          <w:tcPr>
            <w:tcW w:w="2506" w:type="dxa"/>
            <w:vAlign w:val="center"/>
          </w:tcPr>
          <w:p w14:paraId="585571FD">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NPL</w:t>
            </w:r>
          </w:p>
        </w:tc>
        <w:tc>
          <w:tcPr>
            <w:tcW w:w="1317" w:type="dxa"/>
            <w:vAlign w:val="center"/>
          </w:tcPr>
          <w:p w14:paraId="6102EAD3">
            <w:pPr>
              <w:pStyle w:val="71"/>
              <w:widowControl/>
              <w:jc w:val="both"/>
              <w:rPr>
                <w:rFonts w:ascii="Times New Roman" w:hAnsi="Times New Roman" w:eastAsia="Times-Bold" w:cs="Times New Roman"/>
                <w:b/>
                <w:bCs/>
                <w:color w:val="000000"/>
                <w:sz w:val="28"/>
                <w:szCs w:val="28"/>
                <w:lang w:val="ru-RU"/>
              </w:rPr>
            </w:pPr>
            <w:r>
              <w:rPr>
                <w:rFonts w:ascii="Times New Roman" w:hAnsi="Times New Roman" w:eastAsia="Times-Bold" w:cs="Times New Roman"/>
                <w:b/>
                <w:bCs/>
                <w:color w:val="000000"/>
                <w:sz w:val="28"/>
                <w:szCs w:val="28"/>
                <w:lang w:val="ru-RU"/>
              </w:rPr>
              <w:t>pA</w:t>
            </w:r>
          </w:p>
        </w:tc>
        <w:tc>
          <w:tcPr>
            <w:tcW w:w="1802" w:type="dxa"/>
            <w:vAlign w:val="center"/>
          </w:tcPr>
          <w:p w14:paraId="47F77A6B">
            <w:pPr>
              <w:pStyle w:val="71"/>
              <w:widowControl/>
              <w:jc w:val="both"/>
              <w:rPr>
                <w:rFonts w:ascii="Times New Roman" w:hAnsi="Times New Roman" w:eastAsia="Times-Roman" w:cs="Times New Roman"/>
                <w:sz w:val="28"/>
                <w:szCs w:val="28"/>
                <w:lang w:val="ru-RU"/>
              </w:rPr>
            </w:pPr>
            <w:r>
              <w:rPr>
                <w:rFonts w:ascii="Times New Roman" w:hAnsi="Times New Roman" w:eastAsia="Times-Roman" w:cs="Times New Roman"/>
                <w:sz w:val="28"/>
                <w:szCs w:val="28"/>
                <w:lang w:val="ru-RU"/>
              </w:rPr>
              <w:t>0.984</w:t>
            </w:r>
          </w:p>
        </w:tc>
        <w:tc>
          <w:tcPr>
            <w:tcW w:w="1174" w:type="dxa"/>
            <w:vAlign w:val="center"/>
          </w:tcPr>
          <w:p w14:paraId="7C202592">
            <w:pPr>
              <w:pStyle w:val="71"/>
              <w:widowControl/>
              <w:jc w:val="both"/>
              <w:rPr>
                <w:rFonts w:ascii="Times New Roman" w:hAnsi="Times New Roman" w:eastAsia="Times-Roman" w:cs="Times New Roman"/>
                <w:sz w:val="28"/>
                <w:szCs w:val="28"/>
                <w:lang w:val="ru-RU"/>
              </w:rPr>
            </w:pPr>
            <w:r>
              <w:rPr>
                <w:rFonts w:ascii="Times New Roman" w:hAnsi="Times New Roman" w:eastAsia="Times-Roman" w:cs="Times New Roman"/>
                <w:sz w:val="28"/>
                <w:szCs w:val="28"/>
                <w:lang w:val="ru-RU"/>
              </w:rPr>
              <w:t>0.992</w:t>
            </w:r>
          </w:p>
        </w:tc>
        <w:tc>
          <w:tcPr>
            <w:tcW w:w="2203" w:type="dxa"/>
            <w:vAlign w:val="center"/>
          </w:tcPr>
          <w:p w14:paraId="784E55E9">
            <w:pPr>
              <w:pStyle w:val="71"/>
              <w:widowControl/>
              <w:jc w:val="both"/>
              <w:rPr>
                <w:rFonts w:ascii="Times New Roman" w:hAnsi="Times New Roman" w:eastAsia="Times-Roman" w:cs="Times New Roman"/>
                <w:sz w:val="28"/>
                <w:szCs w:val="28"/>
                <w:lang w:val="ru-RU"/>
              </w:rPr>
            </w:pPr>
            <w:r>
              <w:rPr>
                <w:rFonts w:ascii="Times New Roman" w:hAnsi="Times New Roman" w:eastAsia="Times-Roman" w:cs="Times New Roman"/>
                <w:sz w:val="28"/>
                <w:szCs w:val="28"/>
                <w:lang w:val="ru-RU"/>
              </w:rPr>
              <w:t>0.984</w:t>
            </w:r>
          </w:p>
        </w:tc>
      </w:tr>
      <w:tr w14:paraId="1DC5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28" w:hRule="exact"/>
          <w:jc w:val="center"/>
        </w:trPr>
        <w:tc>
          <w:tcPr>
            <w:tcW w:w="2506" w:type="dxa"/>
            <w:vAlign w:val="center"/>
          </w:tcPr>
          <w:p w14:paraId="4BC72A45">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F</w:t>
            </w:r>
          </w:p>
        </w:tc>
        <w:tc>
          <w:tcPr>
            <w:tcW w:w="1317" w:type="dxa"/>
            <w:vAlign w:val="center"/>
          </w:tcPr>
          <w:p w14:paraId="32AD80B2">
            <w:pPr>
              <w:pStyle w:val="71"/>
              <w:widowControl/>
              <w:jc w:val="both"/>
              <w:rPr>
                <w:rFonts w:ascii="Times New Roman" w:hAnsi="Times New Roman" w:eastAsia="Times-Roman" w:cs="Times New Roman"/>
                <w:sz w:val="28"/>
                <w:szCs w:val="28"/>
                <w:lang w:val="ru-RU"/>
              </w:rPr>
            </w:pPr>
            <w:r>
              <w:rPr>
                <w:rFonts w:ascii="Times New Roman" w:hAnsi="Times New Roman" w:eastAsia="Times-Roman" w:cs="Times New Roman"/>
                <w:sz w:val="28"/>
                <w:szCs w:val="28"/>
                <w:lang w:val="ru-RU"/>
              </w:rPr>
              <w:t>0.988</w:t>
            </w:r>
          </w:p>
        </w:tc>
        <w:tc>
          <w:tcPr>
            <w:tcW w:w="1802" w:type="dxa"/>
            <w:vAlign w:val="center"/>
          </w:tcPr>
          <w:p w14:paraId="452EE828">
            <w:pPr>
              <w:pStyle w:val="71"/>
              <w:widowControl/>
              <w:jc w:val="both"/>
              <w:rPr>
                <w:rFonts w:ascii="Times New Roman" w:hAnsi="Times New Roman" w:eastAsia="Times-Roman" w:cs="Times New Roman"/>
                <w:sz w:val="28"/>
                <w:szCs w:val="28"/>
                <w:lang w:val="ru-RU"/>
              </w:rPr>
            </w:pPr>
            <w:r>
              <w:rPr>
                <w:rFonts w:ascii="Times New Roman" w:hAnsi="Times New Roman" w:eastAsia="Times-Roman" w:cs="Times New Roman"/>
                <w:sz w:val="28"/>
                <w:szCs w:val="28"/>
                <w:lang w:val="ru-RU"/>
              </w:rPr>
              <w:t>0.987</w:t>
            </w:r>
          </w:p>
        </w:tc>
        <w:tc>
          <w:tcPr>
            <w:tcW w:w="1174" w:type="dxa"/>
            <w:vAlign w:val="center"/>
          </w:tcPr>
          <w:p w14:paraId="338D28EA">
            <w:pPr>
              <w:pStyle w:val="71"/>
              <w:widowControl/>
              <w:jc w:val="both"/>
              <w:rPr>
                <w:rFonts w:ascii="Times New Roman" w:hAnsi="Times New Roman" w:eastAsia="Times-Roman" w:cs="Times New Roman"/>
                <w:sz w:val="28"/>
                <w:szCs w:val="28"/>
                <w:lang w:val="ru-RU"/>
              </w:rPr>
            </w:pPr>
            <w:r>
              <w:rPr>
                <w:rFonts w:ascii="Times New Roman" w:hAnsi="Times New Roman" w:eastAsia="Times-Roman" w:cs="Times New Roman"/>
                <w:sz w:val="28"/>
                <w:szCs w:val="28"/>
                <w:lang w:val="ru-RU"/>
              </w:rPr>
              <w:t>0.993</w:t>
            </w:r>
          </w:p>
        </w:tc>
        <w:tc>
          <w:tcPr>
            <w:tcW w:w="2203" w:type="dxa"/>
            <w:vAlign w:val="center"/>
          </w:tcPr>
          <w:p w14:paraId="49675F71">
            <w:pPr>
              <w:pStyle w:val="71"/>
              <w:widowControl/>
              <w:jc w:val="both"/>
              <w:rPr>
                <w:rFonts w:ascii="Times New Roman" w:hAnsi="Times New Roman" w:eastAsia="Times-Roman" w:cs="Times New Roman"/>
                <w:sz w:val="28"/>
                <w:szCs w:val="28"/>
                <w:lang w:val="ru-RU"/>
              </w:rPr>
            </w:pPr>
            <w:r>
              <w:rPr>
                <w:rFonts w:ascii="Times New Roman" w:hAnsi="Times New Roman" w:eastAsia="Times-Roman" w:cs="Times New Roman"/>
                <w:sz w:val="28"/>
                <w:szCs w:val="28"/>
                <w:lang w:val="ru-RU"/>
              </w:rPr>
              <w:t>0.986</w:t>
            </w:r>
          </w:p>
        </w:tc>
      </w:tr>
      <w:tr w14:paraId="6F75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37" w:hRule="exact"/>
          <w:jc w:val="center"/>
        </w:trPr>
        <w:tc>
          <w:tcPr>
            <w:tcW w:w="2506" w:type="dxa"/>
            <w:vAlign w:val="center"/>
          </w:tcPr>
          <w:p w14:paraId="3381CC92">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M</w:t>
            </w:r>
          </w:p>
        </w:tc>
        <w:tc>
          <w:tcPr>
            <w:tcW w:w="1317" w:type="dxa"/>
            <w:vAlign w:val="center"/>
          </w:tcPr>
          <w:p w14:paraId="1591DD53">
            <w:pPr>
              <w:pStyle w:val="71"/>
              <w:widowControl/>
              <w:jc w:val="both"/>
              <w:rPr>
                <w:rFonts w:ascii="Times New Roman" w:hAnsi="Times New Roman" w:eastAsia="Times-Roman" w:cs="Times New Roman"/>
                <w:sz w:val="28"/>
                <w:szCs w:val="28"/>
                <w:lang w:val="ru-RU"/>
              </w:rPr>
            </w:pPr>
            <w:r>
              <w:rPr>
                <w:rFonts w:ascii="Times New Roman" w:hAnsi="Times New Roman" w:eastAsia="Times-Roman" w:cs="Times New Roman"/>
                <w:sz w:val="28"/>
                <w:szCs w:val="28"/>
                <w:lang w:val="ru-RU"/>
              </w:rPr>
              <w:t>0.880</w:t>
            </w:r>
          </w:p>
        </w:tc>
        <w:tc>
          <w:tcPr>
            <w:tcW w:w="1802" w:type="dxa"/>
            <w:vAlign w:val="center"/>
          </w:tcPr>
          <w:p w14:paraId="17E47C4A">
            <w:pPr>
              <w:pStyle w:val="71"/>
              <w:widowControl/>
              <w:jc w:val="both"/>
              <w:rPr>
                <w:rFonts w:ascii="Times New Roman" w:hAnsi="Times New Roman" w:eastAsia="Times-Roman" w:cs="Times New Roman"/>
                <w:sz w:val="28"/>
                <w:szCs w:val="28"/>
                <w:lang w:val="ru-RU"/>
              </w:rPr>
            </w:pPr>
            <w:r>
              <w:rPr>
                <w:rFonts w:ascii="Times New Roman" w:hAnsi="Times New Roman" w:eastAsia="Times-Roman" w:cs="Times New Roman"/>
                <w:sz w:val="28"/>
                <w:szCs w:val="28"/>
                <w:lang w:val="ru-RU"/>
              </w:rPr>
              <w:t>0.828</w:t>
            </w:r>
          </w:p>
          <w:p w14:paraId="3380F322">
            <w:pPr>
              <w:pStyle w:val="71"/>
              <w:widowControl/>
              <w:jc w:val="both"/>
              <w:rPr>
                <w:rFonts w:ascii="Times New Roman" w:hAnsi="Times New Roman" w:eastAsia="Times-Roman" w:cs="Times New Roman"/>
                <w:sz w:val="28"/>
                <w:szCs w:val="28"/>
                <w:lang w:val="ru-RU"/>
              </w:rPr>
            </w:pPr>
          </w:p>
        </w:tc>
        <w:tc>
          <w:tcPr>
            <w:tcW w:w="1174" w:type="dxa"/>
            <w:vAlign w:val="center"/>
          </w:tcPr>
          <w:p w14:paraId="74FC276E">
            <w:pPr>
              <w:pStyle w:val="71"/>
              <w:widowControl/>
              <w:jc w:val="both"/>
              <w:rPr>
                <w:rFonts w:ascii="Times New Roman" w:hAnsi="Times New Roman" w:eastAsia="Times-Roman" w:cs="Times New Roman"/>
                <w:sz w:val="28"/>
                <w:szCs w:val="28"/>
                <w:lang w:val="ru-RU"/>
              </w:rPr>
            </w:pPr>
            <w:r>
              <w:rPr>
                <w:rFonts w:ascii="Times New Roman" w:hAnsi="Times New Roman" w:eastAsia="Times-Roman" w:cs="Times New Roman"/>
                <w:sz w:val="28"/>
                <w:szCs w:val="28"/>
                <w:lang w:val="ru-RU"/>
              </w:rPr>
              <w:t>0.906</w:t>
            </w:r>
          </w:p>
        </w:tc>
        <w:tc>
          <w:tcPr>
            <w:tcW w:w="2203" w:type="dxa"/>
            <w:vAlign w:val="center"/>
          </w:tcPr>
          <w:p w14:paraId="08819D20">
            <w:pPr>
              <w:pStyle w:val="71"/>
              <w:widowControl/>
              <w:jc w:val="both"/>
              <w:rPr>
                <w:rFonts w:ascii="Times New Roman" w:hAnsi="Times New Roman" w:eastAsia="Times-Roman" w:cs="Times New Roman"/>
                <w:sz w:val="28"/>
                <w:szCs w:val="28"/>
                <w:lang w:val="ru-RU"/>
              </w:rPr>
            </w:pPr>
            <w:r>
              <w:rPr>
                <w:rFonts w:ascii="Times New Roman" w:hAnsi="Times New Roman" w:eastAsia="Times-Roman" w:cs="Times New Roman"/>
                <w:sz w:val="28"/>
                <w:szCs w:val="28"/>
                <w:lang w:val="ru-RU"/>
              </w:rPr>
              <w:t>0.799</w:t>
            </w:r>
          </w:p>
        </w:tc>
      </w:tr>
      <w:tr w14:paraId="0F091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58" w:hRule="exact"/>
          <w:jc w:val="center"/>
        </w:trPr>
        <w:tc>
          <w:tcPr>
            <w:tcW w:w="2506" w:type="dxa"/>
            <w:vAlign w:val="center"/>
          </w:tcPr>
          <w:p w14:paraId="0D884160">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S</w:t>
            </w:r>
          </w:p>
        </w:tc>
        <w:tc>
          <w:tcPr>
            <w:tcW w:w="1317" w:type="dxa"/>
            <w:vAlign w:val="center"/>
          </w:tcPr>
          <w:p w14:paraId="3F40BE24">
            <w:pPr>
              <w:pStyle w:val="71"/>
              <w:widowControl/>
              <w:jc w:val="both"/>
              <w:rPr>
                <w:rFonts w:ascii="Times New Roman" w:hAnsi="Times New Roman" w:eastAsia="Times-Roman" w:cs="Times New Roman"/>
                <w:sz w:val="28"/>
                <w:szCs w:val="28"/>
                <w:lang w:val="ru-RU"/>
              </w:rPr>
            </w:pPr>
            <w:r>
              <w:rPr>
                <w:rFonts w:ascii="Times New Roman" w:hAnsi="Times New Roman" w:eastAsia="Times-Roman" w:cs="Times New Roman"/>
                <w:sz w:val="28"/>
                <w:szCs w:val="28"/>
                <w:lang w:val="ru-RU"/>
              </w:rPr>
              <w:t>1.000</w:t>
            </w:r>
          </w:p>
        </w:tc>
        <w:tc>
          <w:tcPr>
            <w:tcW w:w="1802" w:type="dxa"/>
            <w:vAlign w:val="center"/>
          </w:tcPr>
          <w:p w14:paraId="31CB42BF">
            <w:pPr>
              <w:pStyle w:val="71"/>
              <w:widowControl/>
              <w:jc w:val="both"/>
              <w:rPr>
                <w:rFonts w:ascii="Times New Roman" w:hAnsi="Times New Roman" w:eastAsia="Times-Roman" w:cs="Times New Roman"/>
                <w:sz w:val="28"/>
                <w:szCs w:val="28"/>
                <w:lang w:val="ru-RU"/>
              </w:rPr>
            </w:pPr>
            <w:r>
              <w:rPr>
                <w:rFonts w:ascii="Times New Roman" w:hAnsi="Times New Roman" w:eastAsia="Times-Roman" w:cs="Times New Roman"/>
                <w:sz w:val="28"/>
                <w:szCs w:val="28"/>
                <w:lang w:val="ru-RU"/>
              </w:rPr>
              <w:t>0.997</w:t>
            </w:r>
          </w:p>
        </w:tc>
        <w:tc>
          <w:tcPr>
            <w:tcW w:w="1174" w:type="dxa"/>
            <w:vAlign w:val="center"/>
          </w:tcPr>
          <w:p w14:paraId="5DCC60CB">
            <w:pPr>
              <w:pStyle w:val="71"/>
              <w:widowControl/>
              <w:jc w:val="both"/>
              <w:rPr>
                <w:rFonts w:ascii="Times New Roman" w:hAnsi="Times New Roman" w:eastAsia="Times-Roman" w:cs="Times New Roman"/>
                <w:sz w:val="28"/>
                <w:szCs w:val="28"/>
                <w:lang w:val="ru-RU"/>
              </w:rPr>
            </w:pPr>
            <w:r>
              <w:rPr>
                <w:rFonts w:ascii="Times New Roman" w:hAnsi="Times New Roman" w:eastAsia="Times-Roman" w:cs="Times New Roman"/>
                <w:sz w:val="28"/>
                <w:szCs w:val="28"/>
                <w:lang w:val="ru-RU"/>
              </w:rPr>
              <w:t>0.998</w:t>
            </w:r>
          </w:p>
        </w:tc>
        <w:tc>
          <w:tcPr>
            <w:tcW w:w="2203" w:type="dxa"/>
            <w:vAlign w:val="center"/>
          </w:tcPr>
          <w:p w14:paraId="04AA298F">
            <w:pPr>
              <w:pStyle w:val="71"/>
              <w:widowControl/>
              <w:jc w:val="both"/>
              <w:rPr>
                <w:rFonts w:ascii="Times New Roman" w:hAnsi="Times New Roman" w:eastAsia="Times-Roman" w:cs="Times New Roman"/>
                <w:sz w:val="28"/>
                <w:szCs w:val="28"/>
                <w:lang w:val="ru-RU"/>
              </w:rPr>
            </w:pPr>
            <w:r>
              <w:rPr>
                <w:rFonts w:ascii="Times New Roman" w:hAnsi="Times New Roman" w:eastAsia="Times-Roman" w:cs="Times New Roman"/>
                <w:sz w:val="28"/>
                <w:szCs w:val="28"/>
                <w:lang w:val="ru-RU"/>
              </w:rPr>
              <w:t>0.997</w:t>
            </w:r>
          </w:p>
        </w:tc>
      </w:tr>
      <w:tr w14:paraId="18BD5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535" w:hRule="exact"/>
          <w:jc w:val="center"/>
        </w:trPr>
        <w:tc>
          <w:tcPr>
            <w:tcW w:w="2506" w:type="dxa"/>
            <w:vAlign w:val="center"/>
          </w:tcPr>
          <w:p w14:paraId="6AA9B9DA">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Soc</w:t>
            </w:r>
          </w:p>
        </w:tc>
        <w:tc>
          <w:tcPr>
            <w:tcW w:w="1317" w:type="dxa"/>
            <w:vAlign w:val="center"/>
          </w:tcPr>
          <w:p w14:paraId="0C4BC248">
            <w:pPr>
              <w:pStyle w:val="71"/>
              <w:widowControl/>
              <w:jc w:val="both"/>
              <w:rPr>
                <w:rFonts w:ascii="Times New Roman" w:hAnsi="Times New Roman" w:eastAsia="Times-Roman" w:cs="Times New Roman"/>
                <w:sz w:val="28"/>
                <w:szCs w:val="28"/>
                <w:lang w:val="ru-RU"/>
              </w:rPr>
            </w:pPr>
            <w:r>
              <w:rPr>
                <w:rFonts w:ascii="Times New Roman" w:hAnsi="Times New Roman" w:eastAsia="Times-Roman" w:cs="Times New Roman"/>
                <w:sz w:val="28"/>
                <w:szCs w:val="28"/>
                <w:lang w:val="ru-RU"/>
              </w:rPr>
              <w:t>0.926</w:t>
            </w:r>
          </w:p>
        </w:tc>
        <w:tc>
          <w:tcPr>
            <w:tcW w:w="1802" w:type="dxa"/>
            <w:vAlign w:val="center"/>
          </w:tcPr>
          <w:p w14:paraId="5168EEB7">
            <w:pPr>
              <w:pStyle w:val="71"/>
              <w:widowControl/>
              <w:jc w:val="both"/>
              <w:rPr>
                <w:rFonts w:ascii="Times New Roman" w:hAnsi="Times New Roman" w:eastAsia="Times-Roman" w:cs="Times New Roman"/>
                <w:sz w:val="28"/>
                <w:szCs w:val="28"/>
                <w:lang w:val="ru-RU"/>
              </w:rPr>
            </w:pPr>
            <w:r>
              <w:rPr>
                <w:rFonts w:ascii="Times New Roman" w:hAnsi="Times New Roman" w:eastAsia="Times-Roman" w:cs="Times New Roman"/>
                <w:sz w:val="28"/>
                <w:szCs w:val="28"/>
                <w:lang w:val="ru-RU"/>
              </w:rPr>
              <w:t>0.930</w:t>
            </w:r>
          </w:p>
        </w:tc>
        <w:tc>
          <w:tcPr>
            <w:tcW w:w="1174" w:type="dxa"/>
            <w:vAlign w:val="center"/>
          </w:tcPr>
          <w:p w14:paraId="419AC2EA">
            <w:pPr>
              <w:pStyle w:val="71"/>
              <w:widowControl/>
              <w:jc w:val="both"/>
              <w:rPr>
                <w:rFonts w:ascii="Times New Roman" w:hAnsi="Times New Roman" w:eastAsia="Times-Roman" w:cs="Times New Roman"/>
                <w:sz w:val="28"/>
                <w:szCs w:val="28"/>
                <w:lang w:val="ru-RU"/>
              </w:rPr>
            </w:pPr>
            <w:r>
              <w:rPr>
                <w:rFonts w:ascii="Times New Roman" w:hAnsi="Times New Roman" w:eastAsia="Times-Roman" w:cs="Times New Roman"/>
                <w:sz w:val="28"/>
                <w:szCs w:val="28"/>
                <w:lang w:val="ru-RU"/>
              </w:rPr>
              <w:t>0.964</w:t>
            </w:r>
          </w:p>
        </w:tc>
        <w:tc>
          <w:tcPr>
            <w:tcW w:w="2203" w:type="dxa"/>
            <w:vAlign w:val="center"/>
          </w:tcPr>
          <w:p w14:paraId="69345C14">
            <w:pPr>
              <w:pStyle w:val="71"/>
              <w:widowControl/>
              <w:jc w:val="both"/>
              <w:rPr>
                <w:rFonts w:ascii="Times New Roman" w:hAnsi="Times New Roman" w:eastAsia="Times-Roman" w:cs="Times New Roman"/>
                <w:sz w:val="28"/>
                <w:szCs w:val="28"/>
                <w:lang w:val="ru-RU"/>
              </w:rPr>
            </w:pPr>
            <w:r>
              <w:rPr>
                <w:rFonts w:ascii="Times New Roman" w:hAnsi="Times New Roman" w:eastAsia="Times-Roman" w:cs="Times New Roman"/>
                <w:sz w:val="28"/>
                <w:szCs w:val="28"/>
                <w:lang w:val="ru-RU"/>
              </w:rPr>
              <w:t>0.925</w:t>
            </w:r>
          </w:p>
        </w:tc>
      </w:tr>
    </w:tbl>
    <w:p w14:paraId="33248B0C">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[144]</w:t>
      </w:r>
    </w:p>
    <w:p w14:paraId="1BF7141E">
      <w:pPr>
        <w:spacing w:after="0" w:line="240" w:lineRule="auto"/>
        <w:ind w:firstLine="708"/>
        <w:jc w:val="both"/>
        <w:rPr>
          <w:rFonts w:ascii="Times New Roman" w:hAnsi="Times New Roman" w:eastAsia="Times-Roman" w:cs="Times New Roman"/>
          <w:color w:val="000000"/>
          <w:sz w:val="28"/>
          <w:szCs w:val="28"/>
        </w:rPr>
      </w:pPr>
    </w:p>
    <w:p w14:paraId="70CB84AF">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Зелёный цвет, как обычно в статистическом анализе, указывает на приемлемое качество показателя. Красный цвет традиционно отражает плохое качество показателя.</w:t>
      </w:r>
    </w:p>
    <w:p w14:paraId="4AAE19D8">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Как видно, все измерения демонстрируют наивысший уровень надёжности и валидности; качество конструктов высокое и обещает хорошее качество структурной модели. Даже альфа Кронбаха демонстрирует очень высокий уровень качества модели. Все значения значительно превышают установленные пороговые значения.</w:t>
      </w:r>
    </w:p>
    <w:p w14:paraId="14225F72">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Мультиколлинеарность (VIF) также была проверена, и значения не превышали 3.3, что свидетельствует об отсутствии мультиколлинеарности индикаторов. Индикаторы не показывают высокого уровня корреляции, а это означает, что влияние каждого показателя может быть определено отдельно, что повышает качество и надёжность модели.</w:t>
      </w:r>
    </w:p>
    <w:p w14:paraId="05B44214">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Дискриминантная валидность измерялась с использованием всех методов, доступных в программе SmartPLS. Авторы применили критерий Форнелла–Ларкер и перекрёстные нагрузки, чтобы подтвердить, что дискриминантная валидность является удовлетворительной [144]. Конечно, некоторые показатели логически взаимосвязаны, так как они описывают экономическое развитие страны и иногда могут демонстрировать схожие зависимости [171]. Эти тесные взаимосвязи переменных отражаются коэффициентом HTMT (Таблица 30).</w:t>
      </w:r>
    </w:p>
    <w:p w14:paraId="6F57AC70">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Влияния варьируются от умеренных до сильных, что указывает, что влияние экзогенных переменных на эндогенные находится на уровне от среднего до значительного. Кроме того, было установлено, что для завершения оценки потребовалось 11 итераций из 300 возможных.</w:t>
      </w:r>
    </w:p>
    <w:p w14:paraId="117F4737">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Таким образом, можно сделать вывод, что внешняя модель обладает высоким качеством, а конструкты (латентные переменные) могут обеспечить точную оценку структурной модели для проверки гипотез и достижения поставленной цели.</w:t>
      </w:r>
    </w:p>
    <w:p w14:paraId="5ADBCCA4">
      <w:pPr>
        <w:spacing w:after="0" w:line="240" w:lineRule="auto"/>
        <w:jc w:val="both"/>
        <w:rPr>
          <w:rFonts w:ascii="Times New Roman" w:hAnsi="Times New Roman" w:eastAsia="Times-Roman" w:cs="Times New Roman"/>
          <w:color w:val="000000"/>
          <w:sz w:val="28"/>
          <w:szCs w:val="28"/>
        </w:rPr>
      </w:pPr>
    </w:p>
    <w:p w14:paraId="3D468A3E">
      <w:pPr>
        <w:spacing w:after="0" w:line="240" w:lineRule="auto"/>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Таблица 30 - Результаты коэффициента HTMT. </w:t>
      </w:r>
    </w:p>
    <w:tbl>
      <w:tblPr>
        <w:tblStyle w:val="7"/>
        <w:tblW w:w="94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80" w:type="dxa"/>
          <w:bottom w:w="80" w:type="dxa"/>
          <w:right w:w="80" w:type="dxa"/>
        </w:tblCellMar>
      </w:tblPr>
      <w:tblGrid>
        <w:gridCol w:w="2972"/>
        <w:gridCol w:w="1418"/>
        <w:gridCol w:w="1275"/>
        <w:gridCol w:w="1276"/>
        <w:gridCol w:w="1202"/>
        <w:gridCol w:w="1290"/>
      </w:tblGrid>
      <w:tr w14:paraId="374DE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24" w:hRule="exact"/>
          <w:jc w:val="center"/>
        </w:trPr>
        <w:tc>
          <w:tcPr>
            <w:tcW w:w="2972" w:type="dxa"/>
            <w:vAlign w:val="center"/>
          </w:tcPr>
          <w:p w14:paraId="56323E1F">
            <w:pPr>
              <w:spacing w:after="0" w:line="240" w:lineRule="auto"/>
              <w:jc w:val="both"/>
              <w:rPr>
                <w:rFonts w:ascii="Times New Roman" w:hAnsi="Times New Roman" w:cs="Times New Roman"/>
                <w:sz w:val="28"/>
                <w:szCs w:val="28"/>
              </w:rPr>
            </w:pPr>
          </w:p>
        </w:tc>
        <w:tc>
          <w:tcPr>
            <w:tcW w:w="1418" w:type="dxa"/>
            <w:vAlign w:val="center"/>
          </w:tcPr>
          <w:p w14:paraId="6085FDAE">
            <w:pPr>
              <w:pStyle w:val="71"/>
              <w:widowControl/>
              <w:jc w:val="both"/>
              <w:rPr>
                <w:rFonts w:ascii="Times New Roman" w:hAnsi="Times New Roman" w:eastAsia="Times-Bold" w:cs="Times New Roman"/>
                <w:b/>
                <w:bCs/>
                <w:color w:val="000000"/>
                <w:sz w:val="28"/>
                <w:szCs w:val="28"/>
                <w:lang w:val="ru-RU"/>
              </w:rPr>
            </w:pPr>
            <w:r>
              <w:rPr>
                <w:rFonts w:ascii="Times New Roman" w:hAnsi="Times New Roman" w:eastAsia="Times-Bold" w:cs="Times New Roman"/>
                <w:b/>
                <w:bCs/>
                <w:color w:val="000000"/>
                <w:sz w:val="28"/>
                <w:szCs w:val="28"/>
                <w:lang w:val="ru-RU"/>
              </w:rPr>
              <w:t>F</w:t>
            </w:r>
          </w:p>
        </w:tc>
        <w:tc>
          <w:tcPr>
            <w:tcW w:w="1275" w:type="dxa"/>
            <w:vAlign w:val="center"/>
          </w:tcPr>
          <w:p w14:paraId="0F61F4EC">
            <w:pPr>
              <w:pStyle w:val="71"/>
              <w:widowControl/>
              <w:jc w:val="both"/>
              <w:rPr>
                <w:rFonts w:ascii="Times New Roman" w:hAnsi="Times New Roman" w:eastAsia="Times-Bold" w:cs="Times New Roman"/>
                <w:b/>
                <w:bCs/>
                <w:color w:val="000000"/>
                <w:sz w:val="28"/>
                <w:szCs w:val="28"/>
                <w:lang w:val="ru-RU"/>
              </w:rPr>
            </w:pPr>
            <w:r>
              <w:rPr>
                <w:rFonts w:ascii="Times New Roman" w:hAnsi="Times New Roman" w:eastAsia="Times-Bold" w:cs="Times New Roman"/>
                <w:b/>
                <w:bCs/>
                <w:color w:val="000000"/>
                <w:sz w:val="28"/>
                <w:szCs w:val="28"/>
                <w:lang w:val="ru-RU"/>
              </w:rPr>
              <w:t>M</w:t>
            </w:r>
          </w:p>
        </w:tc>
        <w:tc>
          <w:tcPr>
            <w:tcW w:w="1276" w:type="dxa"/>
            <w:vAlign w:val="center"/>
          </w:tcPr>
          <w:p w14:paraId="3BFDCD1D">
            <w:pPr>
              <w:pStyle w:val="71"/>
              <w:widowControl/>
              <w:jc w:val="both"/>
              <w:rPr>
                <w:rFonts w:ascii="Times New Roman" w:hAnsi="Times New Roman" w:eastAsia="Times-Bold" w:cs="Times New Roman"/>
                <w:b/>
                <w:bCs/>
                <w:color w:val="000000"/>
                <w:sz w:val="28"/>
                <w:szCs w:val="28"/>
                <w:lang w:val="ru-RU"/>
              </w:rPr>
            </w:pPr>
            <w:r>
              <w:rPr>
                <w:rFonts w:ascii="Times New Roman" w:hAnsi="Times New Roman" w:eastAsia="Times-Bold" w:cs="Times New Roman"/>
                <w:b/>
                <w:bCs/>
                <w:color w:val="000000"/>
                <w:sz w:val="28"/>
                <w:szCs w:val="28"/>
                <w:lang w:val="ru-RU"/>
              </w:rPr>
              <w:t>NPL</w:t>
            </w:r>
          </w:p>
        </w:tc>
        <w:tc>
          <w:tcPr>
            <w:tcW w:w="1202" w:type="dxa"/>
            <w:vAlign w:val="center"/>
          </w:tcPr>
          <w:p w14:paraId="12B2A10A">
            <w:pPr>
              <w:pStyle w:val="71"/>
              <w:widowControl/>
              <w:jc w:val="both"/>
              <w:rPr>
                <w:rFonts w:ascii="Times New Roman" w:hAnsi="Times New Roman" w:eastAsia="Times-Bold" w:cs="Times New Roman"/>
                <w:b/>
                <w:bCs/>
                <w:color w:val="000000"/>
                <w:sz w:val="28"/>
                <w:szCs w:val="28"/>
                <w:lang w:val="ru-RU"/>
              </w:rPr>
            </w:pPr>
            <w:r>
              <w:rPr>
                <w:rFonts w:ascii="Times New Roman" w:hAnsi="Times New Roman" w:eastAsia="Times-Bold" w:cs="Times New Roman"/>
                <w:b/>
                <w:bCs/>
                <w:color w:val="000000"/>
                <w:sz w:val="28"/>
                <w:szCs w:val="28"/>
                <w:lang w:val="ru-RU"/>
              </w:rPr>
              <w:t>S</w:t>
            </w:r>
          </w:p>
        </w:tc>
        <w:tc>
          <w:tcPr>
            <w:tcW w:w="1290" w:type="dxa"/>
            <w:vAlign w:val="center"/>
          </w:tcPr>
          <w:p w14:paraId="69D8A564">
            <w:pPr>
              <w:pStyle w:val="71"/>
              <w:widowControl/>
              <w:jc w:val="both"/>
              <w:rPr>
                <w:rFonts w:ascii="Times New Roman" w:hAnsi="Times New Roman" w:eastAsia="Times-Bold" w:cs="Times New Roman"/>
                <w:b/>
                <w:bCs/>
                <w:color w:val="000000"/>
                <w:sz w:val="28"/>
                <w:szCs w:val="28"/>
                <w:lang w:val="ru-RU"/>
              </w:rPr>
            </w:pPr>
            <w:r>
              <w:rPr>
                <w:rFonts w:ascii="Times New Roman" w:hAnsi="Times New Roman" w:eastAsia="Times-Bold" w:cs="Times New Roman"/>
                <w:b/>
                <w:bCs/>
                <w:color w:val="000000"/>
                <w:sz w:val="28"/>
                <w:szCs w:val="28"/>
                <w:lang w:val="ru-RU"/>
              </w:rPr>
              <w:t>Soc</w:t>
            </w:r>
          </w:p>
        </w:tc>
      </w:tr>
      <w:tr w14:paraId="55C0C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19" w:hRule="exact"/>
          <w:jc w:val="center"/>
        </w:trPr>
        <w:tc>
          <w:tcPr>
            <w:tcW w:w="2972" w:type="dxa"/>
            <w:vAlign w:val="center"/>
          </w:tcPr>
          <w:p w14:paraId="428A587E">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F</w:t>
            </w:r>
          </w:p>
        </w:tc>
        <w:tc>
          <w:tcPr>
            <w:tcW w:w="1418" w:type="dxa"/>
            <w:vAlign w:val="center"/>
          </w:tcPr>
          <w:p w14:paraId="5071BF27">
            <w:pPr>
              <w:spacing w:after="0" w:line="240" w:lineRule="auto"/>
              <w:jc w:val="both"/>
              <w:rPr>
                <w:rFonts w:ascii="Times New Roman" w:hAnsi="Times New Roman" w:cs="Times New Roman"/>
                <w:sz w:val="28"/>
                <w:szCs w:val="28"/>
              </w:rPr>
            </w:pPr>
          </w:p>
        </w:tc>
        <w:tc>
          <w:tcPr>
            <w:tcW w:w="1275" w:type="dxa"/>
            <w:vAlign w:val="center"/>
          </w:tcPr>
          <w:p w14:paraId="36BF0BCB">
            <w:pPr>
              <w:spacing w:after="0" w:line="240" w:lineRule="auto"/>
              <w:jc w:val="both"/>
              <w:rPr>
                <w:rFonts w:ascii="Times New Roman" w:hAnsi="Times New Roman" w:cs="Times New Roman"/>
                <w:sz w:val="28"/>
                <w:szCs w:val="28"/>
              </w:rPr>
            </w:pPr>
          </w:p>
        </w:tc>
        <w:tc>
          <w:tcPr>
            <w:tcW w:w="1276" w:type="dxa"/>
            <w:vAlign w:val="center"/>
          </w:tcPr>
          <w:p w14:paraId="5A342F4E">
            <w:pPr>
              <w:pStyle w:val="71"/>
              <w:widowControl/>
              <w:jc w:val="both"/>
              <w:rPr>
                <w:rFonts w:ascii="Times New Roman" w:hAnsi="Times New Roman" w:eastAsia="Times-Roman" w:cs="Times New Roman"/>
                <w:color w:val="00B04F"/>
                <w:sz w:val="28"/>
                <w:szCs w:val="28"/>
                <w:shd w:val="clear" w:color="auto" w:fill="FFFF00"/>
                <w:lang w:val="ru-RU"/>
              </w:rPr>
            </w:pPr>
            <w:r>
              <w:rPr>
                <w:rFonts w:ascii="Times New Roman" w:hAnsi="Times New Roman" w:eastAsia="Times-Roman" w:cs="Times New Roman"/>
                <w:color w:val="00B04F"/>
                <w:sz w:val="28"/>
                <w:szCs w:val="28"/>
                <w:shd w:val="clear" w:color="auto" w:fill="FFFF00"/>
                <w:lang w:val="ru-RU"/>
              </w:rPr>
              <w:t>0.996</w:t>
            </w:r>
          </w:p>
        </w:tc>
        <w:tc>
          <w:tcPr>
            <w:tcW w:w="1202" w:type="dxa"/>
            <w:vAlign w:val="center"/>
          </w:tcPr>
          <w:p w14:paraId="1F07A4E5">
            <w:pPr>
              <w:spacing w:after="0" w:line="240" w:lineRule="auto"/>
              <w:jc w:val="both"/>
              <w:rPr>
                <w:rFonts w:ascii="Times New Roman" w:hAnsi="Times New Roman" w:cs="Times New Roman"/>
                <w:sz w:val="28"/>
                <w:szCs w:val="28"/>
              </w:rPr>
            </w:pPr>
          </w:p>
        </w:tc>
        <w:tc>
          <w:tcPr>
            <w:tcW w:w="1290" w:type="dxa"/>
            <w:vAlign w:val="center"/>
          </w:tcPr>
          <w:p w14:paraId="034DABB4">
            <w:pPr>
              <w:spacing w:after="0" w:line="240" w:lineRule="auto"/>
              <w:jc w:val="both"/>
              <w:rPr>
                <w:rFonts w:ascii="Times New Roman" w:hAnsi="Times New Roman" w:cs="Times New Roman"/>
                <w:sz w:val="28"/>
                <w:szCs w:val="28"/>
              </w:rPr>
            </w:pPr>
          </w:p>
        </w:tc>
      </w:tr>
      <w:tr w14:paraId="41E94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25" w:hRule="exact"/>
          <w:jc w:val="center"/>
        </w:trPr>
        <w:tc>
          <w:tcPr>
            <w:tcW w:w="2972" w:type="dxa"/>
            <w:vAlign w:val="center"/>
          </w:tcPr>
          <w:p w14:paraId="5FE9BA5D">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M</w:t>
            </w:r>
          </w:p>
        </w:tc>
        <w:tc>
          <w:tcPr>
            <w:tcW w:w="1418" w:type="dxa"/>
            <w:vAlign w:val="center"/>
          </w:tcPr>
          <w:p w14:paraId="249F7973">
            <w:pPr>
              <w:pStyle w:val="71"/>
              <w:widowControl/>
              <w:jc w:val="both"/>
              <w:rPr>
                <w:rFonts w:ascii="Times New Roman" w:hAnsi="Times New Roman" w:eastAsia="Times-Roman" w:cs="Times New Roman"/>
                <w:color w:val="00B04F"/>
                <w:sz w:val="28"/>
                <w:szCs w:val="28"/>
                <w:lang w:val="ru-RU"/>
              </w:rPr>
            </w:pPr>
            <w:r>
              <w:rPr>
                <w:rFonts w:ascii="Times New Roman" w:hAnsi="Times New Roman" w:eastAsia="Times-Roman" w:cs="Times New Roman"/>
                <w:color w:val="00B04F"/>
                <w:sz w:val="28"/>
                <w:szCs w:val="28"/>
                <w:lang w:val="ru-RU"/>
              </w:rPr>
              <w:t>0.764</w:t>
            </w:r>
          </w:p>
        </w:tc>
        <w:tc>
          <w:tcPr>
            <w:tcW w:w="1275" w:type="dxa"/>
            <w:vAlign w:val="center"/>
          </w:tcPr>
          <w:p w14:paraId="1502E754">
            <w:pPr>
              <w:spacing w:after="0" w:line="240" w:lineRule="auto"/>
              <w:jc w:val="both"/>
              <w:rPr>
                <w:rFonts w:ascii="Times New Roman" w:hAnsi="Times New Roman" w:cs="Times New Roman"/>
                <w:sz w:val="28"/>
                <w:szCs w:val="28"/>
              </w:rPr>
            </w:pPr>
          </w:p>
        </w:tc>
        <w:tc>
          <w:tcPr>
            <w:tcW w:w="1276" w:type="dxa"/>
            <w:vAlign w:val="center"/>
          </w:tcPr>
          <w:p w14:paraId="2B713DFC">
            <w:pPr>
              <w:pStyle w:val="71"/>
              <w:widowControl/>
              <w:jc w:val="both"/>
              <w:rPr>
                <w:rFonts w:ascii="Times New Roman" w:hAnsi="Times New Roman" w:eastAsia="Times-Roman" w:cs="Times New Roman"/>
                <w:color w:val="00B04F"/>
                <w:sz w:val="28"/>
                <w:szCs w:val="28"/>
                <w:lang w:val="ru-RU"/>
              </w:rPr>
            </w:pPr>
            <w:r>
              <w:rPr>
                <w:rFonts w:ascii="Times New Roman" w:hAnsi="Times New Roman" w:eastAsia="Times-Roman" w:cs="Times New Roman"/>
                <w:color w:val="00B04F"/>
                <w:sz w:val="28"/>
                <w:szCs w:val="28"/>
                <w:lang w:val="ru-RU"/>
              </w:rPr>
              <w:t>0.290</w:t>
            </w:r>
          </w:p>
        </w:tc>
        <w:tc>
          <w:tcPr>
            <w:tcW w:w="1202" w:type="dxa"/>
            <w:vAlign w:val="center"/>
          </w:tcPr>
          <w:p w14:paraId="3263B66D">
            <w:pPr>
              <w:pStyle w:val="71"/>
              <w:widowControl/>
              <w:jc w:val="both"/>
              <w:rPr>
                <w:rFonts w:ascii="Times New Roman" w:hAnsi="Times New Roman" w:eastAsia="Times-Roman" w:cs="Times New Roman"/>
                <w:color w:val="00B04F"/>
                <w:sz w:val="28"/>
                <w:szCs w:val="28"/>
                <w:lang w:val="ru-RU"/>
              </w:rPr>
            </w:pPr>
            <w:r>
              <w:rPr>
                <w:rFonts w:ascii="Times New Roman" w:hAnsi="Times New Roman" w:eastAsia="Times-Roman" w:cs="Times New Roman"/>
                <w:color w:val="00B04F"/>
                <w:sz w:val="28"/>
                <w:szCs w:val="28"/>
                <w:lang w:val="ru-RU"/>
              </w:rPr>
              <w:t>0.422</w:t>
            </w:r>
          </w:p>
        </w:tc>
        <w:tc>
          <w:tcPr>
            <w:tcW w:w="1290" w:type="dxa"/>
            <w:vAlign w:val="center"/>
          </w:tcPr>
          <w:p w14:paraId="365A512F">
            <w:pPr>
              <w:pStyle w:val="71"/>
              <w:widowControl/>
              <w:jc w:val="both"/>
              <w:rPr>
                <w:rFonts w:ascii="Times New Roman" w:hAnsi="Times New Roman" w:eastAsia="Times-Roman" w:cs="Times New Roman"/>
                <w:color w:val="00B04F"/>
                <w:sz w:val="28"/>
                <w:szCs w:val="28"/>
                <w:lang w:val="ru-RU"/>
              </w:rPr>
            </w:pPr>
            <w:r>
              <w:rPr>
                <w:rFonts w:ascii="Times New Roman" w:hAnsi="Times New Roman" w:eastAsia="Times-Roman" w:cs="Times New Roman"/>
                <w:color w:val="00B04F"/>
                <w:sz w:val="28"/>
                <w:szCs w:val="28"/>
                <w:lang w:val="ru-RU"/>
              </w:rPr>
              <w:t>0.211</w:t>
            </w:r>
          </w:p>
        </w:tc>
      </w:tr>
      <w:tr w14:paraId="0C40D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20" w:hRule="exact"/>
          <w:jc w:val="center"/>
        </w:trPr>
        <w:tc>
          <w:tcPr>
            <w:tcW w:w="2972" w:type="dxa"/>
            <w:tcBorders>
              <w:bottom w:val="single" w:color="auto" w:sz="4" w:space="0"/>
            </w:tcBorders>
            <w:vAlign w:val="center"/>
          </w:tcPr>
          <w:p w14:paraId="2E37B859">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NPL</w:t>
            </w:r>
          </w:p>
        </w:tc>
        <w:tc>
          <w:tcPr>
            <w:tcW w:w="1418" w:type="dxa"/>
            <w:tcBorders>
              <w:bottom w:val="single" w:color="auto" w:sz="4" w:space="0"/>
            </w:tcBorders>
            <w:vAlign w:val="center"/>
          </w:tcPr>
          <w:p w14:paraId="2AA7E8ED">
            <w:pPr>
              <w:spacing w:after="0" w:line="240" w:lineRule="auto"/>
              <w:jc w:val="both"/>
              <w:rPr>
                <w:rFonts w:ascii="Times New Roman" w:hAnsi="Times New Roman" w:cs="Times New Roman"/>
                <w:sz w:val="28"/>
                <w:szCs w:val="28"/>
              </w:rPr>
            </w:pPr>
          </w:p>
        </w:tc>
        <w:tc>
          <w:tcPr>
            <w:tcW w:w="1275" w:type="dxa"/>
            <w:tcBorders>
              <w:bottom w:val="single" w:color="auto" w:sz="4" w:space="0"/>
            </w:tcBorders>
            <w:vAlign w:val="center"/>
          </w:tcPr>
          <w:p w14:paraId="069FA797">
            <w:pPr>
              <w:spacing w:after="0" w:line="240" w:lineRule="auto"/>
              <w:jc w:val="both"/>
              <w:rPr>
                <w:rFonts w:ascii="Times New Roman" w:hAnsi="Times New Roman" w:cs="Times New Roman"/>
                <w:sz w:val="28"/>
                <w:szCs w:val="28"/>
              </w:rPr>
            </w:pPr>
          </w:p>
        </w:tc>
        <w:tc>
          <w:tcPr>
            <w:tcW w:w="1276" w:type="dxa"/>
            <w:tcBorders>
              <w:bottom w:val="single" w:color="auto" w:sz="4" w:space="0"/>
            </w:tcBorders>
            <w:vAlign w:val="center"/>
          </w:tcPr>
          <w:p w14:paraId="35ECF704">
            <w:pPr>
              <w:spacing w:after="0" w:line="240" w:lineRule="auto"/>
              <w:jc w:val="both"/>
              <w:rPr>
                <w:rFonts w:ascii="Times New Roman" w:hAnsi="Times New Roman" w:cs="Times New Roman"/>
                <w:sz w:val="28"/>
                <w:szCs w:val="28"/>
              </w:rPr>
            </w:pPr>
          </w:p>
        </w:tc>
        <w:tc>
          <w:tcPr>
            <w:tcW w:w="1202" w:type="dxa"/>
            <w:tcBorders>
              <w:bottom w:val="single" w:color="auto" w:sz="4" w:space="0"/>
            </w:tcBorders>
            <w:vAlign w:val="center"/>
          </w:tcPr>
          <w:p w14:paraId="5ECD1FE8">
            <w:pPr>
              <w:spacing w:after="0" w:line="240" w:lineRule="auto"/>
              <w:jc w:val="both"/>
              <w:rPr>
                <w:rFonts w:ascii="Times New Roman" w:hAnsi="Times New Roman" w:cs="Times New Roman"/>
                <w:sz w:val="28"/>
                <w:szCs w:val="28"/>
              </w:rPr>
            </w:pPr>
          </w:p>
        </w:tc>
        <w:tc>
          <w:tcPr>
            <w:tcW w:w="1290" w:type="dxa"/>
            <w:tcBorders>
              <w:bottom w:val="single" w:color="auto" w:sz="4" w:space="0"/>
            </w:tcBorders>
            <w:vAlign w:val="center"/>
          </w:tcPr>
          <w:p w14:paraId="7E4DDDBF">
            <w:pPr>
              <w:spacing w:after="0" w:line="240" w:lineRule="auto"/>
              <w:jc w:val="both"/>
              <w:rPr>
                <w:rFonts w:ascii="Times New Roman" w:hAnsi="Times New Roman" w:cs="Times New Roman"/>
                <w:sz w:val="28"/>
                <w:szCs w:val="28"/>
              </w:rPr>
            </w:pPr>
          </w:p>
        </w:tc>
      </w:tr>
      <w:tr w14:paraId="270BA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69" w:hRule="exact"/>
          <w:jc w:val="center"/>
        </w:trPr>
        <w:tc>
          <w:tcPr>
            <w:tcW w:w="2972" w:type="dxa"/>
            <w:tcBorders>
              <w:top w:val="single" w:color="auto" w:sz="4" w:space="0"/>
            </w:tcBorders>
            <w:vAlign w:val="center"/>
          </w:tcPr>
          <w:p w14:paraId="2EEE9436">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S</w:t>
            </w:r>
          </w:p>
        </w:tc>
        <w:tc>
          <w:tcPr>
            <w:tcW w:w="1418" w:type="dxa"/>
            <w:tcBorders>
              <w:top w:val="single" w:color="auto" w:sz="4" w:space="0"/>
            </w:tcBorders>
            <w:vAlign w:val="center"/>
          </w:tcPr>
          <w:p w14:paraId="11B89FF4">
            <w:pPr>
              <w:spacing w:after="0" w:line="240" w:lineRule="auto"/>
              <w:jc w:val="both"/>
              <w:rPr>
                <w:rFonts w:ascii="Times New Roman" w:hAnsi="Times New Roman" w:cs="Times New Roman"/>
                <w:sz w:val="28"/>
                <w:szCs w:val="28"/>
              </w:rPr>
            </w:pPr>
          </w:p>
        </w:tc>
        <w:tc>
          <w:tcPr>
            <w:tcW w:w="1275" w:type="dxa"/>
            <w:tcBorders>
              <w:top w:val="single" w:color="auto" w:sz="4" w:space="0"/>
            </w:tcBorders>
            <w:vAlign w:val="center"/>
          </w:tcPr>
          <w:p w14:paraId="72DD204A">
            <w:pPr>
              <w:spacing w:after="0" w:line="240" w:lineRule="auto"/>
              <w:jc w:val="both"/>
              <w:rPr>
                <w:rFonts w:ascii="Times New Roman" w:hAnsi="Times New Roman" w:cs="Times New Roman"/>
                <w:sz w:val="28"/>
                <w:szCs w:val="28"/>
              </w:rPr>
            </w:pPr>
          </w:p>
        </w:tc>
        <w:tc>
          <w:tcPr>
            <w:tcW w:w="1276" w:type="dxa"/>
            <w:tcBorders>
              <w:top w:val="single" w:color="auto" w:sz="4" w:space="0"/>
            </w:tcBorders>
            <w:vAlign w:val="center"/>
          </w:tcPr>
          <w:p w14:paraId="282CB01E">
            <w:pPr>
              <w:pStyle w:val="71"/>
              <w:widowControl/>
              <w:jc w:val="both"/>
              <w:rPr>
                <w:rFonts w:ascii="Times New Roman" w:hAnsi="Times New Roman" w:eastAsia="Times-Roman" w:cs="Times New Roman"/>
                <w:color w:val="00B04F"/>
                <w:sz w:val="28"/>
                <w:szCs w:val="28"/>
                <w:lang w:val="ru-RU"/>
              </w:rPr>
            </w:pPr>
            <w:r>
              <w:rPr>
                <w:rFonts w:ascii="Times New Roman" w:hAnsi="Times New Roman" w:eastAsia="Times-Roman" w:cs="Times New Roman"/>
                <w:color w:val="00B04F"/>
                <w:sz w:val="28"/>
                <w:szCs w:val="28"/>
                <w:lang w:val="ru-RU"/>
              </w:rPr>
              <w:t>0.382</w:t>
            </w:r>
          </w:p>
        </w:tc>
        <w:tc>
          <w:tcPr>
            <w:tcW w:w="1202" w:type="dxa"/>
            <w:tcBorders>
              <w:top w:val="single" w:color="auto" w:sz="4" w:space="0"/>
            </w:tcBorders>
            <w:vAlign w:val="center"/>
          </w:tcPr>
          <w:p w14:paraId="556D44D7">
            <w:pPr>
              <w:spacing w:after="0" w:line="240" w:lineRule="auto"/>
              <w:jc w:val="both"/>
              <w:rPr>
                <w:rFonts w:ascii="Times New Roman" w:hAnsi="Times New Roman" w:cs="Times New Roman"/>
                <w:sz w:val="28"/>
                <w:szCs w:val="28"/>
              </w:rPr>
            </w:pPr>
          </w:p>
        </w:tc>
        <w:tc>
          <w:tcPr>
            <w:tcW w:w="1290" w:type="dxa"/>
            <w:tcBorders>
              <w:top w:val="single" w:color="auto" w:sz="4" w:space="0"/>
            </w:tcBorders>
            <w:vAlign w:val="center"/>
          </w:tcPr>
          <w:p w14:paraId="5BF6D30E">
            <w:pPr>
              <w:spacing w:after="0" w:line="240" w:lineRule="auto"/>
              <w:jc w:val="both"/>
              <w:rPr>
                <w:rFonts w:ascii="Times New Roman" w:hAnsi="Times New Roman" w:cs="Times New Roman"/>
                <w:sz w:val="28"/>
                <w:szCs w:val="28"/>
              </w:rPr>
            </w:pPr>
          </w:p>
        </w:tc>
      </w:tr>
      <w:tr w14:paraId="302AF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23" w:hRule="exact"/>
          <w:jc w:val="center"/>
        </w:trPr>
        <w:tc>
          <w:tcPr>
            <w:tcW w:w="2972" w:type="dxa"/>
            <w:vAlign w:val="center"/>
          </w:tcPr>
          <w:p w14:paraId="066A04C0">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Soc</w:t>
            </w:r>
          </w:p>
        </w:tc>
        <w:tc>
          <w:tcPr>
            <w:tcW w:w="1418" w:type="dxa"/>
            <w:vAlign w:val="center"/>
          </w:tcPr>
          <w:p w14:paraId="2C44FCD0">
            <w:pPr>
              <w:spacing w:after="0" w:line="240" w:lineRule="auto"/>
              <w:jc w:val="both"/>
              <w:rPr>
                <w:rFonts w:ascii="Times New Roman" w:hAnsi="Times New Roman" w:cs="Times New Roman"/>
                <w:sz w:val="28"/>
                <w:szCs w:val="28"/>
              </w:rPr>
            </w:pPr>
          </w:p>
        </w:tc>
        <w:tc>
          <w:tcPr>
            <w:tcW w:w="1275" w:type="dxa"/>
            <w:vAlign w:val="center"/>
          </w:tcPr>
          <w:p w14:paraId="6DA380D7">
            <w:pPr>
              <w:spacing w:after="0" w:line="240" w:lineRule="auto"/>
              <w:jc w:val="both"/>
              <w:rPr>
                <w:rFonts w:ascii="Times New Roman" w:hAnsi="Times New Roman" w:cs="Times New Roman"/>
                <w:sz w:val="28"/>
                <w:szCs w:val="28"/>
              </w:rPr>
            </w:pPr>
          </w:p>
        </w:tc>
        <w:tc>
          <w:tcPr>
            <w:tcW w:w="1276" w:type="dxa"/>
            <w:vAlign w:val="center"/>
          </w:tcPr>
          <w:p w14:paraId="3492AAAC">
            <w:pPr>
              <w:pStyle w:val="71"/>
              <w:widowControl/>
              <w:jc w:val="both"/>
              <w:rPr>
                <w:rFonts w:ascii="Times New Roman" w:hAnsi="Times New Roman" w:eastAsia="Times-Roman" w:cs="Times New Roman"/>
                <w:color w:val="00B04F"/>
                <w:sz w:val="28"/>
                <w:szCs w:val="28"/>
                <w:lang w:val="ru-RU"/>
              </w:rPr>
            </w:pPr>
            <w:r>
              <w:rPr>
                <w:rFonts w:ascii="Times New Roman" w:hAnsi="Times New Roman" w:eastAsia="Times-Roman" w:cs="Times New Roman"/>
                <w:color w:val="00B04F"/>
                <w:sz w:val="28"/>
                <w:szCs w:val="28"/>
                <w:lang w:val="ru-RU"/>
              </w:rPr>
              <w:t>0.408</w:t>
            </w:r>
          </w:p>
        </w:tc>
        <w:tc>
          <w:tcPr>
            <w:tcW w:w="1202" w:type="dxa"/>
            <w:vAlign w:val="center"/>
          </w:tcPr>
          <w:p w14:paraId="79AA57FB">
            <w:pPr>
              <w:spacing w:after="0" w:line="240" w:lineRule="auto"/>
              <w:jc w:val="both"/>
              <w:rPr>
                <w:rFonts w:ascii="Times New Roman" w:hAnsi="Times New Roman" w:cs="Times New Roman"/>
                <w:sz w:val="28"/>
                <w:szCs w:val="28"/>
              </w:rPr>
            </w:pPr>
          </w:p>
        </w:tc>
        <w:tc>
          <w:tcPr>
            <w:tcW w:w="1290" w:type="dxa"/>
            <w:vAlign w:val="center"/>
          </w:tcPr>
          <w:p w14:paraId="16FE2DAD">
            <w:pPr>
              <w:spacing w:after="0" w:line="240" w:lineRule="auto"/>
              <w:jc w:val="both"/>
              <w:rPr>
                <w:rFonts w:ascii="Times New Roman" w:hAnsi="Times New Roman" w:cs="Times New Roman"/>
                <w:sz w:val="28"/>
                <w:szCs w:val="28"/>
              </w:rPr>
            </w:pPr>
          </w:p>
        </w:tc>
      </w:tr>
    </w:tbl>
    <w:p w14:paraId="7A97C33C">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[144]</w:t>
      </w:r>
    </w:p>
    <w:p w14:paraId="2B29E08A">
      <w:pPr>
        <w:spacing w:after="0" w:line="240" w:lineRule="auto"/>
        <w:jc w:val="both"/>
        <w:rPr>
          <w:rFonts w:ascii="Times New Roman" w:hAnsi="Times New Roman" w:eastAsia="Times-Roman" w:cs="Times New Roman"/>
          <w:color w:val="000000"/>
          <w:sz w:val="28"/>
          <w:szCs w:val="28"/>
        </w:rPr>
      </w:pPr>
    </w:p>
    <w:p w14:paraId="0097DED6">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Зеленый цвет, как это обычно бывает в статистическом анализе, указывает на приемлемое качество показателя. Красный цвет традиционно указывает на плохое качество показателя.</w:t>
      </w:r>
    </w:p>
    <w:p w14:paraId="5D4C5CE8">
      <w:pPr>
        <w:spacing w:after="0" w:line="240" w:lineRule="auto"/>
        <w:jc w:val="both"/>
        <w:rPr>
          <w:rFonts w:ascii="Times New Roman" w:hAnsi="Times New Roman" w:eastAsia="Times-Roman" w:cs="Times New Roman"/>
          <w:color w:val="000000"/>
          <w:sz w:val="28"/>
          <w:szCs w:val="28"/>
        </w:rPr>
      </w:pPr>
    </w:p>
    <w:p w14:paraId="55950DB8">
      <w:pPr>
        <w:spacing w:after="0" w:line="240" w:lineRule="auto"/>
        <w:jc w:val="both"/>
        <w:rPr>
          <w:rFonts w:ascii="Times New Roman" w:hAnsi="Times New Roman" w:cs="Times New Roman"/>
          <w:sz w:val="28"/>
          <w:szCs w:val="28"/>
        </w:rPr>
      </w:pPr>
      <w:r>
        <w:rPr>
          <w:rFonts w:ascii="Times New Roman" w:hAnsi="Times New Roman" w:eastAsia="Times-Roman" w:cs="Times New Roman"/>
          <w:color w:val="000000"/>
          <w:sz w:val="28"/>
          <w:szCs w:val="28"/>
        </w:rPr>
        <w:t>Построенная модель представлена на рисунке 20.</w:t>
      </w:r>
    </w:p>
    <w:p w14:paraId="523C1E30">
      <w:pPr>
        <w:spacing w:after="0" w:line="240" w:lineRule="auto"/>
        <w:ind w:left="2608" w:hanging="2466"/>
        <w:jc w:val="center"/>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drawing>
          <wp:inline distT="0" distB="0" distL="0" distR="0">
            <wp:extent cx="5311775" cy="3284220"/>
            <wp:effectExtent l="0" t="0" r="0" b="0"/>
            <wp:docPr id="1435643540" name="Objec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643540" name="Object2"/>
                    <pic:cNvPicPr>
                      <a:picLocks noChangeAspect="1" noChangeArrowheads="1"/>
                    </pic:cNvPicPr>
                  </pic:nvPicPr>
                  <pic:blipFill>
                    <a:blip r:embed="rId44"/>
                    <a:stretch>
                      <a:fillRect/>
                    </a:stretch>
                  </pic:blipFill>
                  <pic:spPr>
                    <a:xfrm>
                      <a:off x="0" y="0"/>
                      <a:ext cx="5311775" cy="3284220"/>
                    </a:xfrm>
                    <a:prstGeom prst="rect">
                      <a:avLst/>
                    </a:prstGeom>
                    <a:noFill/>
                  </pic:spPr>
                </pic:pic>
              </a:graphicData>
            </a:graphic>
          </wp:inline>
        </w:drawing>
      </w:r>
    </w:p>
    <w:p w14:paraId="675F092D">
      <w:pPr>
        <w:spacing w:after="0" w:line="240" w:lineRule="auto"/>
        <w:jc w:val="center"/>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Рисунок 20 - Структурная модель</w:t>
      </w:r>
    </w:p>
    <w:p w14:paraId="43EFF936">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[144]</w:t>
      </w:r>
    </w:p>
    <w:p w14:paraId="68385BBD">
      <w:pPr>
        <w:spacing w:after="0" w:line="240" w:lineRule="auto"/>
        <w:jc w:val="both"/>
        <w:rPr>
          <w:rFonts w:ascii="Times New Roman" w:hAnsi="Times New Roman" w:eastAsia="Times-Roman" w:cs="Times New Roman"/>
          <w:color w:val="000000"/>
          <w:sz w:val="28"/>
          <w:szCs w:val="28"/>
        </w:rPr>
      </w:pPr>
    </w:p>
    <w:p w14:paraId="55245AAB">
      <w:pPr>
        <w:spacing w:after="0" w:line="240" w:lineRule="auto"/>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 Источник: сгенерировано авторами на основе программного обеспечения SmartPLS 4.</w:t>
      </w:r>
    </w:p>
    <w:p w14:paraId="6EB7395F">
      <w:pPr>
        <w:spacing w:after="0" w:line="240" w:lineRule="auto"/>
        <w:jc w:val="both"/>
        <w:rPr>
          <w:rFonts w:ascii="Times New Roman" w:hAnsi="Times New Roman" w:eastAsia="Times-Roman" w:cs="Times New Roman"/>
          <w:color w:val="000000"/>
          <w:sz w:val="28"/>
          <w:szCs w:val="28"/>
        </w:rPr>
      </w:pPr>
    </w:p>
    <w:p w14:paraId="0620D6E5">
      <w:pPr>
        <w:spacing w:after="0" w:line="240" w:lineRule="auto"/>
        <w:jc w:val="both"/>
        <w:rPr>
          <w:rFonts w:ascii="Times New Roman" w:hAnsi="Times New Roman" w:eastAsia="Palatino Linotype" w:cs="Times New Roman"/>
          <w:color w:val="000000"/>
          <w:sz w:val="28"/>
          <w:szCs w:val="28"/>
        </w:rPr>
      </w:pPr>
      <w:r>
        <w:rPr>
          <w:rFonts w:ascii="Times New Roman" w:hAnsi="Times New Roman" w:eastAsia="Palatino Linotype" w:cs="Times New Roman"/>
          <w:color w:val="000000"/>
          <w:sz w:val="28"/>
          <w:szCs w:val="28"/>
        </w:rPr>
        <w:t>Модель включает в себя 5 скрытых переменных:</w:t>
      </w:r>
    </w:p>
    <w:p w14:paraId="34E0B987">
      <w:pPr>
        <w:pStyle w:val="32"/>
        <w:numPr>
          <w:ilvl w:val="1"/>
          <w:numId w:val="13"/>
        </w:numPr>
        <w:tabs>
          <w:tab w:val="left" w:pos="993"/>
        </w:tabs>
        <w:spacing w:after="0" w:line="240" w:lineRule="auto"/>
        <w:ind w:left="0" w:firstLine="709"/>
        <w:jc w:val="both"/>
        <w:rPr>
          <w:rFonts w:ascii="Times New Roman" w:hAnsi="Times New Roman" w:eastAsia="Palatino Linotype" w:cs="Times New Roman"/>
          <w:color w:val="000000"/>
          <w:sz w:val="28"/>
          <w:szCs w:val="28"/>
        </w:rPr>
      </w:pPr>
      <w:r>
        <w:rPr>
          <w:rFonts w:ascii="Times New Roman" w:hAnsi="Times New Roman" w:eastAsia="Times-Roman" w:cs="Times New Roman"/>
          <w:color w:val="000000"/>
          <w:sz w:val="28"/>
          <w:szCs w:val="28"/>
        </w:rPr>
        <w:t>Макроэкономические факторы</w:t>
      </w:r>
    </w:p>
    <w:p w14:paraId="2C3A3B92">
      <w:pPr>
        <w:tabs>
          <w:tab w:val="left" w:pos="3078"/>
        </w:tabs>
        <w:suppressAutoHyphens/>
        <w:spacing w:after="0" w:line="240" w:lineRule="auto"/>
        <w:ind w:firstLine="709"/>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2) Внешнеэкономические факторы</w:t>
      </w:r>
    </w:p>
    <w:p w14:paraId="510C2D79">
      <w:pPr>
        <w:tabs>
          <w:tab w:val="left" w:pos="3078"/>
        </w:tabs>
        <w:suppressAutoHyphens/>
        <w:spacing w:after="0" w:line="240" w:lineRule="auto"/>
        <w:ind w:firstLine="709"/>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3) Фактор сбережений</w:t>
      </w:r>
    </w:p>
    <w:p w14:paraId="5B396833">
      <w:pPr>
        <w:tabs>
          <w:tab w:val="left" w:pos="3078"/>
        </w:tabs>
        <w:suppressAutoHyphens/>
        <w:spacing w:after="0" w:line="240" w:lineRule="auto"/>
        <w:ind w:firstLine="709"/>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4) Социальные факторы</w:t>
      </w:r>
    </w:p>
    <w:p w14:paraId="445F6649">
      <w:pPr>
        <w:tabs>
          <w:tab w:val="left" w:pos="3078"/>
        </w:tabs>
        <w:suppressAutoHyphens/>
        <w:spacing w:after="0" w:line="240" w:lineRule="auto"/>
        <w:ind w:firstLine="709"/>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5) Неработающие кредиты (NPLs).</w:t>
      </w:r>
    </w:p>
    <w:p w14:paraId="1AE3DEBB">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Желтые прямоугольники обозначают индикаторы, которые участвовали в построении скрытых переменных. Скрытые переменные показаны синими кругами.</w:t>
      </w:r>
    </w:p>
    <w:p w14:paraId="32E4681A">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Стрелки от синих кругов к желтым прямоугольникам показывают значения нагрузок (loadings) каждого индикатора, и эти значения не должны быть ниже 0,5. Как видно, все значения нагрузок очень высокие, что свидетельствует о сильной связи индикаторов со скрытыми переменными и их важности как части этих переменных.</w:t>
      </w:r>
    </w:p>
    <w:p w14:paraId="7F7A81D0">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Значения внутри синих кругов — это коэффициент детерминации R². Эти значения очень высоки для факторов сбережений (0,708) и NPLs (0,740), что означает, что эти переменные объясняются выбранными индикаторами на 71% и 74% соответственно. Коэффициент детерминации для скрытой переменной «Внешние факторы» составляет 0,433, что означает, что 43,3% переменной объясняется выбранными индикаторами. </w:t>
      </w:r>
    </w:p>
    <w:p w14:paraId="19D2F6A3">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Тем не менее, R² очень низкий для переменной «Социальные факторы», объясняя только 17,4% переменной.</w:t>
      </w:r>
    </w:p>
    <w:p w14:paraId="4D4C783F">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Структурная модель была рассчитана с помощью алгоритма бутстрэпа. Значения на стрелках показывают беты. Возможное объяснение бет будет представлено в разделе «Обсуждение». Построенная модель позволяет проверить выдвинутые гипотезы. Взаимосвязи внутри модели были оценены. Они представлены в таблице 31.</w:t>
      </w:r>
    </w:p>
    <w:p w14:paraId="09ADE919">
      <w:pPr>
        <w:spacing w:after="0" w:line="240" w:lineRule="auto"/>
        <w:jc w:val="both"/>
        <w:rPr>
          <w:rFonts w:ascii="Times New Roman" w:hAnsi="Times New Roman" w:eastAsia="Times-Roman" w:cs="Times New Roman"/>
          <w:color w:val="000000"/>
          <w:sz w:val="28"/>
          <w:szCs w:val="28"/>
        </w:rPr>
      </w:pPr>
    </w:p>
    <w:p w14:paraId="6FD4203F">
      <w:pPr>
        <w:spacing w:after="0" w:line="240" w:lineRule="auto"/>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Таблица 31 - Результаты тестирования гипотез с помощью алгоритма бутстрепинга. </w:t>
      </w:r>
    </w:p>
    <w:p w14:paraId="5B04691E">
      <w:pPr>
        <w:spacing w:after="0" w:line="240" w:lineRule="auto"/>
        <w:jc w:val="both"/>
        <w:rPr>
          <w:rFonts w:ascii="Times New Roman" w:hAnsi="Times New Roman" w:eastAsia="Times-Roman" w:cs="Times New Roman"/>
          <w:color w:val="000000"/>
          <w:sz w:val="28"/>
          <w:szCs w:val="28"/>
        </w:rPr>
      </w:pPr>
    </w:p>
    <w:tbl>
      <w:tblPr>
        <w:tblStyle w:val="7"/>
        <w:tblW w:w="10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80" w:type="dxa"/>
          <w:bottom w:w="80" w:type="dxa"/>
          <w:right w:w="80" w:type="dxa"/>
        </w:tblCellMar>
      </w:tblPr>
      <w:tblGrid>
        <w:gridCol w:w="1413"/>
        <w:gridCol w:w="2131"/>
        <w:gridCol w:w="1276"/>
        <w:gridCol w:w="1417"/>
        <w:gridCol w:w="976"/>
        <w:gridCol w:w="1084"/>
        <w:gridCol w:w="1084"/>
        <w:gridCol w:w="814"/>
      </w:tblGrid>
      <w:tr w14:paraId="11CD7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1158" w:hRule="exact"/>
          <w:jc w:val="center"/>
        </w:trPr>
        <w:tc>
          <w:tcPr>
            <w:tcW w:w="1413" w:type="dxa"/>
            <w:vAlign w:val="center"/>
          </w:tcPr>
          <w:p w14:paraId="37E60B9F">
            <w:pPr>
              <w:pStyle w:val="71"/>
              <w:widowControl/>
              <w:jc w:val="both"/>
              <w:rPr>
                <w:rFonts w:ascii="Times New Roman" w:hAnsi="Times New Roman" w:eastAsia="Times-Bold" w:cs="Times New Roman"/>
                <w:color w:val="000000"/>
                <w:sz w:val="28"/>
                <w:szCs w:val="28"/>
                <w:lang w:val="ru-RU"/>
              </w:rPr>
            </w:pPr>
            <w:r>
              <w:rPr>
                <w:rFonts w:ascii="Times New Roman" w:hAnsi="Times New Roman" w:eastAsia="Times-Bold" w:cs="Times New Roman"/>
                <w:color w:val="000000"/>
                <w:sz w:val="28"/>
                <w:szCs w:val="28"/>
                <w:lang w:val="ru-RU"/>
              </w:rPr>
              <w:t>Гипотезы</w:t>
            </w:r>
          </w:p>
        </w:tc>
        <w:tc>
          <w:tcPr>
            <w:tcW w:w="2131" w:type="dxa"/>
            <w:vAlign w:val="center"/>
          </w:tcPr>
          <w:p w14:paraId="0F589A9F">
            <w:pPr>
              <w:spacing w:after="0" w:line="240" w:lineRule="auto"/>
              <w:jc w:val="both"/>
              <w:rPr>
                <w:rFonts w:ascii="Times New Roman" w:hAnsi="Times New Roman" w:cs="Times New Roman"/>
                <w:sz w:val="28"/>
                <w:szCs w:val="28"/>
              </w:rPr>
            </w:pPr>
          </w:p>
        </w:tc>
        <w:tc>
          <w:tcPr>
            <w:tcW w:w="1276" w:type="dxa"/>
            <w:vAlign w:val="center"/>
          </w:tcPr>
          <w:p w14:paraId="553080A8">
            <w:pPr>
              <w:pStyle w:val="71"/>
              <w:widowControl/>
              <w:jc w:val="both"/>
              <w:rPr>
                <w:rFonts w:ascii="Times New Roman" w:hAnsi="Times New Roman" w:eastAsia="Times-Bold" w:cs="Times New Roman"/>
                <w:color w:val="000000"/>
                <w:sz w:val="28"/>
                <w:szCs w:val="28"/>
                <w:lang w:val="ru-RU"/>
              </w:rPr>
            </w:pPr>
            <w:r>
              <w:rPr>
                <w:rFonts w:ascii="Times New Roman" w:hAnsi="Times New Roman" w:eastAsia="Times-Bold" w:cs="Times New Roman"/>
                <w:color w:val="000000"/>
                <w:sz w:val="28"/>
                <w:szCs w:val="28"/>
                <w:lang w:val="ru-RU"/>
              </w:rPr>
              <w:t>Beta β</w:t>
            </w:r>
          </w:p>
        </w:tc>
        <w:tc>
          <w:tcPr>
            <w:tcW w:w="1417" w:type="dxa"/>
            <w:vAlign w:val="center"/>
          </w:tcPr>
          <w:p w14:paraId="40C47E07">
            <w:pPr>
              <w:pStyle w:val="71"/>
              <w:widowControl/>
              <w:jc w:val="both"/>
              <w:rPr>
                <w:rFonts w:ascii="Times New Roman" w:hAnsi="Times New Roman" w:eastAsia="Times-Bold" w:cs="Times New Roman"/>
                <w:color w:val="000000"/>
                <w:sz w:val="28"/>
                <w:szCs w:val="28"/>
                <w:lang w:val="ru-RU"/>
              </w:rPr>
            </w:pPr>
            <w:r>
              <w:rPr>
                <w:rFonts w:ascii="Times New Roman" w:hAnsi="Times New Roman" w:eastAsia="Times-Bold" w:cs="Times New Roman"/>
                <w:color w:val="000000"/>
                <w:sz w:val="28"/>
                <w:szCs w:val="28"/>
                <w:lang w:val="ru-RU"/>
              </w:rPr>
              <w:t>Среднее значение выборки</w:t>
            </w:r>
          </w:p>
        </w:tc>
        <w:tc>
          <w:tcPr>
            <w:tcW w:w="976" w:type="dxa"/>
            <w:vAlign w:val="center"/>
          </w:tcPr>
          <w:p w14:paraId="4D23B9F2">
            <w:pPr>
              <w:pStyle w:val="71"/>
              <w:widowControl/>
              <w:jc w:val="both"/>
              <w:rPr>
                <w:rFonts w:ascii="Times New Roman" w:hAnsi="Times New Roman" w:eastAsia="Times-Bold" w:cs="Times New Roman"/>
                <w:color w:val="000000"/>
                <w:sz w:val="28"/>
                <w:szCs w:val="28"/>
                <w:lang w:val="ru-RU"/>
              </w:rPr>
            </w:pPr>
            <w:r>
              <w:rPr>
                <w:rFonts w:ascii="Times New Roman" w:hAnsi="Times New Roman" w:eastAsia="Times-Bold" w:cs="Times New Roman"/>
                <w:color w:val="000000"/>
                <w:sz w:val="28"/>
                <w:szCs w:val="28"/>
                <w:lang w:val="ru-RU"/>
              </w:rPr>
              <w:t>STDEV</w:t>
            </w:r>
          </w:p>
        </w:tc>
        <w:tc>
          <w:tcPr>
            <w:tcW w:w="1084" w:type="dxa"/>
            <w:vAlign w:val="center"/>
          </w:tcPr>
          <w:p w14:paraId="6EA145DD">
            <w:pPr>
              <w:pStyle w:val="71"/>
              <w:widowControl/>
              <w:jc w:val="both"/>
              <w:rPr>
                <w:rFonts w:ascii="Times New Roman" w:hAnsi="Times New Roman" w:eastAsia="Times-Bold" w:cs="Times New Roman"/>
                <w:color w:val="000000"/>
                <w:sz w:val="28"/>
                <w:szCs w:val="28"/>
                <w:lang w:val="ru-RU"/>
              </w:rPr>
            </w:pPr>
            <w:r>
              <w:rPr>
                <w:rFonts w:ascii="Times New Roman" w:hAnsi="Times New Roman" w:eastAsia="Times-Bold" w:cs="Times New Roman"/>
                <w:color w:val="000000"/>
                <w:sz w:val="28"/>
                <w:szCs w:val="28"/>
                <w:lang w:val="ru-RU"/>
              </w:rPr>
              <w:t>NPL</w:t>
            </w:r>
          </w:p>
        </w:tc>
        <w:tc>
          <w:tcPr>
            <w:tcW w:w="1084" w:type="dxa"/>
            <w:vAlign w:val="center"/>
          </w:tcPr>
          <w:p w14:paraId="3C021E08">
            <w:pPr>
              <w:pStyle w:val="71"/>
              <w:widowControl/>
              <w:jc w:val="both"/>
              <w:rPr>
                <w:rFonts w:ascii="Times New Roman" w:hAnsi="Times New Roman" w:eastAsia="Times-Bold" w:cs="Times New Roman"/>
                <w:color w:val="000000"/>
                <w:sz w:val="28"/>
                <w:szCs w:val="28"/>
                <w:lang w:val="ru-RU"/>
              </w:rPr>
            </w:pPr>
            <w:r>
              <w:rPr>
                <w:rFonts w:ascii="Times New Roman" w:hAnsi="Times New Roman" w:eastAsia="Times-Bold" w:cs="Times New Roman"/>
                <w:color w:val="000000"/>
                <w:sz w:val="28"/>
                <w:szCs w:val="28"/>
                <w:lang w:val="ru-RU"/>
              </w:rPr>
              <w:t>S</w:t>
            </w:r>
          </w:p>
        </w:tc>
        <w:tc>
          <w:tcPr>
            <w:tcW w:w="814" w:type="dxa"/>
            <w:vAlign w:val="center"/>
          </w:tcPr>
          <w:p w14:paraId="3846DE5E">
            <w:pPr>
              <w:pStyle w:val="71"/>
              <w:widowControl/>
              <w:jc w:val="both"/>
              <w:rPr>
                <w:rFonts w:ascii="Times New Roman" w:hAnsi="Times New Roman" w:eastAsia="Times-Bold" w:cs="Times New Roman"/>
                <w:color w:val="000000"/>
                <w:sz w:val="28"/>
                <w:szCs w:val="28"/>
                <w:lang w:val="ru-RU"/>
              </w:rPr>
            </w:pPr>
            <w:r>
              <w:rPr>
                <w:rFonts w:ascii="Times New Roman" w:hAnsi="Times New Roman" w:eastAsia="Times-Bold" w:cs="Times New Roman"/>
                <w:color w:val="000000"/>
                <w:sz w:val="28"/>
                <w:szCs w:val="28"/>
                <w:lang w:val="ru-RU"/>
              </w:rPr>
              <w:t>Soc</w:t>
            </w:r>
          </w:p>
        </w:tc>
      </w:tr>
      <w:tr w14:paraId="4E019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29" w:hRule="exact"/>
          <w:jc w:val="center"/>
        </w:trPr>
        <w:tc>
          <w:tcPr>
            <w:tcW w:w="1413" w:type="dxa"/>
            <w:vAlign w:val="center"/>
          </w:tcPr>
          <w:p w14:paraId="1370A595">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H1</w:t>
            </w:r>
          </w:p>
        </w:tc>
        <w:tc>
          <w:tcPr>
            <w:tcW w:w="2131" w:type="dxa"/>
            <w:vAlign w:val="center"/>
          </w:tcPr>
          <w:p w14:paraId="638CFA2D">
            <w:pPr>
              <w:spacing w:after="0" w:line="240" w:lineRule="auto"/>
              <w:jc w:val="both"/>
              <w:rPr>
                <w:rFonts w:ascii="Times New Roman" w:hAnsi="Times New Roman" w:cs="Times New Roman"/>
                <w:sz w:val="28"/>
                <w:szCs w:val="28"/>
              </w:rPr>
            </w:pPr>
          </w:p>
        </w:tc>
        <w:tc>
          <w:tcPr>
            <w:tcW w:w="1276" w:type="dxa"/>
            <w:vAlign w:val="center"/>
          </w:tcPr>
          <w:p w14:paraId="32668144">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−0.800</w:t>
            </w:r>
          </w:p>
        </w:tc>
        <w:tc>
          <w:tcPr>
            <w:tcW w:w="1417" w:type="dxa"/>
            <w:vAlign w:val="center"/>
          </w:tcPr>
          <w:p w14:paraId="2179DD47">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−0.676</w:t>
            </w:r>
          </w:p>
        </w:tc>
        <w:tc>
          <w:tcPr>
            <w:tcW w:w="976" w:type="dxa"/>
            <w:vAlign w:val="center"/>
          </w:tcPr>
          <w:p w14:paraId="5B2AC2E2">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0.132</w:t>
            </w:r>
          </w:p>
        </w:tc>
        <w:tc>
          <w:tcPr>
            <w:tcW w:w="1084" w:type="dxa"/>
            <w:vAlign w:val="center"/>
          </w:tcPr>
          <w:p w14:paraId="12834CFE">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0.068</w:t>
            </w:r>
          </w:p>
        </w:tc>
        <w:tc>
          <w:tcPr>
            <w:tcW w:w="1084" w:type="dxa"/>
            <w:vAlign w:val="center"/>
          </w:tcPr>
          <w:p w14:paraId="522D6D89">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9.729</w:t>
            </w:r>
          </w:p>
        </w:tc>
        <w:tc>
          <w:tcPr>
            <w:tcW w:w="814" w:type="dxa"/>
            <w:vAlign w:val="center"/>
          </w:tcPr>
          <w:p w14:paraId="33D002A0">
            <w:pPr>
              <w:pStyle w:val="71"/>
              <w:widowControl/>
              <w:jc w:val="both"/>
              <w:rPr>
                <w:rFonts w:ascii="Times New Roman" w:hAnsi="Times New Roman" w:eastAsia="Times-Roman" w:cs="Times New Roman"/>
                <w:color w:val="00B04F"/>
                <w:sz w:val="28"/>
                <w:szCs w:val="28"/>
                <w:shd w:val="clear" w:color="auto" w:fill="FFFF00"/>
                <w:lang w:val="ru-RU"/>
              </w:rPr>
            </w:pPr>
            <w:r>
              <w:rPr>
                <w:rFonts w:ascii="Times New Roman" w:hAnsi="Times New Roman" w:eastAsia="Times-Roman" w:cs="Times New Roman"/>
                <w:color w:val="00B04F"/>
                <w:sz w:val="28"/>
                <w:szCs w:val="28"/>
                <w:shd w:val="clear" w:color="auto" w:fill="FFFF00"/>
                <w:lang w:val="ru-RU"/>
              </w:rPr>
              <w:t>0.000</w:t>
            </w:r>
          </w:p>
        </w:tc>
      </w:tr>
      <w:tr w14:paraId="3AEF1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63" w:hRule="exact"/>
          <w:jc w:val="center"/>
        </w:trPr>
        <w:tc>
          <w:tcPr>
            <w:tcW w:w="1413" w:type="dxa"/>
            <w:vAlign w:val="center"/>
          </w:tcPr>
          <w:p w14:paraId="2DF7BFA9">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H2</w:t>
            </w:r>
          </w:p>
        </w:tc>
        <w:tc>
          <w:tcPr>
            <w:tcW w:w="2131" w:type="dxa"/>
            <w:vAlign w:val="center"/>
          </w:tcPr>
          <w:p w14:paraId="14808659">
            <w:pPr>
              <w:pStyle w:val="71"/>
              <w:widowControl/>
              <w:jc w:val="both"/>
              <w:rPr>
                <w:rFonts w:ascii="Times New Roman" w:hAnsi="Times New Roman" w:cs="Times New Roman"/>
                <w:sz w:val="28"/>
                <w:szCs w:val="28"/>
                <w:lang w:val="ru-RU"/>
              </w:rPr>
            </w:pPr>
            <w:r>
              <w:rPr>
                <w:rFonts w:ascii="Times New Roman" w:hAnsi="Times New Roman" w:eastAsia="Times-Roman" w:cs="Times New Roman"/>
                <w:color w:val="000000"/>
                <w:sz w:val="28"/>
                <w:szCs w:val="28"/>
                <w:lang w:val="ru-RU"/>
              </w:rPr>
              <w:t xml:space="preserve">M </w:t>
            </w:r>
            <w:r>
              <w:rPr>
                <w:rFonts w:ascii="Times New Roman" w:hAnsi="Times New Roman" w:eastAsia="Times-Roman" w:cs="Times New Roman"/>
                <w:color w:val="000000"/>
                <w:sz w:val="28"/>
                <w:szCs w:val="28"/>
                <w:shd w:val="clear" w:color="auto" w:fill="FFFF00"/>
                <w:lang w:val="ru-RU"/>
              </w:rPr>
              <w:t xml:space="preserve">-&gt; </w:t>
            </w:r>
            <w:r>
              <w:rPr>
                <w:rFonts w:ascii="Times New Roman" w:hAnsi="Times New Roman" w:eastAsia="Times-Roman" w:cs="Times New Roman"/>
                <w:color w:val="000000"/>
                <w:sz w:val="28"/>
                <w:szCs w:val="28"/>
                <w:lang w:val="ru-RU"/>
              </w:rPr>
              <w:t xml:space="preserve">F </w:t>
            </w:r>
            <w:r>
              <w:rPr>
                <w:rFonts w:ascii="Times New Roman" w:hAnsi="Times New Roman" w:eastAsia="Times-Roman" w:cs="Times New Roman"/>
                <w:color w:val="000000"/>
                <w:sz w:val="28"/>
                <w:szCs w:val="28"/>
                <w:shd w:val="clear" w:color="auto" w:fill="FFFF00"/>
                <w:lang w:val="ru-RU"/>
              </w:rPr>
              <w:t xml:space="preserve">-&gt; </w:t>
            </w:r>
            <w:r>
              <w:rPr>
                <w:rFonts w:ascii="Times New Roman" w:hAnsi="Times New Roman" w:eastAsia="Times-Roman" w:cs="Times New Roman"/>
                <w:color w:val="000000"/>
                <w:sz w:val="28"/>
                <w:szCs w:val="28"/>
                <w:lang w:val="ru-RU"/>
              </w:rPr>
              <w:t>NPLs</w:t>
            </w:r>
          </w:p>
        </w:tc>
        <w:tc>
          <w:tcPr>
            <w:tcW w:w="1276" w:type="dxa"/>
            <w:vAlign w:val="center"/>
          </w:tcPr>
          <w:p w14:paraId="21AEB08B">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−4.088</w:t>
            </w:r>
          </w:p>
        </w:tc>
        <w:tc>
          <w:tcPr>
            <w:tcW w:w="1417" w:type="dxa"/>
            <w:vAlign w:val="center"/>
          </w:tcPr>
          <w:p w14:paraId="45B77E6A">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−3.860</w:t>
            </w:r>
          </w:p>
        </w:tc>
        <w:tc>
          <w:tcPr>
            <w:tcW w:w="976" w:type="dxa"/>
            <w:vAlign w:val="center"/>
          </w:tcPr>
          <w:p w14:paraId="2B799202">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1.427</w:t>
            </w:r>
          </w:p>
        </w:tc>
        <w:tc>
          <w:tcPr>
            <w:tcW w:w="1084" w:type="dxa"/>
            <w:vAlign w:val="center"/>
          </w:tcPr>
          <w:p w14:paraId="71E326F9">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1.359</w:t>
            </w:r>
          </w:p>
        </w:tc>
        <w:tc>
          <w:tcPr>
            <w:tcW w:w="1084" w:type="dxa"/>
            <w:vAlign w:val="center"/>
          </w:tcPr>
          <w:p w14:paraId="325B0CE7">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2.524</w:t>
            </w:r>
          </w:p>
        </w:tc>
        <w:tc>
          <w:tcPr>
            <w:tcW w:w="814" w:type="dxa"/>
            <w:vAlign w:val="center"/>
          </w:tcPr>
          <w:p w14:paraId="6A0AC9DD">
            <w:pPr>
              <w:pStyle w:val="71"/>
              <w:widowControl/>
              <w:jc w:val="both"/>
              <w:rPr>
                <w:rFonts w:ascii="Times New Roman" w:hAnsi="Times New Roman" w:eastAsia="Times-Roman" w:cs="Times New Roman"/>
                <w:color w:val="00B04F"/>
                <w:sz w:val="28"/>
                <w:szCs w:val="28"/>
                <w:lang w:val="ru-RU"/>
              </w:rPr>
            </w:pPr>
            <w:r>
              <w:rPr>
                <w:rFonts w:ascii="Times New Roman" w:hAnsi="Times New Roman" w:eastAsia="Times-Roman" w:cs="Times New Roman"/>
                <w:color w:val="00B04F"/>
                <w:sz w:val="28"/>
                <w:szCs w:val="28"/>
                <w:lang w:val="ru-RU"/>
              </w:rPr>
              <w:t>0.012</w:t>
            </w:r>
          </w:p>
        </w:tc>
      </w:tr>
      <w:tr w14:paraId="15B4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770" w:hRule="exact"/>
          <w:jc w:val="center"/>
        </w:trPr>
        <w:tc>
          <w:tcPr>
            <w:tcW w:w="1413" w:type="dxa"/>
            <w:vAlign w:val="center"/>
          </w:tcPr>
          <w:p w14:paraId="021A70A1">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H3</w:t>
            </w:r>
          </w:p>
        </w:tc>
        <w:tc>
          <w:tcPr>
            <w:tcW w:w="2131" w:type="dxa"/>
            <w:vAlign w:val="center"/>
          </w:tcPr>
          <w:p w14:paraId="4B5F93A0">
            <w:pPr>
              <w:pStyle w:val="71"/>
              <w:widowControl/>
              <w:jc w:val="both"/>
              <w:rPr>
                <w:rFonts w:ascii="Times New Roman" w:hAnsi="Times New Roman" w:cs="Times New Roman"/>
                <w:sz w:val="28"/>
                <w:szCs w:val="28"/>
                <w:lang w:val="ru-RU"/>
              </w:rPr>
            </w:pPr>
            <w:r>
              <w:rPr>
                <w:rFonts w:ascii="Times New Roman" w:hAnsi="Times New Roman" w:eastAsia="Times-Roman" w:cs="Times New Roman"/>
                <w:color w:val="000000"/>
                <w:sz w:val="28"/>
                <w:szCs w:val="28"/>
                <w:lang w:val="ru-RU"/>
              </w:rPr>
              <w:t xml:space="preserve">M </w:t>
            </w:r>
            <w:r>
              <w:rPr>
                <w:rFonts w:ascii="Times New Roman" w:hAnsi="Times New Roman" w:eastAsia="Times-Roman" w:cs="Times New Roman"/>
                <w:color w:val="000000"/>
                <w:sz w:val="28"/>
                <w:szCs w:val="28"/>
                <w:shd w:val="clear" w:color="auto" w:fill="FFFF00"/>
                <w:lang w:val="ru-RU"/>
              </w:rPr>
              <w:t xml:space="preserve">-&gt; </w:t>
            </w:r>
            <w:r>
              <w:rPr>
                <w:rFonts w:ascii="Times New Roman" w:hAnsi="Times New Roman" w:eastAsia="Times-Roman" w:cs="Times New Roman"/>
                <w:color w:val="000000"/>
                <w:sz w:val="28"/>
                <w:szCs w:val="28"/>
                <w:lang w:val="ru-RU"/>
              </w:rPr>
              <w:t xml:space="preserve">S </w:t>
            </w:r>
            <w:r>
              <w:rPr>
                <w:rFonts w:ascii="Times New Roman" w:hAnsi="Times New Roman" w:eastAsia="Times-Roman" w:cs="Times New Roman"/>
                <w:color w:val="000000"/>
                <w:sz w:val="28"/>
                <w:szCs w:val="28"/>
                <w:shd w:val="clear" w:color="auto" w:fill="FFFF00"/>
                <w:lang w:val="ru-RU"/>
              </w:rPr>
              <w:t xml:space="preserve">-&gt; </w:t>
            </w:r>
            <w:r>
              <w:rPr>
                <w:rFonts w:ascii="Times New Roman" w:hAnsi="Times New Roman" w:eastAsia="Times-Roman" w:cs="Times New Roman"/>
                <w:color w:val="000000"/>
                <w:sz w:val="28"/>
                <w:szCs w:val="28"/>
                <w:lang w:val="ru-RU"/>
              </w:rPr>
              <w:t>NPLs</w:t>
            </w:r>
          </w:p>
        </w:tc>
        <w:tc>
          <w:tcPr>
            <w:tcW w:w="1276" w:type="dxa"/>
            <w:vAlign w:val="center"/>
          </w:tcPr>
          <w:p w14:paraId="2CAF3161">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0.896</w:t>
            </w:r>
          </w:p>
        </w:tc>
        <w:tc>
          <w:tcPr>
            <w:tcW w:w="1417" w:type="dxa"/>
            <w:vAlign w:val="center"/>
          </w:tcPr>
          <w:p w14:paraId="58060EF5">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0.557</w:t>
            </w:r>
          </w:p>
        </w:tc>
        <w:tc>
          <w:tcPr>
            <w:tcW w:w="976" w:type="dxa"/>
            <w:vAlign w:val="center"/>
          </w:tcPr>
          <w:p w14:paraId="7B78BA19">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1.078</w:t>
            </w:r>
          </w:p>
        </w:tc>
        <w:tc>
          <w:tcPr>
            <w:tcW w:w="1084" w:type="dxa"/>
            <w:vAlign w:val="center"/>
          </w:tcPr>
          <w:p w14:paraId="61883CE7">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1.042</w:t>
            </w:r>
          </w:p>
        </w:tc>
        <w:tc>
          <w:tcPr>
            <w:tcW w:w="1084" w:type="dxa"/>
            <w:vAlign w:val="center"/>
          </w:tcPr>
          <w:p w14:paraId="42955271">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1.666</w:t>
            </w:r>
          </w:p>
        </w:tc>
        <w:tc>
          <w:tcPr>
            <w:tcW w:w="814" w:type="dxa"/>
            <w:vAlign w:val="center"/>
          </w:tcPr>
          <w:p w14:paraId="7588A1CC">
            <w:pPr>
              <w:pStyle w:val="71"/>
              <w:widowControl/>
              <w:jc w:val="both"/>
              <w:rPr>
                <w:rFonts w:ascii="Times New Roman" w:hAnsi="Times New Roman" w:eastAsia="Times-Roman" w:cs="Times New Roman"/>
                <w:color w:val="EE0000"/>
                <w:sz w:val="28"/>
                <w:szCs w:val="28"/>
                <w:shd w:val="clear" w:color="auto" w:fill="FFFF00"/>
                <w:lang w:val="ru-RU"/>
              </w:rPr>
            </w:pPr>
            <w:r>
              <w:rPr>
                <w:rFonts w:ascii="Times New Roman" w:hAnsi="Times New Roman" w:eastAsia="Times-Roman" w:cs="Times New Roman"/>
                <w:color w:val="EE0000"/>
                <w:sz w:val="28"/>
                <w:szCs w:val="28"/>
                <w:shd w:val="clear" w:color="auto" w:fill="FFFF00"/>
                <w:lang w:val="ru-RU"/>
              </w:rPr>
              <w:t>0.096</w:t>
            </w:r>
          </w:p>
        </w:tc>
      </w:tr>
      <w:tr w14:paraId="7D095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1224" w:hRule="exact"/>
          <w:jc w:val="center"/>
        </w:trPr>
        <w:tc>
          <w:tcPr>
            <w:tcW w:w="1413" w:type="dxa"/>
            <w:vAlign w:val="center"/>
          </w:tcPr>
          <w:p w14:paraId="375A8635">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H4</w:t>
            </w:r>
          </w:p>
        </w:tc>
        <w:tc>
          <w:tcPr>
            <w:tcW w:w="2131" w:type="dxa"/>
            <w:vAlign w:val="center"/>
          </w:tcPr>
          <w:p w14:paraId="26DB7247">
            <w:pPr>
              <w:pStyle w:val="71"/>
              <w:widowControl/>
              <w:jc w:val="both"/>
              <w:rPr>
                <w:rFonts w:ascii="Times New Roman" w:hAnsi="Times New Roman" w:cs="Times New Roman"/>
                <w:sz w:val="28"/>
                <w:szCs w:val="28"/>
                <w:lang w:val="ru-RU"/>
              </w:rPr>
            </w:pPr>
            <w:r>
              <w:rPr>
                <w:rFonts w:ascii="Times New Roman" w:hAnsi="Times New Roman" w:eastAsia="Times-Roman" w:cs="Times New Roman"/>
                <w:color w:val="000000"/>
                <w:sz w:val="28"/>
                <w:szCs w:val="28"/>
                <w:lang w:val="ru-RU"/>
              </w:rPr>
              <w:t xml:space="preserve">M </w:t>
            </w:r>
            <w:r>
              <w:rPr>
                <w:rFonts w:ascii="Times New Roman" w:hAnsi="Times New Roman" w:eastAsia="Times-Roman" w:cs="Times New Roman"/>
                <w:color w:val="000000"/>
                <w:sz w:val="28"/>
                <w:szCs w:val="28"/>
                <w:shd w:val="clear" w:color="auto" w:fill="FFFF00"/>
                <w:lang w:val="ru-RU"/>
              </w:rPr>
              <w:t xml:space="preserve">-&gt; </w:t>
            </w:r>
            <w:r>
              <w:rPr>
                <w:rFonts w:ascii="Times New Roman" w:hAnsi="Times New Roman" w:eastAsia="Times-Roman" w:cs="Times New Roman"/>
                <w:color w:val="000000"/>
                <w:sz w:val="28"/>
                <w:szCs w:val="28"/>
                <w:lang w:val="ru-RU"/>
              </w:rPr>
              <w:t xml:space="preserve">Soc </w:t>
            </w:r>
            <w:r>
              <w:rPr>
                <w:rFonts w:ascii="Times New Roman" w:hAnsi="Times New Roman" w:eastAsia="Times-Roman" w:cs="Times New Roman"/>
                <w:color w:val="000000"/>
                <w:sz w:val="28"/>
                <w:szCs w:val="28"/>
                <w:shd w:val="clear" w:color="auto" w:fill="FFFF00"/>
                <w:lang w:val="ru-RU"/>
              </w:rPr>
              <w:t xml:space="preserve">-&gt; </w:t>
            </w:r>
            <w:r>
              <w:rPr>
                <w:rFonts w:ascii="Times New Roman" w:hAnsi="Times New Roman" w:eastAsia="Times-Roman" w:cs="Times New Roman"/>
                <w:color w:val="000000"/>
                <w:sz w:val="28"/>
                <w:szCs w:val="28"/>
                <w:lang w:val="ru-RU"/>
              </w:rPr>
              <w:t>NPLs</w:t>
            </w:r>
          </w:p>
        </w:tc>
        <w:tc>
          <w:tcPr>
            <w:tcW w:w="1276" w:type="dxa"/>
            <w:vAlign w:val="center"/>
          </w:tcPr>
          <w:p w14:paraId="4BBBCB29">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1.032</w:t>
            </w:r>
          </w:p>
        </w:tc>
        <w:tc>
          <w:tcPr>
            <w:tcW w:w="1417" w:type="dxa"/>
            <w:vAlign w:val="center"/>
          </w:tcPr>
          <w:p w14:paraId="7E6DB4AA">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0.994</w:t>
            </w:r>
          </w:p>
        </w:tc>
        <w:tc>
          <w:tcPr>
            <w:tcW w:w="976" w:type="dxa"/>
            <w:vAlign w:val="center"/>
          </w:tcPr>
          <w:p w14:paraId="51B8D69E">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1.066</w:t>
            </w:r>
          </w:p>
        </w:tc>
        <w:tc>
          <w:tcPr>
            <w:tcW w:w="1084" w:type="dxa"/>
            <w:vAlign w:val="center"/>
          </w:tcPr>
          <w:p w14:paraId="3B0E44CA">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0.915</w:t>
            </w:r>
          </w:p>
        </w:tc>
        <w:tc>
          <w:tcPr>
            <w:tcW w:w="1084" w:type="dxa"/>
            <w:vAlign w:val="center"/>
          </w:tcPr>
          <w:p w14:paraId="2D71C79C">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1.583</w:t>
            </w:r>
          </w:p>
        </w:tc>
        <w:tc>
          <w:tcPr>
            <w:tcW w:w="814" w:type="dxa"/>
            <w:vAlign w:val="center"/>
          </w:tcPr>
          <w:p w14:paraId="0103776E">
            <w:pPr>
              <w:pStyle w:val="71"/>
              <w:widowControl/>
              <w:jc w:val="both"/>
              <w:rPr>
                <w:rFonts w:ascii="Times New Roman" w:hAnsi="Times New Roman" w:eastAsia="Times-Roman" w:cs="Times New Roman"/>
                <w:color w:val="EE0000"/>
                <w:sz w:val="28"/>
                <w:szCs w:val="28"/>
                <w:lang w:val="ru-RU"/>
              </w:rPr>
            </w:pPr>
            <w:r>
              <w:rPr>
                <w:rFonts w:ascii="Times New Roman" w:hAnsi="Times New Roman" w:eastAsia="Times-Roman" w:cs="Times New Roman"/>
                <w:color w:val="EE0000"/>
                <w:sz w:val="28"/>
                <w:szCs w:val="28"/>
                <w:lang w:val="ru-RU"/>
              </w:rPr>
              <w:t>0.114</w:t>
            </w:r>
          </w:p>
        </w:tc>
      </w:tr>
    </w:tbl>
    <w:p w14:paraId="6B315449">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[144]</w:t>
      </w:r>
    </w:p>
    <w:p w14:paraId="5E7B54A7">
      <w:pPr>
        <w:spacing w:after="0" w:line="240" w:lineRule="auto"/>
        <w:ind w:firstLine="708"/>
        <w:jc w:val="both"/>
        <w:rPr>
          <w:rFonts w:ascii="Times New Roman" w:hAnsi="Times New Roman" w:eastAsia="Times-Roman" w:cs="Times New Roman"/>
          <w:color w:val="000000"/>
          <w:sz w:val="28"/>
          <w:szCs w:val="28"/>
        </w:rPr>
      </w:pPr>
    </w:p>
    <w:p w14:paraId="3C6B664E">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Структурная модель продемонстрировала несколько значимых и важных для политики взаимосвязей (Таблица 32).</w:t>
      </w:r>
    </w:p>
    <w:p w14:paraId="7F409DCB">
      <w:pPr>
        <w:spacing w:after="0" w:line="240" w:lineRule="auto"/>
        <w:jc w:val="both"/>
        <w:rPr>
          <w:rFonts w:ascii="Times New Roman" w:hAnsi="Times New Roman" w:eastAsia="Times-Roman" w:cs="Times New Roman"/>
          <w:color w:val="000000"/>
          <w:sz w:val="28"/>
          <w:szCs w:val="28"/>
        </w:rPr>
      </w:pPr>
    </w:p>
    <w:p w14:paraId="1F0836BE">
      <w:pPr>
        <w:spacing w:after="0" w:line="240" w:lineRule="auto"/>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Таблица 32 - Интерпретация полученных результатов алгоритма бутстрэпинга. </w:t>
      </w:r>
    </w:p>
    <w:p w14:paraId="1928E7CD">
      <w:pPr>
        <w:spacing w:after="0" w:line="240" w:lineRule="auto"/>
        <w:jc w:val="both"/>
        <w:rPr>
          <w:rFonts w:ascii="Times New Roman" w:hAnsi="Times New Roman" w:eastAsia="Times-Roman" w:cs="Times New Roman"/>
          <w:color w:val="000000"/>
          <w:sz w:val="28"/>
          <w:szCs w:val="28"/>
        </w:rPr>
      </w:pPr>
    </w:p>
    <w:tbl>
      <w:tblPr>
        <w:tblStyle w:val="7"/>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80" w:type="dxa"/>
          <w:bottom w:w="80" w:type="dxa"/>
          <w:right w:w="80" w:type="dxa"/>
        </w:tblCellMar>
      </w:tblPr>
      <w:tblGrid>
        <w:gridCol w:w="2263"/>
        <w:gridCol w:w="1276"/>
        <w:gridCol w:w="1559"/>
        <w:gridCol w:w="1276"/>
        <w:gridCol w:w="3119"/>
      </w:tblGrid>
      <w:tr w14:paraId="76884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1010" w:hRule="exact"/>
          <w:jc w:val="center"/>
        </w:trPr>
        <w:tc>
          <w:tcPr>
            <w:tcW w:w="2263" w:type="dxa"/>
            <w:vAlign w:val="center"/>
          </w:tcPr>
          <w:p w14:paraId="51514F9B">
            <w:pPr>
              <w:spacing w:after="0" w:line="240" w:lineRule="auto"/>
              <w:jc w:val="both"/>
              <w:rPr>
                <w:rFonts w:ascii="Times New Roman" w:hAnsi="Times New Roman" w:cs="Times New Roman"/>
                <w:sz w:val="28"/>
                <w:szCs w:val="28"/>
              </w:rPr>
            </w:pPr>
          </w:p>
        </w:tc>
        <w:tc>
          <w:tcPr>
            <w:tcW w:w="1276" w:type="dxa"/>
            <w:vAlign w:val="center"/>
          </w:tcPr>
          <w:p w14:paraId="3767C6A0">
            <w:pPr>
              <w:pStyle w:val="71"/>
              <w:widowControl/>
              <w:jc w:val="both"/>
              <w:rPr>
                <w:rFonts w:ascii="Times New Roman" w:hAnsi="Times New Roman" w:eastAsia="Times-Bold" w:cs="Times New Roman"/>
                <w:b/>
                <w:bCs/>
                <w:color w:val="000000"/>
                <w:sz w:val="28"/>
                <w:szCs w:val="28"/>
                <w:lang w:val="ru-RU"/>
              </w:rPr>
            </w:pPr>
            <w:r>
              <w:rPr>
                <w:rFonts w:ascii="Times New Roman" w:hAnsi="Times New Roman" w:eastAsia="Times-Bold" w:cs="Times New Roman"/>
                <w:b/>
                <w:bCs/>
                <w:color w:val="000000"/>
                <w:sz w:val="28"/>
                <w:szCs w:val="28"/>
                <w:lang w:val="ru-RU"/>
              </w:rPr>
              <w:t>β</w:t>
            </w:r>
          </w:p>
        </w:tc>
        <w:tc>
          <w:tcPr>
            <w:tcW w:w="1559" w:type="dxa"/>
            <w:vAlign w:val="center"/>
          </w:tcPr>
          <w:p w14:paraId="233BAF62">
            <w:pPr>
              <w:pStyle w:val="71"/>
              <w:widowControl/>
              <w:jc w:val="both"/>
              <w:rPr>
                <w:rFonts w:ascii="Times New Roman" w:hAnsi="Times New Roman" w:eastAsia="Times-Bold" w:cs="Times New Roman"/>
                <w:b/>
                <w:bCs/>
                <w:color w:val="000000"/>
                <w:sz w:val="28"/>
                <w:szCs w:val="28"/>
                <w:lang w:val="ru-RU"/>
              </w:rPr>
            </w:pPr>
            <w:r>
              <w:rPr>
                <w:rFonts w:ascii="Times New Roman" w:hAnsi="Times New Roman" w:eastAsia="Times-Bold" w:cs="Times New Roman"/>
                <w:b/>
                <w:bCs/>
                <w:color w:val="000000"/>
                <w:sz w:val="28"/>
                <w:szCs w:val="28"/>
                <w:lang w:val="ru-RU"/>
              </w:rPr>
              <w:t>T-статистика</w:t>
            </w:r>
          </w:p>
        </w:tc>
        <w:tc>
          <w:tcPr>
            <w:tcW w:w="1276" w:type="dxa"/>
            <w:vAlign w:val="center"/>
          </w:tcPr>
          <w:p w14:paraId="43C4127A">
            <w:pPr>
              <w:pStyle w:val="71"/>
              <w:widowControl/>
              <w:jc w:val="both"/>
              <w:rPr>
                <w:rFonts w:ascii="Times New Roman" w:hAnsi="Times New Roman" w:cs="Times New Roman"/>
                <w:sz w:val="28"/>
                <w:szCs w:val="28"/>
                <w:lang w:val="ru-RU"/>
              </w:rPr>
            </w:pPr>
            <w:r>
              <w:rPr>
                <w:rFonts w:ascii="Times New Roman" w:hAnsi="Times New Roman" w:eastAsia="Times-BoldItalic" w:cs="Times New Roman"/>
                <w:b/>
                <w:bCs/>
                <w:i/>
                <w:iCs/>
                <w:color w:val="000000"/>
                <w:sz w:val="28"/>
                <w:szCs w:val="28"/>
                <w:lang w:val="ru-RU"/>
              </w:rPr>
              <w:t>p</w:t>
            </w:r>
            <w:r>
              <w:rPr>
                <w:rFonts w:ascii="Times New Roman" w:hAnsi="Times New Roman" w:eastAsia="Times-BoldItalic" w:cs="Times New Roman"/>
                <w:b/>
                <w:bCs/>
                <w:color w:val="000000"/>
                <w:sz w:val="28"/>
                <w:szCs w:val="28"/>
                <w:lang w:val="ru-RU"/>
              </w:rPr>
              <w:t>-значения</w:t>
            </w:r>
          </w:p>
        </w:tc>
        <w:tc>
          <w:tcPr>
            <w:tcW w:w="3119" w:type="dxa"/>
            <w:vAlign w:val="center"/>
          </w:tcPr>
          <w:p w14:paraId="54059DEC">
            <w:pPr>
              <w:pStyle w:val="71"/>
              <w:widowControl/>
              <w:jc w:val="both"/>
              <w:rPr>
                <w:rFonts w:ascii="Times New Roman" w:hAnsi="Times New Roman" w:eastAsia="Times-Bold" w:cs="Times New Roman"/>
                <w:b/>
                <w:bCs/>
                <w:color w:val="000000"/>
                <w:sz w:val="28"/>
                <w:szCs w:val="28"/>
                <w:lang w:val="ru-RU"/>
              </w:rPr>
            </w:pPr>
            <w:r>
              <w:rPr>
                <w:rFonts w:ascii="Times New Roman" w:hAnsi="Times New Roman" w:eastAsia="Times-Bold" w:cs="Times New Roman"/>
                <w:b/>
                <w:bCs/>
                <w:color w:val="000000"/>
                <w:sz w:val="28"/>
                <w:szCs w:val="28"/>
                <w:lang w:val="ru-RU"/>
              </w:rPr>
              <w:t xml:space="preserve">Интерпретация </w:t>
            </w:r>
          </w:p>
        </w:tc>
      </w:tr>
      <w:tr w14:paraId="75067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1825" w:hRule="exact"/>
          <w:jc w:val="center"/>
        </w:trPr>
        <w:tc>
          <w:tcPr>
            <w:tcW w:w="2263" w:type="dxa"/>
            <w:vAlign w:val="center"/>
          </w:tcPr>
          <w:p w14:paraId="65B766D6">
            <w:pPr>
              <w:pStyle w:val="71"/>
              <w:widowControl/>
              <w:jc w:val="both"/>
              <w:rPr>
                <w:rFonts w:ascii="Times New Roman" w:hAnsi="Times New Roman" w:cs="Times New Roman"/>
                <w:sz w:val="28"/>
                <w:szCs w:val="28"/>
                <w:lang w:val="ru-RU"/>
              </w:rPr>
            </w:pPr>
            <w:r>
              <w:rPr>
                <w:rFonts w:ascii="Times New Roman" w:hAnsi="Times New Roman" w:eastAsia="Times-Roman" w:cs="Times New Roman"/>
                <w:color w:val="000000"/>
                <w:sz w:val="28"/>
                <w:szCs w:val="28"/>
                <w:lang w:val="ru-RU"/>
              </w:rPr>
              <w:t xml:space="preserve">M </w:t>
            </w:r>
            <w:r>
              <w:rPr>
                <w:rFonts w:ascii="Times New Roman" w:hAnsi="Times New Roman" w:eastAsia="Times-Roman" w:cs="Times New Roman"/>
                <w:color w:val="000000"/>
                <w:sz w:val="28"/>
                <w:szCs w:val="28"/>
                <w:shd w:val="clear" w:color="auto" w:fill="FFFF00"/>
                <w:lang w:val="ru-RU"/>
              </w:rPr>
              <w:t xml:space="preserve">-&gt; </w:t>
            </w:r>
            <w:r>
              <w:rPr>
                <w:rFonts w:ascii="Times New Roman" w:hAnsi="Times New Roman" w:eastAsia="Times-Roman" w:cs="Times New Roman"/>
                <w:color w:val="000000"/>
                <w:sz w:val="28"/>
                <w:szCs w:val="28"/>
                <w:lang w:val="ru-RU"/>
              </w:rPr>
              <w:t>NPLs</w:t>
            </w:r>
          </w:p>
        </w:tc>
        <w:tc>
          <w:tcPr>
            <w:tcW w:w="1276" w:type="dxa"/>
            <w:vAlign w:val="center"/>
          </w:tcPr>
          <w:p w14:paraId="47F119F3">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−0.800</w:t>
            </w:r>
          </w:p>
        </w:tc>
        <w:tc>
          <w:tcPr>
            <w:tcW w:w="1559" w:type="dxa"/>
            <w:vAlign w:val="center"/>
          </w:tcPr>
          <w:p w14:paraId="077D62F0">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9.729</w:t>
            </w:r>
          </w:p>
        </w:tc>
        <w:tc>
          <w:tcPr>
            <w:tcW w:w="1276" w:type="dxa"/>
            <w:vAlign w:val="center"/>
          </w:tcPr>
          <w:p w14:paraId="704934A0">
            <w:pPr>
              <w:pStyle w:val="71"/>
              <w:widowControl/>
              <w:jc w:val="both"/>
              <w:rPr>
                <w:rFonts w:ascii="Times New Roman" w:hAnsi="Times New Roman" w:eastAsia="Times-Roman" w:cs="Times New Roman"/>
                <w:color w:val="00B04F"/>
                <w:sz w:val="28"/>
                <w:szCs w:val="28"/>
                <w:shd w:val="clear" w:color="auto" w:fill="FFFF00"/>
                <w:lang w:val="ru-RU"/>
              </w:rPr>
            </w:pPr>
            <w:r>
              <w:rPr>
                <w:rFonts w:ascii="Times New Roman" w:hAnsi="Times New Roman" w:eastAsia="Times-Roman" w:cs="Times New Roman"/>
                <w:color w:val="00B04F"/>
                <w:sz w:val="28"/>
                <w:szCs w:val="28"/>
                <w:shd w:val="clear" w:color="auto" w:fill="FFFF00"/>
                <w:lang w:val="ru-RU"/>
              </w:rPr>
              <w:t>&lt;0.001</w:t>
            </w:r>
          </w:p>
        </w:tc>
        <w:tc>
          <w:tcPr>
            <w:tcW w:w="3119" w:type="dxa"/>
            <w:vAlign w:val="center"/>
          </w:tcPr>
          <w:p w14:paraId="4374DB1B">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Макроэкономические факторы значительно и отрицательно влияют на NPL.</w:t>
            </w:r>
          </w:p>
        </w:tc>
      </w:tr>
    </w:tbl>
    <w:p w14:paraId="0FB1B7C0">
      <w:pPr>
        <w:rPr>
          <w:rFonts w:ascii="Times New Roman" w:hAnsi="Times New Roman" w:cs="Times New Roman"/>
          <w:sz w:val="24"/>
          <w:szCs w:val="24"/>
        </w:rPr>
      </w:pPr>
    </w:p>
    <w:p w14:paraId="3080E997">
      <w:pPr>
        <w:rPr>
          <w:rFonts w:ascii="Times New Roman" w:hAnsi="Times New Roman" w:cs="Times New Roman"/>
          <w:sz w:val="24"/>
          <w:szCs w:val="24"/>
        </w:rPr>
      </w:pPr>
    </w:p>
    <w:p w14:paraId="31BA65DF">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Продолжение таблицы 32</w:t>
      </w:r>
    </w:p>
    <w:p w14:paraId="76B6FE10">
      <w:pPr>
        <w:spacing w:after="0" w:line="240" w:lineRule="auto"/>
      </w:pPr>
    </w:p>
    <w:tbl>
      <w:tblPr>
        <w:tblStyle w:val="7"/>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80" w:type="dxa"/>
          <w:bottom w:w="80" w:type="dxa"/>
          <w:right w:w="80" w:type="dxa"/>
        </w:tblCellMar>
      </w:tblPr>
      <w:tblGrid>
        <w:gridCol w:w="2263"/>
        <w:gridCol w:w="1276"/>
        <w:gridCol w:w="1559"/>
        <w:gridCol w:w="1276"/>
        <w:gridCol w:w="3119"/>
      </w:tblGrid>
      <w:tr w14:paraId="02C4D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2804" w:hRule="exact"/>
          <w:jc w:val="center"/>
        </w:trPr>
        <w:tc>
          <w:tcPr>
            <w:tcW w:w="2263" w:type="dxa"/>
            <w:vAlign w:val="center"/>
          </w:tcPr>
          <w:p w14:paraId="13935788">
            <w:pPr>
              <w:pStyle w:val="71"/>
              <w:widowControl/>
              <w:jc w:val="both"/>
              <w:rPr>
                <w:rFonts w:ascii="Times New Roman" w:hAnsi="Times New Roman" w:cs="Times New Roman"/>
                <w:sz w:val="28"/>
                <w:szCs w:val="28"/>
                <w:lang w:val="ru-RU"/>
              </w:rPr>
            </w:pPr>
            <w:r>
              <w:rPr>
                <w:rFonts w:ascii="Times New Roman" w:hAnsi="Times New Roman" w:eastAsia="Times-Roman" w:cs="Times New Roman"/>
                <w:color w:val="000000"/>
                <w:sz w:val="28"/>
                <w:szCs w:val="28"/>
                <w:lang w:val="ru-RU"/>
              </w:rPr>
              <w:t xml:space="preserve">M </w:t>
            </w:r>
            <w:r>
              <w:rPr>
                <w:rFonts w:ascii="Times New Roman" w:hAnsi="Times New Roman" w:eastAsia="Times-Roman" w:cs="Times New Roman"/>
                <w:color w:val="000000"/>
                <w:sz w:val="28"/>
                <w:szCs w:val="28"/>
                <w:shd w:val="clear" w:color="auto" w:fill="FFFF00"/>
                <w:lang w:val="ru-RU"/>
              </w:rPr>
              <w:t>-&gt;</w:t>
            </w:r>
            <w:r>
              <w:rPr>
                <w:rFonts w:ascii="Times New Roman" w:hAnsi="Times New Roman" w:eastAsia="Times-Roman" w:cs="Times New Roman"/>
                <w:color w:val="000000"/>
                <w:sz w:val="28"/>
                <w:szCs w:val="28"/>
                <w:lang w:val="ru-RU"/>
              </w:rPr>
              <w:t xml:space="preserve">F </w:t>
            </w:r>
            <w:r>
              <w:rPr>
                <w:rFonts w:ascii="Times New Roman" w:hAnsi="Times New Roman" w:eastAsia="Times-Roman" w:cs="Times New Roman"/>
                <w:color w:val="000000"/>
                <w:sz w:val="28"/>
                <w:szCs w:val="28"/>
                <w:shd w:val="clear" w:color="auto" w:fill="FFFF00"/>
                <w:lang w:val="ru-RU"/>
              </w:rPr>
              <w:t xml:space="preserve">-&gt; </w:t>
            </w:r>
            <w:r>
              <w:rPr>
                <w:rFonts w:ascii="Times New Roman" w:hAnsi="Times New Roman" w:eastAsia="Times-Roman" w:cs="Times New Roman"/>
                <w:color w:val="000000"/>
                <w:sz w:val="28"/>
                <w:szCs w:val="28"/>
                <w:lang w:val="ru-RU"/>
              </w:rPr>
              <w:t>NPLs</w:t>
            </w:r>
          </w:p>
        </w:tc>
        <w:tc>
          <w:tcPr>
            <w:tcW w:w="1276" w:type="dxa"/>
            <w:vAlign w:val="center"/>
          </w:tcPr>
          <w:p w14:paraId="1691BAAD">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−4.088</w:t>
            </w:r>
          </w:p>
        </w:tc>
        <w:tc>
          <w:tcPr>
            <w:tcW w:w="1559" w:type="dxa"/>
            <w:vAlign w:val="center"/>
          </w:tcPr>
          <w:p w14:paraId="6FB33026">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2.524</w:t>
            </w:r>
          </w:p>
        </w:tc>
        <w:tc>
          <w:tcPr>
            <w:tcW w:w="1276" w:type="dxa"/>
            <w:vAlign w:val="center"/>
          </w:tcPr>
          <w:p w14:paraId="484B0F93">
            <w:pPr>
              <w:pStyle w:val="71"/>
              <w:widowControl/>
              <w:jc w:val="both"/>
              <w:rPr>
                <w:rFonts w:ascii="Times New Roman" w:hAnsi="Times New Roman" w:eastAsia="Times-Roman" w:cs="Times New Roman"/>
                <w:color w:val="00B04F"/>
                <w:sz w:val="28"/>
                <w:szCs w:val="28"/>
                <w:lang w:val="ru-RU"/>
              </w:rPr>
            </w:pPr>
            <w:r>
              <w:rPr>
                <w:rFonts w:ascii="Times New Roman" w:hAnsi="Times New Roman" w:eastAsia="Times-Roman" w:cs="Times New Roman"/>
                <w:color w:val="00B04F"/>
                <w:sz w:val="28"/>
                <w:szCs w:val="28"/>
                <w:lang w:val="ru-RU"/>
              </w:rPr>
              <w:t>0.012</w:t>
            </w:r>
          </w:p>
        </w:tc>
        <w:tc>
          <w:tcPr>
            <w:tcW w:w="3119" w:type="dxa"/>
            <w:vAlign w:val="center"/>
          </w:tcPr>
          <w:p w14:paraId="02A1584B">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внешнеэкономические факторы выступают в качестве медиатора, усиливая отрицательное влияние макроэкономических факторов на NPL</w:t>
            </w:r>
          </w:p>
        </w:tc>
      </w:tr>
      <w:tr w14:paraId="22E0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2769" w:hRule="exact"/>
          <w:jc w:val="center"/>
        </w:trPr>
        <w:tc>
          <w:tcPr>
            <w:tcW w:w="2263" w:type="dxa"/>
            <w:vAlign w:val="center"/>
          </w:tcPr>
          <w:p w14:paraId="54CDCDA7">
            <w:pPr>
              <w:pStyle w:val="71"/>
              <w:widowControl/>
              <w:jc w:val="both"/>
              <w:rPr>
                <w:rFonts w:ascii="Times New Roman" w:hAnsi="Times New Roman" w:cs="Times New Roman"/>
                <w:sz w:val="28"/>
                <w:szCs w:val="28"/>
                <w:lang w:val="ru-RU"/>
              </w:rPr>
            </w:pPr>
            <w:r>
              <w:rPr>
                <w:rFonts w:ascii="Times New Roman" w:hAnsi="Times New Roman" w:eastAsia="Times-Roman" w:cs="Times New Roman"/>
                <w:color w:val="000000"/>
                <w:sz w:val="28"/>
                <w:szCs w:val="28"/>
                <w:lang w:val="ru-RU"/>
              </w:rPr>
              <w:t xml:space="preserve">M </w:t>
            </w:r>
            <w:r>
              <w:rPr>
                <w:rFonts w:ascii="Times New Roman" w:hAnsi="Times New Roman" w:eastAsia="Times-Roman" w:cs="Times New Roman"/>
                <w:color w:val="000000"/>
                <w:sz w:val="28"/>
                <w:szCs w:val="28"/>
                <w:shd w:val="clear" w:color="auto" w:fill="FFFF00"/>
                <w:lang w:val="ru-RU"/>
              </w:rPr>
              <w:t xml:space="preserve">-&gt; </w:t>
            </w:r>
            <w:r>
              <w:rPr>
                <w:rFonts w:ascii="Times New Roman" w:hAnsi="Times New Roman" w:eastAsia="Times-Roman" w:cs="Times New Roman"/>
                <w:color w:val="000000"/>
                <w:sz w:val="28"/>
                <w:szCs w:val="28"/>
                <w:lang w:val="ru-RU"/>
              </w:rPr>
              <w:t xml:space="preserve">S </w:t>
            </w:r>
            <w:r>
              <w:rPr>
                <w:rFonts w:ascii="Times New Roman" w:hAnsi="Times New Roman" w:eastAsia="Times-Roman" w:cs="Times New Roman"/>
                <w:color w:val="000000"/>
                <w:sz w:val="28"/>
                <w:szCs w:val="28"/>
                <w:shd w:val="clear" w:color="auto" w:fill="FFFF00"/>
                <w:lang w:val="ru-RU"/>
              </w:rPr>
              <w:t xml:space="preserve">-&gt; </w:t>
            </w:r>
            <w:r>
              <w:rPr>
                <w:rFonts w:ascii="Times New Roman" w:hAnsi="Times New Roman" w:eastAsia="Times-Roman" w:cs="Times New Roman"/>
                <w:color w:val="000000"/>
                <w:sz w:val="28"/>
                <w:szCs w:val="28"/>
                <w:lang w:val="ru-RU"/>
              </w:rPr>
              <w:t>NPLs</w:t>
            </w:r>
          </w:p>
        </w:tc>
        <w:tc>
          <w:tcPr>
            <w:tcW w:w="1276" w:type="dxa"/>
            <w:vAlign w:val="center"/>
          </w:tcPr>
          <w:p w14:paraId="765752C1">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0.896</w:t>
            </w:r>
          </w:p>
        </w:tc>
        <w:tc>
          <w:tcPr>
            <w:tcW w:w="1559" w:type="dxa"/>
            <w:vAlign w:val="center"/>
          </w:tcPr>
          <w:p w14:paraId="0F0EBF89">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1.666</w:t>
            </w:r>
          </w:p>
        </w:tc>
        <w:tc>
          <w:tcPr>
            <w:tcW w:w="1276" w:type="dxa"/>
            <w:vAlign w:val="center"/>
          </w:tcPr>
          <w:p w14:paraId="43D6A357">
            <w:pPr>
              <w:pStyle w:val="71"/>
              <w:widowControl/>
              <w:jc w:val="both"/>
              <w:rPr>
                <w:rFonts w:ascii="Times New Roman" w:hAnsi="Times New Roman" w:eastAsia="Times-Roman" w:cs="Times New Roman"/>
                <w:color w:val="EE0000"/>
                <w:sz w:val="28"/>
                <w:szCs w:val="28"/>
                <w:shd w:val="clear" w:color="auto" w:fill="FFFF00"/>
                <w:lang w:val="ru-RU"/>
              </w:rPr>
            </w:pPr>
            <w:r>
              <w:rPr>
                <w:rFonts w:ascii="Times New Roman" w:hAnsi="Times New Roman" w:eastAsia="Times-Roman" w:cs="Times New Roman"/>
                <w:color w:val="EE0000"/>
                <w:sz w:val="28"/>
                <w:szCs w:val="28"/>
                <w:shd w:val="clear" w:color="auto" w:fill="FFFF00"/>
                <w:lang w:val="ru-RU"/>
              </w:rPr>
              <w:t>0.096</w:t>
            </w:r>
          </w:p>
        </w:tc>
        <w:tc>
          <w:tcPr>
            <w:tcW w:w="3119" w:type="dxa"/>
            <w:vAlign w:val="center"/>
          </w:tcPr>
          <w:p w14:paraId="1C451FC4">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Сберегательные факторы не оказывают значимого опосредованного влияния на взаимосвязь между макроэкономическими факторами и NPL.</w:t>
            </w:r>
          </w:p>
        </w:tc>
      </w:tr>
      <w:tr w14:paraId="27AA5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027" w:hRule="exact"/>
          <w:jc w:val="center"/>
        </w:trPr>
        <w:tc>
          <w:tcPr>
            <w:tcW w:w="2263" w:type="dxa"/>
            <w:vAlign w:val="center"/>
          </w:tcPr>
          <w:p w14:paraId="1731D89F">
            <w:pPr>
              <w:pStyle w:val="71"/>
              <w:widowControl/>
              <w:jc w:val="both"/>
              <w:rPr>
                <w:rFonts w:ascii="Times New Roman" w:hAnsi="Times New Roman" w:cs="Times New Roman"/>
                <w:sz w:val="28"/>
                <w:szCs w:val="28"/>
                <w:lang w:val="ru-RU"/>
              </w:rPr>
            </w:pPr>
            <w:r>
              <w:rPr>
                <w:rFonts w:ascii="Times New Roman" w:hAnsi="Times New Roman" w:eastAsia="Times-Roman" w:cs="Times New Roman"/>
                <w:color w:val="000000"/>
                <w:sz w:val="28"/>
                <w:szCs w:val="28"/>
                <w:lang w:val="ru-RU"/>
              </w:rPr>
              <w:t xml:space="preserve">M </w:t>
            </w:r>
            <w:r>
              <w:rPr>
                <w:rFonts w:ascii="Times New Roman" w:hAnsi="Times New Roman" w:eastAsia="Times-Roman" w:cs="Times New Roman"/>
                <w:color w:val="000000"/>
                <w:sz w:val="28"/>
                <w:szCs w:val="28"/>
                <w:shd w:val="clear" w:color="auto" w:fill="FFFF00"/>
                <w:lang w:val="ru-RU"/>
              </w:rPr>
              <w:t xml:space="preserve">-&gt; </w:t>
            </w:r>
            <w:r>
              <w:rPr>
                <w:rFonts w:ascii="Times New Roman" w:hAnsi="Times New Roman" w:eastAsia="Times-Roman" w:cs="Times New Roman"/>
                <w:color w:val="000000"/>
                <w:sz w:val="28"/>
                <w:szCs w:val="28"/>
                <w:lang w:val="ru-RU"/>
              </w:rPr>
              <w:t xml:space="preserve">Soc </w:t>
            </w:r>
            <w:r>
              <w:rPr>
                <w:rFonts w:ascii="Times New Roman" w:hAnsi="Times New Roman" w:eastAsia="Times-Roman" w:cs="Times New Roman"/>
                <w:color w:val="000000"/>
                <w:sz w:val="28"/>
                <w:szCs w:val="28"/>
                <w:shd w:val="clear" w:color="auto" w:fill="FFFF00"/>
                <w:lang w:val="ru-RU"/>
              </w:rPr>
              <w:t xml:space="preserve">-&gt; </w:t>
            </w:r>
            <w:r>
              <w:rPr>
                <w:rFonts w:ascii="Times New Roman" w:hAnsi="Times New Roman" w:eastAsia="Times-Roman" w:cs="Times New Roman"/>
                <w:color w:val="000000"/>
                <w:sz w:val="28"/>
                <w:szCs w:val="28"/>
                <w:lang w:val="ru-RU"/>
              </w:rPr>
              <w:t>NPLs</w:t>
            </w:r>
          </w:p>
        </w:tc>
        <w:tc>
          <w:tcPr>
            <w:tcW w:w="1276" w:type="dxa"/>
            <w:vAlign w:val="center"/>
          </w:tcPr>
          <w:p w14:paraId="6E500E38">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1.032</w:t>
            </w:r>
          </w:p>
        </w:tc>
        <w:tc>
          <w:tcPr>
            <w:tcW w:w="1559" w:type="dxa"/>
            <w:vAlign w:val="center"/>
          </w:tcPr>
          <w:p w14:paraId="103E7EF8">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1.583</w:t>
            </w:r>
          </w:p>
        </w:tc>
        <w:tc>
          <w:tcPr>
            <w:tcW w:w="1276" w:type="dxa"/>
            <w:vAlign w:val="center"/>
          </w:tcPr>
          <w:p w14:paraId="4899B70D">
            <w:pPr>
              <w:pStyle w:val="71"/>
              <w:widowControl/>
              <w:jc w:val="both"/>
              <w:rPr>
                <w:rFonts w:ascii="Times New Roman" w:hAnsi="Times New Roman" w:eastAsia="Times-Roman" w:cs="Times New Roman"/>
                <w:color w:val="EE0000"/>
                <w:sz w:val="28"/>
                <w:szCs w:val="28"/>
                <w:lang w:val="ru-RU"/>
              </w:rPr>
            </w:pPr>
            <w:r>
              <w:rPr>
                <w:rFonts w:ascii="Times New Roman" w:hAnsi="Times New Roman" w:eastAsia="Times-Roman" w:cs="Times New Roman"/>
                <w:color w:val="EE0000"/>
                <w:sz w:val="28"/>
                <w:szCs w:val="28"/>
                <w:lang w:val="ru-RU"/>
              </w:rPr>
              <w:t>0.114</w:t>
            </w:r>
          </w:p>
        </w:tc>
        <w:tc>
          <w:tcPr>
            <w:tcW w:w="3119" w:type="dxa"/>
            <w:vAlign w:val="center"/>
          </w:tcPr>
          <w:p w14:paraId="4C104816">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Социальные факторы не оказывают значимого опосредованного влияния на взаимосвязь между макроэкономическими факторами и NPL.</w:t>
            </w:r>
          </w:p>
        </w:tc>
      </w:tr>
    </w:tbl>
    <w:p w14:paraId="4BCEF22C">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[144]</w:t>
      </w:r>
    </w:p>
    <w:p w14:paraId="5D2D52D5">
      <w:pPr>
        <w:spacing w:after="0" w:line="240" w:lineRule="auto"/>
        <w:ind w:firstLine="708"/>
        <w:jc w:val="both"/>
        <w:rPr>
          <w:rFonts w:ascii="Times New Roman" w:hAnsi="Times New Roman" w:eastAsia="Palatino Linotype" w:cs="Times New Roman"/>
          <w:color w:val="000000"/>
          <w:sz w:val="28"/>
          <w:szCs w:val="28"/>
        </w:rPr>
      </w:pPr>
    </w:p>
    <w:p w14:paraId="2ECF8ED8">
      <w:pPr>
        <w:spacing w:after="0" w:line="240" w:lineRule="auto"/>
        <w:ind w:firstLine="708"/>
        <w:jc w:val="both"/>
        <w:rPr>
          <w:rFonts w:ascii="Times New Roman" w:hAnsi="Times New Roman" w:eastAsia="Palatino Linotype" w:cs="Times New Roman"/>
          <w:color w:val="000000"/>
          <w:sz w:val="28"/>
          <w:szCs w:val="28"/>
        </w:rPr>
      </w:pPr>
      <w:r>
        <w:rPr>
          <w:rFonts w:ascii="Times New Roman" w:hAnsi="Times New Roman" w:eastAsia="Palatino Linotype" w:cs="Times New Roman"/>
          <w:color w:val="000000"/>
          <w:sz w:val="28"/>
          <w:szCs w:val="28"/>
        </w:rPr>
        <w:t>Как мы видим, макроэкономические факторы имеют сильную отрицательную связь со всеми независимыми переменными. Однако эти взаимосвязи в данном исследовании не важны, так как цель исследования не включает их определение; они служат только для расчета общего влияния на NPLs.</w:t>
      </w:r>
    </w:p>
    <w:p w14:paraId="6BA7C9A9">
      <w:pPr>
        <w:spacing w:after="0" w:line="240" w:lineRule="auto"/>
        <w:ind w:firstLine="708"/>
        <w:jc w:val="both"/>
        <w:rPr>
          <w:rFonts w:ascii="Times New Roman" w:hAnsi="Times New Roman" w:eastAsia="Palatino Linotype" w:cs="Times New Roman"/>
          <w:color w:val="000000"/>
          <w:sz w:val="28"/>
          <w:szCs w:val="28"/>
        </w:rPr>
      </w:pPr>
      <w:r>
        <w:rPr>
          <w:rFonts w:ascii="Times New Roman" w:hAnsi="Times New Roman" w:eastAsia="Palatino Linotype" w:cs="Times New Roman"/>
          <w:color w:val="000000"/>
          <w:sz w:val="28"/>
          <w:szCs w:val="28"/>
        </w:rPr>
        <w:t>Для данного исследования интерес представляют взаимосвязи между макроэкономическими факторами и NPLs напрямую и с медиаторной ролью других скрытых переменных.</w:t>
      </w:r>
    </w:p>
    <w:p w14:paraId="1EF04664">
      <w:pPr>
        <w:spacing w:after="0" w:line="240" w:lineRule="auto"/>
        <w:ind w:firstLine="708"/>
        <w:jc w:val="both"/>
        <w:rPr>
          <w:rFonts w:ascii="Times New Roman" w:hAnsi="Times New Roman" w:eastAsia="Palatino Linotype" w:cs="Times New Roman"/>
          <w:color w:val="000000"/>
          <w:sz w:val="28"/>
          <w:szCs w:val="28"/>
        </w:rPr>
      </w:pPr>
      <w:r>
        <w:rPr>
          <w:rFonts w:ascii="Times New Roman" w:hAnsi="Times New Roman" w:eastAsia="Palatino Linotype" w:cs="Times New Roman"/>
          <w:color w:val="000000"/>
          <w:sz w:val="28"/>
          <w:szCs w:val="28"/>
        </w:rPr>
        <w:t>В результате две из четырех выдвинутых гипотез не были отклонены, в то время как две были полностью отклонены. Основные выводы исследования представлены в таблице 33.</w:t>
      </w:r>
    </w:p>
    <w:p w14:paraId="02C936AF">
      <w:pPr>
        <w:spacing w:after="0" w:line="240" w:lineRule="auto"/>
        <w:ind w:firstLine="708"/>
        <w:jc w:val="both"/>
        <w:rPr>
          <w:rFonts w:ascii="Times New Roman" w:hAnsi="Times New Roman" w:eastAsia="Palatino Linotype" w:cs="Times New Roman"/>
          <w:color w:val="000000"/>
          <w:sz w:val="28"/>
          <w:szCs w:val="28"/>
        </w:rPr>
      </w:pPr>
    </w:p>
    <w:p w14:paraId="4F60F4CC">
      <w:pPr>
        <w:spacing w:after="0" w:line="240" w:lineRule="auto"/>
        <w:jc w:val="both"/>
        <w:rPr>
          <w:rFonts w:ascii="Times New Roman" w:hAnsi="Times New Roman" w:eastAsia="Palatino Linotype" w:cs="Times New Roman"/>
          <w:color w:val="000000"/>
          <w:sz w:val="28"/>
          <w:szCs w:val="28"/>
        </w:rPr>
      </w:pPr>
    </w:p>
    <w:p w14:paraId="7C438E91">
      <w:pPr>
        <w:spacing w:after="0" w:line="240" w:lineRule="auto"/>
        <w:jc w:val="both"/>
        <w:rPr>
          <w:rFonts w:ascii="Times New Roman" w:hAnsi="Times New Roman" w:eastAsia="Palatino Linotype" w:cs="Times New Roman"/>
          <w:color w:val="000000"/>
          <w:sz w:val="28"/>
          <w:szCs w:val="28"/>
        </w:rPr>
      </w:pPr>
      <w:r>
        <w:rPr>
          <w:rFonts w:ascii="Times New Roman" w:hAnsi="Times New Roman" w:eastAsia="Palatino Linotype" w:cs="Times New Roman"/>
          <w:color w:val="000000"/>
          <w:sz w:val="28"/>
          <w:szCs w:val="28"/>
        </w:rPr>
        <w:t xml:space="preserve">Таблица 33 – Взаимосвязь между макроэкономическими факторами и NPLs </w:t>
      </w:r>
    </w:p>
    <w:p w14:paraId="46C15D52">
      <w:pPr>
        <w:spacing w:after="0" w:line="240" w:lineRule="auto"/>
        <w:jc w:val="both"/>
        <w:rPr>
          <w:rFonts w:ascii="Times New Roman" w:hAnsi="Times New Roman" w:eastAsia="Times-Roman" w:cs="Times New Roman"/>
          <w:sz w:val="28"/>
          <w:szCs w:val="28"/>
          <w:shd w:val="clear" w:color="auto" w:fill="FFFF00"/>
        </w:rPr>
      </w:pPr>
    </w:p>
    <w:tbl>
      <w:tblPr>
        <w:tblStyle w:val="7"/>
        <w:tblW w:w="9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80" w:type="dxa"/>
          <w:bottom w:w="80" w:type="dxa"/>
          <w:right w:w="80" w:type="dxa"/>
        </w:tblCellMar>
      </w:tblPr>
      <w:tblGrid>
        <w:gridCol w:w="2127"/>
        <w:gridCol w:w="13"/>
        <w:gridCol w:w="1972"/>
        <w:gridCol w:w="11"/>
        <w:gridCol w:w="1406"/>
        <w:gridCol w:w="11"/>
        <w:gridCol w:w="1123"/>
        <w:gridCol w:w="11"/>
        <w:gridCol w:w="2688"/>
      </w:tblGrid>
      <w:tr w14:paraId="57D79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994" w:hRule="exact"/>
          <w:jc w:val="center"/>
        </w:trPr>
        <w:tc>
          <w:tcPr>
            <w:tcW w:w="2140" w:type="dxa"/>
            <w:gridSpan w:val="2"/>
            <w:vAlign w:val="center"/>
          </w:tcPr>
          <w:p w14:paraId="0325DAF3">
            <w:pPr>
              <w:pStyle w:val="71"/>
              <w:widowControl/>
              <w:rPr>
                <w:rFonts w:ascii="Times New Roman" w:hAnsi="Times New Roman" w:eastAsia="Times-Bold" w:cs="Times New Roman"/>
                <w:color w:val="000000"/>
                <w:sz w:val="28"/>
                <w:szCs w:val="28"/>
                <w:lang w:val="ru-RU"/>
              </w:rPr>
            </w:pPr>
            <w:r>
              <w:rPr>
                <w:rFonts w:ascii="Times New Roman" w:hAnsi="Times New Roman" w:eastAsia="Times-Roman" w:cs="Times New Roman"/>
                <w:color w:val="000000" w:themeColor="text1"/>
                <w:sz w:val="28"/>
                <w:szCs w:val="28"/>
                <w:shd w:val="clear" w:color="auto" w:fill="FFFF00"/>
                <w:lang w:val="ru-RU"/>
                <w14:textFill>
                  <w14:solidFill>
                    <w14:schemeClr w14:val="tx1"/>
                  </w14:solidFill>
                </w14:textFill>
              </w:rPr>
              <w:t xml:space="preserve"> </w:t>
            </w:r>
            <w:r>
              <w:rPr>
                <w:rFonts w:ascii="Times New Roman" w:hAnsi="Times New Roman" w:eastAsia="Times-Bold" w:cs="Times New Roman"/>
                <w:color w:val="000000"/>
                <w:sz w:val="28"/>
                <w:szCs w:val="28"/>
                <w:lang w:val="ru-RU"/>
              </w:rPr>
              <w:t xml:space="preserve">H-s </w:t>
            </w:r>
          </w:p>
        </w:tc>
        <w:tc>
          <w:tcPr>
            <w:tcW w:w="1983" w:type="dxa"/>
            <w:gridSpan w:val="2"/>
            <w:vAlign w:val="center"/>
          </w:tcPr>
          <w:p w14:paraId="5E4D4CAE">
            <w:pPr>
              <w:spacing w:after="0" w:line="240" w:lineRule="auto"/>
              <w:jc w:val="both"/>
              <w:rPr>
                <w:rFonts w:ascii="Times New Roman" w:hAnsi="Times New Roman" w:cs="Times New Roman"/>
                <w:sz w:val="28"/>
                <w:szCs w:val="28"/>
              </w:rPr>
            </w:pPr>
          </w:p>
        </w:tc>
        <w:tc>
          <w:tcPr>
            <w:tcW w:w="1417" w:type="dxa"/>
            <w:gridSpan w:val="2"/>
            <w:vAlign w:val="center"/>
          </w:tcPr>
          <w:p w14:paraId="56839617">
            <w:pPr>
              <w:pStyle w:val="71"/>
              <w:widowControl/>
              <w:jc w:val="both"/>
              <w:rPr>
                <w:rFonts w:ascii="Times New Roman" w:hAnsi="Times New Roman" w:cs="Times New Roman"/>
                <w:sz w:val="28"/>
                <w:szCs w:val="28"/>
                <w:lang w:val="ru-RU"/>
              </w:rPr>
            </w:pPr>
            <w:r>
              <w:rPr>
                <w:rFonts w:ascii="Times New Roman" w:hAnsi="Times New Roman" w:eastAsia="Times-Bold" w:cs="Times New Roman"/>
                <w:color w:val="000000"/>
                <w:sz w:val="28"/>
                <w:szCs w:val="28"/>
                <w:lang w:val="ru-RU"/>
              </w:rPr>
              <w:t>T-статистика</w:t>
            </w:r>
          </w:p>
        </w:tc>
        <w:tc>
          <w:tcPr>
            <w:tcW w:w="1134" w:type="dxa"/>
            <w:gridSpan w:val="2"/>
            <w:vAlign w:val="center"/>
          </w:tcPr>
          <w:p w14:paraId="1121C9E6">
            <w:pPr>
              <w:pStyle w:val="71"/>
              <w:widowControl/>
              <w:jc w:val="both"/>
              <w:rPr>
                <w:rFonts w:ascii="Times New Roman" w:hAnsi="Times New Roman" w:cs="Times New Roman"/>
                <w:sz w:val="28"/>
                <w:szCs w:val="28"/>
                <w:lang w:val="ru-RU"/>
              </w:rPr>
            </w:pPr>
            <w:r>
              <w:rPr>
                <w:rFonts w:ascii="Times New Roman" w:hAnsi="Times New Roman" w:eastAsia="Times-BoldItalic" w:cs="Times New Roman"/>
                <w:i/>
                <w:iCs/>
                <w:color w:val="000000"/>
                <w:sz w:val="28"/>
                <w:szCs w:val="28"/>
                <w:lang w:val="ru-RU"/>
              </w:rPr>
              <w:t>p-</w:t>
            </w:r>
            <w:r>
              <w:rPr>
                <w:rFonts w:ascii="Times New Roman" w:hAnsi="Times New Roman" w:eastAsia="Times-BoldItalic" w:cs="Times New Roman"/>
                <w:color w:val="000000"/>
                <w:sz w:val="28"/>
                <w:szCs w:val="28"/>
                <w:lang w:val="ru-RU"/>
              </w:rPr>
              <w:t>значения</w:t>
            </w:r>
          </w:p>
        </w:tc>
        <w:tc>
          <w:tcPr>
            <w:tcW w:w="2688" w:type="dxa"/>
            <w:vAlign w:val="center"/>
          </w:tcPr>
          <w:p w14:paraId="584B325A">
            <w:pPr>
              <w:pStyle w:val="71"/>
              <w:widowControl/>
              <w:jc w:val="both"/>
              <w:rPr>
                <w:rFonts w:ascii="Times New Roman" w:hAnsi="Times New Roman" w:eastAsia="Times-Bold" w:cs="Times New Roman"/>
                <w:color w:val="000000"/>
                <w:sz w:val="28"/>
                <w:szCs w:val="28"/>
                <w:lang w:val="ru-RU"/>
              </w:rPr>
            </w:pPr>
            <w:r>
              <w:rPr>
                <w:rFonts w:ascii="Times New Roman" w:hAnsi="Times New Roman" w:eastAsia="Times-Bold" w:cs="Times New Roman"/>
                <w:color w:val="000000"/>
                <w:sz w:val="28"/>
                <w:szCs w:val="28"/>
                <w:lang w:val="ru-RU"/>
              </w:rPr>
              <w:t>Результаты проверки гипотез</w:t>
            </w:r>
          </w:p>
        </w:tc>
      </w:tr>
      <w:tr w14:paraId="2ED38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999" w:hRule="exact"/>
          <w:jc w:val="center"/>
        </w:trPr>
        <w:tc>
          <w:tcPr>
            <w:tcW w:w="2140" w:type="dxa"/>
            <w:gridSpan w:val="2"/>
            <w:vAlign w:val="center"/>
          </w:tcPr>
          <w:p w14:paraId="03D1FDC5">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H1</w:t>
            </w:r>
          </w:p>
        </w:tc>
        <w:tc>
          <w:tcPr>
            <w:tcW w:w="1983" w:type="dxa"/>
            <w:gridSpan w:val="2"/>
            <w:vAlign w:val="center"/>
          </w:tcPr>
          <w:p w14:paraId="2A01220B">
            <w:pPr>
              <w:pStyle w:val="71"/>
              <w:widowControl/>
              <w:jc w:val="both"/>
              <w:rPr>
                <w:rFonts w:ascii="Times New Roman" w:hAnsi="Times New Roman" w:cs="Times New Roman"/>
                <w:sz w:val="28"/>
                <w:szCs w:val="28"/>
                <w:lang w:val="ru-RU"/>
              </w:rPr>
            </w:pPr>
            <w:r>
              <w:rPr>
                <w:rFonts w:ascii="Times New Roman" w:hAnsi="Times New Roman" w:eastAsia="Times-Roman" w:cs="Times New Roman"/>
                <w:color w:val="000000"/>
                <w:sz w:val="28"/>
                <w:szCs w:val="28"/>
                <w:lang w:val="ru-RU"/>
              </w:rPr>
              <w:t xml:space="preserve">M </w:t>
            </w:r>
            <w:r>
              <w:rPr>
                <w:rFonts w:ascii="Times New Roman" w:hAnsi="Times New Roman" w:eastAsia="Times-Roman" w:cs="Times New Roman"/>
                <w:color w:val="000000"/>
                <w:sz w:val="28"/>
                <w:szCs w:val="28"/>
                <w:shd w:val="clear" w:color="auto" w:fill="FFFF00"/>
                <w:lang w:val="ru-RU"/>
              </w:rPr>
              <w:t xml:space="preserve">-&gt; </w:t>
            </w:r>
            <w:r>
              <w:rPr>
                <w:rFonts w:ascii="Times New Roman" w:hAnsi="Times New Roman" w:eastAsia="Times-Roman" w:cs="Times New Roman"/>
                <w:color w:val="000000"/>
                <w:sz w:val="28"/>
                <w:szCs w:val="28"/>
                <w:lang w:val="ru-RU"/>
              </w:rPr>
              <w:t>NPLs</w:t>
            </w:r>
          </w:p>
        </w:tc>
        <w:tc>
          <w:tcPr>
            <w:tcW w:w="1417" w:type="dxa"/>
            <w:gridSpan w:val="2"/>
            <w:vAlign w:val="center"/>
          </w:tcPr>
          <w:p w14:paraId="0883D1AC">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9.729</w:t>
            </w:r>
          </w:p>
        </w:tc>
        <w:tc>
          <w:tcPr>
            <w:tcW w:w="1134" w:type="dxa"/>
            <w:gridSpan w:val="2"/>
            <w:vAlign w:val="center"/>
          </w:tcPr>
          <w:p w14:paraId="440F6683">
            <w:pPr>
              <w:pStyle w:val="71"/>
              <w:widowControl/>
              <w:jc w:val="both"/>
              <w:rPr>
                <w:rFonts w:ascii="Times New Roman" w:hAnsi="Times New Roman" w:eastAsia="Times-Roman" w:cs="Times New Roman"/>
                <w:color w:val="00B04F"/>
                <w:sz w:val="28"/>
                <w:szCs w:val="28"/>
                <w:shd w:val="clear" w:color="auto" w:fill="FFFF00"/>
                <w:lang w:val="ru-RU"/>
              </w:rPr>
            </w:pPr>
            <w:r>
              <w:rPr>
                <w:rFonts w:ascii="Times New Roman" w:hAnsi="Times New Roman" w:eastAsia="Times-Roman" w:cs="Times New Roman"/>
                <w:color w:val="00B04F"/>
                <w:sz w:val="28"/>
                <w:szCs w:val="28"/>
                <w:shd w:val="clear" w:color="auto" w:fill="FFFF00"/>
                <w:lang w:val="ru-RU"/>
              </w:rPr>
              <w:t>0.000</w:t>
            </w:r>
          </w:p>
        </w:tc>
        <w:tc>
          <w:tcPr>
            <w:tcW w:w="2688" w:type="dxa"/>
            <w:vAlign w:val="center"/>
          </w:tcPr>
          <w:p w14:paraId="1DDC7DD1">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Не отклонено (подтверждено)</w:t>
            </w:r>
          </w:p>
        </w:tc>
      </w:tr>
      <w:tr w14:paraId="3DF59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922" w:hRule="exact"/>
          <w:jc w:val="center"/>
        </w:trPr>
        <w:tc>
          <w:tcPr>
            <w:tcW w:w="2127" w:type="dxa"/>
            <w:vAlign w:val="center"/>
          </w:tcPr>
          <w:p w14:paraId="03E28D31">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H2</w:t>
            </w:r>
          </w:p>
        </w:tc>
        <w:tc>
          <w:tcPr>
            <w:tcW w:w="1985" w:type="dxa"/>
            <w:gridSpan w:val="2"/>
            <w:vAlign w:val="center"/>
          </w:tcPr>
          <w:p w14:paraId="254F4B52">
            <w:pPr>
              <w:pStyle w:val="71"/>
              <w:widowControl/>
              <w:jc w:val="both"/>
              <w:rPr>
                <w:rFonts w:ascii="Times New Roman" w:hAnsi="Times New Roman" w:cs="Times New Roman"/>
                <w:sz w:val="28"/>
                <w:szCs w:val="28"/>
                <w:lang w:val="ru-RU"/>
              </w:rPr>
            </w:pPr>
            <w:r>
              <w:rPr>
                <w:rFonts w:ascii="Times New Roman" w:hAnsi="Times New Roman" w:eastAsia="Times-Roman" w:cs="Times New Roman"/>
                <w:color w:val="000000"/>
                <w:sz w:val="28"/>
                <w:szCs w:val="28"/>
                <w:lang w:val="ru-RU"/>
              </w:rPr>
              <w:t xml:space="preserve">M </w:t>
            </w:r>
            <w:r>
              <w:rPr>
                <w:rFonts w:ascii="Times New Roman" w:hAnsi="Times New Roman" w:eastAsia="Times-Roman" w:cs="Times New Roman"/>
                <w:color w:val="000000"/>
                <w:sz w:val="28"/>
                <w:szCs w:val="28"/>
                <w:shd w:val="clear" w:color="auto" w:fill="FFFF00"/>
                <w:lang w:val="ru-RU"/>
              </w:rPr>
              <w:t>-&gt;</w:t>
            </w:r>
            <w:r>
              <w:rPr>
                <w:rFonts w:ascii="Times New Roman" w:hAnsi="Times New Roman" w:eastAsia="Times-Roman" w:cs="Times New Roman"/>
                <w:color w:val="000000"/>
                <w:sz w:val="28"/>
                <w:szCs w:val="28"/>
                <w:lang w:val="ru-RU"/>
              </w:rPr>
              <w:t xml:space="preserve"> F </w:t>
            </w:r>
            <w:r>
              <w:rPr>
                <w:rFonts w:ascii="Times New Roman" w:hAnsi="Times New Roman" w:eastAsia="Times-Roman" w:cs="Times New Roman"/>
                <w:color w:val="000000"/>
                <w:sz w:val="28"/>
                <w:szCs w:val="28"/>
                <w:shd w:val="clear" w:color="auto" w:fill="FFFF00"/>
                <w:lang w:val="ru-RU"/>
              </w:rPr>
              <w:t xml:space="preserve">-&gt; </w:t>
            </w:r>
            <w:r>
              <w:rPr>
                <w:rFonts w:ascii="Times New Roman" w:hAnsi="Times New Roman" w:eastAsia="Times-Roman" w:cs="Times New Roman"/>
                <w:color w:val="000000"/>
                <w:sz w:val="28"/>
                <w:szCs w:val="28"/>
                <w:lang w:val="ru-RU"/>
              </w:rPr>
              <w:t>NPLs</w:t>
            </w:r>
          </w:p>
        </w:tc>
        <w:tc>
          <w:tcPr>
            <w:tcW w:w="1417" w:type="dxa"/>
            <w:gridSpan w:val="2"/>
            <w:vAlign w:val="center"/>
          </w:tcPr>
          <w:p w14:paraId="6E095D4E">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2.524</w:t>
            </w:r>
          </w:p>
        </w:tc>
        <w:tc>
          <w:tcPr>
            <w:tcW w:w="1134" w:type="dxa"/>
            <w:gridSpan w:val="2"/>
            <w:vAlign w:val="center"/>
          </w:tcPr>
          <w:p w14:paraId="784D7557">
            <w:pPr>
              <w:pStyle w:val="71"/>
              <w:widowControl/>
              <w:jc w:val="both"/>
              <w:rPr>
                <w:rFonts w:ascii="Times New Roman" w:hAnsi="Times New Roman" w:eastAsia="Times-Roman" w:cs="Times New Roman"/>
                <w:color w:val="00B04F"/>
                <w:sz w:val="28"/>
                <w:szCs w:val="28"/>
                <w:lang w:val="ru-RU"/>
              </w:rPr>
            </w:pPr>
            <w:r>
              <w:rPr>
                <w:rFonts w:ascii="Times New Roman" w:hAnsi="Times New Roman" w:eastAsia="Times-Roman" w:cs="Times New Roman"/>
                <w:color w:val="00B04F"/>
                <w:sz w:val="28"/>
                <w:szCs w:val="28"/>
                <w:lang w:val="ru-RU"/>
              </w:rPr>
              <w:t>0.012</w:t>
            </w:r>
          </w:p>
        </w:tc>
        <w:tc>
          <w:tcPr>
            <w:tcW w:w="2699" w:type="dxa"/>
            <w:gridSpan w:val="2"/>
            <w:vAlign w:val="center"/>
          </w:tcPr>
          <w:p w14:paraId="4E9B7C1F">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Не отклонено (подтверждено)</w:t>
            </w:r>
          </w:p>
        </w:tc>
      </w:tr>
      <w:tr w14:paraId="5E1FA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25" w:hRule="exact"/>
          <w:jc w:val="center"/>
        </w:trPr>
        <w:tc>
          <w:tcPr>
            <w:tcW w:w="2127" w:type="dxa"/>
            <w:vAlign w:val="center"/>
          </w:tcPr>
          <w:p w14:paraId="10FA29B4">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H3</w:t>
            </w:r>
          </w:p>
        </w:tc>
        <w:tc>
          <w:tcPr>
            <w:tcW w:w="1985" w:type="dxa"/>
            <w:gridSpan w:val="2"/>
            <w:vAlign w:val="center"/>
          </w:tcPr>
          <w:p w14:paraId="681EABCA">
            <w:pPr>
              <w:pStyle w:val="71"/>
              <w:widowControl/>
              <w:jc w:val="both"/>
              <w:rPr>
                <w:rFonts w:ascii="Times New Roman" w:hAnsi="Times New Roman" w:cs="Times New Roman"/>
                <w:sz w:val="28"/>
                <w:szCs w:val="28"/>
                <w:lang w:val="ru-RU"/>
              </w:rPr>
            </w:pPr>
            <w:r>
              <w:rPr>
                <w:rFonts w:ascii="Times New Roman" w:hAnsi="Times New Roman" w:eastAsia="Times-Roman" w:cs="Times New Roman"/>
                <w:color w:val="000000"/>
                <w:sz w:val="28"/>
                <w:szCs w:val="28"/>
                <w:lang w:val="ru-RU"/>
              </w:rPr>
              <w:t xml:space="preserve">M </w:t>
            </w:r>
            <w:r>
              <w:rPr>
                <w:rFonts w:ascii="Times New Roman" w:hAnsi="Times New Roman" w:eastAsia="Times-Roman" w:cs="Times New Roman"/>
                <w:color w:val="000000"/>
                <w:sz w:val="28"/>
                <w:szCs w:val="28"/>
                <w:shd w:val="clear" w:color="auto" w:fill="FFFF00"/>
                <w:lang w:val="ru-RU"/>
              </w:rPr>
              <w:t xml:space="preserve">-&gt; </w:t>
            </w:r>
            <w:r>
              <w:rPr>
                <w:rFonts w:ascii="Times New Roman" w:hAnsi="Times New Roman" w:eastAsia="Times-Roman" w:cs="Times New Roman"/>
                <w:color w:val="000000"/>
                <w:sz w:val="28"/>
                <w:szCs w:val="28"/>
                <w:lang w:val="ru-RU"/>
              </w:rPr>
              <w:t xml:space="preserve">S </w:t>
            </w:r>
            <w:r>
              <w:rPr>
                <w:rFonts w:ascii="Times New Roman" w:hAnsi="Times New Roman" w:eastAsia="Times-Roman" w:cs="Times New Roman"/>
                <w:color w:val="000000"/>
                <w:sz w:val="28"/>
                <w:szCs w:val="28"/>
                <w:shd w:val="clear" w:color="auto" w:fill="FFFF00"/>
                <w:lang w:val="ru-RU"/>
              </w:rPr>
              <w:t xml:space="preserve">-&gt; </w:t>
            </w:r>
            <w:r>
              <w:rPr>
                <w:rFonts w:ascii="Times New Roman" w:hAnsi="Times New Roman" w:eastAsia="Times-Roman" w:cs="Times New Roman"/>
                <w:color w:val="000000"/>
                <w:sz w:val="28"/>
                <w:szCs w:val="28"/>
                <w:lang w:val="ru-RU"/>
              </w:rPr>
              <w:t>NPLs</w:t>
            </w:r>
          </w:p>
        </w:tc>
        <w:tc>
          <w:tcPr>
            <w:tcW w:w="1417" w:type="dxa"/>
            <w:gridSpan w:val="2"/>
            <w:vAlign w:val="center"/>
          </w:tcPr>
          <w:p w14:paraId="7BB15692">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1.666</w:t>
            </w:r>
          </w:p>
        </w:tc>
        <w:tc>
          <w:tcPr>
            <w:tcW w:w="1134" w:type="dxa"/>
            <w:gridSpan w:val="2"/>
            <w:vAlign w:val="center"/>
          </w:tcPr>
          <w:p w14:paraId="5D531859">
            <w:pPr>
              <w:pStyle w:val="71"/>
              <w:widowControl/>
              <w:jc w:val="both"/>
              <w:rPr>
                <w:rFonts w:ascii="Times New Roman" w:hAnsi="Times New Roman" w:eastAsia="Times-Roman" w:cs="Times New Roman"/>
                <w:color w:val="EE0000"/>
                <w:sz w:val="28"/>
                <w:szCs w:val="28"/>
                <w:shd w:val="clear" w:color="auto" w:fill="FFFF00"/>
                <w:lang w:val="ru-RU"/>
              </w:rPr>
            </w:pPr>
            <w:r>
              <w:rPr>
                <w:rFonts w:ascii="Times New Roman" w:hAnsi="Times New Roman" w:eastAsia="Times-Roman" w:cs="Times New Roman"/>
                <w:color w:val="EE0000"/>
                <w:sz w:val="28"/>
                <w:szCs w:val="28"/>
                <w:shd w:val="clear" w:color="auto" w:fill="FFFF00"/>
                <w:lang w:val="ru-RU"/>
              </w:rPr>
              <w:t>0.096</w:t>
            </w:r>
          </w:p>
        </w:tc>
        <w:tc>
          <w:tcPr>
            <w:tcW w:w="2699" w:type="dxa"/>
            <w:gridSpan w:val="2"/>
            <w:vAlign w:val="center"/>
          </w:tcPr>
          <w:p w14:paraId="57D9EB2B">
            <w:pPr>
              <w:pStyle w:val="71"/>
              <w:widowControl/>
              <w:jc w:val="both"/>
              <w:rPr>
                <w:rFonts w:ascii="Times New Roman" w:hAnsi="Times New Roman" w:cs="Times New Roman"/>
                <w:sz w:val="28"/>
                <w:szCs w:val="28"/>
                <w:lang w:val="ru-RU"/>
              </w:rPr>
            </w:pPr>
            <w:r>
              <w:rPr>
                <w:rFonts w:ascii="Times New Roman" w:hAnsi="Times New Roman" w:eastAsia="Times-Roman" w:cs="Times New Roman"/>
                <w:color w:val="000000"/>
                <w:sz w:val="28"/>
                <w:szCs w:val="28"/>
                <w:lang w:val="ru-RU"/>
              </w:rPr>
              <w:t xml:space="preserve">Отклонено </w:t>
            </w:r>
          </w:p>
        </w:tc>
      </w:tr>
      <w:tr w14:paraId="5EB83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493" w:hRule="exact"/>
          <w:jc w:val="center"/>
        </w:trPr>
        <w:tc>
          <w:tcPr>
            <w:tcW w:w="2127" w:type="dxa"/>
            <w:vAlign w:val="center"/>
          </w:tcPr>
          <w:p w14:paraId="0028DF0D">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H4</w:t>
            </w:r>
          </w:p>
        </w:tc>
        <w:tc>
          <w:tcPr>
            <w:tcW w:w="1985" w:type="dxa"/>
            <w:gridSpan w:val="2"/>
            <w:vAlign w:val="center"/>
          </w:tcPr>
          <w:p w14:paraId="3B01AC92">
            <w:pPr>
              <w:pStyle w:val="71"/>
              <w:widowControl/>
              <w:jc w:val="both"/>
              <w:rPr>
                <w:rFonts w:ascii="Times New Roman" w:hAnsi="Times New Roman" w:cs="Times New Roman"/>
                <w:sz w:val="28"/>
                <w:szCs w:val="28"/>
                <w:lang w:val="ru-RU"/>
              </w:rPr>
            </w:pPr>
            <w:r>
              <w:rPr>
                <w:rFonts w:ascii="Times New Roman" w:hAnsi="Times New Roman" w:eastAsia="Times-Roman" w:cs="Times New Roman"/>
                <w:color w:val="000000"/>
                <w:sz w:val="28"/>
                <w:szCs w:val="28"/>
                <w:lang w:val="ru-RU"/>
              </w:rPr>
              <w:t xml:space="preserve">M </w:t>
            </w:r>
            <w:r>
              <w:rPr>
                <w:rFonts w:ascii="Times New Roman" w:hAnsi="Times New Roman" w:eastAsia="Times-Roman" w:cs="Times New Roman"/>
                <w:color w:val="000000"/>
                <w:sz w:val="28"/>
                <w:szCs w:val="28"/>
                <w:shd w:val="clear" w:color="auto" w:fill="FFFF00"/>
                <w:lang w:val="ru-RU"/>
              </w:rPr>
              <w:t xml:space="preserve">-&gt; </w:t>
            </w:r>
            <w:r>
              <w:rPr>
                <w:rFonts w:ascii="Times New Roman" w:hAnsi="Times New Roman" w:eastAsia="Times-Roman" w:cs="Times New Roman"/>
                <w:color w:val="000000"/>
                <w:sz w:val="28"/>
                <w:szCs w:val="28"/>
                <w:lang w:val="ru-RU"/>
              </w:rPr>
              <w:t xml:space="preserve">Soc </w:t>
            </w:r>
            <w:r>
              <w:rPr>
                <w:rFonts w:ascii="Times New Roman" w:hAnsi="Times New Roman" w:eastAsia="Times-Roman" w:cs="Times New Roman"/>
                <w:color w:val="000000"/>
                <w:sz w:val="28"/>
                <w:szCs w:val="28"/>
                <w:shd w:val="clear" w:color="auto" w:fill="FFFF00"/>
                <w:lang w:val="ru-RU"/>
              </w:rPr>
              <w:t xml:space="preserve">-&gt; </w:t>
            </w:r>
            <w:r>
              <w:rPr>
                <w:rFonts w:ascii="Times New Roman" w:hAnsi="Times New Roman" w:eastAsia="Times-Roman" w:cs="Times New Roman"/>
                <w:color w:val="000000"/>
                <w:sz w:val="28"/>
                <w:szCs w:val="28"/>
                <w:lang w:val="ru-RU"/>
              </w:rPr>
              <w:t>NPLs</w:t>
            </w:r>
          </w:p>
        </w:tc>
        <w:tc>
          <w:tcPr>
            <w:tcW w:w="1417" w:type="dxa"/>
            <w:gridSpan w:val="2"/>
            <w:vAlign w:val="center"/>
          </w:tcPr>
          <w:p w14:paraId="4A463561">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1.583</w:t>
            </w:r>
          </w:p>
        </w:tc>
        <w:tc>
          <w:tcPr>
            <w:tcW w:w="1134" w:type="dxa"/>
            <w:gridSpan w:val="2"/>
            <w:vAlign w:val="center"/>
          </w:tcPr>
          <w:p w14:paraId="027AB863">
            <w:pPr>
              <w:pStyle w:val="71"/>
              <w:widowControl/>
              <w:jc w:val="both"/>
              <w:rPr>
                <w:rFonts w:ascii="Times New Roman" w:hAnsi="Times New Roman" w:eastAsia="Times-Roman" w:cs="Times New Roman"/>
                <w:color w:val="EE0000"/>
                <w:sz w:val="28"/>
                <w:szCs w:val="28"/>
                <w:lang w:val="ru-RU"/>
              </w:rPr>
            </w:pPr>
            <w:r>
              <w:rPr>
                <w:rFonts w:ascii="Times New Roman" w:hAnsi="Times New Roman" w:eastAsia="Times-Roman" w:cs="Times New Roman"/>
                <w:color w:val="EE0000"/>
                <w:sz w:val="28"/>
                <w:szCs w:val="28"/>
                <w:lang w:val="ru-RU"/>
              </w:rPr>
              <w:t>0.114</w:t>
            </w:r>
          </w:p>
        </w:tc>
        <w:tc>
          <w:tcPr>
            <w:tcW w:w="2699" w:type="dxa"/>
            <w:gridSpan w:val="2"/>
            <w:vAlign w:val="center"/>
          </w:tcPr>
          <w:p w14:paraId="390061E4">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Отклонено</w:t>
            </w:r>
          </w:p>
        </w:tc>
      </w:tr>
    </w:tbl>
    <w:p w14:paraId="5D070DF1">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[144]</w:t>
      </w:r>
    </w:p>
    <w:p w14:paraId="72AEC451">
      <w:pPr>
        <w:spacing w:after="0" w:line="240" w:lineRule="auto"/>
        <w:rPr>
          <w:rFonts w:ascii="Times New Roman" w:hAnsi="Times New Roman" w:eastAsia="Times-Bold" w:cs="Times New Roman"/>
          <w:b/>
          <w:bCs/>
          <w:color w:val="000000"/>
          <w:sz w:val="28"/>
          <w:szCs w:val="28"/>
        </w:rPr>
      </w:pPr>
    </w:p>
    <w:p w14:paraId="35AE5B9A">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Результаты исследования показывают, что экономика Казахстана ведет себя так же, как и экономики других стран, в отношении влияния макроэкономики на NPL. </w:t>
      </w:r>
    </w:p>
    <w:p w14:paraId="7CFCE64D">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Развитие национальной экономики имеет значительную обратную зависимость с NPL: β = -0,800, T-статистика 9,729, p-значение &lt;0,001. Несмотря на то, что взаимосвязи между экономикой Казахстана и NPL не были широко оценены в академических статьях, что было одной из мотиваций для проведения этого исследования, мы предполагаем, что в отношении макроэкономического влияния на NPL можно полагаться на результаты оценок других стран академическим сообществом. </w:t>
      </w:r>
    </w:p>
    <w:p w14:paraId="0D1C237E">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Кроме того, исследование показывает отрицательную зависимость макроэкономических факторов от NPL с посредничеством внешнеэкономических факторов (β = -4,088, T-статистика 2,524, p-значение 0,012). Это доказывает, что внешнеэкономические факторы работают как медиатор и усиливают влияние макроэкономических факторов на NPL. </w:t>
      </w:r>
    </w:p>
    <w:p w14:paraId="0B8A54A5">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Медиатор усиливает влияние независимой переменной. Количество NPL резко возрастает, когда экономический рост сочетается с ростом доли кредитов в иностранной валюте или снижением стоимости национальной валюты. С другой стороны, неподтвержденные гипотезы проявляются иначе.</w:t>
      </w:r>
    </w:p>
    <w:p w14:paraId="54DDF670">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Исследование показывает, что влияние макроэкономических факторов на NPL с посредничеством сберегательных факторов является положительным, как показывают результаты общего эффекта, но это влияние незначительно. Другие результаты исследования показывают, что влияние сберегательных факторов на NPL является значительным, но, когда они используются в качестве медиатора для макроэкономических факторов, значимость эффекта исчезает.</w:t>
      </w:r>
    </w:p>
    <w:p w14:paraId="6243FEE0">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Экономический рост обычно приводит к инфляции, которая в стабильной ситуации составляет не более 3-5%, и к увеличению расходов домохозяйств и предприятий, в то время как их сбережения значительно не растут. В то же время способность финансовой системы предоставлять кредиты может быть ограничена в период быстрого роста экономики, что, естественно, увеличивает цену кредитования — процентную ставку. </w:t>
      </w:r>
    </w:p>
    <w:p w14:paraId="6595CF8F">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В этой ситуации спрос на кредиты снижается, и привычки граждан переключаются на сбережения, увеличивая депозиты домохозяйств и предприятий в коммерческих банках. Учитывая вышесказанное, мы можем предположить, что сберегательные факторы могут компенсировать или ослабить влияние экономического роста на NPL несмотря на то, что экономический рост обычно снижает NPL, рост сбережений и снижение заимствований могут уменьшить негативный эффект. </w:t>
      </w:r>
    </w:p>
    <w:p w14:paraId="3F488847">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Аналогично, социальные факторы, такие как индекс Джини и квинтильный коэффициент, представляющие неравенство доходов, могут действовать как уравновешивающая сила. Тем не менее, растущая экономика и рост неравенства доходов могут снизить способность большой группы граждан покрывать свои кредиты. Это может создать давление в противоположном направлении, что потенциально может увеличить NPL и ослабить улучшающий положительный эффект макроэкономических факторов.</w:t>
      </w:r>
    </w:p>
    <w:p w14:paraId="5CA0D1C6">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Таким образом, сберегательные и социальные факторы в Казахстане могут иметь нейтрализующее влияние из-за перехода привычек домохозяйств и предприятий от заимствований к сбережениям и увеличения неравенства доходов. Очень важно понимать эффекты посредничества различных факторов на NPL. Лица, принимающие решения, традиционно пытаются обеспечить устойчивость финансового сектора, используя только финансовые инструменты. Однако это исследование, наряду с исследованиями других ученых, показывает, что абсолютно необходимо учитывать другие факторы национальной экономики, и эффекты посредничества позволяют значительно изменить ситуацию без прямого воздействия на финансовый сектор. Это дает правительствам развивающихся стран определенную гибкость в обеспечении устойчивости финансового сектора.</w:t>
      </w:r>
    </w:p>
    <w:p w14:paraId="209C8BCC">
      <w:pPr>
        <w:spacing w:after="0" w:line="240" w:lineRule="auto"/>
        <w:rPr>
          <w:rFonts w:ascii="Times New Roman" w:hAnsi="Times New Roman" w:cs="Times New Roman"/>
          <w:sz w:val="28"/>
          <w:szCs w:val="28"/>
        </w:rPr>
      </w:pPr>
    </w:p>
    <w:p w14:paraId="30ABD60B">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Полученные результаты имеют серьезные практические последствия. Их можно применить для регулирования процессов в финансовой системе Казахстана. Полученные результаты важны для политиков, финансовых регуляторов и банковских учреждений в Казахстане и, возможно, в аналогичных экономиках. Согласно выводам исследования, макроэкономическая стабильность снижает NPL, и любое улучшение макроэкономических условий приводит к снижению NPL. </w:t>
      </w:r>
    </w:p>
    <w:p w14:paraId="4B3F4208">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Таким образом, сосредоточение внимания на поддержании макроэкономической стабильности может служить ключевой стратегией для улучшения состояния финансовой системы. Стабильная экономическая система может снизить кредитный риск и повысить способность к погашению кредитов. Политики в Казахстане могут использовать эти выводы для определения приоритетов устойчивого экономического роста и макроэкономической дисциплины как инструментов для снижения кредитного риска в банковском секторе. </w:t>
      </w:r>
    </w:p>
    <w:p w14:paraId="54D5052C">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Внешние (внешнеэкономические) факторы, такие как стабильность обменного курса и уровень государственного долга, усиливают влияние макроэкономических факторов на NPL за счет интенсификации обратных взаимосвязей между макроэкономическими показателями и NPL. Уровень проблемных кредитов (NPL) значительно возрастает, когда экономический рост совпадает с увеличением кредитов, номинированных в иностранной валюте, или с обесцениванием местной валюты. Таким образом, финансовые регуляторы и банки могут снизить риски в национальной финансовой системе, отслеживая и управляя подверженностью внешним экономическим шокам.</w:t>
      </w:r>
    </w:p>
    <w:p w14:paraId="0B3441C7">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Управление внешней уязвимостью, например, минимизация чрезмерного кредитования в иностранной валюте и поддержание сбалансированного профиля государственного долга, может еще больше снизить риск роста NPL. Сберегательное поведение, такое как депозиты домохозяйств или остатки на счетах, не опосредует взаимосвязь между макроэкономическими показателями и NPL. Более того, обратный эффект макроэкономических факторов на NPL нивелируется этими сберегательными факторами. Таким образом, политики должны помнить, что, хотя поощрение сбережений важно для финансовой стабильности, оно может не напрямую смягчать влияние макроэкономических спадов на NPL. </w:t>
      </w:r>
    </w:p>
    <w:p w14:paraId="6ECC2C22">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Таким образом, политика, сосредоточенная только на сбережениях, может быть недостаточной для снижения кредитного риска во время экономических спадов. Таким образом, отвергнутые гипотезы еще более важны для понимания того, как управлять одновременной стабильностью экономического роста и сберегательных факторов. </w:t>
      </w:r>
    </w:p>
    <w:p w14:paraId="29C60113">
      <w:pPr>
        <w:spacing w:after="0" w:line="240" w:lineRule="auto"/>
        <w:ind w:firstLine="708"/>
        <w:jc w:val="both"/>
        <w:rPr>
          <w:rFonts w:ascii="Times New Roman" w:hAnsi="Times New Roman" w:cs="Times New Roman"/>
          <w:sz w:val="28"/>
          <w:szCs w:val="28"/>
        </w:rPr>
      </w:pPr>
      <w:r>
        <w:rPr>
          <w:rFonts w:ascii="Times New Roman" w:hAnsi="Times New Roman" w:eastAsia="Times-Roman" w:cs="Times New Roman"/>
          <w:color w:val="000000"/>
          <w:sz w:val="28"/>
          <w:szCs w:val="28"/>
        </w:rPr>
        <w:t xml:space="preserve">Социальные факторы (например, безработица, неравенство доходов и т. д.) не оказывают значительного опосредованного влияния на взаимосвязь между макроэкономическими условиями и NPL, если рассматривать их наряду с макроэкономическими переменными. Растущая экономика в сочетании с растущим неравенством доходов может подорвать способность значительной части населения. </w:t>
      </w:r>
    </w:p>
    <w:p w14:paraId="2C23FEF5">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Поэтому политики должны учитывать социальные и экономические факторы при разработке политики по снижению NPL. Следует отметить, что результаты исследования применимы не только для Казахстана, но и других стран с аналогичными условиями. </w:t>
      </w:r>
    </w:p>
    <w:p w14:paraId="7BF8DAA9">
      <w:pPr>
        <w:spacing w:after="0"/>
      </w:pPr>
    </w:p>
    <w:p w14:paraId="14E9878C">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H1. «Макроэкономические показатели имеют прямое и обратное влияние на NPLs» — подтверждена. Рост национальной экономики приводит к снижению NPLs. Этот вывод схож с результатами других исследований на данную тему несмотря на то, что мы использовали комплексные скрытые переменные, содержащие несколько макропоказателей. Проверка прямого влияния скрытых переменных «Внешние факторы», «Социальные факторы» и «Факторы сбережений» на NPLs находилась за рамками данного исследования. Однако в процессе проверки других гипотез мы получили результаты, которые позволяют сделать вывод, что финансовая система Казахстана имеет те же зависимости, что и другие страны, и её можно рассматривать не индивидуально, а в ряду с другими странами.</w:t>
      </w:r>
    </w:p>
    <w:p w14:paraId="5E01CCF7">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H2. «Макроэкономические показатели имеют обратное влияние на NPLs при посредничестве внешних факторов» — подтверждена. Медиаторный эффект «Внешних факторов» усиливает отрицательную взаимосвязь между макрофакторами и NPLs.</w:t>
      </w:r>
    </w:p>
    <w:p w14:paraId="06210809">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H3. «Макроэкономические показатели имеют обратное влияние на NPLs при посредничестве факторов сбережений» — не подтверждена. Эффект «Факторов сбережений» нивелирует, уравновешивает обратное влияние макрофакторов. Отдельно эти переменные имеют значимые взаимосвязи с NPLs, но при совместном действии общий эффект становится незначительным.</w:t>
      </w:r>
    </w:p>
    <w:p w14:paraId="3C3DEEC0">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H4. «Макроэкономические показатели имеют прямое влияние на NPLs при посредничестве социальных факторов» — также не подтверждена. Ситуация аналогична H3: по отдельности влияния значимы, но вместе медиатор делает влияние макрофакторов незначительным.</w:t>
      </w:r>
    </w:p>
    <w:p w14:paraId="2EFD1F68">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При исследовании взаимосвязи между различными макропоказателями и NPL нами были использованы не изолированные показатели, мы объединили их в комплексные скрытые переменные, которые затем были проанализированы при помощи PLS-SEM. Наше исследование впервые поднимает вопросы о роли социальных факторов и факторов сбережений в динамике кредитного риска в Республике Казахстан.</w:t>
      </w:r>
    </w:p>
    <w:p w14:paraId="3FAAA296">
      <w:pPr>
        <w:spacing w:after="0" w:line="240" w:lineRule="auto"/>
        <w:ind w:firstLine="708"/>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Результаты исследования способны внести вклад в управление проблемными банковскими активами на основе проектного подхода.</w:t>
      </w:r>
    </w:p>
    <w:p w14:paraId="102C2B1D">
      <w:pPr>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br w:type="page"/>
      </w:r>
    </w:p>
    <w:p w14:paraId="097EAA1E">
      <w:pPr>
        <w:pStyle w:val="2"/>
        <w:ind w:firstLine="709"/>
        <w:jc w:val="both"/>
        <w:rPr>
          <w:rFonts w:ascii="Times New Roman" w:hAnsi="Times New Roman" w:cs="Times New Roman"/>
          <w:color w:val="auto"/>
        </w:rPr>
      </w:pPr>
      <w:bookmarkStart w:id="18" w:name="_Toc219671660"/>
      <w:r>
        <w:rPr>
          <w:rFonts w:ascii="Times New Roman" w:hAnsi="Times New Roman" w:cs="Times New Roman"/>
          <w:color w:val="auto"/>
        </w:rPr>
        <w:t>4 РАЗРАБОТКА МОДЕЛИ ПРОЕКТНОГО ПОДХОДА В УПРАВЛЕНИИ ПРОБЛЕМНЫМИ АКТИВАМИ БАНКОВ</w:t>
      </w:r>
      <w:bookmarkEnd w:id="18"/>
    </w:p>
    <w:p w14:paraId="5B50E550">
      <w:pPr>
        <w:pStyle w:val="2"/>
        <w:ind w:firstLine="709"/>
        <w:jc w:val="both"/>
        <w:rPr>
          <w:rFonts w:ascii="Times New Roman" w:hAnsi="Times New Roman" w:cs="Times New Roman"/>
          <w:color w:val="auto"/>
        </w:rPr>
      </w:pPr>
      <w:bookmarkStart w:id="19" w:name="_Toc219671661"/>
      <w:r>
        <w:rPr>
          <w:rFonts w:ascii="Times New Roman" w:hAnsi="Times New Roman" w:cs="Times New Roman"/>
          <w:color w:val="auto"/>
        </w:rPr>
        <w:t>Методологические основания и концептуальные принципы проектного управления проблемными активами</w:t>
      </w:r>
      <w:bookmarkEnd w:id="19"/>
    </w:p>
    <w:p w14:paraId="497A128B">
      <w:pPr>
        <w:pStyle w:val="32"/>
        <w:spacing w:after="0" w:line="240" w:lineRule="auto"/>
        <w:ind w:left="0"/>
        <w:jc w:val="both"/>
        <w:outlineLvl w:val="0"/>
        <w:rPr>
          <w:rFonts w:ascii="Times New Roman" w:hAnsi="Times New Roman" w:cs="Times New Roman"/>
          <w:sz w:val="28"/>
          <w:szCs w:val="28"/>
        </w:rPr>
      </w:pPr>
    </w:p>
    <w:p w14:paraId="6B262839">
      <w:pPr>
        <w:pStyle w:val="32"/>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Выявленная в предыдущей главе зависимость динамики проблемных активов банков Республики Казахстан от макроэкономических факторов обусловливает необходимость перехода от традиционных процедурных моделей управления к более гибким и результат-ориентированным инструментам. Одним из таких инструментов является проектный подход, позволяющий структурировать процессы работы с проблемными активами с учётом временных, ресурсных и риск-параметров (Таблица 32).</w:t>
      </w:r>
    </w:p>
    <w:p w14:paraId="31E208B8">
      <w:pPr>
        <w:pStyle w:val="32"/>
        <w:spacing w:after="0" w:line="240" w:lineRule="auto"/>
        <w:ind w:left="0" w:firstLine="708"/>
        <w:jc w:val="both"/>
        <w:rPr>
          <w:rFonts w:ascii="Times New Roman" w:hAnsi="Times New Roman" w:cs="Times New Roman"/>
          <w:sz w:val="28"/>
          <w:szCs w:val="28"/>
        </w:rPr>
      </w:pPr>
    </w:p>
    <w:p w14:paraId="477557F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 32 - Элементы проектного подхода</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2"/>
        <w:gridCol w:w="6782"/>
      </w:tblGrid>
      <w:tr w14:paraId="76FB6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BBD098D">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Элемент проектного подхода</w:t>
            </w:r>
          </w:p>
        </w:tc>
        <w:tc>
          <w:tcPr>
            <w:tcW w:w="0" w:type="auto"/>
          </w:tcPr>
          <w:p w14:paraId="1E247078">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Роль макрофакторов</w:t>
            </w:r>
          </w:p>
        </w:tc>
      </w:tr>
      <w:tr w14:paraId="18DED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538BEAD">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Инициация проекта</w:t>
            </w:r>
          </w:p>
        </w:tc>
        <w:tc>
          <w:tcPr>
            <w:tcW w:w="0" w:type="auto"/>
          </w:tcPr>
          <w:p w14:paraId="0CF7C8CB">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Макроэкономический шок → запуск проекта по управлению портфелем NPL</w:t>
            </w:r>
          </w:p>
        </w:tc>
      </w:tr>
      <w:tr w14:paraId="7F517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784B0BF">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Планирование</w:t>
            </w:r>
          </w:p>
        </w:tc>
        <w:tc>
          <w:tcPr>
            <w:tcW w:w="0" w:type="auto"/>
          </w:tcPr>
          <w:p w14:paraId="787D707E">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Учет инфляции, ставок, валютного курса</w:t>
            </w:r>
          </w:p>
        </w:tc>
      </w:tr>
      <w:tr w14:paraId="19887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3F01CE1">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Управление рисками</w:t>
            </w:r>
          </w:p>
        </w:tc>
        <w:tc>
          <w:tcPr>
            <w:tcW w:w="0" w:type="auto"/>
          </w:tcPr>
          <w:p w14:paraId="5D90DD58">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Макроэкономические сценарии</w:t>
            </w:r>
          </w:p>
        </w:tc>
      </w:tr>
      <w:tr w14:paraId="19F6A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27DEB97">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KPI проекта</w:t>
            </w:r>
          </w:p>
        </w:tc>
        <w:tc>
          <w:tcPr>
            <w:tcW w:w="0" w:type="auto"/>
          </w:tcPr>
          <w:p w14:paraId="53C3CF5A">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Снижение NPL с учётом макроциклов</w:t>
            </w:r>
          </w:p>
        </w:tc>
      </w:tr>
      <w:tr w14:paraId="7C5B8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62BCEB9">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Завершение</w:t>
            </w:r>
          </w:p>
        </w:tc>
        <w:tc>
          <w:tcPr>
            <w:tcW w:w="0" w:type="auto"/>
          </w:tcPr>
          <w:p w14:paraId="79A65017">
            <w:pPr>
              <w:spacing w:after="0" w:line="240" w:lineRule="auto"/>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Оценка эффекта в разных фазах цикла</w:t>
            </w:r>
          </w:p>
        </w:tc>
      </w:tr>
    </w:tbl>
    <w:p w14:paraId="5F6725C7">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[144]</w:t>
      </w:r>
    </w:p>
    <w:p w14:paraId="13213543">
      <w:pPr>
        <w:autoSpaceDE w:val="0"/>
        <w:autoSpaceDN w:val="0"/>
        <w:adjustRightInd w:val="0"/>
        <w:spacing w:after="0" w:line="240" w:lineRule="auto"/>
        <w:ind w:firstLine="708"/>
        <w:contextualSpacing/>
        <w:jc w:val="both"/>
        <w:rPr>
          <w:rFonts w:ascii="Times New Roman" w:hAnsi="Times New Roman" w:cs="Times New Roman"/>
          <w:color w:val="000000"/>
          <w:sz w:val="28"/>
          <w:szCs w:val="28"/>
        </w:rPr>
      </w:pPr>
    </w:p>
    <w:p w14:paraId="7C050961">
      <w:pPr>
        <w:autoSpaceDE w:val="0"/>
        <w:autoSpaceDN w:val="0"/>
        <w:adjustRightInd w:val="0"/>
        <w:spacing w:after="0" w:line="24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В условиях воздействия последовательных внешних и внутренних шоков на экономику Республики Казахстан, включая мировой финансовый кризис 2008–2009 гг., пандемию COVID-19 в 2020–2021 гг., а также последствия геополитической нестабильности и санкционных ограничений 2022–2024 гг., существенно возросла уязвимость реального сектора экономики [172]. Существенное влияние на экономическую конъюнктуру оказали колебания валютных курсов, изменения в денежно-кредитной политике стран — ключевых торгово-экономических партнёров Казахстана, прежде всего Российской Федерации, а также рост процентных ставок и удорожание заёмных ресурсов на глобальных финансовых рынках.</w:t>
      </w:r>
    </w:p>
    <w:p w14:paraId="6845B75C">
      <w:pPr>
        <w:autoSpaceDE w:val="0"/>
        <w:autoSpaceDN w:val="0"/>
        <w:adjustRightInd w:val="0"/>
        <w:spacing w:after="0" w:line="24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В результате указанных факторов значительная часть предприятий, ориентированных на внешние рынки, импортозависимое производство и долгосрочное кредитование, оказались в сложном финансовом положении. Это, в свою очередь, привело к росту доли проблемных кредитов (NPL) в банковском секторе, снижению качества кредитных портфелей банков второго уровня и усилению рисков финансовой нестабильности.</w:t>
      </w:r>
    </w:p>
    <w:p w14:paraId="55983EA1">
      <w:pPr>
        <w:autoSpaceDE w:val="0"/>
        <w:autoSpaceDN w:val="0"/>
        <w:adjustRightInd w:val="0"/>
        <w:spacing w:after="0" w:line="24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Накопление проблемных активов ограничивает возможности банков по расширению кредитования, сдерживает инвестиционную активность и замедляет экономический рост. </w:t>
      </w:r>
    </w:p>
    <w:p w14:paraId="4CA78A24">
      <w:pPr>
        <w:autoSpaceDE w:val="0"/>
        <w:autoSpaceDN w:val="0"/>
        <w:adjustRightInd w:val="0"/>
        <w:spacing w:after="0" w:line="24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В этих условиях особую значимость приобретает выработка взвешенной государственной и банковской политики, направленной на системную очистку балансов банков, восстановление жизнеспособности предприятий и поддержку реального сектора экономики. Эти задачи диктуют необходимость совершенствования механизмов управления проблемными активами банков второго уровня, прежде всего на основе проектного подхода, ориентированного на достижение измеримых экономических результатов, координацию участников процесса и минимизацию системных рисков. Таким образом, управление проблемными активами банков следует рассматривать не только на микроуровне отдельных кредитных организаций, но и с позиции устойчивого развития экономики Республики Казахстан в целом.</w:t>
      </w:r>
    </w:p>
    <w:p w14:paraId="526B773F">
      <w:pPr>
        <w:autoSpaceDE w:val="0"/>
        <w:autoSpaceDN w:val="0"/>
        <w:adjustRightInd w:val="0"/>
        <w:spacing w:after="0" w:line="240" w:lineRule="auto"/>
        <w:ind w:firstLine="708"/>
        <w:contextualSpacing/>
        <w:jc w:val="both"/>
        <w:rPr>
          <w:rFonts w:ascii="Times New Roman" w:hAnsi="Times New Roman" w:cs="Times New Roman"/>
          <w:color w:val="000000"/>
          <w:sz w:val="28"/>
          <w:szCs w:val="28"/>
        </w:rPr>
      </w:pPr>
    </w:p>
    <w:p w14:paraId="7FCA8280">
      <w:pPr>
        <w:pStyle w:val="2"/>
        <w:spacing w:before="0"/>
        <w:ind w:firstLine="709"/>
        <w:jc w:val="both"/>
        <w:rPr>
          <w:rFonts w:ascii="Times New Roman" w:hAnsi="Times New Roman" w:cs="Times New Roman"/>
          <w:color w:val="000000"/>
        </w:rPr>
      </w:pPr>
      <w:bookmarkStart w:id="20" w:name="_Toc219671662"/>
      <w:r>
        <w:rPr>
          <w:rFonts w:ascii="Times New Roman" w:hAnsi="Times New Roman" w:cs="Times New Roman"/>
          <w:color w:val="000000"/>
        </w:rPr>
        <w:t>Формирование выборки проектного подхода в управлении проблемными активами банков Республики Казахстан</w:t>
      </w:r>
      <w:bookmarkEnd w:id="20"/>
    </w:p>
    <w:p w14:paraId="16FD67CE">
      <w:pPr>
        <w:spacing w:after="0"/>
      </w:pPr>
    </w:p>
    <w:p w14:paraId="128414B1">
      <w:pPr>
        <w:pStyle w:val="37"/>
        <w:rPr>
          <w:sz w:val="28"/>
          <w:szCs w:val="28"/>
        </w:rPr>
      </w:pPr>
      <w:r>
        <w:rPr>
          <w:sz w:val="28"/>
          <w:szCs w:val="28"/>
        </w:rPr>
        <w:t>Цели оздоровления банковских активов служит принятое в мировой практика разделение коммерческого банка с большой долей проблемных активов на «плохой» банк (bad bank) и «хороший» банк (good bank). При таком разделении специализированному подразделению банка по работе с проблемными активами, так называемому «плохому» банку, достаются проблемные активы, переоцененные по их ожидаемой отдаче, а также необходимые для сведения банковского баланса пассивы: собственный капитал и часть депозитов. В «хорошем» банке остаются нормальные активы, включая резервы в центральном банке, а также соответствующие депозиты.</w:t>
      </w:r>
    </w:p>
    <w:p w14:paraId="701A8F62">
      <w:pPr>
        <w:pStyle w:val="37"/>
        <w:rPr>
          <w:sz w:val="28"/>
          <w:szCs w:val="28"/>
        </w:rPr>
      </w:pPr>
      <w:r>
        <w:rPr>
          <w:sz w:val="28"/>
          <w:szCs w:val="28"/>
        </w:rPr>
        <w:t xml:space="preserve">Подобная практика существует и в РК. Кроме специализированных подразделений, функционирует принадлежащий государству «плохой» банк, в настоящее время это АО "Фонд проблемных кредитов", оператор специальных программ по содействию в оздоровлении банковского сектора путем выкупа неработающих займов у банков второго уровня [173]. Решение об участии в схемах выкупа принимают специализированные подразделения по управлению проблемными активами. Действует также практика оздоровления активов банков второго уровня собственными силами на основе этих специализированных подразделений. </w:t>
      </w:r>
    </w:p>
    <w:p w14:paraId="45FB8E93">
      <w:pPr>
        <w:pStyle w:val="37"/>
        <w:rPr>
          <w:sz w:val="28"/>
          <w:szCs w:val="28"/>
        </w:rPr>
      </w:pPr>
      <w:r>
        <w:rPr>
          <w:sz w:val="28"/>
          <w:szCs w:val="28"/>
        </w:rPr>
        <w:t xml:space="preserve">В диссертации представлена модель банковской системы РК, описывающая взаимодействие основных экономических агентов [174, 175]: </w:t>
      </w:r>
    </w:p>
    <w:p w14:paraId="5E996D80">
      <w:pPr>
        <w:pStyle w:val="37"/>
        <w:numPr>
          <w:ilvl w:val="0"/>
          <w:numId w:val="14"/>
        </w:numPr>
        <w:rPr>
          <w:sz w:val="28"/>
          <w:szCs w:val="28"/>
        </w:rPr>
      </w:pPr>
      <w:r>
        <w:rPr>
          <w:sz w:val="28"/>
          <w:szCs w:val="28"/>
        </w:rPr>
        <w:t xml:space="preserve">банки второго уровня с нормальными активами – коммерческие банки (банки </w:t>
      </w:r>
      <w:r>
        <w:rPr>
          <w:position w:val="-6"/>
          <w:sz w:val="28"/>
          <w:szCs w:val="28"/>
        </w:rPr>
        <w:object>
          <v:shape id="_x0000_i1025" o:spt="75" type="#_x0000_t75" style="height:11.25pt;width:9.75pt;" o:ole="t" filled="f" o:preferrelative="t" stroked="f" coordsize="21600,21600">
            <v:path/>
            <v:fill on="f" focussize="0,0"/>
            <v:stroke on="f" joinstyle="miter"/>
            <v:imagedata r:id="rId46" o:title=""/>
            <o:lock v:ext="edit" aspectratio="t"/>
            <w10:wrap type="none"/>
            <w10:anchorlock/>
          </v:shape>
          <o:OLEObject Type="Embed" ProgID="Equation.DSMT4" ShapeID="_x0000_i1025" DrawAspect="Content" ObjectID="_1468075732" r:id="rId45">
            <o:LockedField>false</o:LockedField>
          </o:OLEObject>
        </w:object>
      </w:r>
      <w:r>
        <w:rPr>
          <w:sz w:val="28"/>
          <w:szCs w:val="28"/>
        </w:rPr>
        <w:t xml:space="preserve">); </w:t>
      </w:r>
    </w:p>
    <w:p w14:paraId="3F0AA802">
      <w:pPr>
        <w:pStyle w:val="37"/>
        <w:numPr>
          <w:ilvl w:val="0"/>
          <w:numId w:val="14"/>
        </w:numPr>
        <w:rPr>
          <w:sz w:val="28"/>
          <w:szCs w:val="28"/>
        </w:rPr>
      </w:pPr>
      <w:r>
        <w:rPr>
          <w:sz w:val="28"/>
          <w:szCs w:val="28"/>
        </w:rPr>
        <w:t xml:space="preserve">специализированные подразделения банков второго уровня по работе с проблемными активами – «плохой» банк, в который включены все специализированные подразделения коммерческих банков (банк </w:t>
      </w:r>
      <w:r>
        <w:rPr>
          <w:position w:val="-6"/>
          <w:sz w:val="28"/>
          <w:szCs w:val="28"/>
        </w:rPr>
        <w:object>
          <v:shape id="_x0000_i1026" o:spt="75" type="#_x0000_t75" style="height:13.5pt;width:9.75pt;" o:ole="t" filled="f" o:preferrelative="t" stroked="f" coordsize="21600,21600">
            <v:path/>
            <v:fill on="f" focussize="0,0"/>
            <v:stroke on="f" joinstyle="miter"/>
            <v:imagedata r:id="rId48" o:title=""/>
            <o:lock v:ext="edit" aspectratio="t"/>
            <w10:wrap type="none"/>
            <w10:anchorlock/>
          </v:shape>
          <o:OLEObject Type="Embed" ProgID="Equation.DSMT4" ShapeID="_x0000_i1026" DrawAspect="Content" ObjectID="_1468075733" r:id="rId47">
            <o:LockedField>false</o:LockedField>
          </o:OLEObject>
        </w:object>
      </w:r>
      <w:r>
        <w:rPr>
          <w:sz w:val="28"/>
          <w:szCs w:val="28"/>
        </w:rPr>
        <w:t xml:space="preserve">); </w:t>
      </w:r>
    </w:p>
    <w:p w14:paraId="16DC2CC5">
      <w:pPr>
        <w:pStyle w:val="37"/>
        <w:numPr>
          <w:ilvl w:val="0"/>
          <w:numId w:val="14"/>
        </w:numPr>
        <w:rPr>
          <w:sz w:val="28"/>
          <w:szCs w:val="28"/>
        </w:rPr>
      </w:pPr>
      <w:r>
        <w:rPr>
          <w:sz w:val="28"/>
          <w:szCs w:val="28"/>
        </w:rPr>
        <w:t xml:space="preserve">центральный банк – Национальный банк Республики Казахстан (Регулятор </w:t>
      </w:r>
      <w:r>
        <w:rPr>
          <w:position w:val="-6"/>
          <w:sz w:val="28"/>
          <w:szCs w:val="28"/>
        </w:rPr>
        <w:object>
          <v:shape id="_x0000_i1027" o:spt="75" type="#_x0000_t75" style="height:11.25pt;width:9pt;" o:ole="t" filled="f" o:preferrelative="t" stroked="f" coordsize="21600,21600">
            <v:path/>
            <v:fill on="f" focussize="0,0"/>
            <v:stroke on="f" joinstyle="miter"/>
            <v:imagedata r:id="rId50" o:title=""/>
            <o:lock v:ext="edit" aspectratio="t"/>
            <w10:wrap type="none"/>
            <w10:anchorlock/>
          </v:shape>
          <o:OLEObject Type="Embed" ProgID="Equation.DSMT4" ShapeID="_x0000_i1027" DrawAspect="Content" ObjectID="_1468075734" r:id="rId49">
            <o:LockedField>false</o:LockedField>
          </o:OLEObject>
        </w:object>
      </w:r>
      <w:r>
        <w:rPr>
          <w:sz w:val="28"/>
          <w:szCs w:val="28"/>
        </w:rPr>
        <w:t xml:space="preserve">); </w:t>
      </w:r>
    </w:p>
    <w:p w14:paraId="17AE4574">
      <w:pPr>
        <w:pStyle w:val="37"/>
        <w:numPr>
          <w:ilvl w:val="0"/>
          <w:numId w:val="14"/>
        </w:numPr>
        <w:rPr>
          <w:sz w:val="28"/>
          <w:szCs w:val="28"/>
        </w:rPr>
      </w:pPr>
      <w:r>
        <w:rPr>
          <w:sz w:val="28"/>
          <w:szCs w:val="28"/>
        </w:rPr>
        <w:t xml:space="preserve">государственный «плохой» банк – фонд проблемных активов – АО "Фонд проблемных кредитов" (фонд </w:t>
      </w:r>
      <w:r>
        <w:rPr>
          <w:position w:val="-6"/>
          <w:sz w:val="28"/>
          <w:szCs w:val="28"/>
        </w:rPr>
        <w:object>
          <v:shape id="_x0000_i1028" o:spt="75" type="#_x0000_t75" style="height:13.5pt;width:11.25pt;" o:ole="t" filled="f" o:preferrelative="t" stroked="f" coordsize="21600,21600">
            <v:path/>
            <v:fill on="f" focussize="0,0"/>
            <v:stroke on="f" joinstyle="miter"/>
            <v:imagedata r:id="rId52" o:title=""/>
            <o:lock v:ext="edit" aspectratio="t"/>
            <w10:wrap type="none"/>
            <w10:anchorlock/>
          </v:shape>
          <o:OLEObject Type="Embed" ProgID="Equation.DSMT4" ShapeID="_x0000_i1028" DrawAspect="Content" ObjectID="_1468075735" r:id="rId51">
            <o:LockedField>false</o:LockedField>
          </o:OLEObject>
        </w:object>
      </w:r>
      <w:r>
        <w:rPr>
          <w:sz w:val="28"/>
          <w:szCs w:val="28"/>
        </w:rPr>
        <w:t xml:space="preserve">). </w:t>
      </w:r>
    </w:p>
    <w:p w14:paraId="13AB3C59">
      <w:pPr>
        <w:pStyle w:val="37"/>
        <w:rPr>
          <w:sz w:val="28"/>
          <w:szCs w:val="28"/>
        </w:rPr>
      </w:pPr>
      <w:r>
        <w:rPr>
          <w:sz w:val="28"/>
          <w:szCs w:val="28"/>
        </w:rPr>
        <w:t xml:space="preserve">Для плохого банка </w:t>
      </w:r>
      <w:r>
        <w:rPr>
          <w:position w:val="-6"/>
          <w:sz w:val="28"/>
          <w:szCs w:val="28"/>
        </w:rPr>
        <w:object>
          <v:shape id="_x0000_i1029" o:spt="75" type="#_x0000_t75" style="height:13.5pt;width:9.75pt;" o:ole="t" filled="f" o:preferrelative="t" stroked="f" coordsize="21600,21600">
            <v:path/>
            <v:fill on="f" focussize="0,0"/>
            <v:stroke on="f" joinstyle="miter"/>
            <v:imagedata r:id="rId54" o:title=""/>
            <o:lock v:ext="edit" aspectratio="t"/>
            <w10:wrap type="none"/>
            <w10:anchorlock/>
          </v:shape>
          <o:OLEObject Type="Embed" ProgID="Equation.DSMT4" ShapeID="_x0000_i1029" DrawAspect="Content" ObjectID="_1468075736" r:id="rId53">
            <o:LockedField>false</o:LockedField>
          </o:OLEObject>
        </w:object>
      </w:r>
      <w:r>
        <w:rPr>
          <w:sz w:val="28"/>
          <w:szCs w:val="28"/>
        </w:rPr>
        <w:t xml:space="preserve">, имеющего на момент оздоровления «токсичные» активы, рассмотрим две схемы взаимодействия с фондом проблемных активов </w:t>
      </w:r>
      <w:r>
        <w:rPr>
          <w:position w:val="-6"/>
          <w:sz w:val="28"/>
          <w:szCs w:val="28"/>
        </w:rPr>
        <w:object>
          <v:shape id="_x0000_i1030" o:spt="75" type="#_x0000_t75" style="height:13.5pt;width:11.25pt;" o:ole="t" filled="f" o:preferrelative="t" stroked="f" coordsize="21600,21600">
            <v:path/>
            <v:fill on="f" focussize="0,0"/>
            <v:stroke on="f" joinstyle="miter"/>
            <v:imagedata r:id="rId52" o:title=""/>
            <o:lock v:ext="edit" aspectratio="t"/>
            <w10:wrap type="none"/>
            <w10:anchorlock/>
          </v:shape>
          <o:OLEObject Type="Embed" ProgID="Equation.DSMT4" ShapeID="_x0000_i1030" DrawAspect="Content" ObjectID="_1468075737" r:id="rId55">
            <o:LockedField>false</o:LockedField>
          </o:OLEObject>
        </w:object>
      </w:r>
      <w:r>
        <w:rPr>
          <w:sz w:val="28"/>
          <w:szCs w:val="28"/>
        </w:rPr>
        <w:t xml:space="preserve"> (государственным «плохим» банком), которые были представлены в [176]. Это схема безотзывного выкупа проблемных активов и соглашение об обратном выкупе между фондом проблемных активов </w:t>
      </w:r>
      <w:r>
        <w:rPr>
          <w:position w:val="-6"/>
          <w:sz w:val="28"/>
          <w:szCs w:val="28"/>
        </w:rPr>
        <w:object>
          <v:shape id="_x0000_i1031" o:spt="75" type="#_x0000_t75" style="height:13.5pt;width:11.25pt;" o:ole="t" filled="f" o:preferrelative="t" stroked="f" coordsize="21600,21600">
            <v:path/>
            <v:fill on="f" focussize="0,0"/>
            <v:stroke on="f" joinstyle="miter"/>
            <v:imagedata r:id="rId52" o:title=""/>
            <o:lock v:ext="edit" aspectratio="t"/>
            <w10:wrap type="none"/>
            <w10:anchorlock/>
          </v:shape>
          <o:OLEObject Type="Embed" ProgID="Equation.DSMT4" ShapeID="_x0000_i1031" DrawAspect="Content" ObjectID="_1468075738" r:id="rId56">
            <o:LockedField>false</o:LockedField>
          </o:OLEObject>
        </w:object>
      </w:r>
      <w:r>
        <w:rPr>
          <w:sz w:val="28"/>
          <w:szCs w:val="28"/>
        </w:rPr>
        <w:t xml:space="preserve"> и коммерческим плохим банком </w:t>
      </w:r>
      <w:r>
        <w:rPr>
          <w:position w:val="-6"/>
          <w:sz w:val="28"/>
          <w:szCs w:val="28"/>
        </w:rPr>
        <w:object>
          <v:shape id="_x0000_i1032" o:spt="75" type="#_x0000_t75" style="height:13.5pt;width:9.75pt;" o:ole="t" filled="f" o:preferrelative="t" stroked="f" coordsize="21600,21600">
            <v:path/>
            <v:fill on="f" focussize="0,0"/>
            <v:stroke on="f" joinstyle="miter"/>
            <v:imagedata r:id="rId58" o:title=""/>
            <o:lock v:ext="edit" aspectratio="t"/>
            <w10:wrap type="none"/>
            <w10:anchorlock/>
          </v:shape>
          <o:OLEObject Type="Embed" ProgID="Equation.DSMT4" ShapeID="_x0000_i1032" DrawAspect="Content" ObjectID="_1468075739" r:id="rId57">
            <o:LockedField>false</o:LockedField>
          </o:OLEObject>
        </w:object>
      </w:r>
      <w:r>
        <w:rPr>
          <w:sz w:val="28"/>
          <w:szCs w:val="28"/>
        </w:rPr>
        <w:t>.</w:t>
      </w:r>
    </w:p>
    <w:p w14:paraId="2B36E791">
      <w:pPr>
        <w:pStyle w:val="37"/>
        <w:rPr>
          <w:rFonts w:eastAsia="Calibri"/>
          <w:sz w:val="28"/>
          <w:szCs w:val="28"/>
        </w:rPr>
      </w:pPr>
      <w:r>
        <w:rPr>
          <w:rFonts w:eastAsia="Calibri"/>
          <w:sz w:val="28"/>
          <w:szCs w:val="28"/>
          <w:lang w:eastAsia="en-US"/>
        </w:rPr>
        <w:t xml:space="preserve">В математической модели предположим, что в каждый момент времени </w:t>
      </w:r>
      <w:r>
        <w:rPr>
          <w:position w:val="-6"/>
          <w:sz w:val="28"/>
          <w:szCs w:val="28"/>
        </w:rPr>
        <w:object>
          <v:shape id="_x0000_i1033" o:spt="75" type="#_x0000_t75" style="height:12pt;width:7.5pt;" o:ole="t" filled="f" o:preferrelative="t" stroked="f" coordsize="21600,21600">
            <v:path/>
            <v:fill on="f" focussize="0,0"/>
            <v:stroke on="f" joinstyle="miter"/>
            <v:imagedata r:id="rId60" o:title=""/>
            <o:lock v:ext="edit" aspectratio="t"/>
            <w10:wrap type="none"/>
            <w10:anchorlock/>
          </v:shape>
          <o:OLEObject Type="Embed" ProgID="Equation.DSMT4" ShapeID="_x0000_i1033" DrawAspect="Content" ObjectID="_1468075740" r:id="rId59">
            <o:LockedField>false</o:LockedField>
          </o:OLEObject>
        </w:object>
      </w:r>
      <w:r>
        <w:rPr>
          <w:rFonts w:eastAsia="Calibri"/>
          <w:sz w:val="28"/>
          <w:szCs w:val="28"/>
          <w:lang w:eastAsia="en-US"/>
        </w:rPr>
        <w:t xml:space="preserve"> на основе проблемных активов, возникающих в банках </w:t>
      </w:r>
      <w:r>
        <w:rPr>
          <w:position w:val="-6"/>
          <w:sz w:val="28"/>
          <w:szCs w:val="28"/>
        </w:rPr>
        <w:object>
          <v:shape id="_x0000_i1034" o:spt="75" type="#_x0000_t75" style="height:11.25pt;width:9.75pt;" o:ole="t" filled="f" o:preferrelative="t" stroked="f" coordsize="21600,21600">
            <v:path/>
            <v:fill on="f" focussize="0,0"/>
            <v:stroke on="f" joinstyle="miter"/>
            <v:imagedata r:id="rId62" o:title=""/>
            <o:lock v:ext="edit" aspectratio="t"/>
            <w10:wrap type="none"/>
            <w10:anchorlock/>
          </v:shape>
          <o:OLEObject Type="Embed" ProgID="Equation.DSMT4" ShapeID="_x0000_i1034" DrawAspect="Content" ObjectID="_1468075741" r:id="rId61">
            <o:LockedField>false</o:LockedField>
          </o:OLEObject>
        </w:object>
      </w:r>
      <w:r>
        <w:rPr>
          <w:rFonts w:eastAsia="Calibri"/>
          <w:sz w:val="28"/>
          <w:szCs w:val="28"/>
          <w:lang w:eastAsia="en-US"/>
        </w:rPr>
        <w:t xml:space="preserve">, создается один плохой банк </w:t>
      </w:r>
      <w:r>
        <w:rPr>
          <w:position w:val="-6"/>
          <w:sz w:val="28"/>
          <w:szCs w:val="28"/>
        </w:rPr>
        <w:object>
          <v:shape id="_x0000_i1035" o:spt="75" type="#_x0000_t75" style="height:13.5pt;width:9.75pt;" o:ole="t" filled="f" o:preferrelative="t" stroked="f" coordsize="21600,21600">
            <v:path/>
            <v:fill on="f" focussize="0,0"/>
            <v:stroke on="f" joinstyle="miter"/>
            <v:imagedata r:id="rId64" o:title=""/>
            <o:lock v:ext="edit" aspectratio="t"/>
            <w10:wrap type="none"/>
            <w10:anchorlock/>
          </v:shape>
          <o:OLEObject Type="Embed" ProgID="Equation.DSMT4" ShapeID="_x0000_i1035" DrawAspect="Content" ObjectID="_1468075742" r:id="rId63">
            <o:LockedField>false</o:LockedField>
          </o:OLEObject>
        </w:object>
      </w:r>
      <w:r>
        <w:rPr>
          <w:rFonts w:eastAsia="Calibri"/>
          <w:sz w:val="28"/>
          <w:szCs w:val="28"/>
          <w:lang w:eastAsia="en-US"/>
        </w:rPr>
        <w:t xml:space="preserve">, подлежащий оздоровлению. Пусть </w:t>
      </w:r>
      <w:r>
        <w:rPr>
          <w:rFonts w:eastAsia="Calibri"/>
          <w:sz w:val="28"/>
          <w:szCs w:val="28"/>
        </w:rPr>
        <w:t xml:space="preserve">срок созревания активов (средний срок возврата денежных средств по кредиту) в модели постоянен и равен </w:t>
      </w:r>
      <w:r>
        <w:rPr>
          <w:position w:val="-6"/>
          <w:sz w:val="28"/>
          <w:szCs w:val="28"/>
        </w:rPr>
        <w:object>
          <v:shape id="_x0000_i1036" o:spt="75" type="#_x0000_t75" style="height:11.25pt;width:9.75pt;" o:ole="t" filled="f" o:preferrelative="t" stroked="f" coordsize="21600,21600">
            <v:path/>
            <v:fill on="f" focussize="0,0"/>
            <v:stroke on="f" joinstyle="miter"/>
            <v:imagedata r:id="rId66" o:title=""/>
            <o:lock v:ext="edit" aspectratio="t"/>
            <w10:wrap type="none"/>
            <w10:anchorlock/>
          </v:shape>
          <o:OLEObject Type="Embed" ProgID="Equation.DSMT4" ShapeID="_x0000_i1036" DrawAspect="Content" ObjectID="_1468075743" r:id="rId65">
            <o:LockedField>false</o:LockedField>
          </o:OLEObject>
        </w:object>
      </w:r>
      <w:r>
        <w:rPr>
          <w:rFonts w:eastAsia="Calibri"/>
          <w:sz w:val="28"/>
          <w:szCs w:val="28"/>
        </w:rPr>
        <w:t>.</w:t>
      </w:r>
      <w:r>
        <w:rPr>
          <w:rFonts w:eastAsia="Calibri"/>
          <w:sz w:val="28"/>
          <w:szCs w:val="28"/>
          <w:lang w:eastAsia="en-US"/>
        </w:rPr>
        <w:t xml:space="preserve"> Плохой банк принимает решение о самостоятельном оздоровлении, либо о передаче проблемных активов в фонд проблемных активов (государственный плохой банк). Когда в момент времени </w:t>
      </w:r>
      <w:r>
        <w:rPr>
          <w:position w:val="-6"/>
          <w:sz w:val="28"/>
          <w:szCs w:val="28"/>
        </w:rPr>
        <w:object>
          <v:shape id="_x0000_i1037" o:spt="75" type="#_x0000_t75" style="height:12pt;width:24pt;" o:ole="t" filled="f" o:preferrelative="t" stroked="f" coordsize="21600,21600">
            <v:path/>
            <v:fill on="f" focussize="0,0"/>
            <v:stroke on="f" joinstyle="miter"/>
            <v:imagedata r:id="rId68" o:title=""/>
            <o:lock v:ext="edit" aspectratio="t"/>
            <w10:wrap type="none"/>
            <w10:anchorlock/>
          </v:shape>
          <o:OLEObject Type="Embed" ProgID="Equation.DSMT4" ShapeID="_x0000_i1037" DrawAspect="Content" ObjectID="_1468075744" r:id="rId67">
            <o:LockedField>false</o:LockedField>
          </o:OLEObject>
        </w:object>
      </w:r>
      <w:r>
        <w:rPr>
          <w:rFonts w:eastAsia="Calibri"/>
          <w:sz w:val="28"/>
          <w:szCs w:val="28"/>
        </w:rPr>
        <w:t>, этот «</w:t>
      </w:r>
      <w:r>
        <w:rPr>
          <w:rFonts w:eastAsia="Calibri"/>
          <w:sz w:val="28"/>
          <w:szCs w:val="28"/>
          <w:lang w:eastAsia="en-US"/>
        </w:rPr>
        <w:t xml:space="preserve">плохой» банк </w:t>
      </w:r>
      <w:r>
        <w:rPr>
          <w:position w:val="-6"/>
          <w:sz w:val="28"/>
          <w:szCs w:val="28"/>
        </w:rPr>
        <w:object>
          <v:shape id="_x0000_i1038" o:spt="75" type="#_x0000_t75" style="height:13.5pt;width:9.75pt;" o:ole="t" filled="f" o:preferrelative="t" stroked="f" coordsize="21600,21600">
            <v:path/>
            <v:fill on="f" focussize="0,0"/>
            <v:stroke on="f" joinstyle="miter"/>
            <v:imagedata r:id="rId70" o:title=""/>
            <o:lock v:ext="edit" aspectratio="t"/>
            <w10:wrap type="none"/>
            <w10:anchorlock/>
          </v:shape>
          <o:OLEObject Type="Embed" ProgID="Equation.DSMT4" ShapeID="_x0000_i1038" DrawAspect="Content" ObjectID="_1468075745" r:id="rId69">
            <o:LockedField>false</o:LockedField>
          </o:OLEObject>
        </w:object>
      </w:r>
      <w:r>
        <w:rPr>
          <w:rFonts w:eastAsia="Calibri"/>
          <w:sz w:val="28"/>
          <w:szCs w:val="28"/>
          <w:lang w:eastAsia="en-US"/>
        </w:rPr>
        <w:t xml:space="preserve"> </w:t>
      </w:r>
      <w:r>
        <w:rPr>
          <w:rFonts w:eastAsia="Calibri"/>
          <w:sz w:val="28"/>
          <w:szCs w:val="28"/>
        </w:rPr>
        <w:t xml:space="preserve">выполняет свою задачу, его остаточные активы и пассивы возвращаются к агенту </w:t>
      </w:r>
      <w:r>
        <w:rPr>
          <w:position w:val="-6"/>
          <w:sz w:val="28"/>
          <w:szCs w:val="28"/>
        </w:rPr>
        <w:object>
          <v:shape id="_x0000_i1039" o:spt="75" type="#_x0000_t75" style="height:11.25pt;width:9.75pt;" o:ole="t" filled="f" o:preferrelative="t" stroked="f" coordsize="21600,21600">
            <v:path/>
            <v:fill on="f" focussize="0,0"/>
            <v:stroke on="f" joinstyle="miter"/>
            <v:imagedata r:id="rId72" o:title=""/>
            <o:lock v:ext="edit" aspectratio="t"/>
            <w10:wrap type="none"/>
            <w10:anchorlock/>
          </v:shape>
          <o:OLEObject Type="Embed" ProgID="Equation.DSMT4" ShapeID="_x0000_i1039" DrawAspect="Content" ObjectID="_1468075746" r:id="rId71">
            <o:LockedField>false</o:LockedField>
          </o:OLEObject>
        </w:object>
      </w:r>
      <w:r>
        <w:rPr>
          <w:sz w:val="28"/>
          <w:szCs w:val="28"/>
        </w:rPr>
        <w:t xml:space="preserve"> или списываются (при разорении </w:t>
      </w:r>
      <w:r>
        <w:rPr>
          <w:rFonts w:eastAsia="Calibri"/>
          <w:sz w:val="28"/>
          <w:szCs w:val="28"/>
          <w:lang w:eastAsia="en-US"/>
        </w:rPr>
        <w:t xml:space="preserve">банка </w:t>
      </w:r>
      <w:r>
        <w:rPr>
          <w:position w:val="-6"/>
          <w:sz w:val="28"/>
          <w:szCs w:val="28"/>
        </w:rPr>
        <w:object>
          <v:shape id="_x0000_i1040" o:spt="75" type="#_x0000_t75" style="height:13.5pt;width:9.75pt;" o:ole="t" filled="f" o:preferrelative="t" stroked="f" coordsize="21600,21600">
            <v:path/>
            <v:fill on="f" focussize="0,0"/>
            <v:stroke on="f" joinstyle="miter"/>
            <v:imagedata r:id="rId70" o:title=""/>
            <o:lock v:ext="edit" aspectratio="t"/>
            <w10:wrap type="none"/>
            <w10:anchorlock/>
          </v:shape>
          <o:OLEObject Type="Embed" ProgID="Equation.DSMT4" ShapeID="_x0000_i1040" DrawAspect="Content" ObjectID="_1468075747" r:id="rId73">
            <o:LockedField>false</o:LockedField>
          </o:OLEObject>
        </w:object>
      </w:r>
      <w:r>
        <w:rPr>
          <w:sz w:val="28"/>
          <w:szCs w:val="28"/>
        </w:rPr>
        <w:t>).</w:t>
      </w:r>
      <w:r>
        <w:rPr>
          <w:rFonts w:eastAsia="Calibri"/>
          <w:sz w:val="28"/>
          <w:szCs w:val="28"/>
          <w:lang w:eastAsia="en-US"/>
        </w:rPr>
        <w:t xml:space="preserve"> Н</w:t>
      </w:r>
      <w:r>
        <w:rPr>
          <w:rFonts w:eastAsia="Calibri"/>
          <w:sz w:val="28"/>
          <w:szCs w:val="28"/>
        </w:rPr>
        <w:t xml:space="preserve">а его месте при наличии новых проблемных активов создается новый «плохой» банк. </w:t>
      </w:r>
    </w:p>
    <w:p w14:paraId="745E7938">
      <w:pPr>
        <w:pStyle w:val="37"/>
        <w:rPr>
          <w:rFonts w:eastAsia="Calibri"/>
          <w:sz w:val="28"/>
          <w:szCs w:val="28"/>
        </w:rPr>
      </w:pPr>
      <w:r>
        <w:rPr>
          <w:rFonts w:eastAsia="Calibri"/>
          <w:sz w:val="28"/>
          <w:szCs w:val="28"/>
        </w:rPr>
        <w:t xml:space="preserve">Будем рассматривать дискретный вариант динамического варианта модели с шагом </w:t>
      </w:r>
      <m:oMath>
        <m:r>
          <m:rPr/>
          <w:rPr>
            <w:rFonts w:ascii="Cambria Math" w:hAnsi="Cambria Math" w:eastAsia="Calibri"/>
            <w:sz w:val="28"/>
            <w:szCs w:val="28"/>
          </w:rPr>
          <m:t>τ</m:t>
        </m:r>
      </m:oMath>
      <w:r>
        <w:rPr>
          <w:rFonts w:eastAsia="Calibri"/>
          <w:sz w:val="28"/>
          <w:szCs w:val="28"/>
        </w:rPr>
        <w:t xml:space="preserve"> по времени, поскольку основная задача в построении модели банковской системы состоит в том, чтобы отследить движение проблемных активов.</w:t>
      </w:r>
    </w:p>
    <w:p w14:paraId="675D477C">
      <w:pPr>
        <w:pStyle w:val="37"/>
        <w:rPr>
          <w:rFonts w:eastAsia="Calibri"/>
          <w:b/>
          <w:bCs/>
          <w:sz w:val="28"/>
          <w:szCs w:val="28"/>
        </w:rPr>
      </w:pPr>
      <w:bookmarkStart w:id="21" w:name="_Toc219671663"/>
    </w:p>
    <w:p w14:paraId="008C60DA">
      <w:pPr>
        <w:pStyle w:val="37"/>
        <w:rPr>
          <w:rFonts w:eastAsia="Calibri"/>
          <w:b/>
          <w:bCs/>
          <w:sz w:val="28"/>
          <w:szCs w:val="28"/>
        </w:rPr>
      </w:pPr>
      <w:r>
        <w:rPr>
          <w:rFonts w:eastAsia="Calibri"/>
          <w:b/>
          <w:bCs/>
          <w:sz w:val="28"/>
          <w:szCs w:val="28"/>
        </w:rPr>
        <w:t xml:space="preserve">4.1 </w:t>
      </w:r>
      <w:r>
        <w:rPr>
          <w:rFonts w:eastAsia="Calibri"/>
          <w:b/>
          <w:bCs/>
          <w:sz w:val="28"/>
          <w:szCs w:val="28"/>
          <w:lang w:eastAsia="ru-RU"/>
        </w:rPr>
        <w:t>Математическая модель проектного подхода в банковской системе Казахстана</w:t>
      </w:r>
      <w:r>
        <w:rPr>
          <w:rFonts w:eastAsia="Calibri"/>
          <w:b/>
          <w:bCs/>
          <w:sz w:val="28"/>
          <w:szCs w:val="28"/>
        </w:rPr>
        <w:t xml:space="preserve"> </w:t>
      </w:r>
      <w:bookmarkEnd w:id="21"/>
    </w:p>
    <w:p w14:paraId="246C47E4">
      <w:pPr>
        <w:pStyle w:val="37"/>
        <w:rPr>
          <w:sz w:val="28"/>
          <w:szCs w:val="28"/>
        </w:rPr>
      </w:pPr>
    </w:p>
    <w:p w14:paraId="690EAE40">
      <w:pPr>
        <w:pStyle w:val="37"/>
        <w:rPr>
          <w:sz w:val="28"/>
          <w:szCs w:val="28"/>
        </w:rPr>
      </w:pPr>
      <w:r>
        <w:rPr>
          <w:sz w:val="28"/>
          <w:szCs w:val="28"/>
        </w:rPr>
        <w:t xml:space="preserve">Рассмотрим </w:t>
      </w:r>
      <w:r>
        <w:rPr>
          <w:rFonts w:eastAsia="Calibri"/>
          <w:sz w:val="28"/>
          <w:szCs w:val="28"/>
          <w:lang w:eastAsia="en-US"/>
        </w:rPr>
        <w:t xml:space="preserve">в момент времени </w:t>
      </w:r>
      <w:r>
        <w:rPr>
          <w:position w:val="-6"/>
          <w:sz w:val="28"/>
          <w:szCs w:val="28"/>
        </w:rPr>
        <w:object>
          <v:shape id="_x0000_i1041" o:spt="75" type="#_x0000_t75" style="height:13.5pt;width:24.75pt;" o:ole="t" filled="f" o:preferrelative="t" stroked="f" coordsize="21600,21600">
            <v:path/>
            <v:fill on="f" focussize="0,0"/>
            <v:stroke on="f" joinstyle="miter"/>
            <v:imagedata r:id="rId75" o:title=""/>
            <o:lock v:ext="edit" aspectratio="t"/>
            <w10:wrap type="none"/>
            <w10:anchorlock/>
          </v:shape>
          <o:OLEObject Type="Embed" ProgID="Equation.DSMT4" ShapeID="_x0000_i1041" DrawAspect="Content" ObjectID="_1468075748" r:id="rId74">
            <o:LockedField>false</o:LockedField>
          </o:OLEObject>
        </w:object>
      </w:r>
      <w:r>
        <w:rPr>
          <w:rFonts w:eastAsia="Calibri"/>
          <w:sz w:val="28"/>
          <w:szCs w:val="28"/>
          <w:lang w:eastAsia="en-US"/>
        </w:rPr>
        <w:t xml:space="preserve">, непосредственно предшествующий моменту </w:t>
      </w:r>
      <w:r>
        <w:rPr>
          <w:position w:val="-6"/>
          <w:sz w:val="28"/>
          <w:szCs w:val="28"/>
        </w:rPr>
        <w:object>
          <v:shape id="_x0000_i1042" o:spt="75" type="#_x0000_t75" style="height:12pt;width:7.5pt;" o:ole="t" filled="f" o:preferrelative="t" stroked="f" coordsize="21600,21600">
            <v:path/>
            <v:fill on="f" focussize="0,0"/>
            <v:stroke on="f" joinstyle="miter"/>
            <v:imagedata r:id="rId77" o:title=""/>
            <o:lock v:ext="edit" aspectratio="t"/>
            <w10:wrap type="none"/>
            <w10:anchorlock/>
          </v:shape>
          <o:OLEObject Type="Embed" ProgID="Equation.DSMT4" ShapeID="_x0000_i1042" DrawAspect="Content" ObjectID="_1468075749" r:id="rId76">
            <o:LockedField>false</o:LockedField>
          </o:OLEObject>
        </w:object>
      </w:r>
      <w:r>
        <w:rPr>
          <w:sz w:val="28"/>
          <w:szCs w:val="28"/>
        </w:rPr>
        <w:t xml:space="preserve"> </w:t>
      </w:r>
      <w:r>
        <w:rPr>
          <w:rFonts w:eastAsia="Calibri"/>
          <w:sz w:val="28"/>
          <w:szCs w:val="28"/>
          <w:lang w:eastAsia="en-US"/>
        </w:rPr>
        <w:t xml:space="preserve">образования «плохого» банка, </w:t>
      </w:r>
      <w:r>
        <w:rPr>
          <w:sz w:val="28"/>
          <w:szCs w:val="28"/>
        </w:rPr>
        <w:t xml:space="preserve">баланс в остатках банков второго уровня </w:t>
      </w:r>
      <w:r>
        <w:rPr>
          <w:position w:val="-6"/>
          <w:sz w:val="28"/>
          <w:szCs w:val="28"/>
        </w:rPr>
        <w:object>
          <v:shape id="_x0000_i1043" o:spt="75" type="#_x0000_t75" style="height:11.25pt;width:9.75pt;" o:ole="t" filled="f" o:preferrelative="t" stroked="f" coordsize="21600,21600">
            <v:path/>
            <v:fill on="f" focussize="0,0"/>
            <v:stroke on="f" joinstyle="miter"/>
            <v:imagedata r:id="rId79" o:title=""/>
            <o:lock v:ext="edit" aspectratio="t"/>
            <w10:wrap type="none"/>
            <w10:anchorlock/>
          </v:shape>
          <o:OLEObject Type="Embed" ProgID="Equation.DSMT4" ShapeID="_x0000_i1043" DrawAspect="Content" ObjectID="_1468075750" r:id="rId78">
            <o:LockedField>false</o:LockedField>
          </o:OLEObject>
        </w:object>
      </w:r>
      <w:r>
        <w:rPr>
          <w:sz w:val="28"/>
          <w:szCs w:val="28"/>
        </w:rPr>
        <w:t xml:space="preserve"> (коммерческих банков) </w:t>
      </w:r>
      <w:r>
        <w:rPr>
          <w:rFonts w:eastAsia="Calibri"/>
          <w:sz w:val="28"/>
          <w:szCs w:val="28"/>
          <w:lang w:eastAsia="en-US"/>
        </w:rPr>
        <w:t xml:space="preserve">Республики Казахстан </w:t>
      </w:r>
      <w:r>
        <w:rPr>
          <w:sz w:val="28"/>
          <w:szCs w:val="28"/>
        </w:rPr>
        <w:t xml:space="preserve">в агрегированном виде, исключив из активов и пассивов взаимное кредитование коммерческих банков: </w:t>
      </w:r>
    </w:p>
    <w:p w14:paraId="733FA9F9">
      <w:pPr>
        <w:pStyle w:val="37"/>
        <w:ind w:firstLine="0"/>
        <w:rPr>
          <w:sz w:val="28"/>
          <w:szCs w:val="28"/>
        </w:rPr>
      </w:pPr>
    </w:p>
    <w:p w14:paraId="6C689A02">
      <w:pPr>
        <w:pStyle w:val="38"/>
        <w:spacing w:before="0" w:after="0"/>
        <w:rPr>
          <w:sz w:val="28"/>
          <w:szCs w:val="28"/>
        </w:rPr>
      </w:pPr>
      <w:r>
        <w:rPr>
          <w:sz w:val="28"/>
          <w:szCs w:val="28"/>
        </w:rPr>
        <w:tab/>
      </w:r>
      <w:r>
        <w:rPr>
          <w:sz w:val="28"/>
          <w:szCs w:val="28"/>
        </w:rPr>
        <w:t xml:space="preserve">                              </w:t>
      </w:r>
      <w:r>
        <w:rPr>
          <w:position w:val="-6"/>
          <w:sz w:val="28"/>
          <w:szCs w:val="28"/>
        </w:rPr>
        <w:object>
          <v:shape id="_x0000_i1044" o:spt="75" type="#_x0000_t75" style="height:15.75pt;width:174pt;" o:ole="t" filled="f" o:preferrelative="t" stroked="f" coordsize="21600,21600">
            <v:path/>
            <v:fill on="f" focussize="0,0"/>
            <v:stroke on="f" joinstyle="miter"/>
            <v:imagedata r:id="rId81" o:title=""/>
            <o:lock v:ext="edit" aspectratio="t"/>
            <w10:wrap type="none"/>
            <w10:anchorlock/>
          </v:shape>
          <o:OLEObject Type="Embed" ProgID="Equation.DSMT4" ShapeID="_x0000_i1044" DrawAspect="Content" ObjectID="_1468075751" r:id="rId80">
            <o:LockedField>false</o:LockedField>
          </o:OLEObject>
        </w:object>
      </w:r>
      <w:r>
        <w:rPr>
          <w:sz w:val="28"/>
          <w:szCs w:val="28"/>
        </w:rPr>
        <w:tab/>
      </w:r>
      <w:r>
        <w:rPr>
          <w:sz w:val="28"/>
          <w:szCs w:val="28"/>
        </w:rPr>
        <w:t xml:space="preserve">                              (1)</w:t>
      </w:r>
    </w:p>
    <w:p w14:paraId="03E935F1">
      <w:pPr>
        <w:pStyle w:val="37"/>
        <w:ind w:firstLine="0"/>
        <w:rPr>
          <w:sz w:val="28"/>
          <w:szCs w:val="28"/>
        </w:rPr>
      </w:pPr>
    </w:p>
    <w:p w14:paraId="24C711BB">
      <w:pPr>
        <w:pStyle w:val="37"/>
        <w:ind w:firstLine="708"/>
        <w:rPr>
          <w:sz w:val="28"/>
          <w:szCs w:val="28"/>
        </w:rPr>
      </w:pPr>
      <w:r>
        <w:rPr>
          <w:sz w:val="28"/>
          <w:szCs w:val="28"/>
        </w:rPr>
        <w:t xml:space="preserve">В левой части баланса (1) указаны активы банков </w:t>
      </w:r>
      <w:r>
        <w:rPr>
          <w:position w:val="-6"/>
          <w:sz w:val="28"/>
          <w:szCs w:val="28"/>
        </w:rPr>
        <w:object>
          <v:shape id="_x0000_i1045" o:spt="75" type="#_x0000_t75" style="height:11.25pt;width:9.75pt;" o:ole="t" filled="f" o:preferrelative="t" stroked="f" coordsize="21600,21600">
            <v:path/>
            <v:fill on="f" focussize="0,0"/>
            <v:stroke on="f" joinstyle="miter"/>
            <v:imagedata r:id="rId79" o:title=""/>
            <o:lock v:ext="edit" aspectratio="t"/>
            <w10:wrap type="none"/>
            <w10:anchorlock/>
          </v:shape>
          <o:OLEObject Type="Embed" ProgID="Equation.DSMT4" ShapeID="_x0000_i1045" DrawAspect="Content" ObjectID="_1468075752" r:id="rId82">
            <o:LockedField>false</o:LockedField>
          </o:OLEObject>
        </w:object>
      </w:r>
      <w:r>
        <w:rPr>
          <w:sz w:val="28"/>
          <w:szCs w:val="28"/>
        </w:rPr>
        <w:t xml:space="preserve">: их кассовые остатки </w:t>
      </w:r>
      <w:r>
        <w:rPr>
          <w:position w:val="-10"/>
          <w:sz w:val="28"/>
          <w:szCs w:val="28"/>
        </w:rPr>
        <w:object>
          <v:shape id="_x0000_i1046" o:spt="75" type="#_x0000_t75" style="height:18pt;width:23.25pt;" o:ole="t" filled="f" o:preferrelative="t" stroked="f" coordsize="21600,21600">
            <v:path/>
            <v:fill on="f" focussize="0,0"/>
            <v:stroke on="f" joinstyle="miter"/>
            <v:imagedata r:id="rId84" o:title=""/>
            <o:lock v:ext="edit" aspectratio="t"/>
            <w10:wrap type="none"/>
            <w10:anchorlock/>
          </v:shape>
          <o:OLEObject Type="Embed" ProgID="Equation.DSMT4" ShapeID="_x0000_i1046" DrawAspect="Content" ObjectID="_1468075753" r:id="rId83">
            <o:LockedField>false</o:LockedField>
          </o:OLEObject>
        </w:object>
      </w:r>
      <w:r>
        <w:rPr>
          <w:sz w:val="28"/>
          <w:szCs w:val="28"/>
        </w:rPr>
        <w:t xml:space="preserve"> остатки ссуд </w:t>
      </w:r>
      <w:r>
        <w:rPr>
          <w:position w:val="-4"/>
          <w:sz w:val="28"/>
          <w:szCs w:val="28"/>
        </w:rPr>
        <w:object>
          <v:shape id="_x0000_i1047" o:spt="75" type="#_x0000_t75" style="height:15pt;width:16.5pt;" o:ole="t" filled="f" o:preferrelative="t" stroked="f" coordsize="21600,21600">
            <v:path/>
            <v:fill on="f" focussize="0,0"/>
            <v:stroke on="f" joinstyle="miter"/>
            <v:imagedata r:id="rId86" o:title=""/>
            <o:lock v:ext="edit" aspectratio="t"/>
            <w10:wrap type="none"/>
            <w10:anchorlock/>
          </v:shape>
          <o:OLEObject Type="Embed" ProgID="Equation.DSMT4" ShapeID="_x0000_i1047" DrawAspect="Content" ObjectID="_1468075754" r:id="rId85">
            <o:LockedField>false</o:LockedField>
          </o:OLEObject>
        </w:object>
      </w:r>
      <w:r>
        <w:rPr>
          <w:sz w:val="28"/>
          <w:szCs w:val="28"/>
        </w:rPr>
        <w:t xml:space="preserve"> банков </w:t>
      </w:r>
      <w:r>
        <w:rPr>
          <w:position w:val="-6"/>
          <w:sz w:val="28"/>
          <w:szCs w:val="28"/>
        </w:rPr>
        <w:object>
          <v:shape id="_x0000_i1048" o:spt="75" type="#_x0000_t75" style="height:11.25pt;width:9.75pt;" o:ole="t" filled="f" o:preferrelative="t" stroked="f" coordsize="21600,21600">
            <v:path/>
            <v:fill on="f" focussize="0,0"/>
            <v:stroke on="f" joinstyle="miter"/>
            <v:imagedata r:id="rId79" o:title=""/>
            <o:lock v:ext="edit" aspectratio="t"/>
            <w10:wrap type="none"/>
            <w10:anchorlock/>
          </v:shape>
          <o:OLEObject Type="Embed" ProgID="Equation.DSMT4" ShapeID="_x0000_i1048" DrawAspect="Content" ObjectID="_1468075755" r:id="rId87">
            <o:LockedField>false</o:LockedField>
          </o:OLEObject>
        </w:object>
      </w:r>
      <w:r>
        <w:rPr>
          <w:sz w:val="28"/>
          <w:szCs w:val="28"/>
        </w:rPr>
        <w:t xml:space="preserve"> производителям </w:t>
      </w:r>
      <w:r>
        <w:rPr>
          <w:position w:val="-10"/>
          <w:sz w:val="28"/>
          <w:szCs w:val="28"/>
        </w:rPr>
        <w:object>
          <v:shape id="_x0000_i1049" o:spt="75" type="#_x0000_t75" style="height:13.5pt;width:11.25pt;" o:ole="t" filled="f" o:preferrelative="t" stroked="f" coordsize="21600,21600">
            <v:path/>
            <v:fill on="f" focussize="0,0"/>
            <v:stroke on="f" joinstyle="miter"/>
            <v:imagedata r:id="rId89" o:title=""/>
            <o:lock v:ext="edit" aspectratio="t"/>
            <w10:wrap type="none"/>
            <w10:anchorlock/>
          </v:shape>
          <o:OLEObject Type="Embed" ProgID="Equation.DSMT4" ShapeID="_x0000_i1049" DrawAspect="Content" ObjectID="_1468075756" r:id="rId88">
            <o:LockedField>false</o:LockedField>
          </o:OLEObject>
        </w:object>
      </w:r>
      <w:r>
        <w:rPr>
          <w:sz w:val="28"/>
          <w:szCs w:val="28"/>
        </w:rPr>
        <w:t xml:space="preserve">, резервы </w:t>
      </w:r>
      <w:r>
        <w:rPr>
          <w:position w:val="-4"/>
          <w:sz w:val="28"/>
          <w:szCs w:val="28"/>
        </w:rPr>
        <w:object>
          <v:shape id="_x0000_i1050" o:spt="75" type="#_x0000_t75" style="height:15pt;width:16.5pt;" o:ole="t" filled="f" o:preferrelative="t" stroked="f" coordsize="21600,21600">
            <v:path/>
            <v:fill on="f" focussize="0,0"/>
            <v:stroke on="f" joinstyle="miter"/>
            <v:imagedata r:id="rId91" o:title=""/>
            <o:lock v:ext="edit" aspectratio="t"/>
            <w10:wrap type="none"/>
            <w10:anchorlock/>
          </v:shape>
          <o:OLEObject Type="Embed" ProgID="Equation.DSMT4" ShapeID="_x0000_i1050" DrawAspect="Content" ObjectID="_1468075757" r:id="rId90">
            <o:LockedField>false</o:LockedField>
          </o:OLEObject>
        </w:object>
      </w:r>
      <w:r>
        <w:rPr>
          <w:sz w:val="28"/>
          <w:szCs w:val="28"/>
        </w:rPr>
        <w:t xml:space="preserve"> банков </w:t>
      </w:r>
      <w:r>
        <w:rPr>
          <w:position w:val="-6"/>
          <w:sz w:val="28"/>
          <w:szCs w:val="28"/>
        </w:rPr>
        <w:object>
          <v:shape id="_x0000_i1051" o:spt="75" type="#_x0000_t75" style="height:11.25pt;width:9.75pt;" o:ole="t" filled="f" o:preferrelative="t" stroked="f" coordsize="21600,21600">
            <v:path/>
            <v:fill on="f" focussize="0,0"/>
            <v:stroke on="f" joinstyle="miter"/>
            <v:imagedata r:id="rId79" o:title=""/>
            <o:lock v:ext="edit" aspectratio="t"/>
            <w10:wrap type="none"/>
            <w10:anchorlock/>
          </v:shape>
          <o:OLEObject Type="Embed" ProgID="Equation.DSMT4" ShapeID="_x0000_i1051" DrawAspect="Content" ObjectID="_1468075758" r:id="rId92">
            <o:LockedField>false</o:LockedField>
          </o:OLEObject>
        </w:object>
      </w:r>
      <w:r>
        <w:rPr>
          <w:sz w:val="28"/>
          <w:szCs w:val="28"/>
        </w:rPr>
        <w:t xml:space="preserve"> в банке </w:t>
      </w:r>
      <w:r>
        <w:rPr>
          <w:position w:val="-6"/>
          <w:sz w:val="28"/>
          <w:szCs w:val="28"/>
        </w:rPr>
        <w:object>
          <v:shape id="_x0000_i1052" o:spt="75" type="#_x0000_t75" style="height:11.25pt;width:9pt;" o:ole="t" filled="f" o:preferrelative="t" stroked="f" coordsize="21600,21600">
            <v:path/>
            <v:fill on="f" focussize="0,0"/>
            <v:stroke on="f" joinstyle="miter"/>
            <v:imagedata r:id="rId94" o:title=""/>
            <o:lock v:ext="edit" aspectratio="t"/>
            <w10:wrap type="none"/>
            <w10:anchorlock/>
          </v:shape>
          <o:OLEObject Type="Embed" ProgID="Equation.DSMT4" ShapeID="_x0000_i1052" DrawAspect="Content" ObjectID="_1468075759" r:id="rId93">
            <o:LockedField>false</o:LockedField>
          </o:OLEObject>
        </w:object>
      </w:r>
      <w:r>
        <w:rPr>
          <w:sz w:val="28"/>
          <w:szCs w:val="28"/>
        </w:rPr>
        <w:t xml:space="preserve">. В правой части баланса (1) указаны пассивы банков </w:t>
      </w:r>
      <w:r>
        <w:rPr>
          <w:position w:val="-6"/>
          <w:sz w:val="28"/>
          <w:szCs w:val="28"/>
        </w:rPr>
        <w:object>
          <v:shape id="_x0000_i1053" o:spt="75" type="#_x0000_t75" style="height:11.25pt;width:13.5pt;" o:ole="t" filled="f" o:preferrelative="t" stroked="f" coordsize="21600,21600">
            <v:path/>
            <v:fill on="f" focussize="0,0"/>
            <v:stroke on="f" joinstyle="miter"/>
            <v:imagedata r:id="rId96" o:title=""/>
            <o:lock v:ext="edit" aspectratio="t"/>
            <w10:wrap type="none"/>
            <w10:anchorlock/>
          </v:shape>
          <o:OLEObject Type="Embed" ProgID="Equation.DSMT4" ShapeID="_x0000_i1053" DrawAspect="Content" ObjectID="_1468075760" r:id="rId95">
            <o:LockedField>false</o:LockedField>
          </o:OLEObject>
        </w:object>
      </w:r>
      <w:r>
        <w:rPr>
          <w:sz w:val="28"/>
          <w:szCs w:val="28"/>
        </w:rPr>
        <w:t xml:space="preserve"> остатки расчетных счетов </w:t>
      </w:r>
      <w:r>
        <w:rPr>
          <w:position w:val="-4"/>
          <w:sz w:val="28"/>
          <w:szCs w:val="28"/>
        </w:rPr>
        <w:object>
          <v:shape id="_x0000_i1054" o:spt="75" type="#_x0000_t75" style="height:15pt;width:18.75pt;" o:ole="t" filled="f" o:preferrelative="t" stroked="f" coordsize="21600,21600">
            <v:path/>
            <v:fill on="f" focussize="0,0"/>
            <v:stroke on="f" joinstyle="miter"/>
            <v:imagedata r:id="rId98" o:title=""/>
            <o:lock v:ext="edit" aspectratio="t"/>
            <w10:wrap type="none"/>
            <w10:anchorlock/>
          </v:shape>
          <o:OLEObject Type="Embed" ProgID="Equation.DSMT4" ShapeID="_x0000_i1054" DrawAspect="Content" ObjectID="_1468075761" r:id="rId97">
            <o:LockedField>false</o:LockedField>
          </o:OLEObject>
        </w:object>
      </w:r>
      <w:r>
        <w:rPr>
          <w:sz w:val="28"/>
          <w:szCs w:val="28"/>
        </w:rPr>
        <w:t xml:space="preserve"> производителей </w:t>
      </w:r>
      <w:r>
        <w:rPr>
          <w:position w:val="-10"/>
          <w:sz w:val="28"/>
          <w:szCs w:val="28"/>
        </w:rPr>
        <w:object>
          <v:shape id="_x0000_i1055" o:spt="75" type="#_x0000_t75" style="height:13.5pt;width:11.25pt;" o:ole="t" filled="f" o:preferrelative="t" stroked="f" coordsize="21600,21600">
            <v:path/>
            <v:fill on="f" focussize="0,0"/>
            <v:stroke on="f" joinstyle="miter"/>
            <v:imagedata r:id="rId89" o:title=""/>
            <o:lock v:ext="edit" aspectratio="t"/>
            <w10:wrap type="none"/>
            <w10:anchorlock/>
          </v:shape>
          <o:OLEObject Type="Embed" ProgID="Equation.DSMT4" ShapeID="_x0000_i1055" DrawAspect="Content" ObjectID="_1468075762" r:id="rId99">
            <o:LockedField>false</o:LockedField>
          </o:OLEObject>
        </w:object>
      </w:r>
      <w:r>
        <w:rPr>
          <w:sz w:val="28"/>
          <w:szCs w:val="28"/>
        </w:rPr>
        <w:t xml:space="preserve"> в банках </w:t>
      </w:r>
      <w:r>
        <w:rPr>
          <w:position w:val="-6"/>
          <w:sz w:val="28"/>
          <w:szCs w:val="28"/>
        </w:rPr>
        <w:object>
          <v:shape id="_x0000_i1056" o:spt="75" type="#_x0000_t75" style="height:11.25pt;width:9.75pt;" o:ole="t" filled="f" o:preferrelative="t" stroked="f" coordsize="21600,21600">
            <v:path/>
            <v:fill on="f" focussize="0,0"/>
            <v:stroke on="f" joinstyle="miter"/>
            <v:imagedata r:id="rId79" o:title=""/>
            <o:lock v:ext="edit" aspectratio="t"/>
            <w10:wrap type="none"/>
            <w10:anchorlock/>
          </v:shape>
          <o:OLEObject Type="Embed" ProgID="Equation.DSMT4" ShapeID="_x0000_i1056" DrawAspect="Content" ObjectID="_1468075763" r:id="rId100">
            <o:LockedField>false</o:LockedField>
          </o:OLEObject>
        </w:object>
      </w:r>
      <w:r>
        <w:rPr>
          <w:sz w:val="28"/>
          <w:szCs w:val="28"/>
        </w:rPr>
        <w:t xml:space="preserve">, депозиты (сбережения) </w:t>
      </w:r>
      <w:r>
        <w:rPr>
          <w:position w:val="-4"/>
          <w:sz w:val="28"/>
          <w:szCs w:val="28"/>
        </w:rPr>
        <w:object>
          <v:shape id="_x0000_i1057" o:spt="75" type="#_x0000_t75" style="height:15pt;width:16.5pt;" o:ole="t" filled="f" o:preferrelative="t" stroked="f" coordsize="21600,21600">
            <v:path/>
            <v:fill on="f" focussize="0,0"/>
            <v:stroke on="f" joinstyle="miter"/>
            <v:imagedata r:id="rId102" o:title=""/>
            <o:lock v:ext="edit" aspectratio="t"/>
            <w10:wrap type="none"/>
            <w10:anchorlock/>
          </v:shape>
          <o:OLEObject Type="Embed" ProgID="Equation.DSMT4" ShapeID="_x0000_i1057" DrawAspect="Content" ObjectID="_1468075764" r:id="rId101">
            <o:LockedField>false</o:LockedField>
          </o:OLEObject>
        </w:object>
      </w:r>
      <w:r>
        <w:rPr>
          <w:sz w:val="28"/>
          <w:szCs w:val="28"/>
        </w:rPr>
        <w:t xml:space="preserve"> домашних хозяйств </w:t>
      </w:r>
      <w:r>
        <w:rPr>
          <w:position w:val="-6"/>
          <w:sz w:val="28"/>
          <w:szCs w:val="28"/>
        </w:rPr>
        <w:object>
          <v:shape id="_x0000_i1058" o:spt="75" type="#_x0000_t75" style="height:13.5pt;width:9.75pt;" o:ole="t" filled="f" o:preferrelative="t" stroked="f" coordsize="21600,21600">
            <v:path/>
            <v:fill on="f" focussize="0,0"/>
            <v:stroke on="f" joinstyle="miter"/>
            <v:imagedata r:id="rId104" o:title=""/>
            <o:lock v:ext="edit" aspectratio="t"/>
            <w10:wrap type="none"/>
            <w10:anchorlock/>
          </v:shape>
          <o:OLEObject Type="Embed" ProgID="Equation.DSMT4" ShapeID="_x0000_i1058" DrawAspect="Content" ObjectID="_1468075765" r:id="rId103">
            <o:LockedField>false</o:LockedField>
          </o:OLEObject>
        </w:object>
      </w:r>
      <w:r>
        <w:rPr>
          <w:sz w:val="28"/>
          <w:szCs w:val="28"/>
        </w:rPr>
        <w:t xml:space="preserve"> в банках </w:t>
      </w:r>
      <w:r>
        <w:rPr>
          <w:position w:val="-6"/>
          <w:sz w:val="28"/>
          <w:szCs w:val="28"/>
        </w:rPr>
        <w:object>
          <v:shape id="_x0000_i1059" o:spt="75" type="#_x0000_t75" style="height:11.25pt;width:9.75pt;" o:ole="t" filled="f" o:preferrelative="t" stroked="f" coordsize="21600,21600">
            <v:path/>
            <v:fill on="f" focussize="0,0"/>
            <v:stroke on="f" joinstyle="miter"/>
            <v:imagedata r:id="rId79" o:title=""/>
            <o:lock v:ext="edit" aspectratio="t"/>
            <w10:wrap type="none"/>
            <w10:anchorlock/>
          </v:shape>
          <o:OLEObject Type="Embed" ProgID="Equation.DSMT4" ShapeID="_x0000_i1059" DrawAspect="Content" ObjectID="_1468075766" r:id="rId105">
            <o:LockedField>false</o:LockedField>
          </o:OLEObject>
        </w:object>
      </w:r>
      <w:r>
        <w:rPr>
          <w:sz w:val="28"/>
          <w:szCs w:val="28"/>
        </w:rPr>
        <w:t xml:space="preserve">, ссуды </w:t>
      </w:r>
      <w:r>
        <w:rPr>
          <w:position w:val="-4"/>
          <w:sz w:val="28"/>
          <w:szCs w:val="28"/>
        </w:rPr>
        <w:object>
          <v:shape id="_x0000_i1060" o:spt="75" type="#_x0000_t75" style="height:15pt;width:16.5pt;" o:ole="t" filled="f" o:preferrelative="t" stroked="f" coordsize="21600,21600">
            <v:path/>
            <v:fill on="f" focussize="0,0"/>
            <v:stroke on="f" joinstyle="miter"/>
            <v:imagedata r:id="rId107" o:title=""/>
            <o:lock v:ext="edit" aspectratio="t"/>
            <w10:wrap type="none"/>
            <w10:anchorlock/>
          </v:shape>
          <o:OLEObject Type="Embed" ProgID="Equation.DSMT4" ShapeID="_x0000_i1060" DrawAspect="Content" ObjectID="_1468075767" r:id="rId106">
            <o:LockedField>false</o:LockedField>
          </o:OLEObject>
        </w:object>
      </w:r>
      <w:r>
        <w:rPr>
          <w:sz w:val="28"/>
          <w:szCs w:val="28"/>
        </w:rPr>
        <w:t xml:space="preserve"> регулятор </w:t>
      </w:r>
      <w:r>
        <w:rPr>
          <w:position w:val="-6"/>
          <w:sz w:val="28"/>
          <w:szCs w:val="28"/>
        </w:rPr>
        <w:object>
          <v:shape id="_x0000_i1061" o:spt="75" type="#_x0000_t75" style="height:11.25pt;width:9pt;" o:ole="t" filled="f" o:preferrelative="t" stroked="f" coordsize="21600,21600">
            <v:path/>
            <v:fill on="f" focussize="0,0"/>
            <v:stroke on="f" joinstyle="miter"/>
            <v:imagedata r:id="rId109" o:title=""/>
            <o:lock v:ext="edit" aspectratio="t"/>
            <w10:wrap type="none"/>
            <w10:anchorlock/>
          </v:shape>
          <o:OLEObject Type="Embed" ProgID="Equation.DSMT4" ShapeID="_x0000_i1061" DrawAspect="Content" ObjectID="_1468075768" r:id="rId108">
            <o:LockedField>false</o:LockedField>
          </o:OLEObject>
        </w:object>
      </w:r>
      <w:r>
        <w:rPr>
          <w:sz w:val="28"/>
          <w:szCs w:val="28"/>
        </w:rPr>
        <w:t xml:space="preserve"> банкам </w:t>
      </w:r>
      <w:r>
        <w:rPr>
          <w:position w:val="-6"/>
          <w:sz w:val="28"/>
          <w:szCs w:val="28"/>
        </w:rPr>
        <w:object>
          <v:shape id="_x0000_i1062" o:spt="75" type="#_x0000_t75" style="height:11.25pt;width:9.75pt;" o:ole="t" filled="f" o:preferrelative="t" stroked="f" coordsize="21600,21600">
            <v:path/>
            <v:fill on="f" focussize="0,0"/>
            <v:stroke on="f" joinstyle="miter"/>
            <v:imagedata r:id="rId79" o:title=""/>
            <o:lock v:ext="edit" aspectratio="t"/>
            <w10:wrap type="none"/>
            <w10:anchorlock/>
          </v:shape>
          <o:OLEObject Type="Embed" ProgID="Equation.DSMT4" ShapeID="_x0000_i1062" DrawAspect="Content" ObjectID="_1468075769" r:id="rId110">
            <o:LockedField>false</o:LockedField>
          </o:OLEObject>
        </w:object>
      </w:r>
      <w:r>
        <w:rPr>
          <w:sz w:val="28"/>
          <w:szCs w:val="28"/>
        </w:rPr>
        <w:t xml:space="preserve">, их собственный капитал </w:t>
      </w:r>
      <w:r>
        <w:rPr>
          <w:position w:val="-6"/>
          <w:sz w:val="28"/>
          <w:szCs w:val="28"/>
        </w:rPr>
        <w:object>
          <v:shape id="_x0000_i1063" o:spt="75" type="#_x0000_t75" style="height:15.75pt;width:19.5pt;" o:ole="t" filled="f" o:preferrelative="t" stroked="f" coordsize="21600,21600">
            <v:path/>
            <v:fill on="f" focussize="0,0"/>
            <v:stroke on="f" joinstyle="miter"/>
            <v:imagedata r:id="rId112" o:title=""/>
            <o:lock v:ext="edit" aspectratio="t"/>
            <w10:wrap type="none"/>
            <w10:anchorlock/>
          </v:shape>
          <o:OLEObject Type="Embed" ProgID="Equation.DSMT4" ShapeID="_x0000_i1063" DrawAspect="Content" ObjectID="_1468075770" r:id="rId111">
            <o:LockedField>false</o:LockedField>
          </o:OLEObject>
        </w:object>
      </w:r>
      <w:r>
        <w:rPr>
          <w:sz w:val="28"/>
          <w:szCs w:val="28"/>
        </w:rPr>
        <w:t xml:space="preserve"> Для простоты модели уставный фонд включен в собственный капитал.</w:t>
      </w:r>
    </w:p>
    <w:p w14:paraId="03FFE8BC">
      <w:pPr>
        <w:autoSpaceDE w:val="0"/>
        <w:autoSpaceDN w:val="0"/>
        <w:adjustRightInd w:val="0"/>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Пусть доля </w:t>
      </w:r>
      <w:r>
        <w:rPr>
          <w:rFonts w:ascii="Times New Roman" w:hAnsi="Times New Roman" w:cs="Times New Roman"/>
          <w:position w:val="-6"/>
          <w:sz w:val="28"/>
          <w:szCs w:val="28"/>
        </w:rPr>
        <w:object>
          <v:shape id="_x0000_i1064" o:spt="75" type="#_x0000_t75" style="height:13.5pt;width:10.5pt;" o:ole="t" filled="f" o:preferrelative="t" stroked="f" coordsize="21600,21600">
            <v:path/>
            <v:fill on="f" focussize="0,0"/>
            <v:stroke on="f" joinstyle="miter"/>
            <v:imagedata r:id="rId114" o:title=""/>
            <o:lock v:ext="edit" aspectratio="t"/>
            <w10:wrap type="none"/>
            <w10:anchorlock/>
          </v:shape>
          <o:OLEObject Type="Embed" ProgID="Equation.DSMT4" ShapeID="_x0000_i1064" DrawAspect="Content" ObjectID="_1468075771" r:id="rId113">
            <o:LockedField>false</o:LockedField>
          </o:OLEObject>
        </w:object>
      </w:r>
      <w:r>
        <w:rPr>
          <w:rFonts w:ascii="Times New Roman" w:hAnsi="Times New Roman" w:cs="Times New Roman"/>
          <w:sz w:val="28"/>
          <w:szCs w:val="28"/>
        </w:rPr>
        <w:t xml:space="preserve"> беспроблемных активов в функционировании </w:t>
      </w:r>
      <w:r>
        <w:rPr>
          <w:rFonts w:ascii="Times New Roman" w:hAnsi="Times New Roman" w:eastAsia="Calibri" w:cs="Times New Roman"/>
          <w:sz w:val="28"/>
          <w:szCs w:val="28"/>
        </w:rPr>
        <w:t xml:space="preserve">банков </w:t>
      </w:r>
      <w:r>
        <w:rPr>
          <w:rFonts w:ascii="Times New Roman" w:hAnsi="Times New Roman" w:cs="Times New Roman"/>
          <w:position w:val="-6"/>
          <w:sz w:val="28"/>
          <w:szCs w:val="28"/>
        </w:rPr>
        <w:object>
          <v:shape id="_x0000_i1065" o:spt="75" type="#_x0000_t75" style="height:11.25pt;width:9.75pt;" o:ole="t" filled="f" o:preferrelative="t" stroked="f" coordsize="21600,21600">
            <v:path/>
            <v:fill on="f" focussize="0,0"/>
            <v:stroke on="f" joinstyle="miter"/>
            <v:imagedata r:id="rId79" o:title=""/>
            <o:lock v:ext="edit" aspectratio="t"/>
            <w10:wrap type="none"/>
            <w10:anchorlock/>
          </v:shape>
          <o:OLEObject Type="Embed" ProgID="Equation.DSMT4" ShapeID="_x0000_i1065" DrawAspect="Content" ObjectID="_1468075772" r:id="rId115">
            <o:LockedField>false</o:LockedField>
          </o:OLEObject>
        </w:object>
      </w:r>
      <w:r>
        <w:rPr>
          <w:rFonts w:ascii="Times New Roman" w:hAnsi="Times New Roman" w:eastAsia="Calibri" w:cs="Times New Roman"/>
          <w:sz w:val="28"/>
          <w:szCs w:val="28"/>
        </w:rPr>
        <w:t xml:space="preserve"> второго уровня в банковской системе Казахстана </w:t>
      </w:r>
      <w:r>
        <w:rPr>
          <w:rFonts w:ascii="Times New Roman" w:hAnsi="Times New Roman" w:cs="Times New Roman"/>
          <w:position w:val="-6"/>
          <w:sz w:val="28"/>
          <w:szCs w:val="28"/>
        </w:rPr>
        <w:object>
          <v:shape id="_x0000_i1066" o:spt="75" type="#_x0000_t75" style="height:13.5pt;width:43.5pt;" o:ole="t" filled="f" o:preferrelative="t" stroked="f" coordsize="21600,21600">
            <v:path/>
            <v:fill on="f" focussize="0,0"/>
            <v:stroke on="f" joinstyle="miter"/>
            <v:imagedata r:id="rId117" o:title=""/>
            <o:lock v:ext="edit" aspectratio="t"/>
            <w10:wrap type="none"/>
            <w10:anchorlock/>
          </v:shape>
          <o:OLEObject Type="Embed" ProgID="Equation.DSMT4" ShapeID="_x0000_i1066" DrawAspect="Content" ObjectID="_1468075773" r:id="rId116">
            <o:LockedField>false</o:LockedField>
          </o:OLEObject>
        </w:object>
      </w:r>
      <w:r>
        <w:rPr>
          <w:rFonts w:ascii="Times New Roman" w:hAnsi="Times New Roman" w:cs="Times New Roman"/>
          <w:sz w:val="28"/>
          <w:szCs w:val="28"/>
        </w:rPr>
        <w:t xml:space="preserve">. Вообще говоря, эта величина зависит от времени. В кризис </w:t>
      </w:r>
      <w:r>
        <w:rPr>
          <w:rFonts w:ascii="Times New Roman" w:hAnsi="Times New Roman" w:cs="Times New Roman"/>
          <w:sz w:val="28"/>
          <w:szCs w:val="28"/>
        </w:rPr>
        <w:object>
          <v:shape id="_x0000_i1067" o:spt="75" type="#_x0000_t75" style="height:13.5pt;width:30pt;" o:ole="t" filled="f" o:preferrelative="t" stroked="f" coordsize="21600,21600">
            <v:path/>
            <v:fill on="f" focussize="0,0"/>
            <v:stroke on="f" joinstyle="miter"/>
            <v:imagedata r:id="rId119" o:title=""/>
            <o:lock v:ext="edit" aspectratio="t"/>
            <w10:wrap type="none"/>
            <w10:anchorlock/>
          </v:shape>
          <o:OLEObject Type="Embed" ProgID="Equation.DSMT4" ShapeID="_x0000_i1067" DrawAspect="Content" ObjectID="_1468075774" r:id="rId118">
            <o:LockedField>false</o:LockedField>
          </o:OLEObject>
        </w:object>
      </w:r>
      <w:r>
        <w:rPr>
          <w:rFonts w:ascii="Times New Roman" w:hAnsi="Times New Roman" w:cs="Times New Roman"/>
          <w:sz w:val="28"/>
          <w:szCs w:val="28"/>
        </w:rPr>
        <w:t xml:space="preserve"> В момент времени </w:t>
      </w:r>
      <w:r>
        <w:rPr>
          <w:rFonts w:ascii="Times New Roman" w:hAnsi="Times New Roman" w:cs="Times New Roman"/>
          <w:sz w:val="28"/>
          <w:szCs w:val="28"/>
        </w:rPr>
        <w:object>
          <v:shape id="_x0000_i1068" o:spt="75" type="#_x0000_t75" style="height:13.5pt;width:24.75pt;" o:ole="t" filled="f" o:preferrelative="t" stroked="f" coordsize="21600,21600">
            <v:path/>
            <v:fill on="f" focussize="0,0"/>
            <v:stroke on="f" joinstyle="miter"/>
            <v:imagedata r:id="rId121" o:title=""/>
            <o:lock v:ext="edit" aspectratio="t"/>
            <w10:wrap type="none"/>
            <w10:anchorlock/>
          </v:shape>
          <o:OLEObject Type="Embed" ProgID="Equation.DSMT4" ShapeID="_x0000_i1068" DrawAspect="Content" ObjectID="_1468075775" r:id="rId120">
            <o:LockedField>false</o:LockedField>
          </o:OLEObject>
        </w:object>
      </w:r>
      <w:r>
        <w:rPr>
          <w:rFonts w:ascii="Times New Roman" w:hAnsi="Times New Roman" w:cs="Times New Roman"/>
          <w:sz w:val="28"/>
          <w:szCs w:val="28"/>
        </w:rPr>
        <w:t xml:space="preserve">доля проблемных активов у банков </w:t>
      </w:r>
      <w:r>
        <w:rPr>
          <w:rFonts w:ascii="Times New Roman" w:hAnsi="Times New Roman" w:cs="Times New Roman"/>
          <w:sz w:val="28"/>
          <w:szCs w:val="28"/>
        </w:rPr>
        <w:object>
          <v:shape id="_x0000_i1069" o:spt="75" type="#_x0000_t75" style="height:11.25pt;width:9.75pt;" o:ole="t" filled="f" o:preferrelative="t" stroked="f" coordsize="21600,21600">
            <v:path/>
            <v:fill on="f" focussize="0,0"/>
            <v:stroke on="f" joinstyle="miter"/>
            <v:imagedata r:id="rId79" o:title=""/>
            <o:lock v:ext="edit" aspectratio="t"/>
            <w10:wrap type="none"/>
            <w10:anchorlock/>
          </v:shape>
          <o:OLEObject Type="Embed" ProgID="Equation.DSMT4" ShapeID="_x0000_i1069" DrawAspect="Content" ObjectID="_1468075776" r:id="rId122">
            <o:LockedField>false</o:LockedField>
          </o:OLEObject>
        </w:object>
      </w:r>
      <w:r>
        <w:rPr>
          <w:rFonts w:ascii="Times New Roman" w:hAnsi="Times New Roman" w:cs="Times New Roman"/>
          <w:sz w:val="28"/>
          <w:szCs w:val="28"/>
        </w:rPr>
        <w:t xml:space="preserve">, по которым производителями не выплачивается процент, равна </w:t>
      </w:r>
      <w:r>
        <w:rPr>
          <w:rFonts w:ascii="Times New Roman" w:hAnsi="Times New Roman" w:cs="Times New Roman"/>
          <w:sz w:val="28"/>
          <w:szCs w:val="28"/>
        </w:rPr>
        <w:object>
          <v:shape id="_x0000_i1070" o:spt="75" type="#_x0000_t75" style="height:13.5pt;width:24.75pt;" o:ole="t" filled="f" o:preferrelative="t" stroked="f" coordsize="21600,21600">
            <v:path/>
            <v:fill on="f" focussize="0,0"/>
            <v:stroke on="f" joinstyle="miter"/>
            <v:imagedata r:id="rId124" o:title=""/>
            <o:lock v:ext="edit" aspectratio="t"/>
            <w10:wrap type="none"/>
            <w10:anchorlock/>
          </v:shape>
          <o:OLEObject Type="Embed" ProgID="Equation.DSMT4" ShapeID="_x0000_i1070" DrawAspect="Content" ObjectID="_1468075777" r:id="rId123">
            <o:LockedField>false</o:LockedField>
          </o:OLEObject>
        </w:object>
      </w:r>
      <w:r>
        <w:rPr>
          <w:rFonts w:ascii="Times New Roman" w:hAnsi="Times New Roman" w:cs="Times New Roman"/>
          <w:sz w:val="28"/>
          <w:szCs w:val="28"/>
        </w:rPr>
        <w:t xml:space="preserve">. Если </w:t>
      </w:r>
      <w:r>
        <w:rPr>
          <w:rFonts w:ascii="Times New Roman" w:hAnsi="Times New Roman" w:cs="Times New Roman"/>
          <w:sz w:val="28"/>
          <w:szCs w:val="28"/>
        </w:rPr>
        <w:object>
          <v:shape id="_x0000_i1071" o:spt="75" type="#_x0000_t75" style="height:20.25pt;width:49.5pt;" o:ole="t" filled="f" o:preferrelative="t" stroked="f" coordsize="21600,21600">
            <v:path/>
            <v:fill on="f" focussize="0,0"/>
            <v:stroke on="f" joinstyle="miter"/>
            <v:imagedata r:id="rId126" o:title=""/>
            <o:lock v:ext="edit" aspectratio="t"/>
            <w10:wrap type="none"/>
            <w10:anchorlock/>
          </v:shape>
          <o:OLEObject Type="Embed" ProgID="Equation.DSMT4" ShapeID="_x0000_i1071" DrawAspect="Content" ObjectID="_1468075778" r:id="rId125">
            <o:LockedField>false</o:LockedField>
          </o:OLEObject>
        </w:object>
      </w:r>
      <w:r>
        <w:rPr>
          <w:rFonts w:ascii="Times New Roman" w:hAnsi="Times New Roman" w:cs="Times New Roman"/>
          <w:sz w:val="28"/>
          <w:szCs w:val="28"/>
        </w:rPr>
        <w:t xml:space="preserve"> – объем ссуд банков </w:t>
      </w:r>
      <w:r>
        <w:rPr>
          <w:rFonts w:ascii="Times New Roman" w:hAnsi="Times New Roman" w:cs="Times New Roman"/>
          <w:sz w:val="28"/>
          <w:szCs w:val="28"/>
        </w:rPr>
        <w:object>
          <v:shape id="_x0000_i1072" o:spt="75" type="#_x0000_t75" style="height:11.25pt;width:9.75pt;" o:ole="t" filled="f" o:preferrelative="t" stroked="f" coordsize="21600,21600">
            <v:path/>
            <v:fill on="f" focussize="0,0"/>
            <v:stroke on="f" joinstyle="miter"/>
            <v:imagedata r:id="rId79" o:title=""/>
            <o:lock v:ext="edit" aspectratio="t"/>
            <w10:wrap type="none"/>
            <w10:anchorlock/>
          </v:shape>
          <o:OLEObject Type="Embed" ProgID="Equation.DSMT4" ShapeID="_x0000_i1072" DrawAspect="Content" ObjectID="_1468075779" r:id="rId127">
            <o:LockedField>false</o:LockedField>
          </o:OLEObject>
        </w:object>
      </w:r>
      <w:r>
        <w:rPr>
          <w:rFonts w:ascii="Times New Roman" w:hAnsi="Times New Roman" w:cs="Times New Roman"/>
          <w:sz w:val="28"/>
          <w:szCs w:val="28"/>
        </w:rPr>
        <w:t xml:space="preserve"> производителям </w:t>
      </w:r>
      <w:r>
        <w:rPr>
          <w:rFonts w:ascii="Times New Roman" w:hAnsi="Times New Roman" w:cs="Times New Roman"/>
          <w:sz w:val="28"/>
          <w:szCs w:val="28"/>
        </w:rPr>
        <w:object>
          <v:shape id="_x0000_i1073" o:spt="75" type="#_x0000_t75" style="height:13.5pt;width:12pt;" o:ole="t" filled="f" o:preferrelative="t" stroked="f" coordsize="21600,21600">
            <v:path/>
            <v:fill on="f" focussize="0,0"/>
            <v:stroke on="f" joinstyle="miter"/>
            <v:imagedata r:id="rId129" o:title=""/>
            <o:lock v:ext="edit" aspectratio="t"/>
            <w10:wrap type="none"/>
            <w10:anchorlock/>
          </v:shape>
          <o:OLEObject Type="Embed" ProgID="Equation.DSMT4" ShapeID="_x0000_i1073" DrawAspect="Content" ObjectID="_1468075780" r:id="rId128">
            <o:LockedField>false</o:LockedField>
          </o:OLEObject>
        </w:object>
      </w:r>
      <w:r>
        <w:rPr>
          <w:rFonts w:ascii="Times New Roman" w:hAnsi="Times New Roman" w:cs="Times New Roman"/>
          <w:sz w:val="28"/>
          <w:szCs w:val="28"/>
        </w:rPr>
        <w:t xml:space="preserve">, то объем проблемных активов, которые передаются создаваемому в этот момент плохому банку </w:t>
      </w:r>
      <w:r>
        <w:rPr>
          <w:rFonts w:ascii="Times New Roman" w:hAnsi="Times New Roman" w:cs="Times New Roman"/>
          <w:sz w:val="28"/>
          <w:szCs w:val="28"/>
        </w:rPr>
        <w:object>
          <v:shape id="_x0000_i1074" o:spt="75" type="#_x0000_t75" style="height:15.75pt;width:12pt;" o:ole="t" filled="f" o:preferrelative="t" stroked="f" coordsize="21600,21600">
            <v:path/>
            <v:fill on="f" focussize="0,0"/>
            <v:stroke on="f" joinstyle="miter"/>
            <v:imagedata r:id="rId131" o:title=""/>
            <o:lock v:ext="edit" aspectratio="t"/>
            <w10:wrap type="none"/>
            <w10:anchorlock/>
          </v:shape>
          <o:OLEObject Type="Embed" ProgID="Equation.DSMT4" ShapeID="_x0000_i1074" DrawAspect="Content" ObjectID="_1468075781" r:id="rId130">
            <o:LockedField>false</o:LockedField>
          </o:OLEObject>
        </w:object>
      </w:r>
      <w:r>
        <w:rPr>
          <w:rFonts w:ascii="Times New Roman" w:hAnsi="Times New Roman" w:cs="Times New Roman"/>
          <w:sz w:val="28"/>
          <w:szCs w:val="28"/>
        </w:rPr>
        <w:t xml:space="preserve"> составляют величину </w:t>
      </w:r>
    </w:p>
    <w:p w14:paraId="0B9037D0">
      <w:pPr>
        <w:pStyle w:val="37"/>
        <w:ind w:firstLine="0"/>
        <w:rPr>
          <w:sz w:val="28"/>
          <w:szCs w:val="28"/>
        </w:rPr>
      </w:pPr>
    </w:p>
    <w:p w14:paraId="36B9CCED">
      <w:pPr>
        <w:pStyle w:val="38"/>
        <w:spacing w:before="0" w:after="0"/>
        <w:rPr>
          <w:sz w:val="28"/>
          <w:szCs w:val="28"/>
        </w:rPr>
      </w:pPr>
      <w:r>
        <w:rPr>
          <w:sz w:val="28"/>
          <w:szCs w:val="28"/>
        </w:rPr>
        <w:tab/>
      </w:r>
      <w:r>
        <w:rPr>
          <w:sz w:val="28"/>
          <w:szCs w:val="28"/>
        </w:rPr>
        <w:t xml:space="preserve">                                   </w:t>
      </w:r>
      <w:r>
        <w:rPr>
          <w:position w:val="-14"/>
          <w:sz w:val="28"/>
          <w:szCs w:val="28"/>
        </w:rPr>
        <w:object>
          <v:shape id="_x0000_i1075" o:spt="75" type="#_x0000_t75" style="height:20.25pt;width:136.5pt;" o:ole="t" filled="f" o:preferrelative="t" stroked="f" coordsize="21600,21600">
            <v:path/>
            <v:fill on="f" focussize="0,0"/>
            <v:stroke on="f" joinstyle="miter"/>
            <v:imagedata r:id="rId133" o:title=""/>
            <o:lock v:ext="edit" aspectratio="t"/>
            <w10:wrap type="none"/>
            <w10:anchorlock/>
          </v:shape>
          <o:OLEObject Type="Embed" ProgID="Equation.DSMT4" ShapeID="_x0000_i1075" DrawAspect="Content" ObjectID="_1468075782" r:id="rId132">
            <o:LockedField>false</o:LockedField>
          </o:OLEObject>
        </w:object>
      </w:r>
      <w:r>
        <w:rPr>
          <w:sz w:val="28"/>
          <w:szCs w:val="28"/>
        </w:rPr>
        <w:tab/>
      </w:r>
      <w:r>
        <w:rPr>
          <w:sz w:val="28"/>
          <w:szCs w:val="28"/>
        </w:rPr>
        <w:t xml:space="preserve">                                 (2)</w:t>
      </w:r>
    </w:p>
    <w:p w14:paraId="10F779F1">
      <w:pPr>
        <w:pStyle w:val="37"/>
        <w:ind w:firstLine="0"/>
        <w:rPr>
          <w:sz w:val="28"/>
          <w:szCs w:val="28"/>
        </w:rPr>
      </w:pPr>
    </w:p>
    <w:p w14:paraId="010DBDDD">
      <w:pPr>
        <w:pStyle w:val="37"/>
        <w:ind w:firstLine="708"/>
        <w:rPr>
          <w:sz w:val="28"/>
          <w:szCs w:val="28"/>
        </w:rPr>
      </w:pPr>
      <w:r>
        <w:rPr>
          <w:sz w:val="28"/>
          <w:szCs w:val="28"/>
        </w:rPr>
        <w:t xml:space="preserve">Здесь неотрицательная величина </w:t>
      </w:r>
      <w:r>
        <w:rPr>
          <w:position w:val="-6"/>
          <w:sz w:val="28"/>
          <w:szCs w:val="28"/>
        </w:rPr>
        <w:object>
          <v:shape id="_x0000_i1076" o:spt="75" type="#_x0000_t75" style="height:13.5pt;width:27pt;" o:ole="t" filled="f" o:preferrelative="t" stroked="f" coordsize="21600,21600">
            <v:path/>
            <v:fill on="f" focussize="0,0"/>
            <v:stroke on="f" joinstyle="miter"/>
            <v:imagedata r:id="rId135" o:title=""/>
            <o:lock v:ext="edit" aspectratio="t"/>
            <w10:wrap type="none"/>
            <w10:anchorlock/>
          </v:shape>
          <o:OLEObject Type="Embed" ProgID="Equation.DSMT4" ShapeID="_x0000_i1076" DrawAspect="Content" ObjectID="_1468075783" r:id="rId134">
            <o:LockedField>false</o:LockedField>
          </o:OLEObject>
        </w:object>
      </w:r>
      <w:r>
        <w:rPr>
          <w:sz w:val="28"/>
          <w:szCs w:val="28"/>
        </w:rPr>
        <w:t xml:space="preserve"> является управлением государственного фонда проблемных активов </w:t>
      </w:r>
      <w:r>
        <w:rPr>
          <w:position w:val="-6"/>
          <w:sz w:val="28"/>
          <w:szCs w:val="28"/>
        </w:rPr>
        <w:object>
          <v:shape id="_x0000_i1077" o:spt="75" type="#_x0000_t75" style="height:13.5pt;width:11.25pt;" o:ole="t" filled="f" o:preferrelative="t" stroked="f" coordsize="21600,21600">
            <v:path/>
            <v:fill on="f" focussize="0,0"/>
            <v:stroke on="f" joinstyle="miter"/>
            <v:imagedata r:id="rId137" o:title=""/>
            <o:lock v:ext="edit" aspectratio="t"/>
            <w10:wrap type="none"/>
            <w10:anchorlock/>
          </v:shape>
          <o:OLEObject Type="Embed" ProgID="Equation.DSMT4" ShapeID="_x0000_i1077" DrawAspect="Content" ObjectID="_1468075784" r:id="rId136">
            <o:LockedField>false</o:LockedField>
          </o:OLEObject>
        </w:object>
      </w:r>
      <w:r>
        <w:rPr>
          <w:sz w:val="28"/>
          <w:szCs w:val="28"/>
        </w:rPr>
        <w:t xml:space="preserve"> и соответствует принятой в Казахстане программе по оздоровлению банковской системы. Выбор этой величины государством – отдельная сложная задача, которая в настоящей работе не рассматривается. Внешнее ограничение на величину </w:t>
      </w:r>
      <w:r>
        <w:rPr>
          <w:position w:val="-6"/>
          <w:sz w:val="28"/>
          <w:szCs w:val="28"/>
        </w:rPr>
        <w:object>
          <v:shape id="_x0000_i1078" o:spt="75" type="#_x0000_t75" style="height:10.5pt;width:11.25pt;" o:ole="t" filled="f" o:preferrelative="t" stroked="f" coordsize="21600,21600">
            <v:path/>
            <v:fill on="f" focussize="0,0"/>
            <v:stroke on="f" joinstyle="miter"/>
            <v:imagedata r:id="rId139" o:title=""/>
            <o:lock v:ext="edit" aspectratio="t"/>
            <w10:wrap type="none"/>
            <w10:anchorlock/>
          </v:shape>
          <o:OLEObject Type="Embed" ProgID="Equation.DSMT4" ShapeID="_x0000_i1078" DrawAspect="Content" ObjectID="_1468075785" r:id="rId138">
            <o:LockedField>false</o:LockedField>
          </o:OLEObject>
        </w:object>
      </w:r>
      <w:r>
        <w:rPr>
          <w:sz w:val="28"/>
          <w:szCs w:val="28"/>
        </w:rPr>
        <w:t xml:space="preserve"> считаем заданным параметром, а внутреннее ограничение </w:t>
      </w:r>
      <w:r>
        <w:rPr>
          <w:position w:val="-6"/>
          <w:sz w:val="28"/>
          <w:szCs w:val="28"/>
        </w:rPr>
        <w:object>
          <v:shape id="_x0000_i1079" o:spt="75" type="#_x0000_t75" style="height:15.75pt;width:15.75pt;" o:ole="t" filled="f" o:preferrelative="t" stroked="f" coordsize="21600,21600">
            <v:path/>
            <v:fill on="f" focussize="0,0"/>
            <v:stroke on="f" joinstyle="miter"/>
            <v:imagedata r:id="rId141" o:title=""/>
            <o:lock v:ext="edit" aspectratio="t"/>
            <w10:wrap type="none"/>
            <w10:anchorlock/>
          </v:shape>
          <o:OLEObject Type="Embed" ProgID="Equation.DSMT4" ShapeID="_x0000_i1079" DrawAspect="Content" ObjectID="_1468075786" r:id="rId140">
            <o:LockedField>false</o:LockedField>
          </o:OLEObject>
        </w:object>
      </w:r>
      <w:r>
        <w:rPr>
          <w:sz w:val="28"/>
          <w:szCs w:val="28"/>
        </w:rPr>
        <w:t xml:space="preserve"> банков </w:t>
      </w:r>
      <w:r>
        <w:rPr>
          <w:position w:val="-6"/>
          <w:sz w:val="28"/>
          <w:szCs w:val="28"/>
        </w:rPr>
        <w:object>
          <v:shape id="_x0000_i1080" o:spt="75" type="#_x0000_t75" style="height:11.25pt;width:9.75pt;" o:ole="t" filled="f" o:preferrelative="t" stroked="f" coordsize="21600,21600">
            <v:path/>
            <v:fill on="f" focussize="0,0"/>
            <v:stroke on="f" joinstyle="miter"/>
            <v:imagedata r:id="rId143" o:title=""/>
            <o:lock v:ext="edit" aspectratio="t"/>
            <w10:wrap type="none"/>
            <w10:anchorlock/>
          </v:shape>
          <o:OLEObject Type="Embed" ProgID="Equation.DSMT4" ShapeID="_x0000_i1080" DrawAspect="Content" ObjectID="_1468075787" r:id="rId142">
            <o:LockedField>false</o:LockedField>
          </o:OLEObject>
        </w:object>
      </w:r>
      <w:r>
        <w:rPr>
          <w:sz w:val="28"/>
          <w:szCs w:val="28"/>
        </w:rPr>
        <w:t xml:space="preserve"> на величину </w:t>
      </w:r>
      <w:r>
        <w:rPr>
          <w:position w:val="-6"/>
          <w:sz w:val="28"/>
          <w:szCs w:val="28"/>
        </w:rPr>
        <w:object>
          <v:shape id="_x0000_i1081" o:spt="75" type="#_x0000_t75" style="height:10.5pt;width:11.25pt;" o:ole="t" filled="f" o:preferrelative="t" stroked="f" coordsize="21600,21600">
            <v:path/>
            <v:fill on="f" focussize="0,0"/>
            <v:stroke on="f" joinstyle="miter"/>
            <v:imagedata r:id="rId145" o:title=""/>
            <o:lock v:ext="edit" aspectratio="t"/>
            <w10:wrap type="none"/>
            <w10:anchorlock/>
          </v:shape>
          <o:OLEObject Type="Embed" ProgID="Equation.DSMT4" ShapeID="_x0000_i1081" DrawAspect="Content" ObjectID="_1468075788" r:id="rId144">
            <o:LockedField>false</o:LockedField>
          </o:OLEObject>
        </w:object>
      </w:r>
      <w:r>
        <w:rPr>
          <w:sz w:val="28"/>
          <w:szCs w:val="28"/>
        </w:rPr>
        <w:t xml:space="preserve"> мы здесь найдем: </w:t>
      </w:r>
    </w:p>
    <w:p w14:paraId="07397A51">
      <w:pPr>
        <w:pStyle w:val="37"/>
        <w:ind w:firstLine="0"/>
        <w:rPr>
          <w:sz w:val="28"/>
          <w:szCs w:val="28"/>
        </w:rPr>
      </w:pPr>
    </w:p>
    <w:p w14:paraId="43161D4A">
      <w:pPr>
        <w:pStyle w:val="38"/>
        <w:spacing w:before="0" w:after="0"/>
        <w:rPr>
          <w:sz w:val="28"/>
          <w:szCs w:val="28"/>
        </w:rPr>
      </w:pPr>
      <w:r>
        <w:rPr>
          <w:sz w:val="28"/>
          <w:szCs w:val="28"/>
        </w:rPr>
        <w:tab/>
      </w:r>
      <w:r>
        <w:rPr>
          <w:sz w:val="28"/>
          <w:szCs w:val="28"/>
        </w:rPr>
        <w:t xml:space="preserve">                                  </w:t>
      </w:r>
      <m:oMath>
        <m:r>
          <m:rPr/>
          <w:rPr>
            <w:rFonts w:ascii="Cambria Math"/>
            <w:sz w:val="28"/>
            <w:szCs w:val="28"/>
          </w:rPr>
          <m:t>α≤</m:t>
        </m:r>
        <m:func>
          <m:funcPr>
            <m:ctrlPr>
              <w:rPr>
                <w:rFonts w:ascii="Cambria Math" w:hAnsi="Cambria Math"/>
                <w:i/>
                <w:sz w:val="28"/>
                <w:szCs w:val="28"/>
              </w:rPr>
            </m:ctrlPr>
          </m:funcPr>
          <m:fName>
            <m:r>
              <m:rPr/>
              <w:rPr>
                <w:rFonts w:ascii="Cambria Math"/>
                <w:sz w:val="28"/>
                <w:szCs w:val="28"/>
              </w:rPr>
              <m:t>min</m:t>
            </m:r>
            <m:ctrlPr>
              <w:rPr>
                <w:rFonts w:ascii="Cambria Math" w:hAnsi="Cambria Math"/>
                <w:i/>
                <w:sz w:val="28"/>
                <w:szCs w:val="28"/>
              </w:rPr>
            </m:ctrlPr>
          </m:fName>
          <m:e>
            <m:d>
              <m:dPr>
                <m:ctrlPr>
                  <w:rPr>
                    <w:rFonts w:ascii="Cambria Math" w:hAnsi="Cambria Math"/>
                    <w:i/>
                    <w:sz w:val="28"/>
                    <w:szCs w:val="28"/>
                  </w:rPr>
                </m:ctrlPr>
              </m:dPr>
              <m:e>
                <m:r>
                  <m:rPr/>
                  <w:rPr>
                    <w:rFonts w:ascii="Cambria Math"/>
                    <w:sz w:val="28"/>
                    <w:szCs w:val="28"/>
                  </w:rPr>
                  <m:t>1,</m:t>
                </m:r>
                <m:sSup>
                  <m:sSupPr>
                    <m:ctrlPr>
                      <w:rPr>
                        <w:rFonts w:ascii="Cambria Math" w:hAnsi="Cambria Math"/>
                        <w:i/>
                        <w:sz w:val="28"/>
                        <w:szCs w:val="28"/>
                      </w:rPr>
                    </m:ctrlPr>
                  </m:sSupPr>
                  <m:e>
                    <m:r>
                      <m:rPr/>
                      <w:rPr>
                        <w:rFonts w:ascii="Cambria Math"/>
                        <w:sz w:val="28"/>
                        <w:szCs w:val="28"/>
                      </w:rPr>
                      <m:t>α</m:t>
                    </m:r>
                    <m:ctrlPr>
                      <w:rPr>
                        <w:rFonts w:ascii="Cambria Math" w:hAnsi="Cambria Math"/>
                        <w:i/>
                        <w:sz w:val="28"/>
                        <w:szCs w:val="28"/>
                      </w:rPr>
                    </m:ctrlPr>
                  </m:e>
                  <m:sup>
                    <m:r>
                      <m:rPr/>
                      <w:rPr>
                        <w:rFonts w:ascii="Cambria Math"/>
                        <w:sz w:val="28"/>
                        <w:szCs w:val="28"/>
                      </w:rPr>
                      <m:t>a</m:t>
                    </m:r>
                    <m:ctrlPr>
                      <w:rPr>
                        <w:rFonts w:ascii="Cambria Math" w:hAnsi="Cambria Math"/>
                        <w:i/>
                        <w:sz w:val="28"/>
                        <w:szCs w:val="28"/>
                      </w:rPr>
                    </m:ctrlPr>
                  </m:sup>
                </m:sSup>
                <m:ctrlPr>
                  <w:rPr>
                    <w:rFonts w:ascii="Cambria Math" w:hAnsi="Cambria Math"/>
                    <w:i/>
                    <w:sz w:val="28"/>
                    <w:szCs w:val="28"/>
                  </w:rPr>
                </m:ctrlPr>
              </m:e>
            </m:d>
            <m:ctrlPr>
              <w:rPr>
                <w:rFonts w:ascii="Cambria Math" w:hAnsi="Cambria Math"/>
                <w:i/>
                <w:sz w:val="28"/>
                <w:szCs w:val="28"/>
              </w:rPr>
            </m:ctrlPr>
          </m:e>
        </m:func>
        <m:r>
          <m:rPr/>
          <w:rPr>
            <w:rFonts w:ascii="Cambria Math"/>
            <w:sz w:val="28"/>
            <w:szCs w:val="28"/>
          </w:rPr>
          <m:t>.</m:t>
        </m:r>
      </m:oMath>
      <w:r>
        <w:rPr>
          <w:sz w:val="28"/>
          <w:szCs w:val="28"/>
        </w:rPr>
        <w:tab/>
      </w:r>
      <w:r>
        <w:rPr>
          <w:sz w:val="28"/>
          <w:szCs w:val="28"/>
        </w:rPr>
        <w:t xml:space="preserve">                                             (3)</w:t>
      </w:r>
    </w:p>
    <w:p w14:paraId="426E7723">
      <w:pPr>
        <w:pStyle w:val="38"/>
        <w:spacing w:before="0" w:after="0"/>
        <w:rPr>
          <w:sz w:val="28"/>
          <w:szCs w:val="28"/>
        </w:rPr>
      </w:pPr>
    </w:p>
    <w:p w14:paraId="22DD5461">
      <w:pPr>
        <w:pStyle w:val="37"/>
        <w:rPr>
          <w:sz w:val="28"/>
          <w:szCs w:val="28"/>
        </w:rPr>
      </w:pPr>
      <w:r>
        <w:rPr>
          <w:sz w:val="28"/>
          <w:szCs w:val="28"/>
        </w:rPr>
        <w:t xml:space="preserve">Как известно, коммерческие банки </w:t>
      </w:r>
      <w:r>
        <w:rPr>
          <w:position w:val="-6"/>
          <w:sz w:val="28"/>
          <w:szCs w:val="28"/>
        </w:rPr>
        <w:object>
          <v:shape id="_x0000_i1082" o:spt="75" type="#_x0000_t75" style="height:10.5pt;width:10.5pt;" o:ole="t" filled="f" o:preferrelative="t" stroked="f" coordsize="21600,21600">
            <v:path/>
            <v:fill on="f" focussize="0,0"/>
            <v:stroke on="f" joinstyle="miter"/>
            <v:imagedata r:id="rId147" o:title=""/>
            <o:lock v:ext="edit" aspectratio="t"/>
            <w10:wrap type="none"/>
            <w10:anchorlock/>
          </v:shape>
          <o:OLEObject Type="Embed" ProgID="Equation.DSMT4" ShapeID="_x0000_i1082" DrawAspect="Content" ObjectID="_1468075789" r:id="rId146">
            <o:LockedField>false</o:LockedField>
          </o:OLEObject>
        </w:object>
      </w:r>
      <w:r>
        <w:rPr>
          <w:sz w:val="28"/>
          <w:szCs w:val="28"/>
        </w:rPr>
        <w:t xml:space="preserve"> не всегда заинтересованы показывать государственным представителям – регулятору </w:t>
      </w:r>
      <w:r>
        <w:rPr>
          <w:position w:val="-6"/>
          <w:sz w:val="28"/>
          <w:szCs w:val="28"/>
        </w:rPr>
        <w:object>
          <v:shape id="_x0000_i1083" o:spt="75" type="#_x0000_t75" style="height:10.5pt;width:9pt;" o:ole="t" filled="f" o:preferrelative="t" stroked="f" coordsize="21600,21600">
            <v:path/>
            <v:fill on="f" focussize="0,0"/>
            <v:stroke on="f" joinstyle="miter"/>
            <v:imagedata r:id="rId149" o:title=""/>
            <o:lock v:ext="edit" aspectratio="t"/>
            <w10:wrap type="none"/>
            <w10:anchorlock/>
          </v:shape>
          <o:OLEObject Type="Embed" ProgID="Equation.DSMT4" ShapeID="_x0000_i1083" DrawAspect="Content" ObjectID="_1468075790" r:id="rId148">
            <o:LockedField>false</o:LockedField>
          </o:OLEObject>
        </w:object>
      </w:r>
      <w:r>
        <w:rPr>
          <w:sz w:val="28"/>
          <w:szCs w:val="28"/>
        </w:rPr>
        <w:t xml:space="preserve"> и фонду проблемных кредитов </w:t>
      </w:r>
      <w:r>
        <w:rPr>
          <w:position w:val="-6"/>
          <w:sz w:val="28"/>
          <w:szCs w:val="28"/>
        </w:rPr>
        <w:object>
          <v:shape id="_x0000_i1084" o:spt="75" type="#_x0000_t75" style="height:13.5pt;width:11.25pt;" o:ole="t" filled="f" o:preferrelative="t" stroked="f" coordsize="21600,21600">
            <v:path/>
            <v:fill on="f" focussize="0,0"/>
            <v:stroke on="f" joinstyle="miter"/>
            <v:imagedata r:id="rId151" o:title=""/>
            <o:lock v:ext="edit" aspectratio="t"/>
            <w10:wrap type="none"/>
            <w10:anchorlock/>
          </v:shape>
          <o:OLEObject Type="Embed" ProgID="Equation.DSMT4" ShapeID="_x0000_i1084" DrawAspect="Content" ObjectID="_1468075791" r:id="rId150">
            <o:LockedField>false</o:LockedField>
          </o:OLEObject>
        </w:object>
      </w:r>
      <w:r>
        <w:rPr>
          <w:sz w:val="28"/>
          <w:szCs w:val="28"/>
        </w:rPr>
        <w:t xml:space="preserve"> величину доли беспроблемного функционирования кредитов </w:t>
      </w:r>
      <w:r>
        <w:rPr>
          <w:position w:val="-6"/>
          <w:sz w:val="28"/>
          <w:szCs w:val="28"/>
        </w:rPr>
        <w:object>
          <v:shape id="_x0000_i1085" o:spt="75" type="#_x0000_t75" style="height:13.5pt;width:10.5pt;" o:ole="t" filled="f" o:preferrelative="t" stroked="f" coordsize="21600,21600">
            <v:path/>
            <v:fill on="f" focussize="0,0"/>
            <v:stroke on="f" joinstyle="miter"/>
            <v:imagedata r:id="rId153" o:title=""/>
            <o:lock v:ext="edit" aspectratio="t"/>
            <w10:wrap type="none"/>
            <w10:anchorlock/>
          </v:shape>
          <o:OLEObject Type="Embed" ProgID="Equation.DSMT4" ShapeID="_x0000_i1085" DrawAspect="Content" ObjectID="_1468075792" r:id="rId152">
            <o:LockedField>false</o:LockedField>
          </o:OLEObject>
        </w:object>
      </w:r>
      <w:r>
        <w:rPr>
          <w:sz w:val="28"/>
          <w:szCs w:val="28"/>
        </w:rPr>
        <w:t xml:space="preserve">, поскольку это ведет к образованию плохого банка </w:t>
      </w:r>
      <w:r>
        <w:rPr>
          <w:position w:val="-6"/>
          <w:sz w:val="28"/>
          <w:szCs w:val="28"/>
        </w:rPr>
        <w:object>
          <v:shape id="_x0000_i1086" o:spt="75" type="#_x0000_t75" style="height:13.5pt;width:10.5pt;" o:ole="t" filled="f" o:preferrelative="t" stroked="f" coordsize="21600,21600">
            <v:path/>
            <v:fill on="f" focussize="0,0"/>
            <v:stroke on="f" joinstyle="miter"/>
            <v:imagedata r:id="rId155" o:title=""/>
            <o:lock v:ext="edit" aspectratio="t"/>
            <w10:wrap type="none"/>
            <w10:anchorlock/>
          </v:shape>
          <o:OLEObject Type="Embed" ProgID="Equation.DSMT4" ShapeID="_x0000_i1086" DrawAspect="Content" ObjectID="_1468075793" r:id="rId154">
            <o:LockedField>false</o:LockedField>
          </o:OLEObject>
        </w:object>
      </w:r>
      <w:r>
        <w:rPr>
          <w:sz w:val="28"/>
          <w:szCs w:val="28"/>
        </w:rPr>
        <w:t xml:space="preserve">, и при этом одновременно списываются активы и пассивы в балансе (1). При этом из левой части баланса (1) списываются проблемные активы, а из пассивов правой части баланса (1) наряду с переходом некоторого объема депозитов населения списывается собственный капитал. Списание собственного капитала уменьшает распределяемые дивиденды собственников коммерческих банков </w:t>
      </w:r>
      <w:r>
        <w:rPr>
          <w:position w:val="-6"/>
          <w:sz w:val="28"/>
          <w:szCs w:val="28"/>
        </w:rPr>
        <w:object>
          <v:shape id="_x0000_i1087" o:spt="75" type="#_x0000_t75" style="height:10.5pt;width:10.5pt;" o:ole="t" filled="f" o:preferrelative="t" stroked="f" coordsize="21600,21600">
            <v:path/>
            <v:fill on="f" focussize="0,0"/>
            <v:stroke on="f" joinstyle="miter"/>
            <v:imagedata r:id="rId147" o:title=""/>
            <o:lock v:ext="edit" aspectratio="t"/>
            <w10:wrap type="none"/>
            <w10:anchorlock/>
          </v:shape>
          <o:OLEObject Type="Embed" ProgID="Equation.DSMT4" ShapeID="_x0000_i1087" DrawAspect="Content" ObjectID="_1468075794" r:id="rId156">
            <o:LockedField>false</o:LockedField>
          </o:OLEObject>
        </w:object>
      </w:r>
      <w:r>
        <w:rPr>
          <w:sz w:val="28"/>
          <w:szCs w:val="28"/>
        </w:rPr>
        <w:t xml:space="preserve">. Обычно задача по оценке доли беспроблемности кредитов </w:t>
      </w:r>
      <w:r>
        <w:rPr>
          <w:position w:val="-6"/>
          <w:sz w:val="28"/>
          <w:szCs w:val="28"/>
        </w:rPr>
        <w:object>
          <v:shape id="_x0000_i1088" o:spt="75" type="#_x0000_t75" style="height:13.5pt;width:10.5pt;" o:ole="t" filled="f" o:preferrelative="t" stroked="f" coordsize="21600,21600">
            <v:path/>
            <v:fill on="f" focussize="0,0"/>
            <v:stroke on="f" joinstyle="miter"/>
            <v:imagedata r:id="rId158" o:title=""/>
            <o:lock v:ext="edit" aspectratio="t"/>
            <w10:wrap type="none"/>
            <w10:anchorlock/>
          </v:shape>
          <o:OLEObject Type="Embed" ProgID="Equation.DSMT4" ShapeID="_x0000_i1088" DrawAspect="Content" ObjectID="_1468075795" r:id="rId157">
            <o:LockedField>false</o:LockedField>
          </o:OLEObject>
        </w:object>
      </w:r>
      <w:r>
        <w:rPr>
          <w:sz w:val="28"/>
          <w:szCs w:val="28"/>
        </w:rPr>
        <w:t xml:space="preserve"> и назначению доли спасаемых проблемных активов </w:t>
      </w:r>
      <w:r>
        <w:rPr>
          <w:position w:val="-6"/>
          <w:sz w:val="28"/>
          <w:szCs w:val="28"/>
        </w:rPr>
        <w:object>
          <v:shape id="_x0000_i1089" o:spt="75" type="#_x0000_t75" style="height:10.5pt;width:11.25pt;" o:ole="t" filled="f" o:preferrelative="t" stroked="f" coordsize="21600,21600">
            <v:path/>
            <v:fill on="f" focussize="0,0"/>
            <v:stroke on="f" joinstyle="miter"/>
            <v:imagedata r:id="rId160" o:title=""/>
            <o:lock v:ext="edit" aspectratio="t"/>
            <w10:wrap type="none"/>
            <w10:anchorlock/>
          </v:shape>
          <o:OLEObject Type="Embed" ProgID="Equation.DSMT4" ShapeID="_x0000_i1089" DrawAspect="Content" ObjectID="_1468075796" r:id="rId159">
            <o:LockedField>false</o:LockedField>
          </o:OLEObject>
        </w:object>
      </w:r>
      <w:r>
        <w:rPr>
          <w:sz w:val="28"/>
          <w:szCs w:val="28"/>
        </w:rPr>
        <w:t xml:space="preserve"> входит в круг обязанностей центробанка </w:t>
      </w:r>
      <w:r>
        <w:rPr>
          <w:position w:val="-6"/>
          <w:sz w:val="28"/>
          <w:szCs w:val="28"/>
        </w:rPr>
        <w:object>
          <v:shape id="_x0000_i1090" o:spt="75" type="#_x0000_t75" style="height:10.5pt;width:9pt;" o:ole="t" filled="f" o:preferrelative="t" stroked="f" coordsize="21600,21600">
            <v:path/>
            <v:fill on="f" focussize="0,0"/>
            <v:stroke on="f" joinstyle="miter"/>
            <v:imagedata r:id="rId149" o:title=""/>
            <o:lock v:ext="edit" aspectratio="t"/>
            <w10:wrap type="none"/>
            <w10:anchorlock/>
          </v:shape>
          <o:OLEObject Type="Embed" ProgID="Equation.DSMT4" ShapeID="_x0000_i1090" DrawAspect="Content" ObjectID="_1468075797" r:id="rId161">
            <o:LockedField>false</o:LockedField>
          </o:OLEObject>
        </w:object>
      </w:r>
      <w:r>
        <w:rPr>
          <w:sz w:val="28"/>
          <w:szCs w:val="28"/>
        </w:rPr>
        <w:t xml:space="preserve">. </w:t>
      </w:r>
    </w:p>
    <w:p w14:paraId="1FFADED6">
      <w:pPr>
        <w:pStyle w:val="37"/>
        <w:rPr>
          <w:sz w:val="28"/>
          <w:szCs w:val="28"/>
        </w:rPr>
      </w:pPr>
      <w:r>
        <w:rPr>
          <w:sz w:val="28"/>
          <w:szCs w:val="28"/>
        </w:rPr>
        <w:t xml:space="preserve">Капитальные требования устанавливают, что в каждый момент времени собственный капитал </w:t>
      </w:r>
      <w:r>
        <w:rPr>
          <w:position w:val="-6"/>
          <w:sz w:val="28"/>
          <w:szCs w:val="28"/>
        </w:rPr>
        <w:object>
          <v:shape id="_x0000_i1091" o:spt="75" type="#_x0000_t75" style="height:15.75pt;width:16.5pt;" o:ole="t" filled="f" o:preferrelative="t" stroked="f" coordsize="21600,21600">
            <v:path/>
            <v:fill on="f" focussize="0,0"/>
            <v:stroke on="f" joinstyle="miter"/>
            <v:imagedata r:id="rId163" o:title=""/>
            <o:lock v:ext="edit" aspectratio="t"/>
            <w10:wrap type="none"/>
            <w10:anchorlock/>
          </v:shape>
          <o:OLEObject Type="Embed" ProgID="Equation.DSMT4" ShapeID="_x0000_i1091" DrawAspect="Content" ObjectID="_1468075798" r:id="rId162">
            <o:LockedField>false</o:LockedField>
          </o:OLEObject>
        </w:object>
      </w:r>
      <w:r>
        <w:rPr>
          <w:sz w:val="28"/>
          <w:szCs w:val="28"/>
        </w:rPr>
        <w:t xml:space="preserve"> коммерческих банков </w:t>
      </w:r>
      <w:r>
        <w:rPr>
          <w:position w:val="-6"/>
          <w:sz w:val="28"/>
          <w:szCs w:val="28"/>
        </w:rPr>
        <w:object>
          <v:shape id="_x0000_i1092" o:spt="75" type="#_x0000_t75" style="height:10.5pt;width:10.5pt;" o:ole="t" filled="f" o:preferrelative="t" stroked="f" coordsize="21600,21600">
            <v:path/>
            <v:fill on="f" focussize="0,0"/>
            <v:stroke on="f" joinstyle="miter"/>
            <v:imagedata r:id="rId147" o:title=""/>
            <o:lock v:ext="edit" aspectratio="t"/>
            <w10:wrap type="none"/>
            <w10:anchorlock/>
          </v:shape>
          <o:OLEObject Type="Embed" ProgID="Equation.DSMT4" ShapeID="_x0000_i1092" DrawAspect="Content" ObjectID="_1468075799" r:id="rId164">
            <o:LockedField>false</o:LockedField>
          </o:OLEObject>
        </w:object>
      </w:r>
      <w:r>
        <w:rPr>
          <w:sz w:val="28"/>
          <w:szCs w:val="28"/>
        </w:rPr>
        <w:t xml:space="preserve"> должен покрывать определенную по установленной норме </w:t>
      </w:r>
      <w:r>
        <w:rPr>
          <w:position w:val="-14"/>
          <w:sz w:val="28"/>
          <w:szCs w:val="28"/>
        </w:rPr>
        <w:object>
          <v:shape id="_x0000_i1093" o:spt="75" type="#_x0000_t75" style="height:20.25pt;width:45pt;" o:ole="t" filled="f" o:preferrelative="t" stroked="f" coordsize="21600,21600">
            <v:path/>
            <v:fill on="f" focussize="0,0"/>
            <v:stroke on="f" joinstyle="miter"/>
            <v:imagedata r:id="rId166" o:title=""/>
            <o:lock v:ext="edit" aspectratio="t"/>
            <w10:wrap type="none"/>
            <w10:anchorlock/>
          </v:shape>
          <o:OLEObject Type="Embed" ProgID="Equation.DSMT4" ShapeID="_x0000_i1093" DrawAspect="Content" ObjectID="_1468075800" r:id="rId165">
            <o:LockedField>false</o:LockedField>
          </o:OLEObject>
        </w:object>
      </w:r>
      <w:r>
        <w:rPr>
          <w:sz w:val="28"/>
          <w:szCs w:val="28"/>
        </w:rPr>
        <w:t xml:space="preserve"> долю проблемных кредитов, то есть в момент времени </w:t>
      </w:r>
      <w:r>
        <w:rPr>
          <w:position w:val="-6"/>
          <w:sz w:val="28"/>
          <w:szCs w:val="28"/>
        </w:rPr>
        <w:object>
          <v:shape id="_x0000_i1094" o:spt="75" type="#_x0000_t75" style="height:13.5pt;width:24pt;" o:ole="t" filled="f" o:preferrelative="t" stroked="f" coordsize="21600,21600">
            <v:path/>
            <v:fill on="f" focussize="0,0"/>
            <v:stroke on="f" joinstyle="miter"/>
            <v:imagedata r:id="rId168" o:title=""/>
            <o:lock v:ext="edit" aspectratio="t"/>
            <w10:wrap type="none"/>
            <w10:anchorlock/>
          </v:shape>
          <o:OLEObject Type="Embed" ProgID="Equation.DSMT4" ShapeID="_x0000_i1094" DrawAspect="Content" ObjectID="_1468075801" r:id="rId167">
            <o:LockedField>false</o:LockedField>
          </o:OLEObject>
        </w:object>
      </w:r>
      <w:r>
        <w:rPr>
          <w:sz w:val="28"/>
          <w:szCs w:val="28"/>
        </w:rPr>
        <w:t xml:space="preserve"> перед создание плохого банка:</w:t>
      </w:r>
    </w:p>
    <w:p w14:paraId="76438A29">
      <w:pPr>
        <w:pStyle w:val="37"/>
        <w:rPr>
          <w:sz w:val="28"/>
          <w:szCs w:val="28"/>
          <w:highlight w:val="yellow"/>
        </w:rPr>
      </w:pPr>
    </w:p>
    <w:p w14:paraId="18183F9B">
      <w:pPr>
        <w:pStyle w:val="38"/>
        <w:spacing w:before="0" w:after="0"/>
        <w:rPr>
          <w:sz w:val="28"/>
          <w:szCs w:val="28"/>
        </w:rPr>
      </w:pPr>
      <w:r>
        <w:rPr>
          <w:sz w:val="28"/>
          <w:szCs w:val="28"/>
        </w:rPr>
        <w:tab/>
      </w:r>
      <w:r>
        <w:rPr>
          <w:sz w:val="28"/>
          <w:szCs w:val="28"/>
        </w:rPr>
        <w:t xml:space="preserve">                                                 </w:t>
      </w:r>
      <w:r>
        <w:rPr>
          <w:position w:val="-14"/>
          <w:sz w:val="28"/>
          <w:szCs w:val="28"/>
        </w:rPr>
        <w:object>
          <v:shape id="_x0000_i1095" o:spt="75" type="#_x0000_t75" style="height:20.25pt;width:148.5pt;" o:ole="t" filled="f" o:preferrelative="t" stroked="f" coordsize="21600,21600">
            <v:path/>
            <v:fill on="f" focussize="0,0"/>
            <v:stroke on="f" joinstyle="miter"/>
            <v:imagedata r:id="rId170" o:title=""/>
            <o:lock v:ext="edit" aspectratio="t"/>
            <w10:wrap type="none"/>
            <w10:anchorlock/>
          </v:shape>
          <o:OLEObject Type="Embed" ProgID="Equation.DSMT4" ShapeID="_x0000_i1095" DrawAspect="Content" ObjectID="_1468075802" r:id="rId169">
            <o:LockedField>false</o:LockedField>
          </o:OLEObject>
        </w:object>
      </w:r>
      <w:r>
        <w:rPr>
          <w:sz w:val="28"/>
          <w:szCs w:val="28"/>
        </w:rPr>
        <w:t xml:space="preserve"> </w:t>
      </w:r>
      <w:r>
        <w:rPr>
          <w:sz w:val="28"/>
          <w:szCs w:val="28"/>
        </w:rPr>
        <w:tab/>
      </w:r>
      <w:r>
        <w:rPr>
          <w:sz w:val="28"/>
          <w:szCs w:val="28"/>
        </w:rPr>
        <w:t xml:space="preserve">                         (4)</w:t>
      </w:r>
    </w:p>
    <w:p w14:paraId="754CE8C2">
      <w:pPr>
        <w:pStyle w:val="37"/>
        <w:ind w:firstLine="0"/>
        <w:rPr>
          <w:sz w:val="28"/>
          <w:szCs w:val="28"/>
        </w:rPr>
      </w:pPr>
    </w:p>
    <w:p w14:paraId="228A574F">
      <w:pPr>
        <w:pStyle w:val="37"/>
        <w:rPr>
          <w:sz w:val="28"/>
          <w:szCs w:val="28"/>
        </w:rPr>
      </w:pPr>
      <w:r>
        <w:rPr>
          <w:sz w:val="28"/>
          <w:szCs w:val="28"/>
        </w:rPr>
        <w:t xml:space="preserve">В таком случае избыток капитала в этот момент составляет </w:t>
      </w:r>
      <w:r>
        <w:rPr>
          <w:position w:val="-14"/>
          <w:sz w:val="28"/>
          <w:szCs w:val="28"/>
        </w:rPr>
        <w:object>
          <v:shape id="_x0000_i1096" o:spt="75" type="#_x0000_t75" style="height:20.25pt;width:127.5pt;" o:ole="t" filled="f" o:preferrelative="t" stroked="f" coordsize="21600,21600">
            <v:path/>
            <v:fill on="f" focussize="0,0"/>
            <v:stroke on="f" joinstyle="miter"/>
            <v:imagedata r:id="rId172" o:title=""/>
            <o:lock v:ext="edit" aspectratio="t"/>
            <w10:wrap type="none"/>
            <w10:anchorlock/>
          </v:shape>
          <o:OLEObject Type="Embed" ProgID="Equation.DSMT4" ShapeID="_x0000_i1096" DrawAspect="Content" ObjectID="_1468075803" r:id="rId171">
            <o:LockedField>false</o:LockedField>
          </o:OLEObject>
        </w:object>
      </w:r>
      <w:r>
        <w:rPr>
          <w:sz w:val="28"/>
          <w:szCs w:val="28"/>
        </w:rPr>
        <w:t xml:space="preserve">. Образование «плохого» банка </w:t>
      </w:r>
      <w:r>
        <w:rPr>
          <w:position w:val="-6"/>
          <w:sz w:val="28"/>
          <w:szCs w:val="28"/>
        </w:rPr>
        <w:object>
          <v:shape id="_x0000_i1097" o:spt="75" type="#_x0000_t75" style="height:13.5pt;width:10.5pt;" o:ole="t" filled="f" o:preferrelative="t" stroked="f" coordsize="21600,21600">
            <v:path/>
            <v:fill on="f" focussize="0,0"/>
            <v:stroke on="f" joinstyle="miter"/>
            <v:imagedata r:id="rId174" o:title=""/>
            <o:lock v:ext="edit" aspectratio="t"/>
            <w10:wrap type="none"/>
            <w10:anchorlock/>
          </v:shape>
          <o:OLEObject Type="Embed" ProgID="Equation.DSMT4" ShapeID="_x0000_i1097" DrawAspect="Content" ObjectID="_1468075804" r:id="rId173">
            <o:LockedField>false</o:LockedField>
          </o:OLEObject>
        </w:object>
      </w:r>
      <w:r>
        <w:rPr>
          <w:sz w:val="28"/>
          <w:szCs w:val="28"/>
        </w:rPr>
        <w:t xml:space="preserve"> означает, что этот избыток </w:t>
      </w:r>
      <w:r>
        <w:rPr>
          <w:position w:val="-6"/>
          <w:sz w:val="28"/>
          <w:szCs w:val="28"/>
        </w:rPr>
        <w:object>
          <v:shape id="_x0000_i1098" o:spt="75" type="#_x0000_t75" style="height:15.75pt;width:16.5pt;" o:ole="t" filled="f" o:preferrelative="t" stroked="f" coordsize="21600,21600">
            <v:path/>
            <v:fill on="f" focussize="0,0"/>
            <v:stroke on="f" joinstyle="miter"/>
            <v:imagedata r:id="rId176" o:title=""/>
            <o:lock v:ext="edit" aspectratio="t"/>
            <w10:wrap type="none"/>
            <w10:anchorlock/>
          </v:shape>
          <o:OLEObject Type="Embed" ProgID="Equation.DSMT4" ShapeID="_x0000_i1098" DrawAspect="Content" ObjectID="_1468075805" r:id="rId175">
            <o:LockedField>false</o:LockedField>
          </o:OLEObject>
        </w:object>
      </w:r>
      <w:r>
        <w:rPr>
          <w:sz w:val="28"/>
          <w:szCs w:val="28"/>
        </w:rPr>
        <w:t xml:space="preserve"> должен быть достаточно большим, чтобы можно было списать проблемные активы (2) из левой части баланса (1) и соответствующие пассивы из правой части (1).</w:t>
      </w:r>
    </w:p>
    <w:p w14:paraId="30443CDB">
      <w:pPr>
        <w:pStyle w:val="37"/>
        <w:rPr>
          <w:sz w:val="28"/>
          <w:szCs w:val="28"/>
        </w:rPr>
      </w:pPr>
      <w:r>
        <w:rPr>
          <w:sz w:val="28"/>
          <w:szCs w:val="28"/>
        </w:rPr>
        <w:t>Справедливо</w:t>
      </w:r>
    </w:p>
    <w:p w14:paraId="44DF5827">
      <w:pPr>
        <w:pStyle w:val="37"/>
        <w:rPr>
          <w:rFonts w:eastAsia="Calibri"/>
          <w:i/>
          <w:sz w:val="28"/>
          <w:szCs w:val="28"/>
          <w:lang w:eastAsia="en-US"/>
        </w:rPr>
      </w:pPr>
      <w:r>
        <w:rPr>
          <w:rFonts w:eastAsia="Calibri"/>
          <w:b/>
          <w:sz w:val="28"/>
          <w:szCs w:val="28"/>
          <w:lang w:eastAsia="en-US"/>
        </w:rPr>
        <w:t>Утверждение 1</w:t>
      </w:r>
      <w:r>
        <w:rPr>
          <w:rFonts w:eastAsia="Calibri"/>
          <w:sz w:val="28"/>
          <w:szCs w:val="28"/>
          <w:lang w:eastAsia="en-US"/>
        </w:rPr>
        <w:t xml:space="preserve">: </w:t>
      </w:r>
      <w:r>
        <w:rPr>
          <w:rFonts w:eastAsia="Calibri"/>
          <w:i/>
          <w:sz w:val="28"/>
          <w:szCs w:val="28"/>
          <w:lang w:eastAsia="en-US"/>
        </w:rPr>
        <w:t xml:space="preserve">Пусть </w:t>
      </w:r>
      <w:r>
        <w:rPr>
          <w:rFonts w:eastAsia="Calibri"/>
          <w:i/>
          <w:position w:val="-10"/>
          <w:sz w:val="28"/>
          <w:szCs w:val="28"/>
          <w:lang w:eastAsia="en-US"/>
        </w:rPr>
        <w:object>
          <v:shape id="_x0000_i1099" o:spt="75" type="#_x0000_t75" style="height:15.75pt;width:26.25pt;" o:ole="t" filled="f" o:preferrelative="t" stroked="f" coordsize="21600,21600">
            <v:path/>
            <v:fill on="f" focussize="0,0"/>
            <v:stroke on="f" joinstyle="miter"/>
            <v:imagedata r:id="rId178" o:title=""/>
            <o:lock v:ext="edit" aspectratio="t"/>
            <w10:wrap type="none"/>
            <w10:anchorlock/>
          </v:shape>
          <o:OLEObject Type="Embed" ProgID="Equation.DSMT4" ShapeID="_x0000_i1099" DrawAspect="Content" ObjectID="_1468075806" r:id="rId177">
            <o:LockedField>false</o:LockedField>
          </o:OLEObject>
        </w:object>
      </w:r>
      <w:r>
        <w:rPr>
          <w:rFonts w:eastAsia="Calibri"/>
          <w:i/>
          <w:sz w:val="28"/>
          <w:szCs w:val="28"/>
          <w:lang w:eastAsia="en-US"/>
        </w:rPr>
        <w:t xml:space="preserve"> – вероятность возврата производителями через промежуток времени </w:t>
      </w:r>
      <w:r>
        <w:rPr>
          <w:rFonts w:eastAsia="Calibri"/>
          <w:i/>
          <w:position w:val="-6"/>
          <w:sz w:val="28"/>
          <w:szCs w:val="28"/>
          <w:lang w:eastAsia="en-US"/>
        </w:rPr>
        <w:object>
          <v:shape id="_x0000_i1100" o:spt="75" type="#_x0000_t75" style="height:11.25pt;width:9.75pt;" o:ole="t" filled="f" o:preferrelative="t" stroked="f" coordsize="21600,21600">
            <v:path/>
            <v:fill on="f" focussize="0,0"/>
            <v:stroke on="f" joinstyle="miter"/>
            <v:imagedata r:id="rId180" o:title=""/>
            <o:lock v:ext="edit" aspectratio="t"/>
            <w10:wrap type="none"/>
            <w10:anchorlock/>
          </v:shape>
          <o:OLEObject Type="Embed" ProgID="Equation.DSMT4" ShapeID="_x0000_i1100" DrawAspect="Content" ObjectID="_1468075807" r:id="rId179">
            <o:LockedField>false</o:LockedField>
          </o:OLEObject>
        </w:object>
      </w:r>
      <w:r>
        <w:rPr>
          <w:rFonts w:eastAsia="Calibri"/>
          <w:i/>
          <w:sz w:val="28"/>
          <w:szCs w:val="28"/>
          <w:lang w:eastAsia="en-US"/>
        </w:rPr>
        <w:t xml:space="preserve"> проблемных активов </w:t>
      </w:r>
      <w:r>
        <w:rPr>
          <w:position w:val="-14"/>
          <w:sz w:val="28"/>
          <w:szCs w:val="28"/>
        </w:rPr>
        <w:object>
          <v:shape id="_x0000_i1101" o:spt="75" type="#_x0000_t75" style="height:20.25pt;width:34.5pt;" o:ole="t" filled="f" o:preferrelative="t" stroked="f" coordsize="21600,21600">
            <v:path/>
            <v:fill on="f" focussize="0,0"/>
            <v:stroke on="f" joinstyle="miter"/>
            <v:imagedata r:id="rId182" o:title=""/>
            <o:lock v:ext="edit" aspectratio="t"/>
            <w10:wrap type="none"/>
            <w10:anchorlock/>
          </v:shape>
          <o:OLEObject Type="Embed" ProgID="Equation.DSMT4" ShapeID="_x0000_i1101" DrawAspect="Content" ObjectID="_1468075808" r:id="rId181">
            <o:LockedField>false</o:LockedField>
          </o:OLEObject>
        </w:object>
      </w:r>
      <w:r>
        <w:rPr>
          <w:sz w:val="28"/>
          <w:szCs w:val="28"/>
        </w:rPr>
        <w:t xml:space="preserve">, </w:t>
      </w:r>
      <w:r>
        <w:rPr>
          <w:rFonts w:eastAsia="Calibri"/>
          <w:i/>
          <w:sz w:val="28"/>
          <w:szCs w:val="28"/>
          <w:lang w:eastAsia="en-US"/>
        </w:rPr>
        <w:t xml:space="preserve">передаваемых коммерческими банками </w:t>
      </w:r>
      <w:r>
        <w:rPr>
          <w:position w:val="-6"/>
          <w:sz w:val="28"/>
          <w:szCs w:val="28"/>
        </w:rPr>
        <w:object>
          <v:shape id="_x0000_i1102" o:spt="75" type="#_x0000_t75" style="height:10.5pt;width:10.5pt;" o:ole="t" filled="f" o:preferrelative="t" stroked="f" coordsize="21600,21600">
            <v:path/>
            <v:fill on="f" focussize="0,0"/>
            <v:stroke on="f" joinstyle="miter"/>
            <v:imagedata r:id="rId147" o:title=""/>
            <o:lock v:ext="edit" aspectratio="t"/>
            <w10:wrap type="none"/>
            <w10:anchorlock/>
          </v:shape>
          <o:OLEObject Type="Embed" ProgID="Equation.DSMT4" ShapeID="_x0000_i1102" DrawAspect="Content" ObjectID="_1468075809" r:id="rId183">
            <o:LockedField>false</o:LockedField>
          </o:OLEObject>
        </w:object>
      </w:r>
      <w:r>
        <w:rPr>
          <w:rFonts w:eastAsia="Calibri"/>
          <w:i/>
          <w:sz w:val="28"/>
          <w:szCs w:val="28"/>
          <w:lang w:eastAsia="en-US"/>
        </w:rPr>
        <w:t xml:space="preserve"> в момент времени </w:t>
      </w:r>
      <w:r>
        <w:rPr>
          <w:rFonts w:eastAsia="Calibri"/>
          <w:i/>
          <w:position w:val="-6"/>
          <w:sz w:val="28"/>
          <w:szCs w:val="28"/>
          <w:lang w:eastAsia="en-US"/>
        </w:rPr>
        <w:object>
          <v:shape id="_x0000_i1103" o:spt="75" type="#_x0000_t75" style="height:12pt;width:7.5pt;" o:ole="t" filled="f" o:preferrelative="t" stroked="f" coordsize="21600,21600">
            <v:path/>
            <v:fill on="f" focussize="0,0"/>
            <v:stroke on="f" joinstyle="miter"/>
            <v:imagedata r:id="rId185" o:title=""/>
            <o:lock v:ext="edit" aspectratio="t"/>
            <w10:wrap type="none"/>
            <w10:anchorlock/>
          </v:shape>
          <o:OLEObject Type="Embed" ProgID="Equation.DSMT4" ShapeID="_x0000_i1103" DrawAspect="Content" ObjectID="_1468075810" r:id="rId184">
            <o:LockedField>false</o:LockedField>
          </o:OLEObject>
        </w:object>
      </w:r>
      <w:r>
        <w:rPr>
          <w:rFonts w:eastAsia="Calibri"/>
          <w:i/>
          <w:sz w:val="28"/>
          <w:szCs w:val="28"/>
          <w:lang w:eastAsia="en-US"/>
        </w:rPr>
        <w:t xml:space="preserve"> «плохому»  банку </w:t>
      </w:r>
      <w:r>
        <w:rPr>
          <w:rFonts w:eastAsia="Calibri"/>
          <w:i/>
          <w:position w:val="-6"/>
          <w:sz w:val="28"/>
          <w:szCs w:val="28"/>
          <w:lang w:eastAsia="en-US"/>
        </w:rPr>
        <w:object>
          <v:shape id="_x0000_i1104" o:spt="75" type="#_x0000_t75" style="height:13.5pt;width:9.75pt;" o:ole="t" filled="f" o:preferrelative="t" stroked="f" coordsize="21600,21600">
            <v:path/>
            <v:fill on="f" focussize="0,0"/>
            <v:stroke on="f" joinstyle="miter"/>
            <v:imagedata r:id="rId187" o:title=""/>
            <o:lock v:ext="edit" aspectratio="t"/>
            <w10:wrap type="none"/>
            <w10:anchorlock/>
          </v:shape>
          <o:OLEObject Type="Embed" ProgID="Equation.DSMT4" ShapeID="_x0000_i1104" DrawAspect="Content" ObjectID="_1468075811" r:id="rId186">
            <o:LockedField>false</o:LockedField>
          </o:OLEObject>
        </w:object>
      </w:r>
      <w:r>
        <w:rPr>
          <w:rFonts w:eastAsia="Calibri"/>
          <w:i/>
          <w:sz w:val="28"/>
          <w:szCs w:val="28"/>
          <w:lang w:eastAsia="en-US"/>
        </w:rPr>
        <w:t xml:space="preserve">. </w:t>
      </w:r>
      <w:r>
        <w:rPr>
          <w:i/>
          <w:sz w:val="28"/>
          <w:szCs w:val="28"/>
        </w:rPr>
        <w:t xml:space="preserve">При наличии проблемных активов в функционировании </w:t>
      </w:r>
      <w:r>
        <w:rPr>
          <w:rFonts w:eastAsia="Calibri"/>
          <w:i/>
          <w:sz w:val="28"/>
          <w:szCs w:val="28"/>
        </w:rPr>
        <w:t xml:space="preserve">банков </w:t>
      </w:r>
      <w:r>
        <w:rPr>
          <w:i/>
          <w:position w:val="-6"/>
          <w:sz w:val="28"/>
          <w:szCs w:val="28"/>
        </w:rPr>
        <w:object>
          <v:shape id="_x0000_i1105" o:spt="75" type="#_x0000_t75" style="height:11.25pt;width:9.75pt;" o:ole="t" filled="f" o:preferrelative="t" stroked="f" coordsize="21600,21600">
            <v:path/>
            <v:fill on="f" focussize="0,0"/>
            <v:stroke on="f" joinstyle="miter"/>
            <v:imagedata r:id="rId79" o:title=""/>
            <o:lock v:ext="edit" aspectratio="t"/>
            <w10:wrap type="none"/>
            <w10:anchorlock/>
          </v:shape>
          <o:OLEObject Type="Embed" ProgID="Equation.DSMT4" ShapeID="_x0000_i1105" DrawAspect="Content" ObjectID="_1468075812" r:id="rId188">
            <o:LockedField>false</o:LockedField>
          </o:OLEObject>
        </w:object>
      </w:r>
      <w:r>
        <w:rPr>
          <w:i/>
          <w:sz w:val="28"/>
          <w:szCs w:val="28"/>
        </w:rPr>
        <w:t xml:space="preserve">, доля беспроблемных активов </w:t>
      </w:r>
      <w:r>
        <w:rPr>
          <w:i/>
          <w:position w:val="-6"/>
          <w:sz w:val="28"/>
          <w:szCs w:val="28"/>
        </w:rPr>
        <w:object>
          <v:shape id="_x0000_i1106" o:spt="75" type="#_x0000_t75" style="height:13.5pt;width:25.5pt;" o:ole="t" filled="f" o:preferrelative="t" stroked="f" coordsize="21600,21600">
            <v:path/>
            <v:fill on="f" focussize="0,0"/>
            <v:stroke on="f" joinstyle="miter"/>
            <v:imagedata r:id="rId190" o:title=""/>
            <o:lock v:ext="edit" aspectratio="t"/>
            <w10:wrap type="none"/>
            <w10:anchorlock/>
          </v:shape>
          <o:OLEObject Type="Embed" ProgID="Equation.DSMT4" ShapeID="_x0000_i1106" DrawAspect="Content" ObjectID="_1468075813" r:id="rId189">
            <o:LockedField>false</o:LockedField>
          </o:OLEObject>
        </w:object>
      </w:r>
      <w:r>
        <w:rPr>
          <w:i/>
          <w:sz w:val="28"/>
          <w:szCs w:val="28"/>
        </w:rPr>
        <w:t>, и мы имеем</w:t>
      </w:r>
      <w:r>
        <w:rPr>
          <w:rFonts w:eastAsia="Calibri"/>
          <w:i/>
          <w:sz w:val="28"/>
          <w:szCs w:val="28"/>
          <w:lang w:eastAsia="en-US"/>
        </w:rPr>
        <w:t xml:space="preserve"> </w:t>
      </w:r>
    </w:p>
    <w:p w14:paraId="4745ABA8">
      <w:pPr>
        <w:pStyle w:val="37"/>
        <w:ind w:firstLine="0"/>
        <w:rPr>
          <w:rFonts w:eastAsia="Calibri"/>
          <w:i/>
          <w:sz w:val="28"/>
          <w:szCs w:val="28"/>
          <w:lang w:eastAsia="en-US"/>
        </w:rPr>
      </w:pPr>
      <w:r>
        <w:rPr>
          <w:i/>
          <w:sz w:val="28"/>
          <w:szCs w:val="28"/>
        </w:rPr>
        <w:t xml:space="preserve">а) </w:t>
      </w:r>
      <w:r>
        <w:rPr>
          <w:rFonts w:eastAsia="Calibri"/>
          <w:i/>
          <w:sz w:val="28"/>
          <w:szCs w:val="28"/>
          <w:lang w:eastAsia="en-US"/>
        </w:rPr>
        <w:t xml:space="preserve">Объем передаваемого в «плохой банк» </w:t>
      </w:r>
      <w:r>
        <w:rPr>
          <w:rFonts w:eastAsia="Calibri"/>
          <w:i/>
          <w:position w:val="-6"/>
          <w:sz w:val="28"/>
          <w:szCs w:val="28"/>
          <w:lang w:eastAsia="en-US"/>
        </w:rPr>
        <w:object>
          <v:shape id="_x0000_i1107" o:spt="75" type="#_x0000_t75" style="height:13.5pt;width:9.75pt;" o:ole="t" filled="f" o:preferrelative="t" stroked="f" coordsize="21600,21600">
            <v:path/>
            <v:fill on="f" focussize="0,0"/>
            <v:stroke on="f" joinstyle="miter"/>
            <v:imagedata r:id="rId187" o:title=""/>
            <o:lock v:ext="edit" aspectratio="t"/>
            <w10:wrap type="none"/>
            <w10:anchorlock/>
          </v:shape>
          <o:OLEObject Type="Embed" ProgID="Equation.DSMT4" ShapeID="_x0000_i1107" DrawAspect="Content" ObjectID="_1468075814" r:id="rId191">
            <o:LockedField>false</o:LockedField>
          </o:OLEObject>
        </w:object>
      </w:r>
      <w:r>
        <w:rPr>
          <w:rFonts w:eastAsia="Calibri"/>
          <w:i/>
          <w:sz w:val="28"/>
          <w:szCs w:val="28"/>
          <w:lang w:eastAsia="en-US"/>
        </w:rPr>
        <w:t xml:space="preserve"> собственного капитала составит </w:t>
      </w:r>
    </w:p>
    <w:p w14:paraId="56D71D8D">
      <w:pPr>
        <w:pStyle w:val="37"/>
        <w:ind w:firstLine="0"/>
        <w:rPr>
          <w:rFonts w:eastAsia="Calibri"/>
          <w:i/>
          <w:sz w:val="28"/>
          <w:szCs w:val="28"/>
          <w:lang w:eastAsia="en-US"/>
        </w:rPr>
      </w:pPr>
    </w:p>
    <w:p w14:paraId="15959C0B">
      <w:pPr>
        <w:pStyle w:val="38"/>
        <w:spacing w:before="0" w:after="0"/>
        <w:rPr>
          <w:sz w:val="28"/>
          <w:szCs w:val="28"/>
        </w:rPr>
      </w:pPr>
      <w:r>
        <w:rPr>
          <w:sz w:val="28"/>
          <w:szCs w:val="28"/>
        </w:rPr>
        <w:tab/>
      </w:r>
      <w:r>
        <w:rPr>
          <w:sz w:val="28"/>
          <w:szCs w:val="28"/>
        </w:rPr>
        <w:t xml:space="preserve">                         </w:t>
      </w:r>
      <w:r>
        <w:rPr>
          <w:position w:val="-14"/>
          <w:sz w:val="28"/>
          <w:szCs w:val="28"/>
        </w:rPr>
        <w:object>
          <v:shape id="_x0000_i1108" o:spt="75" type="#_x0000_t75" style="height:20.25pt;width:207.75pt;" o:ole="t" filled="f" o:preferrelative="t" stroked="f" coordsize="21600,21600">
            <v:path/>
            <v:fill on="f" focussize="0,0"/>
            <v:stroke on="f" joinstyle="miter"/>
            <v:imagedata r:id="rId193" o:title=""/>
            <o:lock v:ext="edit" aspectratio="t"/>
            <w10:wrap type="none"/>
            <w10:anchorlock/>
          </v:shape>
          <o:OLEObject Type="Embed" ProgID="Equation.DSMT4" ShapeID="_x0000_i1108" DrawAspect="Content" ObjectID="_1468075815" r:id="rId192">
            <o:LockedField>false</o:LockedField>
          </o:OLEObject>
        </w:object>
      </w:r>
      <w:r>
        <w:rPr>
          <w:sz w:val="28"/>
          <w:szCs w:val="28"/>
        </w:rPr>
        <w:tab/>
      </w:r>
      <w:r>
        <w:rPr>
          <w:sz w:val="28"/>
          <w:szCs w:val="28"/>
        </w:rPr>
        <w:t xml:space="preserve">                             (5)</w:t>
      </w:r>
    </w:p>
    <w:p w14:paraId="2790021A">
      <w:pPr>
        <w:pStyle w:val="38"/>
        <w:spacing w:before="0" w:after="0"/>
        <w:rPr>
          <w:sz w:val="28"/>
          <w:szCs w:val="28"/>
        </w:rPr>
      </w:pPr>
    </w:p>
    <w:p w14:paraId="5AAD6A72">
      <w:pPr>
        <w:pStyle w:val="37"/>
        <w:ind w:firstLine="0"/>
        <w:rPr>
          <w:rFonts w:eastAsia="Calibri"/>
          <w:i/>
          <w:sz w:val="28"/>
          <w:szCs w:val="28"/>
          <w:lang w:eastAsia="en-US"/>
        </w:rPr>
      </w:pPr>
      <w:r>
        <w:rPr>
          <w:i/>
          <w:sz w:val="28"/>
          <w:szCs w:val="28"/>
        </w:rPr>
        <w:t xml:space="preserve">б) </w:t>
      </w:r>
      <w:r>
        <w:rPr>
          <w:rFonts w:eastAsia="Calibri"/>
          <w:i/>
          <w:sz w:val="28"/>
          <w:szCs w:val="28"/>
          <w:lang w:eastAsia="en-US"/>
        </w:rPr>
        <w:t xml:space="preserve">Объем переходящих в «плохой» банк </w:t>
      </w:r>
      <w:r>
        <w:rPr>
          <w:rFonts w:eastAsia="Calibri"/>
          <w:i/>
          <w:position w:val="-6"/>
          <w:sz w:val="28"/>
          <w:szCs w:val="28"/>
          <w:lang w:eastAsia="en-US"/>
        </w:rPr>
        <w:object>
          <v:shape id="_x0000_i1109" o:spt="75" type="#_x0000_t75" style="height:13.5pt;width:9.75pt;" o:ole="t" filled="f" o:preferrelative="t" stroked="f" coordsize="21600,21600">
            <v:path/>
            <v:fill on="f" focussize="0,0"/>
            <v:stroke on="f" joinstyle="miter"/>
            <v:imagedata r:id="rId187" o:title=""/>
            <o:lock v:ext="edit" aspectratio="t"/>
            <w10:wrap type="none"/>
            <w10:anchorlock/>
          </v:shape>
          <o:OLEObject Type="Embed" ProgID="Equation.DSMT4" ShapeID="_x0000_i1109" DrawAspect="Content" ObjectID="_1468075816" r:id="rId194">
            <o:LockedField>false</o:LockedField>
          </o:OLEObject>
        </w:object>
      </w:r>
      <w:r>
        <w:rPr>
          <w:rFonts w:eastAsia="Calibri"/>
          <w:i/>
          <w:sz w:val="28"/>
          <w:szCs w:val="28"/>
          <w:lang w:eastAsia="en-US"/>
        </w:rPr>
        <w:t xml:space="preserve"> депозитов домашних хозяйств </w:t>
      </w:r>
      <w:r>
        <w:rPr>
          <w:rFonts w:eastAsia="Calibri"/>
          <w:i/>
          <w:position w:val="-6"/>
          <w:sz w:val="28"/>
          <w:szCs w:val="28"/>
          <w:lang w:eastAsia="en-US"/>
        </w:rPr>
        <w:object>
          <v:shape id="_x0000_i1110" o:spt="75" type="#_x0000_t75" style="height:13.5pt;width:9.75pt;" o:ole="t" filled="f" o:preferrelative="t" stroked="f" coordsize="21600,21600">
            <v:path/>
            <v:fill on="f" focussize="0,0"/>
            <v:stroke on="f" joinstyle="miter"/>
            <v:imagedata r:id="rId196" o:title=""/>
            <o:lock v:ext="edit" aspectratio="t"/>
            <w10:wrap type="none"/>
            <w10:anchorlock/>
          </v:shape>
          <o:OLEObject Type="Embed" ProgID="Equation.DSMT4" ShapeID="_x0000_i1110" DrawAspect="Content" ObjectID="_1468075817" r:id="rId195">
            <o:LockedField>false</o:LockedField>
          </o:OLEObject>
        </w:object>
      </w:r>
      <w:r>
        <w:rPr>
          <w:rFonts w:eastAsia="Calibri"/>
          <w:i/>
          <w:sz w:val="28"/>
          <w:szCs w:val="28"/>
          <w:lang w:eastAsia="en-US"/>
        </w:rPr>
        <w:t xml:space="preserve"> составит</w:t>
      </w:r>
    </w:p>
    <w:p w14:paraId="49D990CC">
      <w:pPr>
        <w:pStyle w:val="37"/>
        <w:ind w:firstLine="0"/>
        <w:rPr>
          <w:rFonts w:eastAsia="Calibri"/>
          <w:i/>
          <w:sz w:val="28"/>
          <w:szCs w:val="28"/>
          <w:lang w:eastAsia="en-US"/>
        </w:rPr>
      </w:pPr>
    </w:p>
    <w:p w14:paraId="3A94C5D7">
      <w:pPr>
        <w:pStyle w:val="38"/>
        <w:spacing w:before="0" w:after="0"/>
        <w:rPr>
          <w:sz w:val="28"/>
          <w:szCs w:val="28"/>
        </w:rPr>
      </w:pPr>
      <w:r>
        <w:rPr>
          <w:sz w:val="28"/>
          <w:szCs w:val="28"/>
        </w:rPr>
        <w:tab/>
      </w:r>
      <w:r>
        <w:rPr>
          <w:sz w:val="28"/>
          <w:szCs w:val="28"/>
        </w:rPr>
        <w:t xml:space="preserve">                        </w:t>
      </w:r>
      <w:r>
        <w:rPr>
          <w:position w:val="-14"/>
          <w:sz w:val="28"/>
          <w:szCs w:val="28"/>
        </w:rPr>
        <w:object>
          <v:shape id="_x0000_i1111" o:spt="75" type="#_x0000_t75" style="height:20.25pt;width:256.5pt;" o:ole="t" filled="f" o:preferrelative="t" stroked="f" coordsize="21600,21600">
            <v:path/>
            <v:fill on="f" focussize="0,0"/>
            <v:stroke on="f" joinstyle="miter"/>
            <v:imagedata r:id="rId198" o:title=""/>
            <o:lock v:ext="edit" aspectratio="t"/>
            <w10:wrap type="none"/>
            <w10:anchorlock/>
          </v:shape>
          <o:OLEObject Type="Embed" ProgID="Equation.DSMT4" ShapeID="_x0000_i1111" DrawAspect="Content" ObjectID="_1468075818" r:id="rId197">
            <o:LockedField>false</o:LockedField>
          </o:OLEObject>
        </w:object>
      </w:r>
      <w:r>
        <w:rPr>
          <w:sz w:val="28"/>
          <w:szCs w:val="28"/>
        </w:rPr>
        <w:tab/>
      </w:r>
      <w:r>
        <w:rPr>
          <w:sz w:val="28"/>
          <w:szCs w:val="28"/>
        </w:rPr>
        <w:t xml:space="preserve">                      (6)</w:t>
      </w:r>
    </w:p>
    <w:p w14:paraId="787699E0">
      <w:pPr>
        <w:pStyle w:val="37"/>
        <w:ind w:firstLine="0"/>
        <w:rPr>
          <w:rFonts w:eastAsia="Calibri"/>
          <w:i/>
          <w:sz w:val="28"/>
          <w:szCs w:val="28"/>
          <w:lang w:eastAsia="en-US"/>
        </w:rPr>
      </w:pPr>
    </w:p>
    <w:p w14:paraId="78FA1F3B">
      <w:pPr>
        <w:pStyle w:val="37"/>
        <w:ind w:firstLine="0"/>
        <w:rPr>
          <w:rFonts w:eastAsia="Calibri"/>
          <w:i/>
          <w:sz w:val="28"/>
          <w:szCs w:val="28"/>
          <w:lang w:eastAsia="en-US"/>
        </w:rPr>
      </w:pPr>
    </w:p>
    <w:p w14:paraId="2E8D1A30">
      <w:pPr>
        <w:pStyle w:val="37"/>
        <w:ind w:firstLine="0"/>
        <w:rPr>
          <w:rFonts w:eastAsia="Calibri"/>
          <w:i/>
          <w:sz w:val="28"/>
          <w:szCs w:val="28"/>
          <w:lang w:eastAsia="en-US"/>
        </w:rPr>
      </w:pPr>
      <w:r>
        <w:rPr>
          <w:i/>
          <w:sz w:val="28"/>
          <w:szCs w:val="28"/>
        </w:rPr>
        <w:t xml:space="preserve">в) </w:t>
      </w:r>
      <w:r>
        <w:rPr>
          <w:rFonts w:eastAsia="Calibri"/>
          <w:i/>
          <w:sz w:val="28"/>
          <w:szCs w:val="28"/>
          <w:lang w:eastAsia="en-US"/>
        </w:rPr>
        <w:t xml:space="preserve">Объем дополнительно списываемого собственного капитала банков </w:t>
      </w:r>
      <w:r>
        <w:rPr>
          <w:rFonts w:eastAsia="Calibri"/>
          <w:i/>
          <w:position w:val="-6"/>
          <w:sz w:val="28"/>
          <w:szCs w:val="28"/>
          <w:lang w:eastAsia="en-US"/>
        </w:rPr>
        <w:object>
          <v:shape id="_x0000_i1112" o:spt="75" type="#_x0000_t75" style="height:11.25pt;width:9.75pt;" o:ole="t" filled="f" o:preferrelative="t" stroked="f" coordsize="21600,21600">
            <v:path/>
            <v:fill on="f" focussize="0,0"/>
            <v:stroke on="f" joinstyle="miter"/>
            <v:imagedata r:id="rId200" o:title=""/>
            <o:lock v:ext="edit" aspectratio="t"/>
            <w10:wrap type="none"/>
            <w10:anchorlock/>
          </v:shape>
          <o:OLEObject Type="Embed" ProgID="Equation.DSMT4" ShapeID="_x0000_i1112" DrawAspect="Content" ObjectID="_1468075819" r:id="rId199">
            <o:LockedField>false</o:LockedField>
          </o:OLEObject>
        </w:object>
      </w:r>
      <w:r>
        <w:rPr>
          <w:rFonts w:eastAsia="Calibri"/>
          <w:i/>
          <w:sz w:val="28"/>
          <w:szCs w:val="28"/>
          <w:lang w:eastAsia="en-US"/>
        </w:rPr>
        <w:t xml:space="preserve"> в связи с образованием «плохого» банка составит</w:t>
      </w:r>
    </w:p>
    <w:p w14:paraId="763271BC">
      <w:pPr>
        <w:pStyle w:val="37"/>
        <w:ind w:firstLine="0"/>
        <w:rPr>
          <w:rFonts w:eastAsia="Calibri"/>
          <w:i/>
          <w:sz w:val="28"/>
          <w:szCs w:val="28"/>
          <w:lang w:eastAsia="en-US"/>
        </w:rPr>
      </w:pPr>
    </w:p>
    <w:p w14:paraId="08423262">
      <w:pPr>
        <w:pStyle w:val="38"/>
        <w:spacing w:before="0" w:after="0"/>
        <w:rPr>
          <w:sz w:val="28"/>
          <w:szCs w:val="28"/>
        </w:rPr>
      </w:pPr>
      <w:r>
        <w:rPr>
          <w:sz w:val="28"/>
          <w:szCs w:val="28"/>
        </w:rPr>
        <w:tab/>
      </w:r>
      <w:r>
        <w:rPr>
          <w:sz w:val="28"/>
          <w:szCs w:val="28"/>
        </w:rPr>
        <w:t xml:space="preserve">                           </w:t>
      </w:r>
      <w:r>
        <w:rPr>
          <w:position w:val="-14"/>
          <w:sz w:val="28"/>
          <w:szCs w:val="28"/>
        </w:rPr>
        <w:object>
          <v:shape id="_x0000_i1113" o:spt="75" type="#_x0000_t75" style="height:20.25pt;width:243.75pt;" o:ole="t" filled="f" o:preferrelative="t" stroked="f" coordsize="21600,21600">
            <v:path/>
            <v:fill on="f" focussize="0,0"/>
            <v:stroke on="f" joinstyle="miter"/>
            <v:imagedata r:id="rId202" o:title=""/>
            <o:lock v:ext="edit" aspectratio="t"/>
            <w10:wrap type="none"/>
            <w10:anchorlock/>
          </v:shape>
          <o:OLEObject Type="Embed" ProgID="Equation.DSMT4" ShapeID="_x0000_i1113" DrawAspect="Content" ObjectID="_1468075820" r:id="rId201">
            <o:LockedField>false</o:LockedField>
          </o:OLEObject>
        </w:object>
      </w:r>
      <w:r>
        <w:rPr>
          <w:sz w:val="28"/>
          <w:szCs w:val="28"/>
        </w:rPr>
        <w:tab/>
      </w:r>
      <w:r>
        <w:rPr>
          <w:sz w:val="28"/>
          <w:szCs w:val="28"/>
        </w:rPr>
        <w:t xml:space="preserve">                       (7)</w:t>
      </w:r>
    </w:p>
    <w:p w14:paraId="6E93A175">
      <w:pPr>
        <w:pStyle w:val="37"/>
        <w:ind w:firstLine="0"/>
        <w:rPr>
          <w:rFonts w:eastAsia="Calibri"/>
          <w:i/>
          <w:sz w:val="28"/>
          <w:szCs w:val="28"/>
          <w:lang w:eastAsia="en-US"/>
        </w:rPr>
      </w:pPr>
    </w:p>
    <w:p w14:paraId="30A5E6C3">
      <w:pPr>
        <w:pStyle w:val="37"/>
        <w:ind w:firstLine="0"/>
        <w:rPr>
          <w:sz w:val="28"/>
          <w:szCs w:val="28"/>
        </w:rPr>
      </w:pPr>
      <w:r>
        <w:rPr>
          <w:i/>
          <w:sz w:val="28"/>
          <w:szCs w:val="28"/>
        </w:rPr>
        <w:t>г) Доля спасаемых проблемных активов</w:t>
      </w:r>
      <w:r>
        <w:rPr>
          <w:sz w:val="28"/>
          <w:szCs w:val="28"/>
        </w:rPr>
        <w:t xml:space="preserve"> </w:t>
      </w:r>
      <w:r>
        <w:rPr>
          <w:position w:val="-6"/>
          <w:sz w:val="28"/>
          <w:szCs w:val="28"/>
        </w:rPr>
        <w:object>
          <v:shape id="_x0000_i1114" o:spt="75" type="#_x0000_t75" style="height:13.5pt;width:27pt;" o:ole="t" filled="f" o:preferrelative="t" stroked="f" coordsize="21600,21600">
            <v:path/>
            <v:fill on="f" focussize="0,0"/>
            <v:stroke on="f" joinstyle="miter"/>
            <v:imagedata r:id="rId204" o:title=""/>
            <o:lock v:ext="edit" aspectratio="t"/>
            <w10:wrap type="none"/>
            <w10:anchorlock/>
          </v:shape>
          <o:OLEObject Type="Embed" ProgID="Equation.DSMT4" ShapeID="_x0000_i1114" DrawAspect="Content" ObjectID="_1468075821" r:id="rId203">
            <o:LockedField>false</o:LockedField>
          </o:OLEObject>
        </w:object>
      </w:r>
      <w:r>
        <w:rPr>
          <w:sz w:val="28"/>
          <w:szCs w:val="28"/>
        </w:rPr>
        <w:t xml:space="preserve"> в каждый момент времени </w:t>
      </w:r>
      <w:r>
        <w:rPr>
          <w:rFonts w:eastAsia="Calibri"/>
          <w:i/>
          <w:position w:val="-6"/>
          <w:sz w:val="28"/>
          <w:szCs w:val="28"/>
          <w:lang w:eastAsia="en-US"/>
        </w:rPr>
        <w:object>
          <v:shape id="_x0000_i1115" o:spt="75" type="#_x0000_t75" style="height:12pt;width:7.5pt;" o:ole="t" filled="f" o:preferrelative="t" stroked="f" coordsize="21600,21600">
            <v:path/>
            <v:fill on="f" focussize="0,0"/>
            <v:stroke on="f" joinstyle="miter"/>
            <v:imagedata r:id="rId206" o:title=""/>
            <o:lock v:ext="edit" aspectratio="t"/>
            <w10:wrap type="none"/>
            <w10:anchorlock/>
          </v:shape>
          <o:OLEObject Type="Embed" ProgID="Equation.DSMT4" ShapeID="_x0000_i1115" DrawAspect="Content" ObjectID="_1468075822" r:id="rId205">
            <o:LockedField>false</o:LockedField>
          </o:OLEObject>
        </w:object>
      </w:r>
      <w:r>
        <w:rPr>
          <w:rFonts w:eastAsia="Calibri"/>
          <w:i/>
          <w:sz w:val="28"/>
          <w:szCs w:val="28"/>
          <w:lang w:eastAsia="en-US"/>
        </w:rPr>
        <w:t xml:space="preserve"> </w:t>
      </w:r>
      <w:r>
        <w:rPr>
          <w:i/>
          <w:sz w:val="28"/>
          <w:szCs w:val="28"/>
        </w:rPr>
        <w:t>ограничена сверху внутренним условием:</w:t>
      </w:r>
    </w:p>
    <w:p w14:paraId="679297FC">
      <w:pPr>
        <w:pStyle w:val="37"/>
        <w:ind w:firstLine="0"/>
        <w:rPr>
          <w:sz w:val="28"/>
          <w:szCs w:val="28"/>
        </w:rPr>
      </w:pPr>
    </w:p>
    <w:p w14:paraId="7DDD93E2">
      <w:pPr>
        <w:pStyle w:val="38"/>
        <w:spacing w:before="0" w:after="0"/>
        <w:rPr>
          <w:sz w:val="28"/>
          <w:szCs w:val="28"/>
        </w:rPr>
      </w:pPr>
      <w:r>
        <w:rPr>
          <w:sz w:val="28"/>
          <w:szCs w:val="28"/>
        </w:rPr>
        <w:tab/>
      </w:r>
      <w:r>
        <w:rPr>
          <w:sz w:val="28"/>
          <w:szCs w:val="28"/>
        </w:rPr>
        <w:t xml:space="preserve">             </w:t>
      </w:r>
      <w:r>
        <w:rPr>
          <w:position w:val="-34"/>
          <w:sz w:val="28"/>
          <w:szCs w:val="28"/>
        </w:rPr>
        <w:object>
          <v:shape id="_x0000_i1116" o:spt="75" type="#_x0000_t75" style="height:39.75pt;width:227.25pt;" o:ole="t" filled="f" o:preferrelative="t" stroked="f" coordsize="21600,21600">
            <v:path/>
            <v:fill on="f" focussize="0,0"/>
            <v:stroke on="f" joinstyle="miter"/>
            <v:imagedata r:id="rId208" o:title=""/>
            <o:lock v:ext="edit" aspectratio="t"/>
            <w10:wrap type="none"/>
            <w10:anchorlock/>
          </v:shape>
          <o:OLEObject Type="Embed" ProgID="Equation.DSMT4" ShapeID="_x0000_i1116" DrawAspect="Content" ObjectID="_1468075823" r:id="rId207">
            <o:LockedField>false</o:LockedField>
          </o:OLEObject>
        </w:object>
      </w:r>
      <w:r>
        <w:rPr>
          <w:sz w:val="28"/>
          <w:szCs w:val="28"/>
        </w:rPr>
        <w:tab/>
      </w:r>
      <w:r>
        <w:rPr>
          <w:sz w:val="28"/>
          <w:szCs w:val="28"/>
        </w:rPr>
        <w:t xml:space="preserve">                                (8)</w:t>
      </w:r>
    </w:p>
    <w:p w14:paraId="387F302D">
      <w:pPr>
        <w:pStyle w:val="37"/>
        <w:ind w:firstLine="0"/>
        <w:rPr>
          <w:sz w:val="28"/>
          <w:szCs w:val="28"/>
        </w:rPr>
      </w:pPr>
    </w:p>
    <w:p w14:paraId="0267F78F">
      <w:pPr>
        <w:pStyle w:val="37"/>
        <w:ind w:firstLine="708"/>
        <w:rPr>
          <w:sz w:val="28"/>
          <w:szCs w:val="28"/>
        </w:rPr>
      </w:pPr>
      <w:r>
        <w:rPr>
          <w:sz w:val="28"/>
          <w:szCs w:val="28"/>
        </w:rPr>
        <w:t>При этом в силу (3) в правой части (7) стоит неотрицательное число.</w:t>
      </w:r>
    </w:p>
    <w:p w14:paraId="6990C7D1">
      <w:pPr>
        <w:pStyle w:val="37"/>
        <w:rPr>
          <w:sz w:val="28"/>
          <w:szCs w:val="28"/>
        </w:rPr>
      </w:pPr>
      <w:r>
        <w:rPr>
          <w:b/>
          <w:sz w:val="28"/>
          <w:szCs w:val="28"/>
        </w:rPr>
        <w:t>Доказательство</w:t>
      </w:r>
      <w:r>
        <w:rPr>
          <w:sz w:val="28"/>
          <w:szCs w:val="28"/>
        </w:rPr>
        <w:t xml:space="preserve">: Объем трансфера проблемных активов </w:t>
      </w:r>
      <w:r>
        <w:rPr>
          <w:position w:val="-14"/>
          <w:sz w:val="28"/>
          <w:szCs w:val="28"/>
        </w:rPr>
        <w:object>
          <v:shape id="_x0000_i1117" o:spt="75" type="#_x0000_t75" style="height:20.25pt;width:34.5pt;" o:ole="t" filled="f" o:preferrelative="t" stroked="f" coordsize="21600,21600">
            <v:path/>
            <v:fill on="f" focussize="0,0"/>
            <v:stroke on="f" joinstyle="miter"/>
            <v:imagedata r:id="rId182" o:title=""/>
            <o:lock v:ext="edit" aspectratio="t"/>
            <w10:wrap type="none"/>
            <w10:anchorlock/>
          </v:shape>
          <o:OLEObject Type="Embed" ProgID="Equation.DSMT4" ShapeID="_x0000_i1117" DrawAspect="Content" ObjectID="_1468075824" r:id="rId209">
            <o:LockedField>false</o:LockedField>
          </o:OLEObject>
        </w:object>
      </w:r>
      <w:r>
        <w:rPr>
          <w:sz w:val="28"/>
          <w:szCs w:val="28"/>
        </w:rPr>
        <w:t xml:space="preserve">, </w:t>
      </w:r>
      <w:r>
        <w:rPr>
          <w:rFonts w:eastAsia="Calibri"/>
          <w:sz w:val="28"/>
          <w:szCs w:val="28"/>
          <w:lang w:eastAsia="en-US"/>
        </w:rPr>
        <w:t xml:space="preserve">передаваемых коммерческими банками </w:t>
      </w:r>
      <w:r>
        <w:rPr>
          <w:position w:val="-6"/>
          <w:sz w:val="28"/>
          <w:szCs w:val="28"/>
        </w:rPr>
        <w:object>
          <v:shape id="_x0000_i1118" o:spt="75" type="#_x0000_t75" style="height:10.5pt;width:10.5pt;" o:ole="t" filled="f" o:preferrelative="t" stroked="f" coordsize="21600,21600">
            <v:path/>
            <v:fill on="f" focussize="0,0"/>
            <v:stroke on="f" joinstyle="miter"/>
            <v:imagedata r:id="rId147" o:title=""/>
            <o:lock v:ext="edit" aspectratio="t"/>
            <w10:wrap type="none"/>
            <w10:anchorlock/>
          </v:shape>
          <o:OLEObject Type="Embed" ProgID="Equation.DSMT4" ShapeID="_x0000_i1118" DrawAspect="Content" ObjectID="_1468075825" r:id="rId210">
            <o:LockedField>false</o:LockedField>
          </o:OLEObject>
        </w:object>
      </w:r>
      <w:r>
        <w:rPr>
          <w:rFonts w:eastAsia="Calibri"/>
          <w:sz w:val="28"/>
          <w:szCs w:val="28"/>
          <w:lang w:eastAsia="en-US"/>
        </w:rPr>
        <w:t xml:space="preserve"> в момент времени </w:t>
      </w:r>
      <w:r>
        <w:rPr>
          <w:rFonts w:eastAsia="Calibri"/>
          <w:position w:val="-6"/>
          <w:sz w:val="28"/>
          <w:szCs w:val="28"/>
          <w:lang w:eastAsia="en-US"/>
        </w:rPr>
        <w:object>
          <v:shape id="_x0000_i1119" o:spt="75" type="#_x0000_t75" style="height:12pt;width:7.5pt;" o:ole="t" filled="f" o:preferrelative="t" stroked="f" coordsize="21600,21600">
            <v:path/>
            <v:fill on="f" focussize="0,0"/>
            <v:stroke on="f" joinstyle="miter"/>
            <v:imagedata r:id="rId185" o:title=""/>
            <o:lock v:ext="edit" aspectratio="t"/>
            <w10:wrap type="none"/>
            <w10:anchorlock/>
          </v:shape>
          <o:OLEObject Type="Embed" ProgID="Equation.DSMT4" ShapeID="_x0000_i1119" DrawAspect="Content" ObjectID="_1468075826" r:id="rId211">
            <o:LockedField>false</o:LockedField>
          </o:OLEObject>
        </w:object>
      </w:r>
      <w:r>
        <w:rPr>
          <w:rFonts w:eastAsia="Calibri"/>
          <w:sz w:val="28"/>
          <w:szCs w:val="28"/>
          <w:lang w:eastAsia="en-US"/>
        </w:rPr>
        <w:t xml:space="preserve"> «плохому» банку </w:t>
      </w:r>
      <w:r>
        <w:rPr>
          <w:rFonts w:eastAsia="Calibri"/>
          <w:position w:val="-6"/>
          <w:sz w:val="28"/>
          <w:szCs w:val="28"/>
          <w:lang w:eastAsia="en-US"/>
        </w:rPr>
        <w:object>
          <v:shape id="_x0000_i1120" o:spt="75" type="#_x0000_t75" style="height:13.5pt;width:9.75pt;" o:ole="t" filled="f" o:preferrelative="t" stroked="f" coordsize="21600,21600">
            <v:path/>
            <v:fill on="f" focussize="0,0"/>
            <v:stroke on="f" joinstyle="miter"/>
            <v:imagedata r:id="rId187" o:title=""/>
            <o:lock v:ext="edit" aspectratio="t"/>
            <w10:wrap type="none"/>
            <w10:anchorlock/>
          </v:shape>
          <o:OLEObject Type="Embed" ProgID="Equation.DSMT4" ShapeID="_x0000_i1120" DrawAspect="Content" ObjectID="_1468075827" r:id="rId212">
            <o:LockedField>false</o:LockedField>
          </o:OLEObject>
        </w:object>
      </w:r>
      <w:r>
        <w:rPr>
          <w:rFonts w:eastAsia="Calibri"/>
          <w:sz w:val="28"/>
          <w:szCs w:val="28"/>
          <w:lang w:eastAsia="en-US"/>
        </w:rPr>
        <w:t>,</w:t>
      </w:r>
      <w:r>
        <w:rPr>
          <w:rFonts w:eastAsia="Calibri"/>
          <w:i/>
          <w:sz w:val="28"/>
          <w:szCs w:val="28"/>
          <w:lang w:eastAsia="en-US"/>
        </w:rPr>
        <w:t xml:space="preserve"> </w:t>
      </w:r>
      <w:r>
        <w:rPr>
          <w:sz w:val="28"/>
          <w:szCs w:val="28"/>
        </w:rPr>
        <w:t xml:space="preserve">составляет величину, определяемую (2). Это означает, что для  сохранения баланса (1) на соответствующую величину </w:t>
      </w:r>
      <w:r>
        <w:rPr>
          <w:position w:val="-14"/>
          <w:sz w:val="28"/>
          <w:szCs w:val="28"/>
        </w:rPr>
        <w:object>
          <v:shape id="_x0000_i1121" o:spt="75" type="#_x0000_t75" style="height:20.25pt;width:34.5pt;" o:ole="t" filled="f" o:preferrelative="t" stroked="f" coordsize="21600,21600">
            <v:path/>
            <v:fill on="f" focussize="0,0"/>
            <v:stroke on="f" joinstyle="miter"/>
            <v:imagedata r:id="rId214" o:title=""/>
            <o:lock v:ext="edit" aspectratio="t"/>
            <w10:wrap type="none"/>
            <w10:anchorlock/>
          </v:shape>
          <o:OLEObject Type="Embed" ProgID="Equation.DSMT4" ShapeID="_x0000_i1121" DrawAspect="Content" ObjectID="_1468075828" r:id="rId213">
            <o:LockedField>false</o:LockedField>
          </o:OLEObject>
        </w:object>
      </w:r>
      <w:r>
        <w:rPr>
          <w:sz w:val="28"/>
          <w:szCs w:val="28"/>
        </w:rPr>
        <w:t xml:space="preserve"> уменьшаются активы </w:t>
      </w:r>
      <w:r>
        <w:rPr>
          <w:position w:val="-4"/>
          <w:sz w:val="28"/>
          <w:szCs w:val="28"/>
        </w:rPr>
        <w:object>
          <v:shape id="_x0000_i1122" o:spt="75" type="#_x0000_t75" style="height:15.75pt;width:17.25pt;" o:ole="t" filled="f" o:preferrelative="t" stroked="f" coordsize="21600,21600">
            <v:path/>
            <v:fill on="f" focussize="0,0"/>
            <v:stroke on="f" joinstyle="miter"/>
            <v:imagedata r:id="rId216" o:title=""/>
            <o:lock v:ext="edit" aspectratio="t"/>
            <w10:wrap type="none"/>
            <w10:anchorlock/>
          </v:shape>
          <o:OLEObject Type="Embed" ProgID="Equation.DSMT4" ShapeID="_x0000_i1122" DrawAspect="Content" ObjectID="_1468075829" r:id="rId215">
            <o:LockedField>false</o:LockedField>
          </o:OLEObject>
        </w:object>
      </w:r>
      <w:r>
        <w:rPr>
          <w:sz w:val="28"/>
          <w:szCs w:val="28"/>
        </w:rPr>
        <w:t xml:space="preserve"> и пассивы </w:t>
      </w:r>
      <w:r>
        <w:rPr>
          <w:position w:val="-6"/>
          <w:sz w:val="28"/>
          <w:szCs w:val="28"/>
        </w:rPr>
        <w:object>
          <v:shape id="_x0000_i1123" o:spt="75" type="#_x0000_t75" style="height:16.5pt;width:41.25pt;" o:ole="t" filled="f" o:preferrelative="t" stroked="f" coordsize="21600,21600">
            <v:path/>
            <v:fill on="f" focussize="0,0"/>
            <v:stroke on="f" joinstyle="miter"/>
            <v:imagedata r:id="rId218" o:title=""/>
            <o:lock v:ext="edit" aspectratio="t"/>
            <w10:wrap type="none"/>
            <w10:anchorlock/>
          </v:shape>
          <o:OLEObject Type="Embed" ProgID="Equation.DSMT4" ShapeID="_x0000_i1123" DrawAspect="Content" ObjectID="_1468075830" r:id="rId217">
            <o:LockedField>false</o:LockedField>
          </o:OLEObject>
        </w:object>
      </w:r>
      <w:r>
        <w:rPr>
          <w:sz w:val="28"/>
          <w:szCs w:val="28"/>
        </w:rPr>
        <w:t xml:space="preserve"> банков </w:t>
      </w:r>
      <w:r>
        <w:rPr>
          <w:position w:val="-6"/>
          <w:sz w:val="28"/>
          <w:szCs w:val="28"/>
        </w:rPr>
        <w:object>
          <v:shape id="_x0000_i1124" o:spt="75" type="#_x0000_t75" style="height:10.5pt;width:10.5pt;" o:ole="t" filled="f" o:preferrelative="t" stroked="f" coordsize="21600,21600">
            <v:path/>
            <v:fill on="f" focussize="0,0"/>
            <v:stroke on="f" joinstyle="miter"/>
            <v:imagedata r:id="rId147" o:title=""/>
            <o:lock v:ext="edit" aspectratio="t"/>
            <w10:wrap type="none"/>
            <w10:anchorlock/>
          </v:shape>
          <o:OLEObject Type="Embed" ProgID="Equation.DSMT4" ShapeID="_x0000_i1124" DrawAspect="Content" ObjectID="_1468075831" r:id="rId219">
            <o:LockedField>false</o:LockedField>
          </o:OLEObject>
        </w:object>
      </w:r>
      <w:r>
        <w:rPr>
          <w:sz w:val="28"/>
          <w:szCs w:val="28"/>
        </w:rPr>
        <w:t xml:space="preserve">. </w:t>
      </w:r>
    </w:p>
    <w:p w14:paraId="724E96D5">
      <w:pPr>
        <w:pStyle w:val="37"/>
        <w:rPr>
          <w:rFonts w:eastAsia="Calibri"/>
          <w:sz w:val="28"/>
          <w:szCs w:val="28"/>
          <w:lang w:eastAsia="en-US"/>
        </w:rPr>
      </w:pPr>
      <w:r>
        <w:rPr>
          <w:sz w:val="28"/>
          <w:szCs w:val="28"/>
        </w:rPr>
        <w:t xml:space="preserve">При образовании «плохого» банка </w:t>
      </w:r>
      <w:r>
        <w:rPr>
          <w:rFonts w:eastAsia="Calibri"/>
          <w:position w:val="-6"/>
          <w:sz w:val="28"/>
          <w:szCs w:val="28"/>
          <w:lang w:eastAsia="en-US"/>
        </w:rPr>
        <w:object>
          <v:shape id="_x0000_i1125" o:spt="75" type="#_x0000_t75" style="height:13.5pt;width:9.75pt;" o:ole="t" filled="f" o:preferrelative="t" stroked="f" coordsize="21600,21600">
            <v:path/>
            <v:fill on="f" focussize="0,0"/>
            <v:stroke on="f" joinstyle="miter"/>
            <v:imagedata r:id="rId187" o:title=""/>
            <o:lock v:ext="edit" aspectratio="t"/>
            <w10:wrap type="none"/>
            <w10:anchorlock/>
          </v:shape>
          <o:OLEObject Type="Embed" ProgID="Equation.DSMT4" ShapeID="_x0000_i1125" DrawAspect="Content" ObjectID="_1468075832" r:id="rId220">
            <o:LockedField>false</o:LockedField>
          </o:OLEObject>
        </w:object>
      </w:r>
      <w:r>
        <w:rPr>
          <w:rFonts w:eastAsia="Calibri"/>
          <w:sz w:val="28"/>
          <w:szCs w:val="28"/>
          <w:lang w:eastAsia="en-US"/>
        </w:rPr>
        <w:t xml:space="preserve"> в момент времени </w:t>
      </w:r>
      <w:r>
        <w:rPr>
          <w:rFonts w:eastAsia="Calibri"/>
          <w:position w:val="-6"/>
          <w:sz w:val="28"/>
          <w:szCs w:val="28"/>
          <w:lang w:eastAsia="en-US"/>
        </w:rPr>
        <w:object>
          <v:shape id="_x0000_i1126" o:spt="75" type="#_x0000_t75" style="height:12pt;width:7.5pt;" o:ole="t" filled="f" o:preferrelative="t" stroked="f" coordsize="21600,21600">
            <v:path/>
            <v:fill on="f" focussize="0,0"/>
            <v:stroke on="f" joinstyle="miter"/>
            <v:imagedata r:id="rId222" o:title=""/>
            <o:lock v:ext="edit" aspectratio="t"/>
            <w10:wrap type="none"/>
            <w10:anchorlock/>
          </v:shape>
          <o:OLEObject Type="Embed" ProgID="Equation.DSMT4" ShapeID="_x0000_i1126" DrawAspect="Content" ObjectID="_1468075833" r:id="rId221">
            <o:LockedField>false</o:LockedField>
          </o:OLEObject>
        </w:object>
      </w:r>
      <w:r>
        <w:rPr>
          <w:rFonts w:eastAsia="Calibri"/>
          <w:sz w:val="28"/>
          <w:szCs w:val="28"/>
          <w:lang w:eastAsia="en-US"/>
        </w:rPr>
        <w:t xml:space="preserve"> происходит переоценка полученных им проблемных активов </w:t>
      </w:r>
      <w:r>
        <w:rPr>
          <w:position w:val="-14"/>
          <w:sz w:val="28"/>
          <w:szCs w:val="28"/>
        </w:rPr>
        <w:object>
          <v:shape id="_x0000_i1127" o:spt="75" type="#_x0000_t75" style="height:20.25pt;width:75.75pt;" o:ole="t" filled="f" o:preferrelative="t" stroked="f" coordsize="21600,21600">
            <v:path/>
            <v:fill on="f" focussize="0,0"/>
            <v:stroke on="f" joinstyle="miter"/>
            <v:imagedata r:id="rId224" o:title=""/>
            <o:lock v:ext="edit" aspectratio="t"/>
            <w10:wrap type="none"/>
            <w10:anchorlock/>
          </v:shape>
          <o:OLEObject Type="Embed" ProgID="Equation.DSMT4" ShapeID="_x0000_i1127" DrawAspect="Content" ObjectID="_1468075834" r:id="rId223">
            <o:LockedField>false</o:LockedField>
          </o:OLEObject>
        </w:object>
      </w:r>
      <w:r>
        <w:rPr>
          <w:sz w:val="28"/>
          <w:szCs w:val="28"/>
        </w:rPr>
        <w:t xml:space="preserve"> </w:t>
      </w:r>
      <w:r>
        <w:rPr>
          <w:rFonts w:eastAsia="Calibri"/>
          <w:sz w:val="28"/>
          <w:szCs w:val="28"/>
          <w:lang w:eastAsia="en-US"/>
        </w:rPr>
        <w:t>в соответствии с</w:t>
      </w:r>
      <w:r>
        <w:rPr>
          <w:sz w:val="28"/>
          <w:szCs w:val="28"/>
        </w:rPr>
        <w:t xml:space="preserve"> вероятностью </w:t>
      </w:r>
      <w:r>
        <w:rPr>
          <w:position w:val="-10"/>
          <w:sz w:val="28"/>
          <w:szCs w:val="28"/>
        </w:rPr>
        <w:object>
          <v:shape id="_x0000_i1128" o:spt="75" type="#_x0000_t75" style="height:13.5pt;width:11.25pt;" o:ole="t" filled="f" o:preferrelative="t" stroked="f" coordsize="21600,21600">
            <v:path/>
            <v:fill on="f" focussize="0,0"/>
            <v:stroke on="f" joinstyle="miter"/>
            <v:imagedata r:id="rId226" o:title=""/>
            <o:lock v:ext="edit" aspectratio="t"/>
            <w10:wrap type="none"/>
            <w10:anchorlock/>
          </v:shape>
          <o:OLEObject Type="Embed" ProgID="Equation.DSMT4" ShapeID="_x0000_i1128" DrawAspect="Content" ObjectID="_1468075835" r:id="rId225">
            <o:LockedField>false</o:LockedField>
          </o:OLEObject>
        </w:object>
      </w:r>
      <w:r>
        <w:rPr>
          <w:sz w:val="28"/>
          <w:szCs w:val="28"/>
        </w:rPr>
        <w:t xml:space="preserve"> возврата производителями через промежуток времени </w:t>
      </w:r>
      <w:r>
        <w:rPr>
          <w:position w:val="-6"/>
          <w:sz w:val="28"/>
          <w:szCs w:val="28"/>
        </w:rPr>
        <w:object>
          <v:shape id="_x0000_i1129" o:spt="75" type="#_x0000_t75" style="height:11.25pt;width:9.75pt;" o:ole="t" filled="f" o:preferrelative="t" stroked="f" coordsize="21600,21600">
            <v:path/>
            <v:fill on="f" focussize="0,0"/>
            <v:stroke on="f" joinstyle="miter"/>
            <v:imagedata r:id="rId228" o:title=""/>
            <o:lock v:ext="edit" aspectratio="t"/>
            <w10:wrap type="none"/>
            <w10:anchorlock/>
          </v:shape>
          <o:OLEObject Type="Embed" ProgID="Equation.DSMT4" ShapeID="_x0000_i1129" DrawAspect="Content" ObjectID="_1468075836" r:id="rId227">
            <o:LockedField>false</o:LockedField>
          </o:OLEObject>
        </w:object>
      </w:r>
      <w:r>
        <w:rPr>
          <w:sz w:val="28"/>
          <w:szCs w:val="28"/>
        </w:rPr>
        <w:t xml:space="preserve"> проблемных кредитов. То есть в активы «плохого» банка </w:t>
      </w:r>
      <w:r>
        <w:rPr>
          <w:rFonts w:eastAsia="Calibri"/>
          <w:position w:val="-6"/>
          <w:sz w:val="28"/>
          <w:szCs w:val="28"/>
          <w:lang w:eastAsia="en-US"/>
        </w:rPr>
        <w:object>
          <v:shape id="_x0000_i1130" o:spt="75" type="#_x0000_t75" style="height:13.5pt;width:9.75pt;" o:ole="t" filled="f" o:preferrelative="t" stroked="f" coordsize="21600,21600">
            <v:path/>
            <v:fill on="f" focussize="0,0"/>
            <v:stroke on="f" joinstyle="miter"/>
            <v:imagedata r:id="rId187" o:title=""/>
            <o:lock v:ext="edit" aspectratio="t"/>
            <w10:wrap type="none"/>
            <w10:anchorlock/>
          </v:shape>
          <o:OLEObject Type="Embed" ProgID="Equation.DSMT4" ShapeID="_x0000_i1130" DrawAspect="Content" ObjectID="_1468075837" r:id="rId229">
            <o:LockedField>false</o:LockedField>
          </o:OLEObject>
        </w:object>
      </w:r>
      <w:r>
        <w:rPr>
          <w:rFonts w:eastAsia="Calibri"/>
          <w:sz w:val="28"/>
          <w:szCs w:val="28"/>
          <w:lang w:eastAsia="en-US"/>
        </w:rPr>
        <w:t xml:space="preserve"> в момент времени </w:t>
      </w:r>
      <w:r>
        <w:rPr>
          <w:rFonts w:eastAsia="Calibri"/>
          <w:position w:val="-6"/>
          <w:sz w:val="28"/>
          <w:szCs w:val="28"/>
          <w:lang w:eastAsia="en-US"/>
        </w:rPr>
        <w:object>
          <v:shape id="_x0000_i1131" o:spt="75" type="#_x0000_t75" style="height:12pt;width:7.5pt;" o:ole="t" filled="f" o:preferrelative="t" stroked="f" coordsize="21600,21600">
            <v:path/>
            <v:fill on="f" focussize="0,0"/>
            <v:stroke on="f" joinstyle="miter"/>
            <v:imagedata r:id="rId222" o:title=""/>
            <o:lock v:ext="edit" aspectratio="t"/>
            <w10:wrap type="none"/>
            <w10:anchorlock/>
          </v:shape>
          <o:OLEObject Type="Embed" ProgID="Equation.DSMT4" ShapeID="_x0000_i1131" DrawAspect="Content" ObjectID="_1468075838" r:id="rId230">
            <o:LockedField>false</o:LockedField>
          </o:OLEObject>
        </w:object>
      </w:r>
      <w:r>
        <w:rPr>
          <w:rFonts w:eastAsia="Calibri"/>
          <w:sz w:val="28"/>
          <w:szCs w:val="28"/>
          <w:lang w:eastAsia="en-US"/>
        </w:rPr>
        <w:t xml:space="preserve"> записывают ожидаемый возврат </w:t>
      </w:r>
      <w:r>
        <w:rPr>
          <w:position w:val="-14"/>
          <w:sz w:val="28"/>
          <w:szCs w:val="28"/>
        </w:rPr>
        <w:object>
          <v:shape id="_x0000_i1132" o:spt="75" type="#_x0000_t75" style="height:20.25pt;width:42pt;" o:ole="t" filled="f" o:preferrelative="t" stroked="f" coordsize="21600,21600">
            <v:path/>
            <v:fill on="f" focussize="0,0"/>
            <v:stroke on="f" joinstyle="miter"/>
            <v:imagedata r:id="rId232" o:title=""/>
            <o:lock v:ext="edit" aspectratio="t"/>
            <w10:wrap type="none"/>
            <w10:anchorlock/>
          </v:shape>
          <o:OLEObject Type="Embed" ProgID="Equation.DSMT4" ShapeID="_x0000_i1132" DrawAspect="Content" ObjectID="_1468075839" r:id="rId231">
            <o:LockedField>false</o:LockedField>
          </o:OLEObject>
        </w:object>
      </w:r>
      <w:r>
        <w:rPr>
          <w:rFonts w:eastAsia="Calibri"/>
          <w:sz w:val="28"/>
          <w:szCs w:val="28"/>
          <w:lang w:eastAsia="en-US"/>
        </w:rPr>
        <w:t xml:space="preserve">. </w:t>
      </w:r>
    </w:p>
    <w:p w14:paraId="4BFD6E87">
      <w:pPr>
        <w:pStyle w:val="37"/>
        <w:rPr>
          <w:sz w:val="28"/>
          <w:szCs w:val="28"/>
        </w:rPr>
      </w:pPr>
      <w:r>
        <w:rPr>
          <w:rFonts w:eastAsia="Calibri"/>
          <w:sz w:val="28"/>
          <w:szCs w:val="28"/>
          <w:lang w:eastAsia="en-US"/>
        </w:rPr>
        <w:t xml:space="preserve">Поскольку ожидаемый возврат рискован, то эти активы необходимо покрывать собственным капиталом, то есть капитальные требования плохого банка </w:t>
      </w:r>
      <w:r>
        <w:rPr>
          <w:rFonts w:eastAsia="Calibri"/>
          <w:position w:val="-6"/>
          <w:sz w:val="28"/>
          <w:szCs w:val="28"/>
          <w:lang w:eastAsia="en-US"/>
        </w:rPr>
        <w:object>
          <v:shape id="_x0000_i1133" o:spt="75" type="#_x0000_t75" style="height:13.5pt;width:13.5pt;" o:ole="t" filled="f" o:preferrelative="t" stroked="f" coordsize="21600,21600">
            <v:path/>
            <v:fill on="f" focussize="0,0"/>
            <v:stroke on="f" joinstyle="miter"/>
            <v:imagedata r:id="rId234" o:title=""/>
            <o:lock v:ext="edit" aspectratio="t"/>
            <w10:wrap type="none"/>
            <w10:anchorlock/>
          </v:shape>
          <o:OLEObject Type="Embed" ProgID="Equation.DSMT4" ShapeID="_x0000_i1133" DrawAspect="Content" ObjectID="_1468075840" r:id="rId233">
            <o:LockedField>false</o:LockedField>
          </o:OLEObject>
        </w:object>
      </w:r>
      <w:r>
        <w:rPr>
          <w:rFonts w:eastAsia="Calibri"/>
          <w:sz w:val="28"/>
          <w:szCs w:val="28"/>
          <w:lang w:eastAsia="en-US"/>
        </w:rPr>
        <w:t xml:space="preserve"> </w:t>
      </w:r>
      <w:r>
        <w:rPr>
          <w:position w:val="-14"/>
          <w:sz w:val="28"/>
          <w:szCs w:val="28"/>
        </w:rPr>
        <w:object>
          <v:shape id="_x0000_i1134" o:spt="75" type="#_x0000_t75" style="height:20.25pt;width:90.75pt;" o:ole="t" filled="f" o:preferrelative="t" stroked="f" coordsize="21600,21600">
            <v:path/>
            <v:fill on="f" focussize="0,0"/>
            <v:stroke on="f" joinstyle="miter"/>
            <v:imagedata r:id="rId236" o:title=""/>
            <o:lock v:ext="edit" aspectratio="t"/>
            <w10:wrap type="none"/>
            <w10:anchorlock/>
          </v:shape>
          <o:OLEObject Type="Embed" ProgID="Equation.DSMT4" ShapeID="_x0000_i1134" DrawAspect="Content" ObjectID="_1468075841" r:id="rId235">
            <o:LockedField>false</o:LockedField>
          </o:OLEObject>
        </w:object>
      </w:r>
      <w:r>
        <w:rPr>
          <w:sz w:val="28"/>
          <w:szCs w:val="28"/>
        </w:rPr>
        <w:t xml:space="preserve"> Поэтому банки </w:t>
      </w:r>
      <w:r>
        <w:rPr>
          <w:rFonts w:eastAsia="Calibri"/>
          <w:position w:val="-6"/>
          <w:sz w:val="28"/>
          <w:szCs w:val="28"/>
          <w:lang w:eastAsia="en-US"/>
        </w:rPr>
        <w:object>
          <v:shape id="_x0000_i1135" o:spt="75" type="#_x0000_t75" style="height:11.25pt;width:9.75pt;" o:ole="t" filled="f" o:preferrelative="t" stroked="f" coordsize="21600,21600">
            <v:path/>
            <v:fill on="f" focussize="0,0"/>
            <v:stroke on="f" joinstyle="miter"/>
            <v:imagedata r:id="rId238" o:title=""/>
            <o:lock v:ext="edit" aspectratio="t"/>
            <w10:wrap type="none"/>
            <w10:anchorlock/>
          </v:shape>
          <o:OLEObject Type="Embed" ProgID="Equation.DSMT4" ShapeID="_x0000_i1135" DrawAspect="Content" ObjectID="_1468075842" r:id="rId237">
            <o:LockedField>false</o:LockedField>
          </o:OLEObject>
        </w:object>
      </w:r>
      <w:r>
        <w:rPr>
          <w:rFonts w:eastAsia="Calibri"/>
          <w:sz w:val="28"/>
          <w:szCs w:val="28"/>
          <w:lang w:eastAsia="en-US"/>
        </w:rPr>
        <w:t xml:space="preserve"> вынуждены делиться собственным капиталом. Они делятся по необходимому минимуму, поэтому передаваемый капитал </w:t>
      </w:r>
      <w:r>
        <w:rPr>
          <w:position w:val="-14"/>
          <w:sz w:val="28"/>
          <w:szCs w:val="28"/>
        </w:rPr>
        <w:object>
          <v:shape id="_x0000_i1136" o:spt="75" type="#_x0000_t75" style="height:20.25pt;width:91.5pt;" o:ole="t" filled="f" o:preferrelative="t" stroked="f" coordsize="21600,21600">
            <v:path/>
            <v:fill on="f" focussize="0,0"/>
            <v:stroke on="f" joinstyle="miter"/>
            <v:imagedata r:id="rId240" o:title=""/>
            <o:lock v:ext="edit" aspectratio="t"/>
            <w10:wrap type="none"/>
            <w10:anchorlock/>
          </v:shape>
          <o:OLEObject Type="Embed" ProgID="Equation.DSMT4" ShapeID="_x0000_i1136" DrawAspect="Content" ObjectID="_1468075843" r:id="rId239">
            <o:LockedField>false</o:LockedField>
          </o:OLEObject>
        </w:object>
      </w:r>
      <w:r>
        <w:rPr>
          <w:sz w:val="28"/>
          <w:szCs w:val="28"/>
        </w:rPr>
        <w:t>, а это и есть в силу (2) утверждение a) и формула (5).</w:t>
      </w:r>
    </w:p>
    <w:p w14:paraId="54860257">
      <w:pPr>
        <w:pStyle w:val="37"/>
        <w:rPr>
          <w:sz w:val="28"/>
          <w:szCs w:val="28"/>
        </w:rPr>
      </w:pPr>
      <w:r>
        <w:rPr>
          <w:sz w:val="28"/>
          <w:szCs w:val="28"/>
        </w:rPr>
        <w:t xml:space="preserve">Для соблюдения баланса «плохого» </w:t>
      </w:r>
      <w:r>
        <w:rPr>
          <w:rFonts w:eastAsia="Calibri"/>
          <w:sz w:val="28"/>
          <w:szCs w:val="28"/>
          <w:lang w:eastAsia="en-US"/>
        </w:rPr>
        <w:t xml:space="preserve">банка </w:t>
      </w:r>
      <w:r>
        <w:rPr>
          <w:rFonts w:eastAsia="Calibri"/>
          <w:position w:val="-6"/>
          <w:sz w:val="28"/>
          <w:szCs w:val="28"/>
          <w:lang w:eastAsia="en-US"/>
        </w:rPr>
        <w:object>
          <v:shape id="_x0000_i1137" o:spt="75" type="#_x0000_t75" style="height:13.5pt;width:9.75pt;" o:ole="t" filled="f" o:preferrelative="t" stroked="f" coordsize="21600,21600">
            <v:path/>
            <v:fill on="f" focussize="0,0"/>
            <v:stroke on="f" joinstyle="miter"/>
            <v:imagedata r:id="rId187" o:title=""/>
            <o:lock v:ext="edit" aspectratio="t"/>
            <w10:wrap type="none"/>
            <w10:anchorlock/>
          </v:shape>
          <o:OLEObject Type="Embed" ProgID="Equation.DSMT4" ShapeID="_x0000_i1137" DrawAspect="Content" ObjectID="_1468075844" r:id="rId241">
            <o:LockedField>false</o:LockedField>
          </o:OLEObject>
        </w:object>
      </w:r>
      <w:r>
        <w:rPr>
          <w:rFonts w:eastAsia="Calibri"/>
          <w:sz w:val="28"/>
          <w:szCs w:val="28"/>
          <w:lang w:eastAsia="en-US"/>
        </w:rPr>
        <w:t xml:space="preserve"> необходимо, чтобы ему перешли депозиты населения в количестве </w:t>
      </w:r>
      <w:r>
        <w:rPr>
          <w:position w:val="-14"/>
          <w:sz w:val="28"/>
          <w:szCs w:val="28"/>
        </w:rPr>
        <w:object>
          <v:shape id="_x0000_i1138" o:spt="75" type="#_x0000_t75" style="height:20.25pt;width:115.5pt;" o:ole="t" filled="f" o:preferrelative="t" stroked="f" coordsize="21600,21600">
            <v:path/>
            <v:fill on="f" focussize="0,0"/>
            <v:stroke on="f" joinstyle="miter"/>
            <v:imagedata r:id="rId243" o:title=""/>
            <o:lock v:ext="edit" aspectratio="t"/>
            <w10:wrap type="none"/>
            <w10:anchorlock/>
          </v:shape>
          <o:OLEObject Type="Embed" ProgID="Equation.DSMT4" ShapeID="_x0000_i1138" DrawAspect="Content" ObjectID="_1468075845" r:id="rId242">
            <o:LockedField>false</o:LockedField>
          </o:OLEObject>
        </w:object>
      </w:r>
      <w:r>
        <w:rPr>
          <w:sz w:val="28"/>
          <w:szCs w:val="28"/>
        </w:rPr>
        <w:t xml:space="preserve">, тогда в силу (4) пассивы плохого </w:t>
      </w:r>
      <w:r>
        <w:rPr>
          <w:rFonts w:eastAsia="Calibri"/>
          <w:sz w:val="28"/>
          <w:szCs w:val="28"/>
          <w:lang w:eastAsia="en-US"/>
        </w:rPr>
        <w:t xml:space="preserve">банка </w:t>
      </w:r>
      <w:r>
        <w:rPr>
          <w:rFonts w:eastAsia="Calibri"/>
          <w:position w:val="-6"/>
          <w:sz w:val="28"/>
          <w:szCs w:val="28"/>
          <w:lang w:eastAsia="en-US"/>
        </w:rPr>
        <w:object>
          <v:shape id="_x0000_i1139" o:spt="75" type="#_x0000_t75" style="height:13.5pt;width:9.75pt;" o:ole="t" filled="f" o:preferrelative="t" stroked="f" coordsize="21600,21600">
            <v:path/>
            <v:fill on="f" focussize="0,0"/>
            <v:stroke on="f" joinstyle="miter"/>
            <v:imagedata r:id="rId187" o:title=""/>
            <o:lock v:ext="edit" aspectratio="t"/>
            <w10:wrap type="none"/>
            <w10:anchorlock/>
          </v:shape>
          <o:OLEObject Type="Embed" ProgID="Equation.DSMT4" ShapeID="_x0000_i1139" DrawAspect="Content" ObjectID="_1468075846" r:id="rId244">
            <o:LockedField>false</o:LockedField>
          </o:OLEObject>
        </w:object>
      </w:r>
      <w:r>
        <w:rPr>
          <w:rFonts w:eastAsia="Calibri"/>
          <w:sz w:val="28"/>
          <w:szCs w:val="28"/>
          <w:lang w:eastAsia="en-US"/>
        </w:rPr>
        <w:t xml:space="preserve"> будут равны активам </w:t>
      </w:r>
      <w:r>
        <w:rPr>
          <w:position w:val="-14"/>
          <w:sz w:val="28"/>
          <w:szCs w:val="28"/>
        </w:rPr>
        <w:object>
          <v:shape id="_x0000_i1140" o:spt="75" type="#_x0000_t75" style="height:19.5pt;width:42pt;" o:ole="t" filled="f" o:preferrelative="t" stroked="f" coordsize="21600,21600">
            <v:path/>
            <v:fill on="f" focussize="0,0"/>
            <v:stroke on="f" joinstyle="miter"/>
            <v:imagedata r:id="rId246" o:title=""/>
            <o:lock v:ext="edit" aspectratio="t"/>
            <w10:wrap type="none"/>
            <w10:anchorlock/>
          </v:shape>
          <o:OLEObject Type="Embed" ProgID="Equation.DSMT4" ShapeID="_x0000_i1140" DrawAspect="Content" ObjectID="_1468075847" r:id="rId245">
            <o:LockedField>false</o:LockedField>
          </o:OLEObject>
        </w:object>
      </w:r>
      <w:r>
        <w:rPr>
          <w:sz w:val="28"/>
          <w:szCs w:val="28"/>
        </w:rPr>
        <w:t>. Депозиты переходят, поскольку они полностью застрахованы. Соответственно, в силу (2) получаем утверждение б) и формулу (6).</w:t>
      </w:r>
    </w:p>
    <w:p w14:paraId="3414A085">
      <w:pPr>
        <w:pStyle w:val="37"/>
        <w:rPr>
          <w:sz w:val="28"/>
          <w:szCs w:val="28"/>
        </w:rPr>
      </w:pPr>
      <w:r>
        <w:rPr>
          <w:sz w:val="28"/>
          <w:szCs w:val="28"/>
        </w:rPr>
        <w:t xml:space="preserve">Поскольку в банках </w:t>
      </w:r>
      <w:r>
        <w:rPr>
          <w:position w:val="-6"/>
          <w:sz w:val="28"/>
          <w:szCs w:val="28"/>
        </w:rPr>
        <w:object>
          <v:shape id="_x0000_i1141" o:spt="75" type="#_x0000_t75" style="height:10.5pt;width:10.5pt;" o:ole="t" filled="f" o:preferrelative="t" stroked="f" coordsize="21600,21600">
            <v:path/>
            <v:fill on="f" focussize="0,0"/>
            <v:stroke on="f" joinstyle="miter"/>
            <v:imagedata r:id="rId147" o:title=""/>
            <o:lock v:ext="edit" aspectratio="t"/>
            <w10:wrap type="none"/>
            <w10:anchorlock/>
          </v:shape>
          <o:OLEObject Type="Embed" ProgID="Equation.DSMT4" ShapeID="_x0000_i1141" DrawAspect="Content" ObjectID="_1468075848" r:id="rId247">
            <o:LockedField>false</o:LockedField>
          </o:OLEObject>
        </w:object>
      </w:r>
      <w:r>
        <w:rPr>
          <w:sz w:val="28"/>
          <w:szCs w:val="28"/>
        </w:rPr>
        <w:t xml:space="preserve"> активы списываются на величину </w:t>
      </w:r>
      <w:r>
        <w:rPr>
          <w:position w:val="-14"/>
          <w:sz w:val="28"/>
          <w:szCs w:val="28"/>
        </w:rPr>
        <w:object>
          <v:shape id="_x0000_i1142" o:spt="75" type="#_x0000_t75" style="height:19.5pt;width:34.5pt;" o:ole="t" filled="f" o:preferrelative="t" stroked="f" coordsize="21600,21600">
            <v:path/>
            <v:fill on="f" focussize="0,0"/>
            <v:stroke on="f" joinstyle="miter"/>
            <v:imagedata r:id="rId249" o:title=""/>
            <o:lock v:ext="edit" aspectratio="t"/>
            <w10:wrap type="none"/>
            <w10:anchorlock/>
          </v:shape>
          <o:OLEObject Type="Embed" ProgID="Equation.DSMT4" ShapeID="_x0000_i1142" DrawAspect="Content" ObjectID="_1468075849" r:id="rId248">
            <o:LockedField>false</o:LockedField>
          </o:OLEObject>
        </w:object>
      </w:r>
      <w:r>
        <w:rPr>
          <w:sz w:val="28"/>
          <w:szCs w:val="28"/>
        </w:rPr>
        <w:t xml:space="preserve">, а переданные пассивы «плохому» </w:t>
      </w:r>
      <w:r>
        <w:rPr>
          <w:rFonts w:eastAsia="Calibri"/>
          <w:sz w:val="28"/>
          <w:szCs w:val="28"/>
          <w:lang w:eastAsia="en-US"/>
        </w:rPr>
        <w:t xml:space="preserve">банку </w:t>
      </w:r>
      <w:r>
        <w:rPr>
          <w:rFonts w:eastAsia="Calibri"/>
          <w:position w:val="-6"/>
          <w:sz w:val="28"/>
          <w:szCs w:val="28"/>
          <w:lang w:eastAsia="en-US"/>
        </w:rPr>
        <w:object>
          <v:shape id="_x0000_i1143" o:spt="75" type="#_x0000_t75" style="height:13.5pt;width:9.75pt;" o:ole="t" filled="f" o:preferrelative="t" stroked="f" coordsize="21600,21600">
            <v:path/>
            <v:fill on="f" focussize="0,0"/>
            <v:stroke on="f" joinstyle="miter"/>
            <v:imagedata r:id="rId187" o:title=""/>
            <o:lock v:ext="edit" aspectratio="t"/>
            <w10:wrap type="none"/>
            <w10:anchorlock/>
          </v:shape>
          <o:OLEObject Type="Embed" ProgID="Equation.DSMT4" ShapeID="_x0000_i1143" DrawAspect="Content" ObjectID="_1468075850" r:id="rId250">
            <o:LockedField>false</o:LockedField>
          </o:OLEObject>
        </w:object>
      </w:r>
      <w:r>
        <w:rPr>
          <w:rFonts w:eastAsia="Calibri"/>
          <w:sz w:val="28"/>
          <w:szCs w:val="28"/>
          <w:lang w:eastAsia="en-US"/>
        </w:rPr>
        <w:t xml:space="preserve"> в сумме составляют величину равную его активам </w:t>
      </w:r>
      <w:r>
        <w:rPr>
          <w:position w:val="-14"/>
          <w:sz w:val="28"/>
          <w:szCs w:val="28"/>
        </w:rPr>
        <w:object>
          <v:shape id="_x0000_i1144" o:spt="75" type="#_x0000_t75" style="height:19.5pt;width:42pt;" o:ole="t" filled="f" o:preferrelative="t" stroked="f" coordsize="21600,21600">
            <v:path/>
            <v:fill on="f" focussize="0,0"/>
            <v:stroke on="f" joinstyle="miter"/>
            <v:imagedata r:id="rId246" o:title=""/>
            <o:lock v:ext="edit" aspectratio="t"/>
            <w10:wrap type="none"/>
            <w10:anchorlock/>
          </v:shape>
          <o:OLEObject Type="Embed" ProgID="Equation.DSMT4" ShapeID="_x0000_i1144" DrawAspect="Content" ObjectID="_1468075851" r:id="rId251">
            <o:LockedField>false</o:LockedField>
          </o:OLEObject>
        </w:object>
      </w:r>
      <w:r>
        <w:rPr>
          <w:sz w:val="28"/>
          <w:szCs w:val="28"/>
        </w:rPr>
        <w:t xml:space="preserve">, то для соблюдения баланса (1) из пассивов банков </w:t>
      </w:r>
      <w:r>
        <w:rPr>
          <w:position w:val="-6"/>
          <w:sz w:val="28"/>
          <w:szCs w:val="28"/>
        </w:rPr>
        <w:object>
          <v:shape id="_x0000_i1145" o:spt="75" type="#_x0000_t75" style="height:10.5pt;width:10.5pt;" o:ole="t" filled="f" o:preferrelative="t" stroked="f" coordsize="21600,21600">
            <v:path/>
            <v:fill on="f" focussize="0,0"/>
            <v:stroke on="f" joinstyle="miter"/>
            <v:imagedata r:id="rId147" o:title=""/>
            <o:lock v:ext="edit" aspectratio="t"/>
            <w10:wrap type="none"/>
            <w10:anchorlock/>
          </v:shape>
          <o:OLEObject Type="Embed" ProgID="Equation.DSMT4" ShapeID="_x0000_i1145" DrawAspect="Content" ObjectID="_1468075852" r:id="rId252">
            <o:LockedField>false</o:LockedField>
          </o:OLEObject>
        </w:object>
      </w:r>
      <w:r>
        <w:rPr>
          <w:sz w:val="28"/>
          <w:szCs w:val="28"/>
        </w:rPr>
        <w:t xml:space="preserve"> дополнительно надо списать </w:t>
      </w:r>
      <w:r>
        <w:rPr>
          <w:position w:val="-14"/>
          <w:sz w:val="28"/>
          <w:szCs w:val="28"/>
        </w:rPr>
        <w:object>
          <v:shape id="_x0000_i1146" o:spt="75" type="#_x0000_t75" style="height:19.5pt;width:67.5pt;" o:ole="t" filled="f" o:preferrelative="t" stroked="f" coordsize="21600,21600">
            <v:path/>
            <v:fill on="f" focussize="0,0"/>
            <v:stroke on="f" joinstyle="miter"/>
            <v:imagedata r:id="rId254" o:title=""/>
            <o:lock v:ext="edit" aspectratio="t"/>
            <w10:wrap type="none"/>
            <w10:anchorlock/>
          </v:shape>
          <o:OLEObject Type="Embed" ProgID="Equation.DSMT4" ShapeID="_x0000_i1146" DrawAspect="Content" ObjectID="_1468075853" r:id="rId253">
            <o:LockedField>false</o:LockedField>
          </o:OLEObject>
        </w:object>
      </w:r>
      <w:r>
        <w:rPr>
          <w:sz w:val="28"/>
          <w:szCs w:val="28"/>
        </w:rPr>
        <w:t xml:space="preserve">. Эта величина списывается из собственного капитала и обозначена </w:t>
      </w:r>
      <w:r>
        <w:rPr>
          <w:position w:val="-14"/>
          <w:sz w:val="28"/>
          <w:szCs w:val="28"/>
        </w:rPr>
        <w:object>
          <v:shape id="_x0000_i1147" o:spt="75" type="#_x0000_t75" style="height:19.5pt;width:31.5pt;" o:ole="t" filled="f" o:preferrelative="t" stroked="f" coordsize="21600,21600">
            <v:path/>
            <v:fill on="f" focussize="0,0"/>
            <v:stroke on="f" joinstyle="miter"/>
            <v:imagedata r:id="rId256" o:title=""/>
            <o:lock v:ext="edit" aspectratio="t"/>
            <w10:wrap type="none"/>
            <w10:anchorlock/>
          </v:shape>
          <o:OLEObject Type="Embed" ProgID="Equation.DSMT4" ShapeID="_x0000_i1147" DrawAspect="Content" ObjectID="_1468075854" r:id="rId255">
            <o:LockedField>false</o:LockedField>
          </o:OLEObject>
        </w:object>
      </w:r>
      <w:r>
        <w:rPr>
          <w:sz w:val="28"/>
          <w:szCs w:val="28"/>
        </w:rPr>
        <w:t>. Так что в соответствии с (2) получаем утверждение в) и формулу (7).</w:t>
      </w:r>
    </w:p>
    <w:p w14:paraId="165ECAC9">
      <w:pPr>
        <w:pStyle w:val="37"/>
        <w:rPr>
          <w:sz w:val="28"/>
          <w:szCs w:val="28"/>
        </w:rPr>
      </w:pPr>
      <w:r>
        <w:rPr>
          <w:sz w:val="28"/>
          <w:szCs w:val="28"/>
        </w:rPr>
        <w:t xml:space="preserve">Сразу же после образования «плохого» банка </w:t>
      </w:r>
      <w:r>
        <w:rPr>
          <w:position w:val="-6"/>
          <w:sz w:val="28"/>
          <w:szCs w:val="28"/>
        </w:rPr>
        <w:object>
          <v:shape id="_x0000_i1148" o:spt="75" type="#_x0000_t75" style="height:13.5pt;width:10.5pt;" o:ole="t" filled="f" o:preferrelative="t" stroked="f" coordsize="21600,21600">
            <v:path/>
            <v:fill on="f" focussize="0,0"/>
            <v:stroke on="f" joinstyle="miter"/>
            <v:imagedata r:id="rId174" o:title=""/>
            <o:lock v:ext="edit" aspectratio="t"/>
            <w10:wrap type="none"/>
            <w10:anchorlock/>
          </v:shape>
          <o:OLEObject Type="Embed" ProgID="Equation.DSMT4" ShapeID="_x0000_i1148" DrawAspect="Content" ObjectID="_1468075855" r:id="rId257">
            <o:LockedField>false</o:LockedField>
          </o:OLEObject>
        </w:object>
      </w:r>
      <w:r>
        <w:rPr>
          <w:sz w:val="28"/>
          <w:szCs w:val="28"/>
        </w:rPr>
        <w:t xml:space="preserve"> собственный капитал банков </w:t>
      </w:r>
      <w:r>
        <w:rPr>
          <w:position w:val="-6"/>
          <w:sz w:val="28"/>
          <w:szCs w:val="28"/>
        </w:rPr>
        <w:object>
          <v:shape id="_x0000_i1149" o:spt="75" type="#_x0000_t75" style="height:10.5pt;width:10.5pt;" o:ole="t" filled="f" o:preferrelative="t" stroked="f" coordsize="21600,21600">
            <v:path/>
            <v:fill on="f" focussize="0,0"/>
            <v:stroke on="f" joinstyle="miter"/>
            <v:imagedata r:id="rId259" o:title=""/>
            <o:lock v:ext="edit" aspectratio="t"/>
            <w10:wrap type="none"/>
            <w10:anchorlock/>
          </v:shape>
          <o:OLEObject Type="Embed" ProgID="Equation.DSMT4" ShapeID="_x0000_i1149" DrawAspect="Content" ObjectID="_1468075856" r:id="rId258">
            <o:LockedField>false</o:LockedField>
          </o:OLEObject>
        </w:object>
      </w:r>
      <w:r>
        <w:rPr>
          <w:sz w:val="28"/>
          <w:szCs w:val="28"/>
        </w:rPr>
        <w:t xml:space="preserve"> ограничен условием </w:t>
      </w:r>
    </w:p>
    <w:p w14:paraId="4D964AE6">
      <w:pPr>
        <w:pStyle w:val="37"/>
        <w:ind w:firstLine="0"/>
        <w:rPr>
          <w:sz w:val="28"/>
          <w:szCs w:val="28"/>
        </w:rPr>
      </w:pPr>
    </w:p>
    <w:p w14:paraId="19C43725">
      <w:pPr>
        <w:pStyle w:val="38"/>
        <w:spacing w:before="0" w:after="0"/>
        <w:rPr>
          <w:sz w:val="28"/>
          <w:szCs w:val="28"/>
        </w:rPr>
      </w:pPr>
      <w:r>
        <w:rPr>
          <w:sz w:val="28"/>
          <w:szCs w:val="28"/>
        </w:rPr>
        <w:tab/>
      </w:r>
      <w:r>
        <w:rPr>
          <w:sz w:val="28"/>
          <w:szCs w:val="28"/>
        </w:rPr>
        <w:t xml:space="preserve">                                        </w:t>
      </w:r>
      <w:r>
        <w:rPr>
          <w:position w:val="-16"/>
          <w:sz w:val="28"/>
          <w:szCs w:val="28"/>
        </w:rPr>
        <w:object>
          <v:shape id="_x0000_i1150" o:spt="75" type="#_x0000_t75" style="height:22.5pt;width:165pt;" o:ole="t" filled="f" o:preferrelative="t" stroked="f" coordsize="21600,21600">
            <v:path/>
            <v:fill on="f" focussize="0,0"/>
            <v:stroke on="f" joinstyle="miter"/>
            <v:imagedata r:id="rId261" o:title=""/>
            <o:lock v:ext="edit" aspectratio="t"/>
            <w10:wrap type="none"/>
            <w10:anchorlock/>
          </v:shape>
          <o:OLEObject Type="Embed" ProgID="Equation.DSMT4" ShapeID="_x0000_i1150" DrawAspect="Content" ObjectID="_1468075857" r:id="rId260">
            <o:LockedField>false</o:LockedField>
          </o:OLEObject>
        </w:object>
      </w:r>
      <w:r>
        <w:rPr>
          <w:sz w:val="28"/>
          <w:szCs w:val="28"/>
        </w:rPr>
        <w:tab/>
      </w:r>
      <w:r>
        <w:rPr>
          <w:sz w:val="28"/>
          <w:szCs w:val="28"/>
        </w:rPr>
        <w:t xml:space="preserve">                         (9)</w:t>
      </w:r>
    </w:p>
    <w:p w14:paraId="178434E6">
      <w:pPr>
        <w:pStyle w:val="37"/>
        <w:ind w:firstLine="0"/>
        <w:rPr>
          <w:sz w:val="28"/>
          <w:szCs w:val="28"/>
        </w:rPr>
      </w:pPr>
    </w:p>
    <w:p w14:paraId="45EE26B5">
      <w:pPr>
        <w:pStyle w:val="37"/>
        <w:ind w:firstLine="0"/>
        <w:rPr>
          <w:sz w:val="28"/>
          <w:szCs w:val="28"/>
        </w:rPr>
      </w:pPr>
      <w:r>
        <w:rPr>
          <w:sz w:val="28"/>
          <w:szCs w:val="28"/>
        </w:rPr>
        <w:t xml:space="preserve">на оставшиеся в банках </w:t>
      </w:r>
      <w:r>
        <w:rPr>
          <w:position w:val="-6"/>
          <w:sz w:val="28"/>
          <w:szCs w:val="28"/>
        </w:rPr>
        <w:object>
          <v:shape id="_x0000_i1151" o:spt="75" type="#_x0000_t75" style="height:10.5pt;width:10.5pt;" o:ole="t" filled="f" o:preferrelative="t" stroked="f" coordsize="21600,21600">
            <v:path/>
            <v:fill on="f" focussize="0,0"/>
            <v:stroke on="f" joinstyle="miter"/>
            <v:imagedata r:id="rId259" o:title=""/>
            <o:lock v:ext="edit" aspectratio="t"/>
            <w10:wrap type="none"/>
            <w10:anchorlock/>
          </v:shape>
          <o:OLEObject Type="Embed" ProgID="Equation.DSMT4" ShapeID="_x0000_i1151" DrawAspect="Content" ObjectID="_1468075858" r:id="rId262">
            <o:LockedField>false</o:LockedField>
          </o:OLEObject>
        </w:object>
      </w:r>
      <w:r>
        <w:rPr>
          <w:sz w:val="28"/>
          <w:szCs w:val="28"/>
        </w:rPr>
        <w:t xml:space="preserve"> проблемные активы. Объем собственного капитала банков </w:t>
      </w:r>
      <w:r>
        <w:rPr>
          <w:position w:val="-6"/>
          <w:sz w:val="28"/>
          <w:szCs w:val="28"/>
        </w:rPr>
        <w:object>
          <v:shape id="_x0000_i1152" o:spt="75" type="#_x0000_t75" style="height:10.5pt;width:10.5pt;" o:ole="t" filled="f" o:preferrelative="t" stroked="f" coordsize="21600,21600">
            <v:path/>
            <v:fill on="f" focussize="0,0"/>
            <v:stroke on="f" joinstyle="miter"/>
            <v:imagedata r:id="rId259" o:title=""/>
            <o:lock v:ext="edit" aspectratio="t"/>
            <w10:wrap type="none"/>
            <w10:anchorlock/>
          </v:shape>
          <o:OLEObject Type="Embed" ProgID="Equation.DSMT4" ShapeID="_x0000_i1152" DrawAspect="Content" ObjectID="_1468075859" r:id="rId263">
            <o:LockedField>false</o:LockedField>
          </o:OLEObject>
        </w:object>
      </w:r>
      <w:r>
        <w:rPr>
          <w:sz w:val="28"/>
          <w:szCs w:val="28"/>
        </w:rPr>
        <w:t xml:space="preserve"> после списаний </w:t>
      </w:r>
    </w:p>
    <w:p w14:paraId="5C4FCEB6">
      <w:pPr>
        <w:pStyle w:val="37"/>
        <w:ind w:firstLine="0"/>
        <w:rPr>
          <w:sz w:val="28"/>
          <w:szCs w:val="28"/>
        </w:rPr>
      </w:pPr>
    </w:p>
    <w:p w14:paraId="7CB9F79A">
      <w:pPr>
        <w:pStyle w:val="38"/>
        <w:spacing w:before="0" w:after="0"/>
        <w:rPr>
          <w:sz w:val="28"/>
          <w:szCs w:val="28"/>
        </w:rPr>
      </w:pPr>
      <w:r>
        <w:rPr>
          <w:sz w:val="28"/>
          <w:szCs w:val="28"/>
        </w:rPr>
        <w:tab/>
      </w:r>
      <w:r>
        <w:rPr>
          <w:sz w:val="28"/>
          <w:szCs w:val="28"/>
        </w:rPr>
        <w:t xml:space="preserve">                                        </w:t>
      </w:r>
      <w:r>
        <w:rPr>
          <w:position w:val="-14"/>
          <w:sz w:val="28"/>
          <w:szCs w:val="28"/>
        </w:rPr>
        <w:object>
          <v:shape id="_x0000_i1153" o:spt="75" type="#_x0000_t75" style="height:19.5pt;width:169.5pt;" o:ole="t" filled="f" o:preferrelative="t" stroked="f" coordsize="21600,21600">
            <v:path/>
            <v:fill on="f" focussize="0,0"/>
            <v:stroke on="f" joinstyle="miter"/>
            <v:imagedata r:id="rId265" o:title=""/>
            <o:lock v:ext="edit" aspectratio="t"/>
            <w10:wrap type="none"/>
            <w10:anchorlock/>
          </v:shape>
          <o:OLEObject Type="Embed" ProgID="Equation.DSMT4" ShapeID="_x0000_i1153" DrawAspect="Content" ObjectID="_1468075860" r:id="rId264">
            <o:LockedField>false</o:LockedField>
          </o:OLEObject>
        </w:object>
      </w:r>
      <w:r>
        <w:rPr>
          <w:sz w:val="28"/>
          <w:szCs w:val="28"/>
        </w:rPr>
        <w:t>.</w:t>
      </w:r>
      <w:r>
        <w:rPr>
          <w:sz w:val="28"/>
          <w:szCs w:val="28"/>
        </w:rPr>
        <w:tab/>
      </w:r>
      <w:r>
        <w:rPr>
          <w:sz w:val="28"/>
          <w:szCs w:val="28"/>
        </w:rPr>
        <w:t xml:space="preserve">                         (10)</w:t>
      </w:r>
    </w:p>
    <w:p w14:paraId="055CC6D6">
      <w:pPr>
        <w:autoSpaceDE w:val="0"/>
        <w:autoSpaceDN w:val="0"/>
        <w:adjustRightInd w:val="0"/>
        <w:spacing w:after="0" w:line="240" w:lineRule="auto"/>
        <w:ind w:firstLine="708"/>
        <w:contextualSpacing/>
        <w:jc w:val="both"/>
        <w:rPr>
          <w:rFonts w:ascii="Times New Roman" w:hAnsi="Times New Roman" w:cs="Times New Roman"/>
          <w:color w:val="000000"/>
          <w:sz w:val="28"/>
          <w:szCs w:val="28"/>
        </w:rPr>
      </w:pPr>
    </w:p>
    <w:p w14:paraId="5344A4D5">
      <w:pPr>
        <w:pStyle w:val="37"/>
        <w:ind w:firstLine="0"/>
        <w:rPr>
          <w:sz w:val="28"/>
          <w:szCs w:val="28"/>
        </w:rPr>
      </w:pPr>
      <w:r>
        <w:rPr>
          <w:sz w:val="28"/>
          <w:szCs w:val="28"/>
        </w:rPr>
        <w:t xml:space="preserve">Подставляя (10) в (9) и используя выражения (5) и (7) для передаваемого в «плохой» банк </w:t>
      </w:r>
      <w:r>
        <w:rPr>
          <w:position w:val="-6"/>
          <w:sz w:val="28"/>
          <w:szCs w:val="28"/>
        </w:rPr>
        <w:object>
          <v:shape id="_x0000_i1154" o:spt="75" type="#_x0000_t75" style="height:13.5pt;width:10.5pt;" o:ole="t" filled="f" o:preferrelative="t" stroked="f" coordsize="21600,21600">
            <v:path/>
            <v:fill on="f" focussize="0,0"/>
            <v:stroke on="f" joinstyle="miter"/>
            <v:imagedata r:id="rId267" o:title=""/>
            <o:lock v:ext="edit" aspectratio="t"/>
            <w10:wrap type="none"/>
            <w10:anchorlock/>
          </v:shape>
          <o:OLEObject Type="Embed" ProgID="Equation.DSMT4" ShapeID="_x0000_i1154" DrawAspect="Content" ObjectID="_1468075861" r:id="rId266">
            <o:LockedField>false</o:LockedField>
          </o:OLEObject>
        </w:object>
      </w:r>
      <w:r>
        <w:rPr>
          <w:sz w:val="28"/>
          <w:szCs w:val="28"/>
        </w:rPr>
        <w:t xml:space="preserve"> собственного капитала </w:t>
      </w:r>
      <w:r>
        <w:rPr>
          <w:position w:val="-14"/>
          <w:sz w:val="28"/>
          <w:szCs w:val="28"/>
        </w:rPr>
        <w:object>
          <v:shape id="_x0000_i1155" o:spt="75" type="#_x0000_t75" style="height:19.5pt;width:34.5pt;" o:ole="t" filled="f" o:preferrelative="t" stroked="f" coordsize="21600,21600">
            <v:path/>
            <v:fill on="f" focussize="0,0"/>
            <v:stroke on="f" joinstyle="miter"/>
            <v:imagedata r:id="rId269" o:title=""/>
            <o:lock v:ext="edit" aspectratio="t"/>
            <w10:wrap type="none"/>
            <w10:anchorlock/>
          </v:shape>
          <o:OLEObject Type="Embed" ProgID="Equation.DSMT4" ShapeID="_x0000_i1155" DrawAspect="Content" ObjectID="_1468075862" r:id="rId268">
            <o:LockedField>false</o:LockedField>
          </o:OLEObject>
        </w:object>
      </w:r>
      <w:r>
        <w:rPr>
          <w:sz w:val="28"/>
          <w:szCs w:val="28"/>
        </w:rPr>
        <w:t xml:space="preserve"> и дополнительного списания собственного капитала </w:t>
      </w:r>
      <w:r>
        <w:rPr>
          <w:position w:val="-14"/>
          <w:sz w:val="28"/>
          <w:szCs w:val="28"/>
        </w:rPr>
        <w:object>
          <v:shape id="_x0000_i1156" o:spt="75" type="#_x0000_t75" style="height:19.5pt;width:31.5pt;" o:ole="t" filled="f" o:preferrelative="t" stroked="f" coordsize="21600,21600">
            <v:path/>
            <v:fill on="f" focussize="0,0"/>
            <v:stroke on="f" joinstyle="miter"/>
            <v:imagedata r:id="rId271" o:title=""/>
            <o:lock v:ext="edit" aspectratio="t"/>
            <w10:wrap type="none"/>
            <w10:anchorlock/>
          </v:shape>
          <o:OLEObject Type="Embed" ProgID="Equation.DSMT4" ShapeID="_x0000_i1156" DrawAspect="Content" ObjectID="_1468075863" r:id="rId270">
            <o:LockedField>false</o:LockedField>
          </o:OLEObject>
        </w:object>
      </w:r>
      <w:r>
        <w:rPr>
          <w:sz w:val="28"/>
          <w:szCs w:val="28"/>
        </w:rPr>
        <w:t xml:space="preserve">, получаем внутренне ограничение банков </w:t>
      </w:r>
      <w:r>
        <w:rPr>
          <w:position w:val="-6"/>
          <w:sz w:val="28"/>
          <w:szCs w:val="28"/>
        </w:rPr>
        <w:object>
          <v:shape id="_x0000_i1157" o:spt="75" type="#_x0000_t75" style="height:10.5pt;width:10.5pt;" o:ole="t" filled="f" o:preferrelative="t" stroked="f" coordsize="21600,21600">
            <v:path/>
            <v:fill on="f" focussize="0,0"/>
            <v:stroke on="f" joinstyle="miter"/>
            <v:imagedata r:id="rId259" o:title=""/>
            <o:lock v:ext="edit" aspectratio="t"/>
            <w10:wrap type="none"/>
            <w10:anchorlock/>
          </v:shape>
          <o:OLEObject Type="Embed" ProgID="Equation.DSMT4" ShapeID="_x0000_i1157" DrawAspect="Content" ObjectID="_1468075864" r:id="rId272">
            <o:LockedField>false</o:LockedField>
          </o:OLEObject>
        </w:object>
      </w:r>
      <w:r>
        <w:rPr>
          <w:sz w:val="28"/>
          <w:szCs w:val="28"/>
        </w:rPr>
        <w:t xml:space="preserve"> на долю </w:t>
      </w:r>
      <w:r>
        <w:rPr>
          <w:position w:val="-6"/>
          <w:sz w:val="28"/>
          <w:szCs w:val="28"/>
        </w:rPr>
        <w:object>
          <v:shape id="_x0000_i1158" o:spt="75" type="#_x0000_t75" style="height:10.5pt;width:12pt;" o:ole="t" filled="f" o:preferrelative="t" stroked="f" coordsize="21600,21600">
            <v:path/>
            <v:fill on="f" focussize="0,0"/>
            <v:stroke on="f" joinstyle="miter"/>
            <v:imagedata r:id="rId274" o:title=""/>
            <o:lock v:ext="edit" aspectratio="t"/>
            <w10:wrap type="none"/>
            <w10:anchorlock/>
          </v:shape>
          <o:OLEObject Type="Embed" ProgID="Equation.DSMT4" ShapeID="_x0000_i1158" DrawAspect="Content" ObjectID="_1468075865" r:id="rId273">
            <o:LockedField>false</o:LockedField>
          </o:OLEObject>
        </w:object>
      </w:r>
      <w:r>
        <w:rPr>
          <w:sz w:val="28"/>
          <w:szCs w:val="28"/>
        </w:rPr>
        <w:t xml:space="preserve"> спасаемых активов формулу (8), </w:t>
      </w:r>
      <w:r>
        <w:rPr>
          <w:position w:val="-6"/>
          <w:sz w:val="28"/>
          <w:szCs w:val="28"/>
        </w:rPr>
        <w:object>
          <v:shape id="_x0000_i1159" o:spt="75" type="#_x0000_t75" style="height:15.75pt;width:36pt;" o:ole="t" filled="f" o:preferrelative="t" stroked="f" coordsize="21600,21600">
            <v:path/>
            <v:fill on="f" focussize="0,0"/>
            <v:stroke on="f" joinstyle="miter"/>
            <v:imagedata r:id="rId276" o:title=""/>
            <o:lock v:ext="edit" aspectratio="t"/>
            <w10:wrap type="none"/>
            <w10:anchorlock/>
          </v:shape>
          <o:OLEObject Type="Embed" ProgID="Equation.DSMT4" ShapeID="_x0000_i1159" DrawAspect="Content" ObjectID="_1468075866" r:id="rId275">
            <o:LockedField>false</o:LockedField>
          </o:OLEObject>
        </w:object>
      </w:r>
      <w:r>
        <w:rPr>
          <w:sz w:val="28"/>
          <w:szCs w:val="28"/>
        </w:rPr>
        <w:t>, и утверждение г).</w:t>
      </w:r>
    </w:p>
    <w:p w14:paraId="0B7455DA">
      <w:pPr>
        <w:pStyle w:val="37"/>
        <w:rPr>
          <w:sz w:val="28"/>
          <w:szCs w:val="28"/>
        </w:rPr>
      </w:pPr>
      <w:r>
        <w:rPr>
          <w:sz w:val="28"/>
          <w:szCs w:val="28"/>
        </w:rPr>
        <w:t>Утверждение 1 полностью доказано.</w:t>
      </w:r>
    </w:p>
    <w:p w14:paraId="090E30D7">
      <w:pPr>
        <w:pStyle w:val="37"/>
        <w:rPr>
          <w:sz w:val="28"/>
          <w:szCs w:val="28"/>
        </w:rPr>
      </w:pPr>
      <w:r>
        <w:rPr>
          <w:sz w:val="28"/>
          <w:szCs w:val="28"/>
        </w:rPr>
        <w:t>Из доказанного утверждения 1 непосредственно получим</w:t>
      </w:r>
    </w:p>
    <w:p w14:paraId="007454C4">
      <w:pPr>
        <w:pStyle w:val="37"/>
        <w:ind w:firstLine="0"/>
        <w:rPr>
          <w:rFonts w:eastAsia="Calibri"/>
          <w:i/>
          <w:sz w:val="28"/>
          <w:szCs w:val="28"/>
          <w:lang w:eastAsia="en-US"/>
        </w:rPr>
      </w:pPr>
      <w:r>
        <w:rPr>
          <w:rFonts w:eastAsia="Calibri"/>
          <w:b/>
          <w:sz w:val="28"/>
          <w:szCs w:val="28"/>
          <w:lang w:eastAsia="en-US"/>
        </w:rPr>
        <w:t>Следствие 1</w:t>
      </w:r>
      <w:r>
        <w:rPr>
          <w:rFonts w:eastAsia="Calibri"/>
          <w:sz w:val="28"/>
          <w:szCs w:val="28"/>
          <w:lang w:eastAsia="en-US"/>
        </w:rPr>
        <w:t xml:space="preserve">: </w:t>
      </w:r>
      <w:r>
        <w:rPr>
          <w:rFonts w:eastAsia="Calibri"/>
          <w:i/>
          <w:sz w:val="28"/>
          <w:szCs w:val="28"/>
          <w:lang w:eastAsia="en-US"/>
        </w:rPr>
        <w:t xml:space="preserve">При создании «плохого» банка </w:t>
      </w:r>
      <w:r>
        <w:rPr>
          <w:rFonts w:eastAsia="Calibri"/>
          <w:position w:val="-6"/>
          <w:sz w:val="28"/>
          <w:szCs w:val="28"/>
          <w:lang w:eastAsia="en-US"/>
        </w:rPr>
        <w:object>
          <v:shape id="_x0000_i1160" o:spt="75" type="#_x0000_t75" style="height:13.5pt;width:9.75pt;" o:ole="t" filled="f" o:preferrelative="t" stroked="f" coordsize="21600,21600">
            <v:path/>
            <v:fill on="f" focussize="0,0"/>
            <v:stroke on="f" joinstyle="miter"/>
            <v:imagedata r:id="rId187" o:title=""/>
            <o:lock v:ext="edit" aspectratio="t"/>
            <w10:wrap type="none"/>
            <w10:anchorlock/>
          </v:shape>
          <o:OLEObject Type="Embed" ProgID="Equation.DSMT4" ShapeID="_x0000_i1160" DrawAspect="Content" ObjectID="_1468075867" r:id="rId277">
            <o:LockedField>false</o:LockedField>
          </o:OLEObject>
        </w:object>
      </w:r>
      <w:r>
        <w:rPr>
          <w:rFonts w:eastAsia="Calibri"/>
          <w:sz w:val="28"/>
          <w:szCs w:val="28"/>
          <w:lang w:eastAsia="en-US"/>
        </w:rPr>
        <w:t xml:space="preserve"> </w:t>
      </w:r>
      <w:r>
        <w:rPr>
          <w:rFonts w:eastAsia="Calibri"/>
          <w:i/>
          <w:sz w:val="28"/>
          <w:szCs w:val="28"/>
          <w:lang w:eastAsia="en-US"/>
        </w:rPr>
        <w:t xml:space="preserve">в момент времени </w:t>
      </w:r>
      <w:r>
        <w:rPr>
          <w:rFonts w:eastAsia="Calibri"/>
          <w:i/>
          <w:position w:val="-6"/>
          <w:sz w:val="28"/>
          <w:szCs w:val="28"/>
          <w:lang w:eastAsia="en-US"/>
        </w:rPr>
        <w:object>
          <v:shape id="_x0000_i1161" o:spt="75" type="#_x0000_t75" style="height:12pt;width:7.5pt;" o:ole="t" filled="f" o:preferrelative="t" stroked="f" coordsize="21600,21600">
            <v:path/>
            <v:fill on="f" focussize="0,0"/>
            <v:stroke on="f" joinstyle="miter"/>
            <v:imagedata r:id="rId185" o:title=""/>
            <o:lock v:ext="edit" aspectratio="t"/>
            <w10:wrap type="none"/>
            <w10:anchorlock/>
          </v:shape>
          <o:OLEObject Type="Embed" ProgID="Equation.DSMT4" ShapeID="_x0000_i1161" DrawAspect="Content" ObjectID="_1468075868" r:id="rId278">
            <o:LockedField>false</o:LockedField>
          </o:OLEObject>
        </w:object>
      </w:r>
      <w:r>
        <w:rPr>
          <w:rFonts w:eastAsia="Calibri"/>
          <w:i/>
          <w:sz w:val="28"/>
          <w:szCs w:val="28"/>
          <w:lang w:eastAsia="en-US"/>
        </w:rPr>
        <w:t xml:space="preserve">, объем кредитов в банках </w:t>
      </w:r>
      <w:r>
        <w:rPr>
          <w:rFonts w:eastAsia="Calibri"/>
          <w:position w:val="-6"/>
          <w:sz w:val="28"/>
          <w:szCs w:val="28"/>
          <w:lang w:eastAsia="en-US"/>
        </w:rPr>
        <w:object>
          <v:shape id="_x0000_i1162" o:spt="75" type="#_x0000_t75" style="height:11.25pt;width:9.75pt;" o:ole="t" filled="f" o:preferrelative="t" stroked="f" coordsize="21600,21600">
            <v:path/>
            <v:fill on="f" focussize="0,0"/>
            <v:stroke on="f" joinstyle="miter"/>
            <v:imagedata r:id="rId280" o:title=""/>
            <o:lock v:ext="edit" aspectratio="t"/>
            <w10:wrap type="none"/>
            <w10:anchorlock/>
          </v:shape>
          <o:OLEObject Type="Embed" ProgID="Equation.DSMT4" ShapeID="_x0000_i1162" DrawAspect="Content" ObjectID="_1468075869" r:id="rId279">
            <o:LockedField>false</o:LockedField>
          </o:OLEObject>
        </w:object>
      </w:r>
      <w:r>
        <w:rPr>
          <w:rFonts w:eastAsia="Calibri"/>
          <w:i/>
          <w:sz w:val="28"/>
          <w:szCs w:val="28"/>
          <w:lang w:eastAsia="en-US"/>
        </w:rPr>
        <w:t xml:space="preserve"> уменьшается в соответствии с (2) на </w:t>
      </w:r>
      <w:r>
        <w:rPr>
          <w:position w:val="-4"/>
          <w:sz w:val="28"/>
          <w:szCs w:val="28"/>
        </w:rPr>
        <w:object>
          <v:shape id="_x0000_i1163" o:spt="75" type="#_x0000_t75" style="height:15.75pt;width:19.5pt;" o:ole="t" filled="f" o:preferrelative="t" stroked="f" coordsize="21600,21600">
            <v:path/>
            <v:fill on="f" focussize="0,0"/>
            <v:stroke on="f" joinstyle="miter"/>
            <v:imagedata r:id="rId282" o:title=""/>
            <o:lock v:ext="edit" aspectratio="t"/>
            <w10:wrap type="none"/>
            <w10:anchorlock/>
          </v:shape>
          <o:OLEObject Type="Embed" ProgID="Equation.DSMT4" ShapeID="_x0000_i1163" DrawAspect="Content" ObjectID="_1468075870" r:id="rId281">
            <o:LockedField>false</o:LockedField>
          </o:OLEObject>
        </w:object>
      </w:r>
      <w:r>
        <w:rPr>
          <w:sz w:val="28"/>
          <w:szCs w:val="28"/>
        </w:rPr>
        <w:t xml:space="preserve">, объем депозитов </w:t>
      </w:r>
      <w:r>
        <w:rPr>
          <w:rFonts w:eastAsia="Calibri"/>
          <w:i/>
          <w:sz w:val="28"/>
          <w:szCs w:val="28"/>
          <w:lang w:eastAsia="en-US"/>
        </w:rPr>
        <w:t xml:space="preserve">в банках </w:t>
      </w:r>
      <w:r>
        <w:rPr>
          <w:rFonts w:eastAsia="Calibri"/>
          <w:position w:val="-6"/>
          <w:sz w:val="28"/>
          <w:szCs w:val="28"/>
          <w:lang w:eastAsia="en-US"/>
        </w:rPr>
        <w:object>
          <v:shape id="_x0000_i1164" o:spt="75" type="#_x0000_t75" style="height:11.25pt;width:9.75pt;" o:ole="t" filled="f" o:preferrelative="t" stroked="f" coordsize="21600,21600">
            <v:path/>
            <v:fill on="f" focussize="0,0"/>
            <v:stroke on="f" joinstyle="miter"/>
            <v:imagedata r:id="rId280" o:title=""/>
            <o:lock v:ext="edit" aspectratio="t"/>
            <w10:wrap type="none"/>
            <w10:anchorlock/>
          </v:shape>
          <o:OLEObject Type="Embed" ProgID="Equation.DSMT4" ShapeID="_x0000_i1164" DrawAspect="Content" ObjectID="_1468075871" r:id="rId283">
            <o:LockedField>false</o:LockedField>
          </o:OLEObject>
        </w:object>
      </w:r>
      <w:r>
        <w:rPr>
          <w:rFonts w:eastAsia="Calibri"/>
          <w:i/>
          <w:sz w:val="28"/>
          <w:szCs w:val="28"/>
          <w:lang w:eastAsia="en-US"/>
        </w:rPr>
        <w:t xml:space="preserve"> уменьшается в соответствии с (6)</w:t>
      </w:r>
      <w:r>
        <w:rPr>
          <w:sz w:val="28"/>
          <w:szCs w:val="28"/>
        </w:rPr>
        <w:t xml:space="preserve"> на </w:t>
      </w:r>
      <w:r>
        <w:rPr>
          <w:position w:val="-14"/>
          <w:sz w:val="28"/>
          <w:szCs w:val="28"/>
        </w:rPr>
        <w:object>
          <v:shape id="_x0000_i1165" o:spt="75" type="#_x0000_t75" style="height:19.5pt;width:85.5pt;" o:ole="t" filled="f" o:preferrelative="t" stroked="f" coordsize="21600,21600">
            <v:path/>
            <v:fill on="f" focussize="0,0"/>
            <v:stroke on="f" joinstyle="miter"/>
            <v:imagedata r:id="rId285" o:title=""/>
            <o:lock v:ext="edit" aspectratio="t"/>
            <w10:wrap type="none"/>
            <w10:anchorlock/>
          </v:shape>
          <o:OLEObject Type="Embed" ProgID="Equation.DSMT4" ShapeID="_x0000_i1165" DrawAspect="Content" ObjectID="_1468075872" r:id="rId284">
            <o:LockedField>false</o:LockedField>
          </o:OLEObject>
        </w:object>
      </w:r>
      <w:r>
        <w:rPr>
          <w:sz w:val="28"/>
          <w:szCs w:val="28"/>
        </w:rPr>
        <w:t xml:space="preserve">, а объем собственного капитала </w:t>
      </w:r>
      <w:r>
        <w:rPr>
          <w:rFonts w:eastAsia="Calibri"/>
          <w:i/>
          <w:sz w:val="28"/>
          <w:szCs w:val="28"/>
          <w:lang w:eastAsia="en-US"/>
        </w:rPr>
        <w:t xml:space="preserve">в банках </w:t>
      </w:r>
      <w:r>
        <w:rPr>
          <w:rFonts w:eastAsia="Calibri"/>
          <w:position w:val="-6"/>
          <w:sz w:val="28"/>
          <w:szCs w:val="28"/>
          <w:lang w:eastAsia="en-US"/>
        </w:rPr>
        <w:object>
          <v:shape id="_x0000_i1166" o:spt="75" type="#_x0000_t75" style="height:11.25pt;width:9.75pt;" o:ole="t" filled="f" o:preferrelative="t" stroked="f" coordsize="21600,21600">
            <v:path/>
            <v:fill on="f" focussize="0,0"/>
            <v:stroke on="f" joinstyle="miter"/>
            <v:imagedata r:id="rId280" o:title=""/>
            <o:lock v:ext="edit" aspectratio="t"/>
            <w10:wrap type="none"/>
            <w10:anchorlock/>
          </v:shape>
          <o:OLEObject Type="Embed" ProgID="Equation.DSMT4" ShapeID="_x0000_i1166" DrawAspect="Content" ObjectID="_1468075873" r:id="rId286">
            <o:LockedField>false</o:LockedField>
          </o:OLEObject>
        </w:object>
      </w:r>
      <w:r>
        <w:rPr>
          <w:rFonts w:eastAsia="Calibri"/>
          <w:i/>
          <w:sz w:val="28"/>
          <w:szCs w:val="28"/>
          <w:lang w:eastAsia="en-US"/>
        </w:rPr>
        <w:t xml:space="preserve"> для соблюдения баланса уменьшается на </w:t>
      </w:r>
    </w:p>
    <w:p w14:paraId="09E4A093">
      <w:pPr>
        <w:pStyle w:val="37"/>
        <w:ind w:firstLine="0"/>
        <w:rPr>
          <w:rFonts w:eastAsia="Calibri"/>
          <w:i/>
          <w:sz w:val="28"/>
          <w:szCs w:val="28"/>
          <w:lang w:eastAsia="en-US"/>
        </w:rPr>
      </w:pPr>
    </w:p>
    <w:p w14:paraId="22F0D1D1">
      <w:pPr>
        <w:pStyle w:val="38"/>
        <w:spacing w:before="0" w:after="0"/>
        <w:rPr>
          <w:sz w:val="28"/>
          <w:szCs w:val="28"/>
        </w:rPr>
      </w:pPr>
      <w:r>
        <w:rPr>
          <w:sz w:val="28"/>
          <w:szCs w:val="28"/>
        </w:rPr>
        <w:tab/>
      </w:r>
      <w:r>
        <w:rPr>
          <w:sz w:val="28"/>
          <w:szCs w:val="28"/>
        </w:rPr>
        <w:t xml:space="preserve">                                    </w:t>
      </w:r>
      <w:r>
        <w:rPr>
          <w:position w:val="-14"/>
          <w:sz w:val="28"/>
          <w:szCs w:val="28"/>
        </w:rPr>
        <w:object>
          <v:shape id="_x0000_i1167" o:spt="75" type="#_x0000_t75" style="height:19.5pt;width:133.5pt;" o:ole="t" filled="f" o:preferrelative="t" stroked="f" coordsize="21600,21600">
            <v:path/>
            <v:fill on="f" focussize="0,0"/>
            <v:stroke on="f" joinstyle="miter"/>
            <v:imagedata r:id="rId288" o:title=""/>
            <o:lock v:ext="edit" aspectratio="t"/>
            <w10:wrap type="none"/>
            <w10:anchorlock/>
          </v:shape>
          <o:OLEObject Type="Embed" ProgID="Equation.DSMT4" ShapeID="_x0000_i1167" DrawAspect="Content" ObjectID="_1468075874" r:id="rId287">
            <o:LockedField>false</o:LockedField>
          </o:OLEObject>
        </w:object>
      </w:r>
      <w:r>
        <w:rPr>
          <w:sz w:val="28"/>
          <w:szCs w:val="28"/>
        </w:rPr>
        <w:tab/>
      </w:r>
      <w:r>
        <w:rPr>
          <w:sz w:val="28"/>
          <w:szCs w:val="28"/>
        </w:rPr>
        <w:t xml:space="preserve">                                 (11)</w:t>
      </w:r>
    </w:p>
    <w:p w14:paraId="0BADF690">
      <w:pPr>
        <w:pStyle w:val="37"/>
        <w:ind w:firstLine="0"/>
        <w:rPr>
          <w:sz w:val="28"/>
          <w:szCs w:val="28"/>
        </w:rPr>
      </w:pPr>
    </w:p>
    <w:p w14:paraId="2BD8B3EA">
      <w:pPr>
        <w:pStyle w:val="37"/>
        <w:ind w:firstLine="708"/>
        <w:rPr>
          <w:sz w:val="28"/>
          <w:szCs w:val="28"/>
        </w:rPr>
      </w:pPr>
      <w:r>
        <w:rPr>
          <w:sz w:val="28"/>
          <w:szCs w:val="28"/>
        </w:rPr>
        <w:t>В результате</w:t>
      </w:r>
      <w:r>
        <w:rPr>
          <w:i/>
          <w:sz w:val="28"/>
          <w:szCs w:val="28"/>
        </w:rPr>
        <w:t xml:space="preserve"> пассивы в балансе </w:t>
      </w:r>
      <w:r>
        <w:rPr>
          <w:rFonts w:eastAsia="Calibri"/>
          <w:i/>
          <w:sz w:val="28"/>
          <w:szCs w:val="28"/>
          <w:lang w:eastAsia="en-US"/>
        </w:rPr>
        <w:t xml:space="preserve">банков </w:t>
      </w:r>
      <w:r>
        <w:rPr>
          <w:rFonts w:eastAsia="Calibri"/>
          <w:i/>
          <w:position w:val="-6"/>
          <w:sz w:val="28"/>
          <w:szCs w:val="28"/>
          <w:lang w:eastAsia="en-US"/>
        </w:rPr>
        <w:object>
          <v:shape id="_x0000_i1168" o:spt="75" type="#_x0000_t75" style="height:11.25pt;width:9.75pt;" o:ole="t" filled="f" o:preferrelative="t" stroked="f" coordsize="21600,21600">
            <v:path/>
            <v:fill on="f" focussize="0,0"/>
            <v:stroke on="f" joinstyle="miter"/>
            <v:imagedata r:id="rId280" o:title=""/>
            <o:lock v:ext="edit" aspectratio="t"/>
            <w10:wrap type="none"/>
            <w10:anchorlock/>
          </v:shape>
          <o:OLEObject Type="Embed" ProgID="Equation.DSMT4" ShapeID="_x0000_i1168" DrawAspect="Content" ObjectID="_1468075875" r:id="rId289">
            <o:LockedField>false</o:LockedField>
          </o:OLEObject>
        </w:object>
      </w:r>
      <w:r>
        <w:rPr>
          <w:rFonts w:eastAsia="Calibri"/>
          <w:i/>
          <w:sz w:val="28"/>
          <w:szCs w:val="28"/>
          <w:lang w:eastAsia="en-US"/>
        </w:rPr>
        <w:t xml:space="preserve"> </w:t>
      </w:r>
      <w:r>
        <w:rPr>
          <w:i/>
          <w:sz w:val="28"/>
          <w:szCs w:val="28"/>
        </w:rPr>
        <w:t>уменьшаются на ту же величину, что и активы</w:t>
      </w:r>
      <w:r>
        <w:rPr>
          <w:sz w:val="28"/>
          <w:szCs w:val="28"/>
        </w:rPr>
        <w:t xml:space="preserve"> </w:t>
      </w:r>
    </w:p>
    <w:p w14:paraId="337ADFAE">
      <w:pPr>
        <w:pStyle w:val="37"/>
        <w:ind w:firstLine="0"/>
        <w:rPr>
          <w:sz w:val="28"/>
          <w:szCs w:val="28"/>
        </w:rPr>
      </w:pPr>
    </w:p>
    <w:p w14:paraId="0BE3D2DE">
      <w:pPr>
        <w:pStyle w:val="38"/>
        <w:spacing w:before="0" w:after="0"/>
        <w:rPr>
          <w:sz w:val="28"/>
          <w:szCs w:val="28"/>
        </w:rPr>
      </w:pPr>
      <w:r>
        <w:rPr>
          <w:sz w:val="28"/>
          <w:szCs w:val="28"/>
        </w:rPr>
        <w:tab/>
      </w:r>
      <w:r>
        <w:rPr>
          <w:sz w:val="28"/>
          <w:szCs w:val="28"/>
        </w:rPr>
        <w:t xml:space="preserve">                                   </w:t>
      </w:r>
      <w:r>
        <w:rPr>
          <w:position w:val="-12"/>
          <w:sz w:val="28"/>
          <w:szCs w:val="28"/>
        </w:rPr>
        <w:object>
          <v:shape id="_x0000_i1169" o:spt="75" type="#_x0000_t75" style="height:19.5pt;width:100.5pt;" o:ole="t" filled="f" o:preferrelative="t" stroked="f" coordsize="21600,21600">
            <v:path/>
            <v:fill on="f" focussize="0,0"/>
            <v:stroke on="f" joinstyle="miter"/>
            <v:imagedata r:id="rId291" o:title=""/>
            <o:lock v:ext="edit" aspectratio="t"/>
            <w10:wrap type="none"/>
            <w10:anchorlock/>
          </v:shape>
          <o:OLEObject Type="Embed" ProgID="Equation.DSMT4" ShapeID="_x0000_i1169" DrawAspect="Content" ObjectID="_1468075876" r:id="rId290">
            <o:LockedField>false</o:LockedField>
          </o:OLEObject>
        </w:object>
      </w:r>
      <w:r>
        <w:rPr>
          <w:sz w:val="28"/>
          <w:szCs w:val="28"/>
        </w:rPr>
        <w:tab/>
      </w:r>
      <w:r>
        <w:rPr>
          <w:sz w:val="28"/>
          <w:szCs w:val="28"/>
        </w:rPr>
        <w:t xml:space="preserve">                                      (12)</w:t>
      </w:r>
    </w:p>
    <w:p w14:paraId="3E1D56C4">
      <w:pPr>
        <w:pStyle w:val="37"/>
        <w:ind w:firstLine="0"/>
        <w:rPr>
          <w:sz w:val="28"/>
          <w:szCs w:val="28"/>
        </w:rPr>
      </w:pPr>
    </w:p>
    <w:p w14:paraId="069683AC">
      <w:pPr>
        <w:pStyle w:val="37"/>
        <w:rPr>
          <w:sz w:val="28"/>
          <w:szCs w:val="28"/>
        </w:rPr>
      </w:pPr>
      <w:r>
        <w:rPr>
          <w:sz w:val="28"/>
          <w:szCs w:val="28"/>
        </w:rPr>
        <w:t xml:space="preserve">Собственный капитал </w:t>
      </w:r>
      <w:r>
        <w:rPr>
          <w:position w:val="-6"/>
          <w:sz w:val="28"/>
          <w:szCs w:val="28"/>
        </w:rPr>
        <w:object>
          <v:shape id="_x0000_i1170" o:spt="75" type="#_x0000_t75" style="height:15.75pt;width:16.5pt;" o:ole="t" filled="f" o:preferrelative="t" stroked="f" coordsize="21600,21600">
            <v:path/>
            <v:fill on="f" focussize="0,0"/>
            <v:stroke on="f" joinstyle="miter"/>
            <v:imagedata r:id="rId293" o:title=""/>
            <o:lock v:ext="edit" aspectratio="t"/>
            <w10:wrap type="none"/>
            <w10:anchorlock/>
          </v:shape>
          <o:OLEObject Type="Embed" ProgID="Equation.DSMT4" ShapeID="_x0000_i1170" DrawAspect="Content" ObjectID="_1468075877" r:id="rId292">
            <o:LockedField>false</o:LockedField>
          </o:OLEObject>
        </w:object>
      </w:r>
      <w:r>
        <w:rPr>
          <w:sz w:val="28"/>
          <w:szCs w:val="28"/>
        </w:rPr>
        <w:t xml:space="preserve"> банков </w:t>
      </w:r>
      <w:r>
        <w:rPr>
          <w:position w:val="-6"/>
          <w:sz w:val="28"/>
          <w:szCs w:val="28"/>
        </w:rPr>
        <w:object>
          <v:shape id="_x0000_i1171" o:spt="75" type="#_x0000_t75" style="height:11.25pt;width:9.75pt;" o:ole="t" filled="f" o:preferrelative="t" stroked="f" coordsize="21600,21600">
            <v:path/>
            <v:fill on="f" focussize="0,0"/>
            <v:stroke on="f" joinstyle="miter"/>
            <v:imagedata r:id="rId79" o:title=""/>
            <o:lock v:ext="edit" aspectratio="t"/>
            <w10:wrap type="none"/>
            <w10:anchorlock/>
          </v:shape>
          <o:OLEObject Type="Embed" ProgID="Equation.DSMT4" ShapeID="_x0000_i1171" DrawAspect="Content" ObjectID="_1468075878" r:id="rId294">
            <o:LockedField>false</o:LockedField>
          </o:OLEObject>
        </w:object>
      </w:r>
      <w:r>
        <w:rPr>
          <w:sz w:val="28"/>
          <w:szCs w:val="28"/>
        </w:rPr>
        <w:t xml:space="preserve"> </w:t>
      </w:r>
      <w:r>
        <w:rPr>
          <w:rFonts w:eastAsia="Calibri"/>
          <w:sz w:val="28"/>
          <w:szCs w:val="28"/>
          <w:lang w:eastAsia="en-US"/>
        </w:rPr>
        <w:t xml:space="preserve">в момент времени </w:t>
      </w:r>
      <w:r>
        <w:rPr>
          <w:position w:val="-6"/>
          <w:sz w:val="28"/>
          <w:szCs w:val="28"/>
        </w:rPr>
        <w:object>
          <v:shape id="_x0000_i1172" o:spt="75" type="#_x0000_t75" style="height:12pt;width:24pt;" o:ole="t" filled="f" o:preferrelative="t" stroked="f" coordsize="21600,21600">
            <v:path/>
            <v:fill on="f" focussize="0,0"/>
            <v:stroke on="f" joinstyle="miter"/>
            <v:imagedata r:id="rId296" o:title=""/>
            <o:lock v:ext="edit" aspectratio="t"/>
            <w10:wrap type="none"/>
            <w10:anchorlock/>
          </v:shape>
          <o:OLEObject Type="Embed" ProgID="Equation.DSMT4" ShapeID="_x0000_i1172" DrawAspect="Content" ObjectID="_1468075879" r:id="rId295">
            <o:LockedField>false</o:LockedField>
          </o:OLEObject>
        </w:object>
      </w:r>
      <w:r>
        <w:rPr>
          <w:sz w:val="28"/>
          <w:szCs w:val="28"/>
        </w:rPr>
        <w:t xml:space="preserve"> прирастает за счет процентных платежей </w:t>
      </w:r>
      <w:r>
        <w:rPr>
          <w:position w:val="-4"/>
          <w:sz w:val="28"/>
          <w:szCs w:val="28"/>
        </w:rPr>
        <w:object>
          <v:shape id="_x0000_i1173" o:spt="75" type="#_x0000_t75" style="height:15pt;width:20.25pt;" o:ole="t" filled="f" o:preferrelative="t" stroked="f" coordsize="21600,21600">
            <v:path/>
            <v:fill on="f" focussize="0,0"/>
            <v:stroke on="f" joinstyle="miter"/>
            <v:imagedata r:id="rId298" o:title=""/>
            <o:lock v:ext="edit" aspectratio="t"/>
            <w10:wrap type="none"/>
            <w10:anchorlock/>
          </v:shape>
          <o:OLEObject Type="Embed" ProgID="Equation.DSMT4" ShapeID="_x0000_i1173" DrawAspect="Content" ObjectID="_1468075880" r:id="rId297">
            <o:LockedField>false</o:LockedField>
          </o:OLEObject>
        </w:object>
      </w:r>
      <w:r>
        <w:rPr>
          <w:sz w:val="28"/>
          <w:szCs w:val="28"/>
        </w:rPr>
        <w:t xml:space="preserve"> производителей </w:t>
      </w:r>
      <w:r>
        <w:rPr>
          <w:position w:val="-10"/>
          <w:sz w:val="28"/>
          <w:szCs w:val="28"/>
        </w:rPr>
        <w:object>
          <v:shape id="_x0000_i1174" o:spt="75" type="#_x0000_t75" style="height:13.5pt;width:11.25pt;" o:ole="t" filled="f" o:preferrelative="t" stroked="f" coordsize="21600,21600">
            <v:path/>
            <v:fill on="f" focussize="0,0"/>
            <v:stroke on="f" joinstyle="miter"/>
            <v:imagedata r:id="rId89" o:title=""/>
            <o:lock v:ext="edit" aspectratio="t"/>
            <w10:wrap type="none"/>
            <w10:anchorlock/>
          </v:shape>
          <o:OLEObject Type="Embed" ProgID="Equation.DSMT4" ShapeID="_x0000_i1174" DrawAspect="Content" ObjectID="_1468075881" r:id="rId299">
            <o:LockedField>false</o:LockedField>
          </o:OLEObject>
        </w:object>
      </w:r>
      <w:r>
        <w:rPr>
          <w:sz w:val="28"/>
          <w:szCs w:val="28"/>
        </w:rPr>
        <w:t xml:space="preserve"> банкам </w:t>
      </w:r>
      <w:r>
        <w:rPr>
          <w:position w:val="-6"/>
          <w:sz w:val="28"/>
          <w:szCs w:val="28"/>
        </w:rPr>
        <w:object>
          <v:shape id="_x0000_i1175" o:spt="75" type="#_x0000_t75" style="height:11.25pt;width:9.75pt;" o:ole="t" filled="f" o:preferrelative="t" stroked="f" coordsize="21600,21600">
            <v:path/>
            <v:fill on="f" focussize="0,0"/>
            <v:stroke on="f" joinstyle="miter"/>
            <v:imagedata r:id="rId79" o:title=""/>
            <o:lock v:ext="edit" aspectratio="t"/>
            <w10:wrap type="none"/>
            <w10:anchorlock/>
          </v:shape>
          <o:OLEObject Type="Embed" ProgID="Equation.DSMT4" ShapeID="_x0000_i1175" DrawAspect="Content" ObjectID="_1468075882" r:id="rId300">
            <o:LockedField>false</o:LockedField>
          </o:OLEObject>
        </w:object>
      </w:r>
      <w:r>
        <w:rPr>
          <w:sz w:val="28"/>
          <w:szCs w:val="28"/>
        </w:rPr>
        <w:t xml:space="preserve">, а убывает за счет процентных платежей </w:t>
      </w:r>
      <w:r>
        <w:rPr>
          <w:position w:val="-4"/>
          <w:sz w:val="28"/>
          <w:szCs w:val="28"/>
        </w:rPr>
        <w:object>
          <v:shape id="_x0000_i1176" o:spt="75" type="#_x0000_t75" style="height:15pt;width:19.5pt;" o:ole="t" filled="f" o:preferrelative="t" stroked="f" coordsize="21600,21600">
            <v:path/>
            <v:fill on="f" focussize="0,0"/>
            <v:stroke on="f" joinstyle="miter"/>
            <v:imagedata r:id="rId302" o:title=""/>
            <o:lock v:ext="edit" aspectratio="t"/>
            <w10:wrap type="none"/>
            <w10:anchorlock/>
          </v:shape>
          <o:OLEObject Type="Embed" ProgID="Equation.DSMT4" ShapeID="_x0000_i1176" DrawAspect="Content" ObjectID="_1468075883" r:id="rId301">
            <o:LockedField>false</o:LockedField>
          </o:OLEObject>
        </w:object>
      </w:r>
      <w:r>
        <w:rPr>
          <w:sz w:val="28"/>
          <w:szCs w:val="28"/>
        </w:rPr>
        <w:t xml:space="preserve"> банков </w:t>
      </w:r>
      <w:r>
        <w:rPr>
          <w:position w:val="-6"/>
          <w:sz w:val="28"/>
          <w:szCs w:val="28"/>
        </w:rPr>
        <w:object>
          <v:shape id="_x0000_i1177" o:spt="75" type="#_x0000_t75" style="height:11.25pt;width:9.75pt;" o:ole="t" filled="f" o:preferrelative="t" stroked="f" coordsize="21600,21600">
            <v:path/>
            <v:fill on="f" focussize="0,0"/>
            <v:stroke on="f" joinstyle="miter"/>
            <v:imagedata r:id="rId79" o:title=""/>
            <o:lock v:ext="edit" aspectratio="t"/>
            <w10:wrap type="none"/>
            <w10:anchorlock/>
          </v:shape>
          <o:OLEObject Type="Embed" ProgID="Equation.DSMT4" ShapeID="_x0000_i1177" DrawAspect="Content" ObjectID="_1468075884" r:id="rId303">
            <o:LockedField>false</o:LockedField>
          </o:OLEObject>
        </w:object>
      </w:r>
      <w:r>
        <w:rPr>
          <w:sz w:val="28"/>
          <w:szCs w:val="28"/>
        </w:rPr>
        <w:t xml:space="preserve"> по депозитам домашних хозяйств </w:t>
      </w:r>
      <w:r>
        <w:rPr>
          <w:position w:val="-6"/>
          <w:sz w:val="28"/>
          <w:szCs w:val="28"/>
        </w:rPr>
        <w:object>
          <v:shape id="_x0000_i1178" o:spt="75" type="#_x0000_t75" style="height:13.5pt;width:9.75pt;" o:ole="t" filled="f" o:preferrelative="t" stroked="f" coordsize="21600,21600">
            <v:path/>
            <v:fill on="f" focussize="0,0"/>
            <v:stroke on="f" joinstyle="miter"/>
            <v:imagedata r:id="rId305" o:title=""/>
            <o:lock v:ext="edit" aspectratio="t"/>
            <w10:wrap type="none"/>
            <w10:anchorlock/>
          </v:shape>
          <o:OLEObject Type="Embed" ProgID="Equation.DSMT4" ShapeID="_x0000_i1178" DrawAspect="Content" ObjectID="_1468075885" r:id="rId304">
            <o:LockedField>false</o:LockedField>
          </o:OLEObject>
        </w:object>
      </w:r>
      <w:r>
        <w:rPr>
          <w:sz w:val="28"/>
          <w:szCs w:val="28"/>
        </w:rPr>
        <w:t xml:space="preserve">, процентных платежей </w:t>
      </w:r>
      <w:r>
        <w:rPr>
          <w:position w:val="-4"/>
          <w:sz w:val="28"/>
          <w:szCs w:val="28"/>
        </w:rPr>
        <w:object>
          <v:shape id="_x0000_i1179" o:spt="75" type="#_x0000_t75" style="height:15pt;width:19.5pt;" o:ole="t" filled="f" o:preferrelative="t" stroked="f" coordsize="21600,21600">
            <v:path/>
            <v:fill on="f" focussize="0,0"/>
            <v:stroke on="f" joinstyle="miter"/>
            <v:imagedata r:id="rId307" o:title=""/>
            <o:lock v:ext="edit" aspectratio="t"/>
            <w10:wrap type="none"/>
            <w10:anchorlock/>
          </v:shape>
          <o:OLEObject Type="Embed" ProgID="Equation.DSMT4" ShapeID="_x0000_i1179" DrawAspect="Content" ObjectID="_1468075886" r:id="rId306">
            <o:LockedField>false</o:LockedField>
          </o:OLEObject>
        </w:object>
      </w:r>
      <w:r>
        <w:rPr>
          <w:sz w:val="28"/>
          <w:szCs w:val="28"/>
        </w:rPr>
        <w:t xml:space="preserve"> банков </w:t>
      </w:r>
      <w:r>
        <w:rPr>
          <w:position w:val="-6"/>
          <w:sz w:val="28"/>
          <w:szCs w:val="28"/>
        </w:rPr>
        <w:object>
          <v:shape id="_x0000_i1180" o:spt="75" type="#_x0000_t75" style="height:11.25pt;width:9.75pt;" o:ole="t" filled="f" o:preferrelative="t" stroked="f" coordsize="21600,21600">
            <v:path/>
            <v:fill on="f" focussize="0,0"/>
            <v:stroke on="f" joinstyle="miter"/>
            <v:imagedata r:id="rId79" o:title=""/>
            <o:lock v:ext="edit" aspectratio="t"/>
            <w10:wrap type="none"/>
            <w10:anchorlock/>
          </v:shape>
          <o:OLEObject Type="Embed" ProgID="Equation.DSMT4" ShapeID="_x0000_i1180" DrawAspect="Content" ObjectID="_1468075887" r:id="rId308">
            <o:LockedField>false</o:LockedField>
          </o:OLEObject>
        </w:object>
      </w:r>
      <w:r>
        <w:rPr>
          <w:sz w:val="28"/>
          <w:szCs w:val="28"/>
        </w:rPr>
        <w:t xml:space="preserve"> по ссудам центробанка </w:t>
      </w:r>
      <w:r>
        <w:rPr>
          <w:position w:val="-6"/>
          <w:sz w:val="28"/>
          <w:szCs w:val="28"/>
        </w:rPr>
        <w:object>
          <v:shape id="_x0000_i1181" o:spt="75" type="#_x0000_t75" style="height:11.25pt;width:9pt;" o:ole="t" filled="f" o:preferrelative="t" stroked="f" coordsize="21600,21600">
            <v:path/>
            <v:fill on="f" focussize="0,0"/>
            <v:stroke on="f" joinstyle="miter"/>
            <v:imagedata r:id="rId310" o:title=""/>
            <o:lock v:ext="edit" aspectratio="t"/>
            <w10:wrap type="none"/>
            <w10:anchorlock/>
          </v:shape>
          <o:OLEObject Type="Embed" ProgID="Equation.DSMT4" ShapeID="_x0000_i1181" DrawAspect="Content" ObjectID="_1468075888" r:id="rId309">
            <o:LockedField>false</o:LockedField>
          </o:OLEObject>
        </w:object>
      </w:r>
      <w:r>
        <w:rPr>
          <w:sz w:val="28"/>
          <w:szCs w:val="28"/>
        </w:rPr>
        <w:t xml:space="preserve"> (по учетной ставке), а также за счет выплат дивидендов </w:t>
      </w:r>
      <w:r>
        <w:rPr>
          <w:position w:val="-4"/>
          <w:sz w:val="28"/>
          <w:szCs w:val="28"/>
        </w:rPr>
        <w:object>
          <v:shape id="_x0000_i1182" o:spt="75" type="#_x0000_t75" style="height:15pt;width:19.5pt;" o:ole="t" filled="f" o:preferrelative="t" stroked="f" coordsize="21600,21600">
            <v:path/>
            <v:fill on="f" focussize="0,0"/>
            <v:stroke on="f" joinstyle="miter"/>
            <v:imagedata r:id="rId312" o:title=""/>
            <o:lock v:ext="edit" aspectratio="t"/>
            <w10:wrap type="none"/>
            <w10:anchorlock/>
          </v:shape>
          <o:OLEObject Type="Embed" ProgID="Equation.DSMT4" ShapeID="_x0000_i1182" DrawAspect="Content" ObjectID="_1468075889" r:id="rId311">
            <o:LockedField>false</o:LockedField>
          </o:OLEObject>
        </w:object>
      </w:r>
      <w:r>
        <w:rPr>
          <w:sz w:val="28"/>
          <w:szCs w:val="28"/>
        </w:rPr>
        <w:t xml:space="preserve"> домашним хозяйствам (владельцам коммерческих банков </w:t>
      </w:r>
      <w:r>
        <w:rPr>
          <w:position w:val="-6"/>
          <w:sz w:val="28"/>
          <w:szCs w:val="28"/>
        </w:rPr>
        <w:object>
          <v:shape id="_x0000_i1183" o:spt="75" type="#_x0000_t75" style="height:11.25pt;width:9.75pt;" o:ole="t" filled="f" o:preferrelative="t" stroked="f" coordsize="21600,21600">
            <v:path/>
            <v:fill on="f" focussize="0,0"/>
            <v:stroke on="f" joinstyle="miter"/>
            <v:imagedata r:id="rId79" o:title=""/>
            <o:lock v:ext="edit" aspectratio="t"/>
            <w10:wrap type="none"/>
            <w10:anchorlock/>
          </v:shape>
          <o:OLEObject Type="Embed" ProgID="Equation.DSMT4" ShapeID="_x0000_i1183" DrawAspect="Content" ObjectID="_1468075890" r:id="rId313">
            <o:LockedField>false</o:LockedField>
          </o:OLEObject>
        </w:object>
      </w:r>
      <w:r>
        <w:rPr>
          <w:sz w:val="28"/>
          <w:szCs w:val="28"/>
        </w:rPr>
        <w:t>):</w:t>
      </w:r>
    </w:p>
    <w:p w14:paraId="57460CD7">
      <w:pPr>
        <w:pStyle w:val="37"/>
        <w:ind w:firstLine="0"/>
        <w:rPr>
          <w:sz w:val="28"/>
          <w:szCs w:val="28"/>
        </w:rPr>
      </w:pPr>
    </w:p>
    <w:p w14:paraId="35676627">
      <w:pPr>
        <w:pStyle w:val="38"/>
        <w:spacing w:before="0" w:after="0"/>
        <w:rPr>
          <w:sz w:val="28"/>
          <w:szCs w:val="28"/>
        </w:rPr>
      </w:pPr>
      <w:r>
        <w:rPr>
          <w:sz w:val="28"/>
          <w:szCs w:val="28"/>
        </w:rPr>
        <w:tab/>
      </w:r>
      <w:r>
        <w:rPr>
          <w:sz w:val="28"/>
          <w:szCs w:val="28"/>
        </w:rPr>
        <w:t xml:space="preserve">                     </w:t>
      </w:r>
      <w:r>
        <w:rPr>
          <w:position w:val="-14"/>
          <w:sz w:val="28"/>
          <w:szCs w:val="28"/>
        </w:rPr>
        <w:object>
          <v:shape id="_x0000_i1184" o:spt="75" type="#_x0000_t75" style="height:20.25pt;width:325.5pt;" o:ole="t" filled="f" o:preferrelative="t" stroked="f" coordsize="21600,21600">
            <v:path/>
            <v:fill on="f" focussize="0,0"/>
            <v:stroke on="f" joinstyle="miter"/>
            <v:imagedata r:id="rId315" o:title=""/>
            <o:lock v:ext="edit" aspectratio="t"/>
            <w10:wrap type="none"/>
            <w10:anchorlock/>
          </v:shape>
          <o:OLEObject Type="Embed" ProgID="Equation.DSMT4" ShapeID="_x0000_i1184" DrawAspect="Content" ObjectID="_1468075891" r:id="rId314">
            <o:LockedField>false</o:LockedField>
          </o:OLEObject>
        </w:object>
      </w:r>
      <w:r>
        <w:rPr>
          <w:sz w:val="28"/>
          <w:szCs w:val="28"/>
        </w:rPr>
        <w:tab/>
      </w:r>
      <w:r>
        <w:rPr>
          <w:sz w:val="28"/>
          <w:szCs w:val="28"/>
        </w:rPr>
        <w:t>(13)</w:t>
      </w:r>
    </w:p>
    <w:p w14:paraId="5AC6BC09">
      <w:pPr>
        <w:pStyle w:val="37"/>
        <w:ind w:firstLine="0"/>
        <w:rPr>
          <w:sz w:val="28"/>
          <w:szCs w:val="28"/>
        </w:rPr>
      </w:pPr>
    </w:p>
    <w:p w14:paraId="15288541">
      <w:pPr>
        <w:pStyle w:val="37"/>
        <w:ind w:firstLine="708"/>
        <w:rPr>
          <w:sz w:val="28"/>
          <w:szCs w:val="28"/>
        </w:rPr>
      </w:pPr>
      <w:r>
        <w:rPr>
          <w:sz w:val="28"/>
          <w:szCs w:val="28"/>
        </w:rPr>
        <w:t xml:space="preserve">Здесь процентные платежи банков </w:t>
      </w:r>
      <w:r>
        <w:rPr>
          <w:position w:val="-6"/>
          <w:sz w:val="28"/>
          <w:szCs w:val="28"/>
        </w:rPr>
        <w:object>
          <v:shape id="_x0000_i1185" o:spt="75" type="#_x0000_t75" style="height:11.25pt;width:9.75pt;" o:ole="t" filled="f" o:preferrelative="t" stroked="f" coordsize="21600,21600">
            <v:path/>
            <v:fill on="f" focussize="0,0"/>
            <v:stroke on="f" joinstyle="miter"/>
            <v:imagedata r:id="rId79" o:title=""/>
            <o:lock v:ext="edit" aspectratio="t"/>
            <w10:wrap type="none"/>
            <w10:anchorlock/>
          </v:shape>
          <o:OLEObject Type="Embed" ProgID="Equation.DSMT4" ShapeID="_x0000_i1185" DrawAspect="Content" ObjectID="_1468075892" r:id="rId316">
            <o:LockedField>false</o:LockedField>
          </o:OLEObject>
        </w:object>
      </w:r>
      <w:r>
        <w:rPr>
          <w:sz w:val="28"/>
          <w:szCs w:val="28"/>
        </w:rPr>
        <w:t xml:space="preserve"> по кредитам центробанка </w:t>
      </w:r>
      <w:r>
        <w:rPr>
          <w:position w:val="-6"/>
          <w:sz w:val="28"/>
          <w:szCs w:val="28"/>
        </w:rPr>
        <w:object>
          <v:shape id="_x0000_i1186" o:spt="75" type="#_x0000_t75" style="height:11.25pt;width:9pt;" o:ole="t" filled="f" o:preferrelative="t" stroked="f" coordsize="21600,21600">
            <v:path/>
            <v:fill on="f" focussize="0,0"/>
            <v:stroke on="f" joinstyle="miter"/>
            <v:imagedata r:id="rId310" o:title=""/>
            <o:lock v:ext="edit" aspectratio="t"/>
            <w10:wrap type="none"/>
            <w10:anchorlock/>
          </v:shape>
          <o:OLEObject Type="Embed" ProgID="Equation.DSMT4" ShapeID="_x0000_i1186" DrawAspect="Content" ObjectID="_1468075893" r:id="rId317">
            <o:LockedField>false</o:LockedField>
          </o:OLEObject>
        </w:object>
      </w:r>
      <w:r>
        <w:rPr>
          <w:sz w:val="28"/>
          <w:szCs w:val="28"/>
        </w:rPr>
        <w:t xml:space="preserve"> по учетной ставке </w:t>
      </w:r>
      <w:r>
        <w:rPr>
          <w:position w:val="-12"/>
          <w:sz w:val="28"/>
          <w:szCs w:val="28"/>
        </w:rPr>
        <w:object>
          <v:shape id="_x0000_i1187" o:spt="75" type="#_x0000_t75" style="height:18.75pt;width:11.25pt;" o:ole="t" filled="f" o:preferrelative="t" stroked="f" coordsize="21600,21600">
            <v:path/>
            <v:fill on="f" focussize="0,0"/>
            <v:stroke on="f" joinstyle="miter"/>
            <v:imagedata r:id="rId319" o:title=""/>
            <o:lock v:ext="edit" aspectratio="t"/>
            <w10:wrap type="none"/>
            <w10:anchorlock/>
          </v:shape>
          <o:OLEObject Type="Embed" ProgID="Equation.DSMT4" ShapeID="_x0000_i1187" DrawAspect="Content" ObjectID="_1468075894" r:id="rId318">
            <o:LockedField>false</o:LockedField>
          </o:OLEObject>
        </w:object>
      </w:r>
      <w:r>
        <w:rPr>
          <w:sz w:val="28"/>
          <w:szCs w:val="28"/>
        </w:rPr>
        <w:t xml:space="preserve"> составят величину </w:t>
      </w:r>
    </w:p>
    <w:p w14:paraId="4E8CDC3D">
      <w:pPr>
        <w:pStyle w:val="37"/>
        <w:ind w:firstLine="0"/>
        <w:rPr>
          <w:sz w:val="28"/>
          <w:szCs w:val="28"/>
        </w:rPr>
      </w:pPr>
    </w:p>
    <w:p w14:paraId="0CE9F0E5">
      <w:pPr>
        <w:pStyle w:val="38"/>
        <w:spacing w:before="0" w:after="0"/>
        <w:rPr>
          <w:sz w:val="28"/>
          <w:szCs w:val="28"/>
        </w:rPr>
      </w:pPr>
      <w:r>
        <w:rPr>
          <w:sz w:val="28"/>
          <w:szCs w:val="28"/>
        </w:rPr>
        <w:tab/>
      </w:r>
      <w:r>
        <w:rPr>
          <w:sz w:val="28"/>
          <w:szCs w:val="28"/>
        </w:rPr>
        <w:t xml:space="preserve">                                            </w:t>
      </w:r>
      <w:r>
        <w:rPr>
          <w:position w:val="-14"/>
          <w:sz w:val="28"/>
          <w:szCs w:val="28"/>
        </w:rPr>
        <w:object>
          <v:shape id="_x0000_i1188" o:spt="75" type="#_x0000_t75" style="height:20.25pt;width:118.5pt;" o:ole="t" filled="f" o:preferrelative="t" stroked="f" coordsize="21600,21600">
            <v:path/>
            <v:fill on="f" focussize="0,0"/>
            <v:stroke on="f" joinstyle="miter"/>
            <v:imagedata r:id="rId321" o:title=""/>
            <o:lock v:ext="edit" aspectratio="t"/>
            <w10:wrap type="none"/>
            <w10:anchorlock/>
          </v:shape>
          <o:OLEObject Type="Embed" ProgID="Equation.DSMT4" ShapeID="_x0000_i1188" DrawAspect="Content" ObjectID="_1468075895" r:id="rId320">
            <o:LockedField>false</o:LockedField>
          </o:OLEObject>
        </w:object>
      </w:r>
      <w:r>
        <w:rPr>
          <w:sz w:val="28"/>
          <w:szCs w:val="28"/>
        </w:rPr>
        <w:tab/>
      </w:r>
      <w:r>
        <w:rPr>
          <w:sz w:val="28"/>
          <w:szCs w:val="28"/>
        </w:rPr>
        <w:t xml:space="preserve">                                  (14)</w:t>
      </w:r>
    </w:p>
    <w:p w14:paraId="05CB47C7">
      <w:pPr>
        <w:pStyle w:val="37"/>
        <w:ind w:firstLine="0"/>
        <w:rPr>
          <w:sz w:val="28"/>
          <w:szCs w:val="28"/>
        </w:rPr>
      </w:pPr>
    </w:p>
    <w:p w14:paraId="628D54D0">
      <w:pPr>
        <w:pStyle w:val="37"/>
        <w:ind w:firstLine="708"/>
        <w:rPr>
          <w:sz w:val="28"/>
          <w:szCs w:val="28"/>
        </w:rPr>
      </w:pPr>
      <w:r>
        <w:rPr>
          <w:sz w:val="28"/>
          <w:szCs w:val="28"/>
        </w:rPr>
        <w:t xml:space="preserve">Процентные платежи производителей </w:t>
      </w:r>
      <w:r>
        <w:rPr>
          <w:position w:val="-10"/>
          <w:sz w:val="28"/>
          <w:szCs w:val="28"/>
        </w:rPr>
        <w:object>
          <v:shape id="_x0000_i1189" o:spt="75" type="#_x0000_t75" style="height:13.5pt;width:11.25pt;" o:ole="t" filled="f" o:preferrelative="t" stroked="f" coordsize="21600,21600">
            <v:path/>
            <v:fill on="f" focussize="0,0"/>
            <v:stroke on="f" joinstyle="miter"/>
            <v:imagedata r:id="rId323" o:title=""/>
            <o:lock v:ext="edit" aspectratio="t"/>
            <w10:wrap type="none"/>
            <w10:anchorlock/>
          </v:shape>
          <o:OLEObject Type="Embed" ProgID="Equation.DSMT4" ShapeID="_x0000_i1189" DrawAspect="Content" ObjectID="_1468075896" r:id="rId322">
            <o:LockedField>false</o:LockedField>
          </o:OLEObject>
        </w:object>
      </w:r>
      <w:r>
        <w:rPr>
          <w:sz w:val="28"/>
          <w:szCs w:val="28"/>
        </w:rPr>
        <w:t xml:space="preserve"> банкам </w:t>
      </w:r>
      <w:r>
        <w:rPr>
          <w:position w:val="-6"/>
          <w:sz w:val="28"/>
          <w:szCs w:val="28"/>
        </w:rPr>
        <w:object>
          <v:shape id="_x0000_i1190" o:spt="75" type="#_x0000_t75" style="height:11.25pt;width:9.75pt;" o:ole="t" filled="f" o:preferrelative="t" stroked="f" coordsize="21600,21600">
            <v:path/>
            <v:fill on="f" focussize="0,0"/>
            <v:stroke on="f" joinstyle="miter"/>
            <v:imagedata r:id="rId79" o:title=""/>
            <o:lock v:ext="edit" aspectratio="t"/>
            <w10:wrap type="none"/>
            <w10:anchorlock/>
          </v:shape>
          <o:OLEObject Type="Embed" ProgID="Equation.DSMT4" ShapeID="_x0000_i1190" DrawAspect="Content" ObjectID="_1468075897" r:id="rId324">
            <o:LockedField>false</o:LockedField>
          </o:OLEObject>
        </w:object>
      </w:r>
      <w:r>
        <w:rPr>
          <w:sz w:val="28"/>
          <w:szCs w:val="28"/>
        </w:rPr>
        <w:t xml:space="preserve"> по ставке процента </w:t>
      </w:r>
      <w:r>
        <w:rPr>
          <w:position w:val="-12"/>
          <w:sz w:val="28"/>
          <w:szCs w:val="28"/>
        </w:rPr>
        <w:object>
          <v:shape id="_x0000_i1191" o:spt="75" type="#_x0000_t75" style="height:18.75pt;width:9.75pt;" o:ole="t" filled="f" o:preferrelative="t" stroked="f" coordsize="21600,21600">
            <v:path/>
            <v:fill on="f" focussize="0,0"/>
            <v:stroke on="f" joinstyle="miter"/>
            <v:imagedata r:id="rId326" o:title=""/>
            <o:lock v:ext="edit" aspectratio="t"/>
            <w10:wrap type="none"/>
            <w10:anchorlock/>
          </v:shape>
          <o:OLEObject Type="Embed" ProgID="Equation.DSMT4" ShapeID="_x0000_i1191" DrawAspect="Content" ObjectID="_1468075898" r:id="rId325">
            <o:LockedField>false</o:LockedField>
          </o:OLEObject>
        </w:object>
      </w:r>
      <w:r>
        <w:rPr>
          <w:sz w:val="28"/>
          <w:szCs w:val="28"/>
        </w:rPr>
        <w:t xml:space="preserve"> за старые кредиты </w:t>
      </w:r>
      <w:r>
        <w:rPr>
          <w:position w:val="-14"/>
          <w:sz w:val="28"/>
          <w:szCs w:val="28"/>
        </w:rPr>
        <w:object>
          <v:shape id="_x0000_i1192" o:spt="75" type="#_x0000_t75" style="height:19.5pt;width:49.5pt;" o:ole="t" filled="f" o:preferrelative="t" stroked="f" coordsize="21600,21600">
            <v:path/>
            <v:fill on="f" focussize="0,0"/>
            <v:stroke on="f" joinstyle="miter"/>
            <v:imagedata r:id="rId328" o:title=""/>
            <o:lock v:ext="edit" aspectratio="t"/>
            <w10:wrap type="none"/>
            <w10:anchorlock/>
          </v:shape>
          <o:OLEObject Type="Embed" ProgID="Equation.DSMT4" ShapeID="_x0000_i1192" DrawAspect="Content" ObjectID="_1468075899" r:id="rId327">
            <o:LockedField>false</o:LockedField>
          </o:OLEObject>
        </w:object>
      </w:r>
      <w:r>
        <w:rPr>
          <w:sz w:val="28"/>
          <w:szCs w:val="28"/>
        </w:rPr>
        <w:t xml:space="preserve"> составят величину </w:t>
      </w:r>
    </w:p>
    <w:p w14:paraId="62FBA041">
      <w:pPr>
        <w:pStyle w:val="37"/>
        <w:ind w:firstLine="0"/>
        <w:rPr>
          <w:sz w:val="28"/>
          <w:szCs w:val="28"/>
        </w:rPr>
      </w:pPr>
      <w:r>
        <w:rPr>
          <w:sz w:val="28"/>
          <w:szCs w:val="28"/>
        </w:rPr>
        <w:t xml:space="preserve"> </w:t>
      </w:r>
    </w:p>
    <w:p w14:paraId="6A3FBEA5">
      <w:pPr>
        <w:pStyle w:val="38"/>
        <w:spacing w:before="0" w:after="0"/>
        <w:rPr>
          <w:sz w:val="28"/>
          <w:szCs w:val="28"/>
        </w:rPr>
      </w:pPr>
      <w:r>
        <w:rPr>
          <w:sz w:val="28"/>
          <w:szCs w:val="28"/>
        </w:rPr>
        <w:tab/>
      </w:r>
      <w:r>
        <w:rPr>
          <w:sz w:val="28"/>
          <w:szCs w:val="28"/>
        </w:rPr>
        <w:t xml:space="preserve">                           </w:t>
      </w:r>
      <w:r>
        <w:rPr>
          <w:position w:val="-14"/>
          <w:sz w:val="28"/>
          <w:szCs w:val="28"/>
        </w:rPr>
        <w:object>
          <v:shape id="_x0000_i1193" o:spt="75" type="#_x0000_t75" style="height:20.25pt;width:177.75pt;" o:ole="t" filled="f" o:preferrelative="t" stroked="f" coordsize="21600,21600">
            <v:path/>
            <v:fill on="f" focussize="0,0"/>
            <v:stroke on="f" joinstyle="miter"/>
            <v:imagedata r:id="rId330" o:title=""/>
            <o:lock v:ext="edit" aspectratio="t"/>
            <w10:wrap type="none"/>
            <w10:anchorlock/>
          </v:shape>
          <o:OLEObject Type="Embed" ProgID="Equation.DSMT4" ShapeID="_x0000_i1193" DrawAspect="Content" ObjectID="_1468075900" r:id="rId329">
            <o:LockedField>false</o:LockedField>
          </o:OLEObject>
        </w:object>
      </w:r>
      <w:r>
        <w:rPr>
          <w:sz w:val="28"/>
          <w:szCs w:val="28"/>
        </w:rPr>
        <w:tab/>
      </w:r>
      <w:r>
        <w:rPr>
          <w:sz w:val="28"/>
          <w:szCs w:val="28"/>
        </w:rPr>
        <w:t xml:space="preserve">                                  (15)</w:t>
      </w:r>
    </w:p>
    <w:p w14:paraId="2A81A266">
      <w:pPr>
        <w:pStyle w:val="37"/>
        <w:ind w:firstLine="0"/>
        <w:rPr>
          <w:sz w:val="28"/>
          <w:szCs w:val="28"/>
        </w:rPr>
      </w:pPr>
    </w:p>
    <w:p w14:paraId="4A3FF075">
      <w:pPr>
        <w:pStyle w:val="37"/>
        <w:ind w:firstLine="0"/>
        <w:rPr>
          <w:sz w:val="28"/>
          <w:szCs w:val="28"/>
        </w:rPr>
      </w:pPr>
      <w:r>
        <w:rPr>
          <w:sz w:val="28"/>
          <w:szCs w:val="28"/>
        </w:rPr>
        <w:t xml:space="preserve">где ожидаемая доля беспроблемных кредитов определяется долей, оставшихся после образования банка </w:t>
      </w:r>
      <w:r>
        <w:rPr>
          <w:position w:val="-6"/>
          <w:sz w:val="28"/>
          <w:szCs w:val="28"/>
        </w:rPr>
        <w:object>
          <v:shape id="_x0000_i1194" o:spt="75" type="#_x0000_t75" style="height:14.25pt;width:9.75pt;" o:ole="t" filled="f" o:preferrelative="t" stroked="f" coordsize="21600,21600">
            <v:path/>
            <v:fill on="f" focussize="0,0"/>
            <v:stroke on="f" joinstyle="miter"/>
            <v:imagedata r:id="rId332" o:title=""/>
            <o:lock v:ext="edit" aspectratio="t"/>
            <w10:wrap type="none"/>
            <w10:anchorlock/>
          </v:shape>
          <o:OLEObject Type="Embed" ProgID="Equation.DSMT4" ShapeID="_x0000_i1194" DrawAspect="Content" ObjectID="_1468075901" r:id="rId331">
            <o:LockedField>false</o:LockedField>
          </o:OLEObject>
        </w:object>
      </w:r>
      <w:r>
        <w:rPr>
          <w:sz w:val="28"/>
          <w:szCs w:val="28"/>
        </w:rPr>
        <w:t xml:space="preserve"> проблемных активов</w:t>
      </w:r>
    </w:p>
    <w:p w14:paraId="11F88456">
      <w:pPr>
        <w:pStyle w:val="37"/>
        <w:ind w:firstLine="0"/>
        <w:rPr>
          <w:sz w:val="28"/>
          <w:szCs w:val="28"/>
        </w:rPr>
      </w:pPr>
    </w:p>
    <w:p w14:paraId="05F983D4">
      <w:pPr>
        <w:pStyle w:val="38"/>
        <w:spacing w:before="0" w:after="0"/>
        <w:rPr>
          <w:sz w:val="28"/>
          <w:szCs w:val="28"/>
        </w:rPr>
      </w:pPr>
      <w:r>
        <w:rPr>
          <w:sz w:val="28"/>
          <w:szCs w:val="28"/>
        </w:rPr>
        <w:tab/>
      </w:r>
      <w:r>
        <w:rPr>
          <w:sz w:val="28"/>
          <w:szCs w:val="28"/>
        </w:rPr>
        <w:t xml:space="preserve">                  </w:t>
      </w:r>
      <w:r>
        <w:rPr>
          <w:position w:val="-14"/>
          <w:sz w:val="28"/>
          <w:szCs w:val="28"/>
        </w:rPr>
        <w:object>
          <v:shape id="_x0000_i1195" o:spt="75" type="#_x0000_t75" style="height:19.5pt;width:136.5pt;" o:ole="t" filled="f" o:preferrelative="t" stroked="f" coordsize="21600,21600">
            <v:path/>
            <v:fill on="f" focussize="0,0"/>
            <v:stroke on="f" joinstyle="miter"/>
            <v:imagedata r:id="rId334" o:title=""/>
            <o:lock v:ext="edit" aspectratio="t"/>
            <w10:wrap type="none"/>
            <w10:anchorlock/>
          </v:shape>
          <o:OLEObject Type="Embed" ProgID="Equation.DSMT4" ShapeID="_x0000_i1195" DrawAspect="Content" ObjectID="_1468075902" r:id="rId333">
            <o:LockedField>false</o:LockedField>
          </o:OLEObject>
        </w:object>
      </w:r>
      <w:r>
        <w:rPr>
          <w:sz w:val="28"/>
          <w:szCs w:val="28"/>
        </w:rPr>
        <w:tab/>
      </w:r>
      <w:r>
        <w:rPr>
          <w:sz w:val="28"/>
          <w:szCs w:val="28"/>
        </w:rPr>
        <w:t xml:space="preserve">                                            (16)</w:t>
      </w:r>
    </w:p>
    <w:p w14:paraId="5043126A">
      <w:pPr>
        <w:pStyle w:val="37"/>
        <w:ind w:firstLine="0"/>
        <w:rPr>
          <w:sz w:val="28"/>
          <w:szCs w:val="28"/>
        </w:rPr>
      </w:pPr>
    </w:p>
    <w:p w14:paraId="38264167">
      <w:pPr>
        <w:pStyle w:val="37"/>
        <w:ind w:firstLine="0"/>
        <w:rPr>
          <w:sz w:val="28"/>
          <w:szCs w:val="28"/>
        </w:rPr>
      </w:pPr>
      <w:r>
        <w:rPr>
          <w:sz w:val="28"/>
          <w:szCs w:val="28"/>
        </w:rPr>
        <w:t xml:space="preserve">если новых проблемных кредитов не появится. В таком случае в момент времени </w:t>
      </w:r>
      <w:r>
        <w:rPr>
          <w:position w:val="-6"/>
          <w:sz w:val="28"/>
          <w:szCs w:val="28"/>
        </w:rPr>
        <w:object>
          <v:shape id="_x0000_i1196" o:spt="75" type="#_x0000_t75" style="height:12pt;width:24pt;" o:ole="t" filled="f" o:preferrelative="t" stroked="f" coordsize="21600,21600">
            <v:path/>
            <v:fill on="f" focussize="0,0"/>
            <v:stroke on="f" joinstyle="miter"/>
            <v:imagedata r:id="rId296" o:title=""/>
            <o:lock v:ext="edit" aspectratio="t"/>
            <w10:wrap type="none"/>
            <w10:anchorlock/>
          </v:shape>
          <o:OLEObject Type="Embed" ProgID="Equation.DSMT4" ShapeID="_x0000_i1196" DrawAspect="Content" ObjectID="_1468075903" r:id="rId335">
            <o:LockedField>false</o:LockedField>
          </o:OLEObject>
        </w:object>
      </w:r>
      <w:r>
        <w:rPr>
          <w:sz w:val="28"/>
          <w:szCs w:val="28"/>
        </w:rPr>
        <w:t xml:space="preserve"> величина </w:t>
      </w:r>
      <w:r>
        <w:rPr>
          <w:position w:val="-6"/>
          <w:sz w:val="28"/>
          <w:szCs w:val="28"/>
        </w:rPr>
        <w:object>
          <v:shape id="_x0000_i1197" o:spt="75" type="#_x0000_t75" style="height:13.5pt;width:10.5pt;" o:ole="t" filled="f" o:preferrelative="t" stroked="f" coordsize="21600,21600">
            <v:path/>
            <v:fill on="f" focussize="0,0"/>
            <v:stroke on="f" joinstyle="miter"/>
            <v:imagedata r:id="rId337" o:title=""/>
            <o:lock v:ext="edit" aspectratio="t"/>
            <w10:wrap type="none"/>
            <w10:anchorlock/>
          </v:shape>
          <o:OLEObject Type="Embed" ProgID="Equation.DSMT4" ShapeID="_x0000_i1197" DrawAspect="Content" ObjectID="_1468075904" r:id="rId336">
            <o:LockedField>false</o:LockedField>
          </o:OLEObject>
        </w:object>
      </w:r>
      <w:r>
        <w:rPr>
          <w:sz w:val="28"/>
          <w:szCs w:val="28"/>
        </w:rPr>
        <w:t xml:space="preserve"> была бы равна </w:t>
      </w:r>
      <w:r>
        <w:rPr>
          <w:position w:val="-14"/>
          <w:sz w:val="28"/>
          <w:szCs w:val="28"/>
        </w:rPr>
        <w:object>
          <v:shape id="_x0000_i1198" o:spt="75" type="#_x0000_t75" style="height:19.5pt;width:46.5pt;" o:ole="t" filled="f" o:preferrelative="t" stroked="f" coordsize="21600,21600">
            <v:path/>
            <v:fill on="f" focussize="0,0"/>
            <v:stroke on="f" joinstyle="miter"/>
            <v:imagedata r:id="rId339" o:title=""/>
            <o:lock v:ext="edit" aspectratio="t"/>
            <w10:wrap type="none"/>
            <w10:anchorlock/>
          </v:shape>
          <o:OLEObject Type="Embed" ProgID="Equation.DSMT4" ShapeID="_x0000_i1198" DrawAspect="Content" ObjectID="_1468075905" r:id="rId338">
            <o:LockedField>false</o:LockedField>
          </o:OLEObject>
        </w:object>
      </w:r>
      <w:r>
        <w:rPr>
          <w:sz w:val="28"/>
          <w:szCs w:val="28"/>
        </w:rPr>
        <w:t xml:space="preserve"> Процентные платежи банков </w:t>
      </w:r>
      <w:r>
        <w:rPr>
          <w:position w:val="-6"/>
          <w:sz w:val="28"/>
          <w:szCs w:val="28"/>
        </w:rPr>
        <w:object>
          <v:shape id="_x0000_i1199" o:spt="75" type="#_x0000_t75" style="height:11.25pt;width:9.75pt;" o:ole="t" filled="f" o:preferrelative="t" stroked="f" coordsize="21600,21600">
            <v:path/>
            <v:fill on="f" focussize="0,0"/>
            <v:stroke on="f" joinstyle="miter"/>
            <v:imagedata r:id="rId79" o:title=""/>
            <o:lock v:ext="edit" aspectratio="t"/>
            <w10:wrap type="none"/>
            <w10:anchorlock/>
          </v:shape>
          <o:OLEObject Type="Embed" ProgID="Equation.DSMT4" ShapeID="_x0000_i1199" DrawAspect="Content" ObjectID="_1468075906" r:id="rId340">
            <o:LockedField>false</o:LockedField>
          </o:OLEObject>
        </w:object>
      </w:r>
      <w:r>
        <w:rPr>
          <w:sz w:val="28"/>
          <w:szCs w:val="28"/>
        </w:rPr>
        <w:t xml:space="preserve"> домашним хозяйствам </w:t>
      </w:r>
      <w:r>
        <w:rPr>
          <w:position w:val="-6"/>
          <w:sz w:val="28"/>
          <w:szCs w:val="28"/>
        </w:rPr>
        <w:object>
          <v:shape id="_x0000_i1200" o:spt="75" type="#_x0000_t75" style="height:13.5pt;width:9.75pt;" o:ole="t" filled="f" o:preferrelative="t" stroked="f" coordsize="21600,21600">
            <v:path/>
            <v:fill on="f" focussize="0,0"/>
            <v:stroke on="f" joinstyle="miter"/>
            <v:imagedata r:id="rId342" o:title=""/>
            <o:lock v:ext="edit" aspectratio="t"/>
            <w10:wrap type="none"/>
            <w10:anchorlock/>
          </v:shape>
          <o:OLEObject Type="Embed" ProgID="Equation.DSMT4" ShapeID="_x0000_i1200" DrawAspect="Content" ObjectID="_1468075907" r:id="rId341">
            <o:LockedField>false</o:LockedField>
          </o:OLEObject>
        </w:object>
      </w:r>
      <w:r>
        <w:rPr>
          <w:sz w:val="28"/>
          <w:szCs w:val="28"/>
        </w:rPr>
        <w:t xml:space="preserve"> по ставке процента </w:t>
      </w:r>
      <w:r>
        <w:rPr>
          <w:position w:val="-12"/>
          <w:sz w:val="28"/>
          <w:szCs w:val="28"/>
        </w:rPr>
        <w:object>
          <v:shape id="_x0000_i1201" o:spt="75" type="#_x0000_t75" style="height:18.75pt;width:11.25pt;" o:ole="t" filled="f" o:preferrelative="t" stroked="f" coordsize="21600,21600">
            <v:path/>
            <v:fill on="f" focussize="0,0"/>
            <v:stroke on="f" joinstyle="miter"/>
            <v:imagedata r:id="rId344" o:title=""/>
            <o:lock v:ext="edit" aspectratio="t"/>
            <w10:wrap type="none"/>
            <w10:anchorlock/>
          </v:shape>
          <o:OLEObject Type="Embed" ProgID="Equation.DSMT4" ShapeID="_x0000_i1201" DrawAspect="Content" ObjectID="_1468075908" r:id="rId343">
            <o:LockedField>false</o:LockedField>
          </o:OLEObject>
        </w:object>
      </w:r>
      <w:r>
        <w:rPr>
          <w:sz w:val="28"/>
          <w:szCs w:val="28"/>
        </w:rPr>
        <w:t xml:space="preserve"> за депозиты в банках </w:t>
      </w:r>
      <w:r>
        <w:rPr>
          <w:position w:val="-6"/>
          <w:sz w:val="28"/>
          <w:szCs w:val="28"/>
        </w:rPr>
        <w:object>
          <v:shape id="_x0000_i1202" o:spt="75" type="#_x0000_t75" style="height:11.25pt;width:9.75pt;" o:ole="t" filled="f" o:preferrelative="t" stroked="f" coordsize="21600,21600">
            <v:path/>
            <v:fill on="f" focussize="0,0"/>
            <v:stroke on="f" joinstyle="miter"/>
            <v:imagedata r:id="rId79" o:title=""/>
            <o:lock v:ext="edit" aspectratio="t"/>
            <w10:wrap type="none"/>
            <w10:anchorlock/>
          </v:shape>
          <o:OLEObject Type="Embed" ProgID="Equation.DSMT4" ShapeID="_x0000_i1202" DrawAspect="Content" ObjectID="_1468075909" r:id="rId345">
            <o:LockedField>false</o:LockedField>
          </o:OLEObject>
        </w:object>
      </w:r>
      <w:r>
        <w:rPr>
          <w:sz w:val="28"/>
          <w:szCs w:val="28"/>
        </w:rPr>
        <w:t xml:space="preserve"> и </w:t>
      </w:r>
      <w:r>
        <w:rPr>
          <w:position w:val="-6"/>
          <w:sz w:val="28"/>
          <w:szCs w:val="28"/>
        </w:rPr>
        <w:object>
          <v:shape id="_x0000_i1203" o:spt="75" type="#_x0000_t75" style="height:14.25pt;width:9.75pt;" o:ole="t" filled="f" o:preferrelative="t" stroked="f" coordsize="21600,21600">
            <v:path/>
            <v:fill on="f" focussize="0,0"/>
            <v:stroke on="f" joinstyle="miter"/>
            <v:imagedata r:id="rId347" o:title=""/>
            <o:lock v:ext="edit" aspectratio="t"/>
            <w10:wrap type="none"/>
            <w10:anchorlock/>
          </v:shape>
          <o:OLEObject Type="Embed" ProgID="Equation.DSMT4" ShapeID="_x0000_i1203" DrawAspect="Content" ObjectID="_1468075910" r:id="rId346">
            <o:LockedField>false</o:LockedField>
          </o:OLEObject>
        </w:object>
      </w:r>
      <w:r>
        <w:rPr>
          <w:sz w:val="28"/>
          <w:szCs w:val="28"/>
        </w:rPr>
        <w:t xml:space="preserve"> составят величину </w:t>
      </w:r>
    </w:p>
    <w:p w14:paraId="2EA7DE8A">
      <w:pPr>
        <w:pStyle w:val="37"/>
        <w:ind w:firstLine="0"/>
        <w:rPr>
          <w:sz w:val="28"/>
          <w:szCs w:val="28"/>
        </w:rPr>
      </w:pPr>
    </w:p>
    <w:p w14:paraId="791130F7">
      <w:pPr>
        <w:pStyle w:val="38"/>
        <w:spacing w:before="0" w:after="0"/>
        <w:rPr>
          <w:sz w:val="28"/>
          <w:szCs w:val="28"/>
        </w:rPr>
      </w:pPr>
      <w:r>
        <w:rPr>
          <w:sz w:val="28"/>
          <w:szCs w:val="28"/>
        </w:rPr>
        <w:tab/>
      </w:r>
      <w:r>
        <w:rPr>
          <w:sz w:val="28"/>
          <w:szCs w:val="28"/>
        </w:rPr>
        <w:t xml:space="preserve">                                                </w:t>
      </w:r>
      <w:r>
        <w:rPr>
          <w:position w:val="-14"/>
          <w:sz w:val="28"/>
          <w:szCs w:val="28"/>
        </w:rPr>
        <w:object>
          <v:shape id="_x0000_i1204" o:spt="75" type="#_x0000_t75" style="height:20.25pt;width:136.5pt;" o:ole="t" filled="f" o:preferrelative="t" stroked="f" coordsize="21600,21600">
            <v:path/>
            <v:fill on="f" focussize="0,0"/>
            <v:stroke on="f" joinstyle="miter"/>
            <v:imagedata r:id="rId349" o:title=""/>
            <o:lock v:ext="edit" aspectratio="t"/>
            <w10:wrap type="none"/>
            <w10:anchorlock/>
          </v:shape>
          <o:OLEObject Type="Embed" ProgID="Equation.DSMT4" ShapeID="_x0000_i1204" DrawAspect="Content" ObjectID="_1468075911" r:id="rId348">
            <o:LockedField>false</o:LockedField>
          </o:OLEObject>
        </w:object>
      </w:r>
      <w:r>
        <w:rPr>
          <w:sz w:val="28"/>
          <w:szCs w:val="28"/>
        </w:rPr>
        <w:tab/>
      </w:r>
      <w:r>
        <w:rPr>
          <w:sz w:val="28"/>
          <w:szCs w:val="28"/>
        </w:rPr>
        <w:t xml:space="preserve">                              (17)</w:t>
      </w:r>
    </w:p>
    <w:p w14:paraId="239075F5">
      <w:pPr>
        <w:pStyle w:val="37"/>
        <w:ind w:firstLine="0"/>
        <w:rPr>
          <w:sz w:val="28"/>
          <w:szCs w:val="28"/>
        </w:rPr>
      </w:pPr>
    </w:p>
    <w:p w14:paraId="780A0627">
      <w:pPr>
        <w:pStyle w:val="37"/>
        <w:rPr>
          <w:sz w:val="28"/>
          <w:szCs w:val="28"/>
        </w:rPr>
      </w:pPr>
      <w:r>
        <w:rPr>
          <w:sz w:val="28"/>
          <w:szCs w:val="28"/>
        </w:rPr>
        <w:t xml:space="preserve">Считаем, что «плохой» банк </w:t>
      </w:r>
      <w:r>
        <w:rPr>
          <w:position w:val="-6"/>
          <w:sz w:val="28"/>
          <w:szCs w:val="28"/>
        </w:rPr>
        <w:object>
          <v:shape id="_x0000_i1205" o:spt="75" type="#_x0000_t75" style="height:14.25pt;width:9.75pt;" o:ole="t" filled="f" o:preferrelative="t" stroked="f" coordsize="21600,21600">
            <v:path/>
            <v:fill on="f" focussize="0,0"/>
            <v:stroke on="f" joinstyle="miter"/>
            <v:imagedata r:id="rId332" o:title=""/>
            <o:lock v:ext="edit" aspectratio="t"/>
            <w10:wrap type="none"/>
            <w10:anchorlock/>
          </v:shape>
          <o:OLEObject Type="Embed" ProgID="Equation.DSMT4" ShapeID="_x0000_i1205" DrawAspect="Content" ObjectID="_1468075912" r:id="rId350">
            <o:LockedField>false</o:LockedField>
          </o:OLEObject>
        </w:object>
      </w:r>
      <w:r>
        <w:rPr>
          <w:sz w:val="28"/>
          <w:szCs w:val="28"/>
        </w:rPr>
        <w:t xml:space="preserve"> создается временно и за проценты по депозитам домашних хозяйств не отвечает. За них отвечают коммерческие банки </w:t>
      </w:r>
      <w:r>
        <w:rPr>
          <w:position w:val="-6"/>
          <w:sz w:val="28"/>
          <w:szCs w:val="28"/>
        </w:rPr>
        <w:object>
          <v:shape id="_x0000_i1206" o:spt="75" type="#_x0000_t75" style="height:11.25pt;width:9.75pt;" o:ole="t" filled="f" o:preferrelative="t" stroked="f" coordsize="21600,21600">
            <v:path/>
            <v:fill on="f" focussize="0,0"/>
            <v:stroke on="f" joinstyle="miter"/>
            <v:imagedata r:id="rId79" o:title=""/>
            <o:lock v:ext="edit" aspectratio="t"/>
            <w10:wrap type="none"/>
            <w10:anchorlock/>
          </v:shape>
          <o:OLEObject Type="Embed" ProgID="Equation.DSMT4" ShapeID="_x0000_i1206" DrawAspect="Content" ObjectID="_1468075913" r:id="rId351">
            <o:LockedField>false</o:LockedField>
          </o:OLEObject>
        </w:object>
      </w:r>
      <w:r>
        <w:rPr>
          <w:sz w:val="28"/>
          <w:szCs w:val="28"/>
        </w:rPr>
        <w:t>.</w:t>
      </w:r>
    </w:p>
    <w:p w14:paraId="339AF151">
      <w:pPr>
        <w:pStyle w:val="37"/>
        <w:rPr>
          <w:sz w:val="28"/>
          <w:szCs w:val="28"/>
        </w:rPr>
      </w:pPr>
      <w:r>
        <w:rPr>
          <w:sz w:val="28"/>
          <w:szCs w:val="28"/>
        </w:rPr>
        <w:t xml:space="preserve">Из (13) видно также, что доход банкам </w:t>
      </w:r>
      <w:r>
        <w:rPr>
          <w:position w:val="-6"/>
          <w:sz w:val="28"/>
          <w:szCs w:val="28"/>
        </w:rPr>
        <w:object>
          <v:shape id="_x0000_i1207" o:spt="75" type="#_x0000_t75" style="height:11.25pt;width:9.75pt;" o:ole="t" filled="f" o:preferrelative="t" stroked="f" coordsize="21600,21600">
            <v:path/>
            <v:fill on="f" focussize="0,0"/>
            <v:stroke on="f" joinstyle="miter"/>
            <v:imagedata r:id="rId79" o:title=""/>
            <o:lock v:ext="edit" aspectratio="t"/>
            <w10:wrap type="none"/>
            <w10:anchorlock/>
          </v:shape>
          <o:OLEObject Type="Embed" ProgID="Equation.DSMT4" ShapeID="_x0000_i1207" DrawAspect="Content" ObjectID="_1468075914" r:id="rId352">
            <o:LockedField>false</o:LockedField>
          </o:OLEObject>
        </w:object>
      </w:r>
      <w:r>
        <w:rPr>
          <w:sz w:val="28"/>
          <w:szCs w:val="28"/>
        </w:rPr>
        <w:t xml:space="preserve"> приносят суммарные кредиты производителям </w:t>
      </w:r>
      <w:r>
        <w:rPr>
          <w:position w:val="-4"/>
          <w:sz w:val="28"/>
          <w:szCs w:val="28"/>
        </w:rPr>
        <w:object>
          <v:shape id="_x0000_i1208" o:spt="75" type="#_x0000_t75" style="height:15pt;width:16.5pt;" o:ole="t" filled="f" o:preferrelative="t" stroked="f" coordsize="21600,21600">
            <v:path/>
            <v:fill on="f" focussize="0,0"/>
            <v:stroke on="f" joinstyle="miter"/>
            <v:imagedata r:id="rId354" o:title=""/>
            <o:lock v:ext="edit" aspectratio="t"/>
            <w10:wrap type="none"/>
            <w10:anchorlock/>
          </v:shape>
          <o:OLEObject Type="Embed" ProgID="Equation.DSMT4" ShapeID="_x0000_i1208" DrawAspect="Content" ObjectID="_1468075915" r:id="rId353">
            <o:LockedField>false</o:LockedField>
          </o:OLEObject>
        </w:object>
      </w:r>
      <w:r>
        <w:rPr>
          <w:sz w:val="28"/>
          <w:szCs w:val="28"/>
        </w:rPr>
        <w:t xml:space="preserve">, остальные активы из левой части баланса (1) создаются по необходимости, банкам выгодно их уменьшать (см., например, [Поспелов 2003]). Капитальные требования для банков </w:t>
      </w:r>
      <w:r>
        <w:rPr>
          <w:position w:val="-6"/>
          <w:sz w:val="28"/>
          <w:szCs w:val="28"/>
        </w:rPr>
        <w:object>
          <v:shape id="_x0000_i1209" o:spt="75" type="#_x0000_t75" style="height:11.25pt;width:9.75pt;" o:ole="t" filled="f" o:preferrelative="t" stroked="f" coordsize="21600,21600">
            <v:path/>
            <v:fill on="f" focussize="0,0"/>
            <v:stroke on="f" joinstyle="miter"/>
            <v:imagedata r:id="rId79" o:title=""/>
            <o:lock v:ext="edit" aspectratio="t"/>
            <w10:wrap type="none"/>
            <w10:anchorlock/>
          </v:shape>
          <o:OLEObject Type="Embed" ProgID="Equation.DSMT4" ShapeID="_x0000_i1209" DrawAspect="Content" ObjectID="_1468075916" r:id="rId355">
            <o:LockedField>false</o:LockedField>
          </o:OLEObject>
        </w:object>
      </w:r>
      <w:r>
        <w:rPr>
          <w:sz w:val="28"/>
          <w:szCs w:val="28"/>
        </w:rPr>
        <w:t xml:space="preserve"> невелики, пока деньги по выданным производителям ссудам вращаются внутри банковской системы страны. Существенную роль в ограничении суммарного кредита играют резервные требования центробанка, которые страхуют кредиты. Уровень резервов законодательно связан с размером привлеченных средств клиентов</w:t>
      </w:r>
    </w:p>
    <w:p w14:paraId="5A2880AC">
      <w:pPr>
        <w:pStyle w:val="37"/>
        <w:ind w:firstLine="0"/>
        <w:rPr>
          <w:sz w:val="28"/>
          <w:szCs w:val="28"/>
        </w:rPr>
      </w:pPr>
    </w:p>
    <w:p w14:paraId="5EDD34ED">
      <w:pPr>
        <w:pStyle w:val="38"/>
        <w:spacing w:before="0" w:after="0"/>
        <w:rPr>
          <w:sz w:val="28"/>
          <w:szCs w:val="28"/>
        </w:rPr>
      </w:pPr>
      <w:r>
        <w:rPr>
          <w:sz w:val="28"/>
          <w:szCs w:val="28"/>
        </w:rPr>
        <w:tab/>
      </w:r>
      <w:r>
        <w:rPr>
          <w:sz w:val="28"/>
          <w:szCs w:val="28"/>
        </w:rPr>
        <w:t xml:space="preserve">                                 </w:t>
      </w:r>
      <w:r>
        <w:rPr>
          <w:position w:val="-16"/>
          <w:sz w:val="28"/>
          <w:szCs w:val="28"/>
        </w:rPr>
        <w:object>
          <v:shape id="_x0000_i1210" o:spt="75" type="#_x0000_t75" style="height:22.5pt;width:208.5pt;" o:ole="t" filled="f" o:preferrelative="t" stroked="f" coordsize="21600,21600">
            <v:path/>
            <v:fill on="f" focussize="0,0"/>
            <v:stroke on="f" joinstyle="miter"/>
            <v:imagedata r:id="rId357" o:title=""/>
            <o:lock v:ext="edit" aspectratio="t"/>
            <w10:wrap type="none"/>
            <w10:anchorlock/>
          </v:shape>
          <o:OLEObject Type="Embed" ProgID="Equation.DSMT4" ShapeID="_x0000_i1210" DrawAspect="Content" ObjectID="_1468075917" r:id="rId356">
            <o:LockedField>false</o:LockedField>
          </o:OLEObject>
        </w:object>
      </w:r>
      <w:r>
        <w:rPr>
          <w:sz w:val="28"/>
          <w:szCs w:val="28"/>
        </w:rPr>
        <w:tab/>
      </w:r>
      <w:r>
        <w:rPr>
          <w:sz w:val="28"/>
          <w:szCs w:val="28"/>
        </w:rPr>
        <w:t xml:space="preserve">                          (18)</w:t>
      </w:r>
    </w:p>
    <w:p w14:paraId="67445E42">
      <w:pPr>
        <w:pStyle w:val="37"/>
        <w:ind w:firstLine="0"/>
        <w:rPr>
          <w:sz w:val="28"/>
          <w:szCs w:val="28"/>
        </w:rPr>
      </w:pPr>
    </w:p>
    <w:p w14:paraId="44E0F4F9">
      <w:pPr>
        <w:pStyle w:val="37"/>
        <w:ind w:firstLine="0"/>
        <w:rPr>
          <w:sz w:val="28"/>
          <w:szCs w:val="28"/>
        </w:rPr>
      </w:pPr>
      <w:r>
        <w:rPr>
          <w:sz w:val="28"/>
          <w:szCs w:val="28"/>
        </w:rPr>
        <w:t xml:space="preserve">где </w:t>
      </w:r>
      <w:r>
        <w:rPr>
          <w:position w:val="-4"/>
          <w:sz w:val="28"/>
          <w:szCs w:val="28"/>
        </w:rPr>
        <w:object>
          <v:shape id="_x0000_i1211" o:spt="75" type="#_x0000_t75" style="height:15pt;width:18.75pt;" o:ole="t" filled="f" o:preferrelative="t" stroked="f" coordsize="21600,21600">
            <v:path/>
            <v:fill on="f" focussize="0,0"/>
            <v:stroke on="f" joinstyle="miter"/>
            <v:imagedata r:id="rId359" o:title=""/>
            <o:lock v:ext="edit" aspectratio="t"/>
            <w10:wrap type="none"/>
            <w10:anchorlock/>
          </v:shape>
          <o:OLEObject Type="Embed" ProgID="Equation.DSMT4" ShapeID="_x0000_i1211" DrawAspect="Content" ObjectID="_1468075918" r:id="rId358">
            <o:LockedField>false</o:LockedField>
          </o:OLEObject>
        </w:object>
      </w:r>
      <w:r>
        <w:rPr>
          <w:sz w:val="28"/>
          <w:szCs w:val="28"/>
        </w:rPr>
        <w:t xml:space="preserve"> – фонд обязательного резервирования, а </w:t>
      </w:r>
      <w:r>
        <w:rPr>
          <w:position w:val="-10"/>
          <w:sz w:val="28"/>
          <w:szCs w:val="28"/>
        </w:rPr>
        <w:object>
          <v:shape id="_x0000_i1212" o:spt="75" type="#_x0000_t75" style="height:15.75pt;width:9.75pt;" o:ole="t" filled="f" o:preferrelative="t" stroked="f" coordsize="21600,21600">
            <v:path/>
            <v:fill on="f" focussize="0,0"/>
            <v:stroke on="f" joinstyle="miter"/>
            <v:imagedata r:id="rId361" o:title=""/>
            <o:lock v:ext="edit" aspectratio="t"/>
            <w10:wrap type="none"/>
            <w10:anchorlock/>
          </v:shape>
          <o:OLEObject Type="Embed" ProgID="Equation.DSMT4" ShapeID="_x0000_i1212" DrawAspect="Content" ObjectID="_1468075919" r:id="rId360">
            <o:LockedField>false</o:LockedField>
          </o:OLEObject>
        </w:object>
      </w:r>
      <w:r>
        <w:rPr>
          <w:sz w:val="28"/>
          <w:szCs w:val="28"/>
        </w:rPr>
        <w:t xml:space="preserve"> – норма резервирования. Если коммерческий банк не может выполнить резервные требования (18), то он объявляется банкротом. Избыток резервов </w:t>
      </w:r>
    </w:p>
    <w:p w14:paraId="0522DCFC">
      <w:pPr>
        <w:pStyle w:val="37"/>
        <w:ind w:firstLine="0"/>
        <w:rPr>
          <w:sz w:val="28"/>
          <w:szCs w:val="28"/>
        </w:rPr>
      </w:pPr>
    </w:p>
    <w:p w14:paraId="258471EF">
      <w:pPr>
        <w:pStyle w:val="38"/>
        <w:spacing w:before="0" w:after="0"/>
        <w:rPr>
          <w:sz w:val="28"/>
          <w:szCs w:val="28"/>
        </w:rPr>
      </w:pPr>
      <w:r>
        <w:rPr>
          <w:sz w:val="28"/>
          <w:szCs w:val="28"/>
        </w:rPr>
        <w:tab/>
      </w:r>
      <w:r>
        <w:rPr>
          <w:sz w:val="28"/>
          <w:szCs w:val="28"/>
        </w:rPr>
        <w:t xml:space="preserve">                      </w:t>
      </w:r>
      <w:r>
        <w:rPr>
          <w:position w:val="-6"/>
          <w:sz w:val="28"/>
          <w:szCs w:val="28"/>
        </w:rPr>
        <w:object>
          <v:shape id="_x0000_i1213" o:spt="75" type="#_x0000_t75" style="height:15.75pt;width:87pt;" o:ole="t" filled="f" o:preferrelative="t" stroked="f" coordsize="21600,21600">
            <v:path/>
            <v:fill on="f" focussize="0,0"/>
            <v:stroke on="f" joinstyle="miter"/>
            <v:imagedata r:id="rId363" o:title=""/>
            <o:lock v:ext="edit" aspectratio="t"/>
            <w10:wrap type="none"/>
            <w10:anchorlock/>
          </v:shape>
          <o:OLEObject Type="Embed" ProgID="Equation.DSMT4" ShapeID="_x0000_i1213" DrawAspect="Content" ObjectID="_1468075920" r:id="rId362">
            <o:LockedField>false</o:LockedField>
          </o:OLEObject>
        </w:object>
      </w:r>
      <w:r>
        <w:rPr>
          <w:sz w:val="28"/>
          <w:szCs w:val="28"/>
        </w:rPr>
        <w:tab/>
      </w:r>
      <w:r>
        <w:rPr>
          <w:sz w:val="28"/>
          <w:szCs w:val="28"/>
        </w:rPr>
        <w:t xml:space="preserve">                                                 (19)</w:t>
      </w:r>
    </w:p>
    <w:p w14:paraId="6513B51D">
      <w:pPr>
        <w:pStyle w:val="37"/>
        <w:ind w:firstLine="0"/>
        <w:rPr>
          <w:sz w:val="28"/>
          <w:szCs w:val="28"/>
        </w:rPr>
      </w:pPr>
    </w:p>
    <w:p w14:paraId="40180AD4">
      <w:pPr>
        <w:pStyle w:val="37"/>
        <w:ind w:firstLine="0"/>
        <w:rPr>
          <w:sz w:val="28"/>
          <w:szCs w:val="28"/>
        </w:rPr>
      </w:pPr>
      <w:r>
        <w:rPr>
          <w:sz w:val="28"/>
          <w:szCs w:val="28"/>
        </w:rPr>
        <w:t xml:space="preserve">коммерческих банков </w:t>
      </w:r>
      <w:r>
        <w:rPr>
          <w:position w:val="-6"/>
          <w:sz w:val="28"/>
          <w:szCs w:val="28"/>
        </w:rPr>
        <w:object>
          <v:shape id="_x0000_i1214" o:spt="75" type="#_x0000_t75" style="height:11.25pt;width:9.75pt;" o:ole="t" filled="f" o:preferrelative="t" stroked="f" coordsize="21600,21600">
            <v:path/>
            <v:fill on="f" focussize="0,0"/>
            <v:stroke on="f" joinstyle="miter"/>
            <v:imagedata r:id="rId79" o:title=""/>
            <o:lock v:ext="edit" aspectratio="t"/>
            <w10:wrap type="none"/>
            <w10:anchorlock/>
          </v:shape>
          <o:OLEObject Type="Embed" ProgID="Equation.DSMT4" ShapeID="_x0000_i1214" DrawAspect="Content" ObjectID="_1468075921" r:id="rId364">
            <o:LockedField>false</o:LockedField>
          </o:OLEObject>
        </w:object>
      </w:r>
      <w:r>
        <w:rPr>
          <w:sz w:val="28"/>
          <w:szCs w:val="28"/>
        </w:rPr>
        <w:t xml:space="preserve"> в банке </w:t>
      </w:r>
      <w:r>
        <w:rPr>
          <w:position w:val="-6"/>
          <w:sz w:val="28"/>
          <w:szCs w:val="28"/>
        </w:rPr>
        <w:object>
          <v:shape id="_x0000_i1215" o:spt="75" type="#_x0000_t75" style="height:11.25pt;width:9pt;" o:ole="t" filled="f" o:preferrelative="t" stroked="f" coordsize="21600,21600">
            <v:path/>
            <v:fill on="f" focussize="0,0"/>
            <v:stroke on="f" joinstyle="miter"/>
            <v:imagedata r:id="rId366" o:title=""/>
            <o:lock v:ext="edit" aspectratio="t"/>
            <w10:wrap type="none"/>
            <w10:anchorlock/>
          </v:shape>
          <o:OLEObject Type="Embed" ProgID="Equation.DSMT4" ShapeID="_x0000_i1215" DrawAspect="Content" ObjectID="_1468075922" r:id="rId365">
            <o:LockedField>false</o:LockedField>
          </o:OLEObject>
        </w:object>
      </w:r>
      <w:r>
        <w:rPr>
          <w:sz w:val="28"/>
          <w:szCs w:val="28"/>
        </w:rPr>
        <w:t xml:space="preserve"> называется остатком корреспондентского счета в банке, который обычно используется для безналичных расчетов между банками </w:t>
      </w:r>
      <w:r>
        <w:rPr>
          <w:position w:val="-6"/>
          <w:sz w:val="28"/>
          <w:szCs w:val="28"/>
        </w:rPr>
        <w:object>
          <v:shape id="_x0000_i1216" o:spt="75" type="#_x0000_t75" style="height:11.25pt;width:9.75pt;" o:ole="t" filled="f" o:preferrelative="t" stroked="f" coordsize="21600,21600">
            <v:path/>
            <v:fill on="f" focussize="0,0"/>
            <v:stroke on="f" joinstyle="miter"/>
            <v:imagedata r:id="rId79" o:title=""/>
            <o:lock v:ext="edit" aspectratio="t"/>
            <w10:wrap type="none"/>
            <w10:anchorlock/>
          </v:shape>
          <o:OLEObject Type="Embed" ProgID="Equation.DSMT4" ShapeID="_x0000_i1216" DrawAspect="Content" ObjectID="_1468075923" r:id="rId367">
            <o:LockedField>false</o:LockedField>
          </o:OLEObject>
        </w:object>
      </w:r>
      <w:r>
        <w:rPr>
          <w:sz w:val="28"/>
          <w:szCs w:val="28"/>
        </w:rPr>
        <w:t xml:space="preserve">. При создании «плохого» банка </w:t>
      </w:r>
      <w:r>
        <w:rPr>
          <w:position w:val="-6"/>
          <w:sz w:val="28"/>
          <w:szCs w:val="28"/>
        </w:rPr>
        <w:object>
          <v:shape id="_x0000_i1217" o:spt="75" type="#_x0000_t75" style="height:14.25pt;width:9.75pt;" o:ole="t" filled="f" o:preferrelative="t" stroked="f" coordsize="21600,21600">
            <v:path/>
            <v:fill on="f" focussize="0,0"/>
            <v:stroke on="f" joinstyle="miter"/>
            <v:imagedata r:id="rId369" o:title=""/>
            <o:lock v:ext="edit" aspectratio="t"/>
            <w10:wrap type="none"/>
            <w10:anchorlock/>
          </v:shape>
          <o:OLEObject Type="Embed" ProgID="Equation.DSMT4" ShapeID="_x0000_i1217" DrawAspect="Content" ObjectID="_1468075924" r:id="rId368">
            <o:LockedField>false</o:LockedField>
          </o:OLEObject>
        </w:object>
      </w:r>
      <w:r>
        <w:rPr>
          <w:sz w:val="28"/>
          <w:szCs w:val="28"/>
        </w:rPr>
        <w:t xml:space="preserve"> резервы </w:t>
      </w:r>
      <w:r>
        <w:rPr>
          <w:position w:val="-14"/>
          <w:sz w:val="28"/>
          <w:szCs w:val="28"/>
        </w:rPr>
        <w:object>
          <v:shape id="_x0000_i1218" o:spt="75" type="#_x0000_t75" style="height:19.5pt;width:31.5pt;" o:ole="t" filled="f" o:preferrelative="t" stroked="f" coordsize="21600,21600">
            <v:path/>
            <v:fill on="f" focussize="0,0"/>
            <v:stroke on="f" joinstyle="miter"/>
            <v:imagedata r:id="rId371" o:title=""/>
            <o:lock v:ext="edit" aspectratio="t"/>
            <w10:wrap type="none"/>
            <w10:anchorlock/>
          </v:shape>
          <o:OLEObject Type="Embed" ProgID="Equation.DSMT4" ShapeID="_x0000_i1218" DrawAspect="Content" ObjectID="_1468075925" r:id="rId370">
            <o:LockedField>false</o:LockedField>
          </o:OLEObject>
        </w:object>
      </w:r>
      <w:r>
        <w:rPr>
          <w:sz w:val="28"/>
          <w:szCs w:val="28"/>
        </w:rPr>
        <w:t xml:space="preserve"> остаются в банках </w:t>
      </w:r>
      <w:r>
        <w:rPr>
          <w:position w:val="-6"/>
          <w:sz w:val="28"/>
          <w:szCs w:val="28"/>
        </w:rPr>
        <w:object>
          <v:shape id="_x0000_i1219" o:spt="75" type="#_x0000_t75" style="height:11.25pt;width:9.75pt;" o:ole="t" filled="f" o:preferrelative="t" stroked="f" coordsize="21600,21600">
            <v:path/>
            <v:fill on="f" focussize="0,0"/>
            <v:stroke on="f" joinstyle="miter"/>
            <v:imagedata r:id="rId373" o:title=""/>
            <o:lock v:ext="edit" aspectratio="t"/>
            <w10:wrap type="none"/>
            <w10:anchorlock/>
          </v:shape>
          <o:OLEObject Type="Embed" ProgID="Equation.DSMT4" ShapeID="_x0000_i1219" DrawAspect="Content" ObjectID="_1468075926" r:id="rId372">
            <o:LockedField>false</o:LockedField>
          </o:OLEObject>
        </w:object>
      </w:r>
      <w:r>
        <w:rPr>
          <w:sz w:val="28"/>
          <w:szCs w:val="28"/>
        </w:rPr>
        <w:t>, а резервные требования (18) должны выполняться. Это дает ограничение на объем допустимых новых кредитов.</w:t>
      </w:r>
    </w:p>
    <w:p w14:paraId="75643311">
      <w:pPr>
        <w:pStyle w:val="37"/>
        <w:ind w:firstLine="708"/>
        <w:rPr>
          <w:sz w:val="28"/>
          <w:szCs w:val="28"/>
        </w:rPr>
      </w:pPr>
      <w:r>
        <w:rPr>
          <w:sz w:val="28"/>
          <w:szCs w:val="28"/>
        </w:rPr>
        <w:t xml:space="preserve">Справедливо </w:t>
      </w:r>
    </w:p>
    <w:p w14:paraId="2007FB07">
      <w:pPr>
        <w:pStyle w:val="37"/>
        <w:ind w:firstLine="708"/>
        <w:rPr>
          <w:sz w:val="28"/>
          <w:szCs w:val="28"/>
        </w:rPr>
      </w:pPr>
      <w:r>
        <w:rPr>
          <w:rFonts w:eastAsia="Calibri"/>
          <w:b/>
          <w:sz w:val="28"/>
          <w:szCs w:val="28"/>
          <w:lang w:eastAsia="en-US"/>
        </w:rPr>
        <w:t>Следствие 2</w:t>
      </w:r>
      <w:r>
        <w:rPr>
          <w:rFonts w:eastAsia="Calibri"/>
          <w:sz w:val="28"/>
          <w:szCs w:val="28"/>
          <w:lang w:eastAsia="en-US"/>
        </w:rPr>
        <w:t xml:space="preserve">: </w:t>
      </w:r>
      <w:r>
        <w:rPr>
          <w:rFonts w:eastAsia="Calibri"/>
          <w:i/>
          <w:sz w:val="28"/>
          <w:szCs w:val="28"/>
          <w:lang w:eastAsia="en-US"/>
        </w:rPr>
        <w:t xml:space="preserve">Максимальный объем новых кредитов, выдаваемых банками </w:t>
      </w:r>
      <w:r>
        <w:rPr>
          <w:position w:val="-10"/>
          <w:sz w:val="28"/>
          <w:szCs w:val="28"/>
        </w:rPr>
        <w:object>
          <v:shape id="_x0000_i1220" o:spt="75" type="#_x0000_t75" style="height:12.75pt;width:13.5pt;" o:ole="t" filled="f" o:preferrelative="t" stroked="f" coordsize="21600,21600">
            <v:path/>
            <v:fill on="f" focussize="0,0"/>
            <v:stroke on="f" joinstyle="miter"/>
            <v:imagedata r:id="rId375" o:title=""/>
            <o:lock v:ext="edit" aspectratio="t"/>
            <w10:wrap type="none"/>
            <w10:anchorlock/>
          </v:shape>
          <o:OLEObject Type="Embed" ProgID="Equation.DSMT4" ShapeID="_x0000_i1220" DrawAspect="Content" ObjectID="_1468075927" r:id="rId374">
            <o:LockedField>false</o:LockedField>
          </o:OLEObject>
        </w:object>
      </w:r>
      <w:r>
        <w:rPr>
          <w:sz w:val="28"/>
          <w:szCs w:val="28"/>
        </w:rPr>
        <w:t xml:space="preserve"> </w:t>
      </w:r>
      <w:r>
        <w:rPr>
          <w:rFonts w:eastAsia="Calibri"/>
          <w:i/>
          <w:sz w:val="28"/>
          <w:szCs w:val="28"/>
          <w:lang w:eastAsia="en-US"/>
        </w:rPr>
        <w:t xml:space="preserve">в момент времени </w:t>
      </w:r>
      <w:r>
        <w:rPr>
          <w:rFonts w:eastAsia="Calibri"/>
          <w:i/>
          <w:position w:val="-6"/>
          <w:sz w:val="28"/>
          <w:szCs w:val="28"/>
          <w:lang w:eastAsia="en-US"/>
        </w:rPr>
        <w:object>
          <v:shape id="_x0000_i1221" o:spt="75" type="#_x0000_t75" style="height:12pt;width:7.5pt;" o:ole="t" filled="f" o:preferrelative="t" stroked="f" coordsize="21600,21600">
            <v:path/>
            <v:fill on="f" focussize="0,0"/>
            <v:stroke on="f" joinstyle="miter"/>
            <v:imagedata r:id="rId185" o:title=""/>
            <o:lock v:ext="edit" aspectratio="t"/>
            <w10:wrap type="none"/>
            <w10:anchorlock/>
          </v:shape>
          <o:OLEObject Type="Embed" ProgID="Equation.DSMT4" ShapeID="_x0000_i1221" DrawAspect="Content" ObjectID="_1468075928" r:id="rId376">
            <o:LockedField>false</o:LockedField>
          </o:OLEObject>
        </w:object>
      </w:r>
      <w:r>
        <w:rPr>
          <w:rFonts w:eastAsia="Calibri"/>
          <w:i/>
          <w:sz w:val="28"/>
          <w:szCs w:val="28"/>
          <w:lang w:eastAsia="en-US"/>
        </w:rPr>
        <w:t xml:space="preserve"> составит</w:t>
      </w:r>
    </w:p>
    <w:p w14:paraId="6D360C17">
      <w:pPr>
        <w:pStyle w:val="37"/>
        <w:ind w:firstLine="0"/>
        <w:rPr>
          <w:rFonts w:eastAsia="Calibri"/>
          <w:i/>
          <w:sz w:val="28"/>
          <w:szCs w:val="28"/>
          <w:lang w:eastAsia="en-US"/>
        </w:rPr>
      </w:pPr>
    </w:p>
    <w:p w14:paraId="4D7AB24F">
      <w:pPr>
        <w:pStyle w:val="38"/>
        <w:spacing w:before="0" w:after="0"/>
        <w:rPr>
          <w:sz w:val="28"/>
          <w:szCs w:val="28"/>
        </w:rPr>
      </w:pPr>
      <w:r>
        <w:rPr>
          <w:sz w:val="28"/>
          <w:szCs w:val="28"/>
        </w:rPr>
        <w:tab/>
      </w:r>
      <w:r>
        <w:rPr>
          <w:sz w:val="28"/>
          <w:szCs w:val="28"/>
        </w:rPr>
        <w:t xml:space="preserve">                                        </w:t>
      </w:r>
      <w:r>
        <w:rPr>
          <w:position w:val="-14"/>
          <w:sz w:val="28"/>
          <w:szCs w:val="28"/>
        </w:rPr>
        <w:object>
          <v:shape id="_x0000_i1222" o:spt="75" type="#_x0000_t75" style="height:20.25pt;width:81.75pt;" o:ole="t" filled="f" o:preferrelative="t" stroked="f" coordsize="21600,21600">
            <v:path/>
            <v:fill on="f" focussize="0,0"/>
            <v:stroke on="f" joinstyle="miter"/>
            <v:imagedata r:id="rId378" o:title=""/>
            <o:lock v:ext="edit" aspectratio="t"/>
            <w10:wrap type="none"/>
            <w10:anchorlock/>
          </v:shape>
          <o:OLEObject Type="Embed" ProgID="Equation.DSMT4" ShapeID="_x0000_i1222" DrawAspect="Content" ObjectID="_1468075929" r:id="rId377">
            <o:LockedField>false</o:LockedField>
          </o:OLEObject>
        </w:object>
      </w:r>
      <w:r>
        <w:rPr>
          <w:sz w:val="28"/>
          <w:szCs w:val="28"/>
        </w:rPr>
        <w:tab/>
      </w:r>
      <w:r>
        <w:rPr>
          <w:sz w:val="28"/>
          <w:szCs w:val="28"/>
        </w:rPr>
        <w:t xml:space="preserve">                                          (20)</w:t>
      </w:r>
    </w:p>
    <w:p w14:paraId="77176686">
      <w:pPr>
        <w:pStyle w:val="37"/>
        <w:ind w:firstLine="0"/>
        <w:rPr>
          <w:sz w:val="28"/>
          <w:szCs w:val="28"/>
        </w:rPr>
      </w:pPr>
    </w:p>
    <w:p w14:paraId="57C51D1D">
      <w:pPr>
        <w:pStyle w:val="37"/>
        <w:rPr>
          <w:rFonts w:eastAsia="Calibri"/>
          <w:sz w:val="28"/>
          <w:szCs w:val="28"/>
        </w:rPr>
      </w:pPr>
      <w:r>
        <w:rPr>
          <w:rFonts w:eastAsia="Calibri"/>
          <w:sz w:val="28"/>
          <w:szCs w:val="28"/>
          <w:lang w:eastAsia="en-US"/>
        </w:rPr>
        <w:t xml:space="preserve">В каждый момент времени </w:t>
      </w:r>
      <w:r>
        <w:rPr>
          <w:position w:val="-6"/>
          <w:sz w:val="28"/>
          <w:szCs w:val="28"/>
        </w:rPr>
        <w:object>
          <v:shape id="_x0000_i1223" o:spt="75" type="#_x0000_t75" style="height:12pt;width:7.5pt;" o:ole="t" filled="f" o:preferrelative="t" stroked="f" coordsize="21600,21600">
            <v:path/>
            <v:fill on="f" focussize="0,0"/>
            <v:stroke on="f" joinstyle="miter"/>
            <v:imagedata r:id="rId380" o:title=""/>
            <o:lock v:ext="edit" aspectratio="t"/>
            <w10:wrap type="none"/>
            <w10:anchorlock/>
          </v:shape>
          <o:OLEObject Type="Embed" ProgID="Equation.DSMT4" ShapeID="_x0000_i1223" DrawAspect="Content" ObjectID="_1468075930" r:id="rId379">
            <o:LockedField>false</o:LockedField>
          </o:OLEObject>
        </w:object>
      </w:r>
      <w:r>
        <w:rPr>
          <w:rFonts w:eastAsia="Calibri"/>
          <w:sz w:val="28"/>
          <w:szCs w:val="28"/>
          <w:lang w:eastAsia="en-US"/>
        </w:rPr>
        <w:t xml:space="preserve"> </w:t>
      </w:r>
      <w:r>
        <w:rPr>
          <w:rFonts w:eastAsia="Calibri"/>
          <w:sz w:val="28"/>
          <w:szCs w:val="28"/>
        </w:rPr>
        <w:t xml:space="preserve">из банков второго уровня </w:t>
      </w:r>
      <m:oMath>
        <m:r>
          <m:rPr/>
          <w:rPr>
            <w:rFonts w:ascii="Cambria Math" w:hAnsi="Cambria Math" w:eastAsia="Calibri"/>
            <w:sz w:val="28"/>
            <w:szCs w:val="28"/>
          </w:rPr>
          <m:t>a</m:t>
        </m:r>
      </m:oMath>
      <w:r>
        <w:rPr>
          <w:rFonts w:eastAsia="Calibri"/>
          <w:sz w:val="28"/>
          <w:szCs w:val="28"/>
          <w:lang w:eastAsia="en-US"/>
        </w:rPr>
        <w:t xml:space="preserve"> выделяется «плохой» банк </w:t>
      </w:r>
      <w:r>
        <w:rPr>
          <w:position w:val="-6"/>
          <w:sz w:val="28"/>
          <w:szCs w:val="28"/>
        </w:rPr>
        <w:object>
          <v:shape id="_x0000_i1224" o:spt="75" type="#_x0000_t75" style="height:13.5pt;width:9.75pt;" o:ole="t" filled="f" o:preferrelative="t" stroked="f" coordsize="21600,21600">
            <v:path/>
            <v:fill on="f" focussize="0,0"/>
            <v:stroke on="f" joinstyle="miter"/>
            <v:imagedata r:id="rId382" o:title=""/>
            <o:lock v:ext="edit" aspectratio="t"/>
            <w10:wrap type="none"/>
            <w10:anchorlock/>
          </v:shape>
          <o:OLEObject Type="Embed" ProgID="Equation.DSMT4" ShapeID="_x0000_i1224" DrawAspect="Content" ObjectID="_1468075931" r:id="rId381">
            <o:LockedField>false</o:LockedField>
          </o:OLEObject>
        </w:object>
      </w:r>
      <w:r>
        <w:rPr>
          <w:rFonts w:eastAsia="Calibri"/>
          <w:sz w:val="28"/>
          <w:szCs w:val="28"/>
        </w:rPr>
        <w:t xml:space="preserve">. В счастливом случае, когда проблемных активов у банков второго уровня </w:t>
      </w:r>
      <w:r>
        <w:rPr>
          <w:position w:val="-6"/>
          <w:sz w:val="28"/>
          <w:szCs w:val="28"/>
        </w:rPr>
        <w:object>
          <v:shape id="_x0000_i1225" o:spt="75" type="#_x0000_t75" style="height:11.25pt;width:9.75pt;" o:ole="t" filled="f" o:preferrelative="t" stroked="f" coordsize="21600,21600">
            <v:path/>
            <v:fill on="f" focussize="0,0"/>
            <v:stroke on="f" joinstyle="miter"/>
            <v:imagedata r:id="rId79" o:title=""/>
            <o:lock v:ext="edit" aspectratio="t"/>
            <w10:wrap type="none"/>
            <w10:anchorlock/>
          </v:shape>
          <o:OLEObject Type="Embed" ProgID="Equation.DSMT4" ShapeID="_x0000_i1225" DrawAspect="Content" ObjectID="_1468075932" r:id="rId383">
            <o:LockedField>false</o:LockedField>
          </o:OLEObject>
        </w:object>
      </w:r>
      <w:r>
        <w:rPr>
          <w:rFonts w:eastAsia="Calibri"/>
          <w:sz w:val="28"/>
          <w:szCs w:val="28"/>
        </w:rPr>
        <w:t xml:space="preserve"> нет, </w:t>
      </w:r>
      <w:r>
        <w:rPr>
          <w:position w:val="-14"/>
          <w:sz w:val="28"/>
          <w:szCs w:val="28"/>
        </w:rPr>
        <w:object>
          <v:shape id="_x0000_i1226" o:spt="75" type="#_x0000_t75" style="height:20.25pt;width:51.75pt;" o:ole="t" filled="f" o:preferrelative="t" stroked="f" coordsize="21600,21600">
            <v:path/>
            <v:fill on="f" focussize="0,0"/>
            <v:stroke on="f" joinstyle="miter"/>
            <v:imagedata r:id="rId385" o:title=""/>
            <o:lock v:ext="edit" aspectratio="t"/>
            <w10:wrap type="none"/>
            <w10:anchorlock/>
          </v:shape>
          <o:OLEObject Type="Embed" ProgID="Equation.DSMT4" ShapeID="_x0000_i1226" DrawAspect="Content" ObjectID="_1468075933" r:id="rId384">
            <o:LockedField>false</o:LockedField>
          </o:OLEObject>
        </w:object>
      </w:r>
      <w:r>
        <w:rPr>
          <w:rFonts w:eastAsia="Calibri"/>
          <w:sz w:val="28"/>
          <w:szCs w:val="28"/>
        </w:rPr>
        <w:t xml:space="preserve">, баланс этого нового банка будет нулевым. Проблемные или токсичные активы у </w:t>
      </w:r>
      <w:r>
        <w:rPr>
          <w:rFonts w:eastAsia="Calibri"/>
          <w:sz w:val="28"/>
          <w:szCs w:val="28"/>
          <w:lang w:eastAsia="en-US"/>
        </w:rPr>
        <w:t xml:space="preserve">плохого банка </w:t>
      </w:r>
      <w:r>
        <w:rPr>
          <w:position w:val="-6"/>
          <w:sz w:val="28"/>
          <w:szCs w:val="28"/>
        </w:rPr>
        <w:object>
          <v:shape id="_x0000_i1227" o:spt="75" type="#_x0000_t75" style="height:13.5pt;width:9.75pt;" o:ole="t" filled="f" o:preferrelative="t" stroked="f" coordsize="21600,21600">
            <v:path/>
            <v:fill on="f" focussize="0,0"/>
            <v:stroke on="f" joinstyle="miter"/>
            <v:imagedata r:id="rId382" o:title=""/>
            <o:lock v:ext="edit" aspectratio="t"/>
            <w10:wrap type="none"/>
            <w10:anchorlock/>
          </v:shape>
          <o:OLEObject Type="Embed" ProgID="Equation.DSMT4" ShapeID="_x0000_i1227" DrawAspect="Content" ObjectID="_1468075934" r:id="rId386">
            <o:LockedField>false</o:LockedField>
          </o:OLEObject>
        </w:object>
      </w:r>
      <w:r>
        <w:rPr>
          <w:sz w:val="28"/>
          <w:szCs w:val="28"/>
        </w:rPr>
        <w:t xml:space="preserve"> в момент времени </w:t>
      </w:r>
      <w:r>
        <w:rPr>
          <w:position w:val="-6"/>
          <w:sz w:val="28"/>
          <w:szCs w:val="28"/>
        </w:rPr>
        <w:object>
          <v:shape id="_x0000_i1228" o:spt="75" type="#_x0000_t75" style="height:12pt;width:7.5pt;" o:ole="t" filled="f" o:preferrelative="t" stroked="f" coordsize="21600,21600">
            <v:path/>
            <v:fill on="f" focussize="0,0"/>
            <v:stroke on="f" joinstyle="miter"/>
            <v:imagedata r:id="rId380" o:title=""/>
            <o:lock v:ext="edit" aspectratio="t"/>
            <w10:wrap type="none"/>
            <w10:anchorlock/>
          </v:shape>
          <o:OLEObject Type="Embed" ProgID="Equation.DSMT4" ShapeID="_x0000_i1228" DrawAspect="Content" ObjectID="_1468075935" r:id="rId387">
            <o:LockedField>false</o:LockedField>
          </o:OLEObject>
        </w:object>
      </w:r>
      <w:r>
        <w:rPr>
          <w:sz w:val="28"/>
          <w:szCs w:val="28"/>
        </w:rPr>
        <w:t xml:space="preserve"> составят сумму, полученную от банков </w:t>
      </w:r>
      <w:r>
        <w:rPr>
          <w:position w:val="-6"/>
          <w:sz w:val="28"/>
          <w:szCs w:val="28"/>
        </w:rPr>
        <w:object>
          <v:shape id="_x0000_i1229" o:spt="75" type="#_x0000_t75" style="height:11.25pt;width:9.75pt;" o:ole="t" filled="f" o:preferrelative="t" stroked="f" coordsize="21600,21600">
            <v:path/>
            <v:fill on="f" focussize="0,0"/>
            <v:stroke on="f" joinstyle="miter"/>
            <v:imagedata r:id="rId389" o:title=""/>
            <o:lock v:ext="edit" aspectratio="t"/>
            <w10:wrap type="none"/>
            <w10:anchorlock/>
          </v:shape>
          <o:OLEObject Type="Embed" ProgID="Equation.DSMT4" ShapeID="_x0000_i1229" DrawAspect="Content" ObjectID="_1468075936" r:id="rId388">
            <o:LockedField>false</o:LockedField>
          </o:OLEObject>
        </w:object>
      </w:r>
      <w:r>
        <w:rPr>
          <w:sz w:val="28"/>
          <w:szCs w:val="28"/>
        </w:rPr>
        <w:t xml:space="preserve">: </w:t>
      </w:r>
      <w:r>
        <w:rPr>
          <w:position w:val="-14"/>
          <w:sz w:val="28"/>
          <w:szCs w:val="28"/>
        </w:rPr>
        <w:object>
          <v:shape id="_x0000_i1230" o:spt="75" type="#_x0000_t75" style="height:20.25pt;width:74.25pt;" o:ole="t" filled="f" o:preferrelative="t" stroked="f" coordsize="21600,21600">
            <v:path/>
            <v:fill on="f" focussize="0,0"/>
            <v:stroke on="f" joinstyle="miter"/>
            <v:imagedata r:id="rId391" o:title=""/>
            <o:lock v:ext="edit" aspectratio="t"/>
            <w10:wrap type="none"/>
            <w10:anchorlock/>
          </v:shape>
          <o:OLEObject Type="Embed" ProgID="Equation.DSMT4" ShapeID="_x0000_i1230" DrawAspect="Content" ObjectID="_1468075937" r:id="rId390">
            <o:LockedField>false</o:LockedField>
          </o:OLEObject>
        </w:object>
      </w:r>
    </w:p>
    <w:p w14:paraId="3FFAB3E2">
      <w:pPr>
        <w:pStyle w:val="37"/>
        <w:rPr>
          <w:rFonts w:eastAsia="Calibri"/>
          <w:sz w:val="28"/>
          <w:szCs w:val="28"/>
        </w:rPr>
      </w:pPr>
      <w:r>
        <w:rPr>
          <w:rFonts w:eastAsia="Calibri"/>
          <w:sz w:val="28"/>
          <w:szCs w:val="28"/>
        </w:rPr>
        <w:t xml:space="preserve">Данные «токсичные» активы в баланс «плохого» банка </w:t>
      </w:r>
      <w:r>
        <w:rPr>
          <w:position w:val="-6"/>
          <w:sz w:val="28"/>
          <w:szCs w:val="28"/>
        </w:rPr>
        <w:object>
          <v:shape id="_x0000_i1231" o:spt="75" type="#_x0000_t75" style="height:13.5pt;width:9.75pt;" o:ole="t" filled="f" o:preferrelative="t" stroked="f" coordsize="21600,21600">
            <v:path/>
            <v:fill on="f" focussize="0,0"/>
            <v:stroke on="f" joinstyle="miter"/>
            <v:imagedata r:id="rId382" o:title=""/>
            <o:lock v:ext="edit" aspectratio="t"/>
            <w10:wrap type="none"/>
            <w10:anchorlock/>
          </v:shape>
          <o:OLEObject Type="Embed" ProgID="Equation.DSMT4" ShapeID="_x0000_i1231" DrawAspect="Content" ObjectID="_1468075938" r:id="rId392">
            <o:LockedField>false</o:LockedField>
          </o:OLEObject>
        </w:object>
      </w:r>
      <w:r>
        <w:rPr>
          <w:rFonts w:eastAsia="Calibri"/>
          <w:sz w:val="28"/>
          <w:szCs w:val="28"/>
        </w:rPr>
        <w:t xml:space="preserve"> входят с переоценкой по величине </w:t>
      </w:r>
      <w:r>
        <w:rPr>
          <w:position w:val="-10"/>
          <w:sz w:val="28"/>
          <w:szCs w:val="28"/>
        </w:rPr>
        <w:object>
          <v:shape id="_x0000_i1232" o:spt="75" type="#_x0000_t75" style="height:13.5pt;width:11.25pt;" o:ole="t" filled="f" o:preferrelative="t" stroked="f" coordsize="21600,21600">
            <v:path/>
            <v:fill on="f" focussize="0,0"/>
            <v:stroke on="f" joinstyle="miter"/>
            <v:imagedata r:id="rId394" o:title=""/>
            <o:lock v:ext="edit" aspectratio="t"/>
            <w10:wrap type="none"/>
            <w10:anchorlock/>
          </v:shape>
          <o:OLEObject Type="Embed" ProgID="Equation.DSMT4" ShapeID="_x0000_i1232" DrawAspect="Content" ObjectID="_1468075939" r:id="rId393">
            <o:LockedField>false</o:LockedField>
          </o:OLEObject>
        </w:object>
      </w:r>
      <w:r>
        <w:rPr>
          <w:rFonts w:eastAsia="Calibri"/>
          <w:sz w:val="28"/>
          <w:szCs w:val="28"/>
        </w:rPr>
        <w:t xml:space="preserve"> ожидаемого возврата денежных средств. </w:t>
      </w:r>
    </w:p>
    <w:p w14:paraId="0FD3B07C">
      <w:pPr>
        <w:pStyle w:val="37"/>
        <w:ind w:firstLine="0"/>
        <w:rPr>
          <w:rFonts w:eastAsia="Calibri"/>
          <w:sz w:val="28"/>
          <w:szCs w:val="28"/>
        </w:rPr>
      </w:pPr>
    </w:p>
    <w:p w14:paraId="47262E2F">
      <w:pPr>
        <w:pStyle w:val="37"/>
        <w:ind w:firstLine="709"/>
        <w:jc w:val="left"/>
        <w:outlineLvl w:val="1"/>
        <w:rPr>
          <w:rFonts w:eastAsia="Calibri"/>
          <w:b/>
          <w:bCs/>
          <w:sz w:val="28"/>
          <w:szCs w:val="28"/>
        </w:rPr>
      </w:pPr>
      <w:bookmarkStart w:id="22" w:name="_Toc219671666"/>
      <w:r>
        <w:rPr>
          <w:rFonts w:eastAsia="Calibri"/>
          <w:b/>
          <w:bCs/>
          <w:sz w:val="28"/>
          <w:szCs w:val="28"/>
        </w:rPr>
        <w:t>а. Нет передачи токсичных активов, нет новых ссуд (схема 0)</w:t>
      </w:r>
      <w:bookmarkEnd w:id="22"/>
    </w:p>
    <w:p w14:paraId="1EC69033">
      <w:pPr>
        <w:pStyle w:val="37"/>
        <w:outlineLvl w:val="1"/>
        <w:rPr>
          <w:rFonts w:eastAsia="Calibri"/>
          <w:b/>
          <w:bCs/>
          <w:i/>
          <w:iCs/>
          <w:sz w:val="28"/>
          <w:szCs w:val="28"/>
        </w:rPr>
      </w:pPr>
      <w:r>
        <w:rPr>
          <w:rFonts w:eastAsia="Calibri"/>
          <w:b/>
          <w:bCs/>
          <w:i/>
          <w:iCs/>
          <w:sz w:val="28"/>
          <w:szCs w:val="28"/>
        </w:rPr>
        <w:t xml:space="preserve"> </w:t>
      </w:r>
    </w:p>
    <w:p w14:paraId="4296C72C">
      <w:pPr>
        <w:pStyle w:val="37"/>
        <w:rPr>
          <w:rFonts w:eastAsia="Calibri"/>
          <w:sz w:val="28"/>
          <w:szCs w:val="28"/>
        </w:rPr>
      </w:pPr>
      <w:r>
        <w:rPr>
          <w:rFonts w:eastAsia="Calibri"/>
          <w:sz w:val="28"/>
          <w:szCs w:val="28"/>
        </w:rPr>
        <w:t xml:space="preserve">В соответствии со схемой разделения банков на плохой и хороший </w:t>
      </w:r>
      <w:r>
        <w:rPr>
          <w:rFonts w:eastAsia="Calibri"/>
          <w:sz w:val="28"/>
          <w:szCs w:val="28"/>
          <w:lang w:eastAsia="en-US"/>
        </w:rPr>
        <w:t xml:space="preserve">баланс банка </w:t>
      </w:r>
      <w:r>
        <w:rPr>
          <w:position w:val="-6"/>
          <w:sz w:val="28"/>
          <w:szCs w:val="28"/>
        </w:rPr>
        <w:object>
          <v:shape id="_x0000_i1233" o:spt="75" type="#_x0000_t75" style="height:13.5pt;width:9.75pt;" o:ole="t" filled="f" o:preferrelative="t" stroked="f" coordsize="21600,21600">
            <v:path/>
            <v:fill on="f" focussize="0,0"/>
            <v:stroke on="f" joinstyle="miter"/>
            <v:imagedata r:id="rId382" o:title=""/>
            <o:lock v:ext="edit" aspectratio="t"/>
            <w10:wrap type="none"/>
            <w10:anchorlock/>
          </v:shape>
          <o:OLEObject Type="Embed" ProgID="Equation.DSMT4" ShapeID="_x0000_i1233" DrawAspect="Content" ObjectID="_1468075940" r:id="rId395">
            <o:LockedField>false</o:LockedField>
          </o:OLEObject>
        </w:object>
      </w:r>
      <w:r>
        <w:rPr>
          <w:rFonts w:eastAsia="Calibri"/>
          <w:sz w:val="28"/>
          <w:szCs w:val="28"/>
          <w:lang w:eastAsia="en-US"/>
        </w:rPr>
        <w:t xml:space="preserve"> в остатках содержит оценку возврата от проблемных активов. Здесь мы считаем, что эти проблемные активы возникли из-за кредитов производителям </w:t>
      </w:r>
      <w:r>
        <w:rPr>
          <w:position w:val="-14"/>
          <w:sz w:val="28"/>
          <w:szCs w:val="28"/>
        </w:rPr>
        <w:object>
          <v:shape id="_x0000_i1234" o:spt="75" type="#_x0000_t75" style="height:20.25pt;width:74.25pt;" o:ole="t" filled="f" o:preferrelative="t" stroked="f" coordsize="21600,21600">
            <v:path/>
            <v:fill on="f" focussize="0,0"/>
            <v:stroke on="f" joinstyle="miter"/>
            <v:imagedata r:id="rId391" o:title=""/>
            <o:lock v:ext="edit" aspectratio="t"/>
            <w10:wrap type="none"/>
            <w10:anchorlock/>
          </v:shape>
          <o:OLEObject Type="Embed" ProgID="Equation.DSMT4" ShapeID="_x0000_i1234" DrawAspect="Content" ObjectID="_1468075941" r:id="rId396">
            <o:LockedField>false</o:LockedField>
          </o:OLEObject>
        </w:object>
      </w:r>
      <m:oMath>
        <m:r>
          <m:rPr>
            <m:sty m:val="p"/>
          </m:rPr>
          <w:rPr>
            <w:rFonts w:ascii="Cambria Math" w:hAnsi="Cambria Math" w:eastAsia="Calibri"/>
            <w:sz w:val="28"/>
            <w:szCs w:val="28"/>
            <w:lang w:eastAsia="en-US"/>
          </w:rPr>
          <m:t>,</m:t>
        </m:r>
      </m:oMath>
      <w:r>
        <w:rPr>
          <w:rFonts w:eastAsia="Calibri"/>
          <w:sz w:val="28"/>
          <w:szCs w:val="28"/>
          <w:lang w:eastAsia="en-US"/>
        </w:rPr>
        <w:t xml:space="preserve"> попавшим в результате кризиса в сложную ситуацию, а государство не желает их разорения. Пусть снова </w:t>
      </w:r>
      <w:r>
        <w:rPr>
          <w:position w:val="-10"/>
          <w:sz w:val="28"/>
          <w:szCs w:val="28"/>
        </w:rPr>
        <w:object>
          <v:shape id="_x0000_i1235" o:spt="75" type="#_x0000_t75" style="height:16.5pt;width:27pt;" o:ole="t" filled="f" o:preferrelative="t" stroked="f" coordsize="21600,21600">
            <v:path/>
            <v:fill on="f" focussize="0,0"/>
            <v:stroke on="f" joinstyle="miter"/>
            <v:imagedata r:id="rId398" o:title=""/>
            <o:lock v:ext="edit" aspectratio="t"/>
            <w10:wrap type="none"/>
            <w10:anchorlock/>
          </v:shape>
          <o:OLEObject Type="Embed" ProgID="Equation.DSMT4" ShapeID="_x0000_i1235" DrawAspect="Content" ObjectID="_1468075942" r:id="rId397">
            <o:LockedField>false</o:LockedField>
          </o:OLEObject>
        </w:object>
      </w:r>
      <w:r>
        <w:rPr>
          <w:rFonts w:eastAsia="Calibri"/>
          <w:sz w:val="28"/>
          <w:szCs w:val="28"/>
          <w:lang w:eastAsia="en-US"/>
        </w:rPr>
        <w:t xml:space="preserve"> </w:t>
      </w:r>
      <w:r>
        <w:rPr>
          <w:rFonts w:eastAsia="Calibri"/>
          <w:sz w:val="28"/>
          <w:szCs w:val="28"/>
        </w:rPr>
        <w:t xml:space="preserve">– вероятность возврата производителями кредита </w:t>
      </w:r>
      <w:r>
        <w:rPr>
          <w:position w:val="-14"/>
          <w:sz w:val="28"/>
          <w:szCs w:val="28"/>
        </w:rPr>
        <w:object>
          <v:shape id="_x0000_i1236" o:spt="75" type="#_x0000_t75" style="height:19.5pt;width:33pt;" o:ole="t" filled="f" o:preferrelative="t" stroked="f" coordsize="21600,21600">
            <v:path/>
            <v:fill on="f" focussize="0,0"/>
            <v:stroke on="f" joinstyle="miter"/>
            <v:imagedata r:id="rId400" o:title=""/>
            <o:lock v:ext="edit" aspectratio="t"/>
            <w10:wrap type="none"/>
            <w10:anchorlock/>
          </v:shape>
          <o:OLEObject Type="Embed" ProgID="Equation.DSMT4" ShapeID="_x0000_i1236" DrawAspect="Content" ObjectID="_1468075943" r:id="rId399">
            <o:LockedField>false</o:LockedField>
          </o:OLEObject>
        </w:object>
      </w:r>
      <w:r>
        <w:rPr>
          <w:rFonts w:eastAsia="Calibri"/>
          <w:sz w:val="28"/>
          <w:szCs w:val="28"/>
          <w:lang w:eastAsia="en-US"/>
        </w:rPr>
        <w:t xml:space="preserve"> через промежуток времени </w:t>
      </w:r>
      <w:r>
        <w:rPr>
          <w:position w:val="-10"/>
          <w:sz w:val="28"/>
          <w:szCs w:val="28"/>
        </w:rPr>
        <w:object>
          <v:shape id="_x0000_i1237" o:spt="75" type="#_x0000_t75" style="height:13.5pt;width:12pt;" o:ole="t" filled="f" o:preferrelative="t" stroked="f" coordsize="21600,21600">
            <v:path/>
            <v:fill on="f" focussize="0,0"/>
            <v:stroke on="f" joinstyle="miter"/>
            <v:imagedata r:id="rId402" o:title=""/>
            <o:lock v:ext="edit" aspectratio="t"/>
            <w10:wrap type="none"/>
            <w10:anchorlock/>
          </v:shape>
          <o:OLEObject Type="Embed" ProgID="Equation.DSMT4" ShapeID="_x0000_i1237" DrawAspect="Content" ObjectID="_1468075944" r:id="rId401">
            <o:LockedField>false</o:LockedField>
          </o:OLEObject>
        </w:object>
      </w:r>
      <w:r>
        <w:rPr>
          <w:rFonts w:eastAsia="Calibri"/>
          <w:sz w:val="28"/>
          <w:szCs w:val="28"/>
          <w:lang w:eastAsia="en-US"/>
        </w:rPr>
        <w:t xml:space="preserve"> </w:t>
      </w:r>
      <w:r>
        <w:rPr>
          <w:rFonts w:eastAsia="Calibri"/>
          <w:sz w:val="28"/>
          <w:szCs w:val="28"/>
        </w:rPr>
        <w:t xml:space="preserve">срок созревания активов. Тогда переоцененные после перемещения из банков </w:t>
      </w:r>
      <w:r>
        <w:rPr>
          <w:position w:val="-6"/>
          <w:sz w:val="28"/>
          <w:szCs w:val="28"/>
        </w:rPr>
        <w:object>
          <v:shape id="_x0000_i1238" o:spt="75" type="#_x0000_t75" style="height:11.25pt;width:9.75pt;" o:ole="t" filled="f" o:preferrelative="t" stroked="f" coordsize="21600,21600">
            <v:path/>
            <v:fill on="f" focussize="0,0"/>
            <v:stroke on="f" joinstyle="miter"/>
            <v:imagedata r:id="rId389" o:title=""/>
            <o:lock v:ext="edit" aspectratio="t"/>
            <w10:wrap type="none"/>
            <w10:anchorlock/>
          </v:shape>
          <o:OLEObject Type="Embed" ProgID="Equation.DSMT4" ShapeID="_x0000_i1238" DrawAspect="Content" ObjectID="_1468075945" r:id="rId403">
            <o:LockedField>false</o:LockedField>
          </o:OLEObject>
        </w:object>
      </w:r>
      <w:r>
        <w:rPr>
          <w:rFonts w:eastAsia="Calibri"/>
          <w:sz w:val="28"/>
          <w:szCs w:val="28"/>
        </w:rPr>
        <w:t xml:space="preserve"> в банк </w:t>
      </w:r>
      <w:r>
        <w:rPr>
          <w:position w:val="-6"/>
          <w:sz w:val="28"/>
          <w:szCs w:val="28"/>
        </w:rPr>
        <w:object>
          <v:shape id="_x0000_i1239" o:spt="75" type="#_x0000_t75" style="height:13.5pt;width:9.75pt;" o:ole="t" filled="f" o:preferrelative="t" stroked="f" coordsize="21600,21600">
            <v:path/>
            <v:fill on="f" focussize="0,0"/>
            <v:stroke on="f" joinstyle="miter"/>
            <v:imagedata r:id="rId382" o:title=""/>
            <o:lock v:ext="edit" aspectratio="t"/>
            <w10:wrap type="none"/>
            <w10:anchorlock/>
          </v:shape>
          <o:OLEObject Type="Embed" ProgID="Equation.DSMT4" ShapeID="_x0000_i1239" DrawAspect="Content" ObjectID="_1468075946" r:id="rId404">
            <o:LockedField>false</o:LockedField>
          </o:OLEObject>
        </w:object>
      </w:r>
      <w:r>
        <w:rPr>
          <w:rFonts w:eastAsia="Calibri"/>
          <w:sz w:val="28"/>
          <w:szCs w:val="28"/>
        </w:rPr>
        <w:t xml:space="preserve"> проблемные (токсичные) активы составляют величину </w:t>
      </w:r>
      <w:r>
        <w:rPr>
          <w:position w:val="-14"/>
          <w:sz w:val="28"/>
          <w:szCs w:val="28"/>
        </w:rPr>
        <w:object>
          <v:shape id="_x0000_i1240" o:spt="75" type="#_x0000_t75" style="height:19.5pt;width:43.5pt;" o:ole="t" filled="f" o:preferrelative="t" stroked="f" coordsize="21600,21600">
            <v:path/>
            <v:fill on="f" focussize="0,0"/>
            <v:stroke on="f" joinstyle="miter"/>
            <v:imagedata r:id="rId406" o:title=""/>
            <o:lock v:ext="edit" aspectratio="t"/>
            <w10:wrap type="none"/>
            <w10:anchorlock/>
          </v:shape>
          <o:OLEObject Type="Embed" ProgID="Equation.DSMT4" ShapeID="_x0000_i1240" DrawAspect="Content" ObjectID="_1468075947" r:id="rId405">
            <o:LockedField>false</o:LockedField>
          </o:OLEObject>
        </w:object>
      </w:r>
      <w:r>
        <w:rPr>
          <w:rFonts w:eastAsia="Calibri"/>
          <w:sz w:val="28"/>
          <w:szCs w:val="28"/>
          <w:lang w:eastAsia="en-US"/>
        </w:rPr>
        <w:t xml:space="preserve"> </w:t>
      </w:r>
      <w:r>
        <w:rPr>
          <w:rFonts w:eastAsia="Calibri"/>
          <w:sz w:val="28"/>
          <w:szCs w:val="28"/>
        </w:rPr>
        <w:t xml:space="preserve">В соответствии со схемой выделения «плохого» банка в момент выделения </w:t>
      </w:r>
      <w:r>
        <w:rPr>
          <w:position w:val="-6"/>
          <w:sz w:val="28"/>
          <w:szCs w:val="28"/>
        </w:rPr>
        <w:object>
          <v:shape id="_x0000_i1241" o:spt="75" type="#_x0000_t75" style="height:12pt;width:7.5pt;" o:ole="t" filled="f" o:preferrelative="t" stroked="f" coordsize="21600,21600">
            <v:path/>
            <v:fill on="f" focussize="0,0"/>
            <v:stroke on="f" joinstyle="miter"/>
            <v:imagedata r:id="rId408" o:title=""/>
            <o:lock v:ext="edit" aspectratio="t"/>
            <w10:wrap type="none"/>
            <w10:anchorlock/>
          </v:shape>
          <o:OLEObject Type="Embed" ProgID="Equation.DSMT4" ShapeID="_x0000_i1241" DrawAspect="Content" ObjectID="_1468075948" r:id="rId407">
            <o:LockedField>false</o:LockedField>
          </o:OLEObject>
        </w:object>
      </w:r>
      <w:r>
        <w:rPr>
          <w:rFonts w:eastAsia="Calibri"/>
          <w:sz w:val="28"/>
          <w:szCs w:val="28"/>
        </w:rPr>
        <w:t xml:space="preserve"> баланс </w:t>
      </w:r>
      <w:r>
        <w:rPr>
          <w:rFonts w:eastAsia="Calibri"/>
          <w:sz w:val="28"/>
          <w:szCs w:val="28"/>
          <w:lang w:eastAsia="en-US"/>
        </w:rPr>
        <w:t xml:space="preserve">банка </w:t>
      </w:r>
      <w:r>
        <w:rPr>
          <w:position w:val="-6"/>
          <w:sz w:val="28"/>
          <w:szCs w:val="28"/>
        </w:rPr>
        <w:object>
          <v:shape id="_x0000_i1242" o:spt="75" type="#_x0000_t75" style="height:13.5pt;width:9.75pt;" o:ole="t" filled="f" o:preferrelative="t" stroked="f" coordsize="21600,21600">
            <v:path/>
            <v:fill on="f" focussize="0,0"/>
            <v:stroke on="f" joinstyle="miter"/>
            <v:imagedata r:id="rId382" o:title=""/>
            <o:lock v:ext="edit" aspectratio="t"/>
            <w10:wrap type="none"/>
            <w10:anchorlock/>
          </v:shape>
          <o:OLEObject Type="Embed" ProgID="Equation.DSMT4" ShapeID="_x0000_i1242" DrawAspect="Content" ObjectID="_1468075949" r:id="rId409">
            <o:LockedField>false</o:LockedField>
          </o:OLEObject>
        </w:object>
      </w:r>
      <w:r>
        <w:rPr>
          <w:rFonts w:eastAsia="Calibri"/>
          <w:sz w:val="28"/>
          <w:szCs w:val="28"/>
          <w:lang w:eastAsia="en-US"/>
        </w:rPr>
        <w:t xml:space="preserve"> </w:t>
      </w:r>
      <w:r>
        <w:rPr>
          <w:rFonts w:eastAsia="Calibri"/>
          <w:sz w:val="28"/>
          <w:szCs w:val="28"/>
        </w:rPr>
        <w:t>не содержит обязательных резервов в центральном банке.</w:t>
      </w:r>
      <w:r>
        <w:rPr>
          <w:rFonts w:eastAsia="Calibri"/>
          <w:sz w:val="28"/>
          <w:szCs w:val="28"/>
          <w:lang w:eastAsia="en-US"/>
        </w:rPr>
        <w:t xml:space="preserve"> Пассивы банка </w:t>
      </w:r>
      <w:r>
        <w:rPr>
          <w:position w:val="-6"/>
          <w:sz w:val="28"/>
          <w:szCs w:val="28"/>
        </w:rPr>
        <w:object>
          <v:shape id="_x0000_i1243" o:spt="75" type="#_x0000_t75" style="height:13.5pt;width:9.75pt;" o:ole="t" filled="f" o:preferrelative="t" stroked="f" coordsize="21600,21600">
            <v:path/>
            <v:fill on="f" focussize="0,0"/>
            <v:stroke on="f" joinstyle="miter"/>
            <v:imagedata r:id="rId382" o:title=""/>
            <o:lock v:ext="edit" aspectratio="t"/>
            <w10:wrap type="none"/>
            <w10:anchorlock/>
          </v:shape>
          <o:OLEObject Type="Embed" ProgID="Equation.DSMT4" ShapeID="_x0000_i1243" DrawAspect="Content" ObjectID="_1468075950" r:id="rId410">
            <o:LockedField>false</o:LockedField>
          </o:OLEObject>
        </w:object>
      </w:r>
      <w:r>
        <w:rPr>
          <w:rFonts w:eastAsia="Calibri"/>
          <w:sz w:val="28"/>
          <w:szCs w:val="28"/>
          <w:lang w:eastAsia="en-US"/>
        </w:rPr>
        <w:t xml:space="preserve"> складываются из депозитов домашних хозяйств </w:t>
      </w:r>
      <w:r>
        <w:rPr>
          <w:position w:val="-14"/>
          <w:sz w:val="28"/>
          <w:szCs w:val="28"/>
        </w:rPr>
        <w:object>
          <v:shape id="_x0000_i1244" o:spt="75" type="#_x0000_t75" style="height:19.5pt;width:33pt;" o:ole="t" filled="f" o:preferrelative="t" stroked="f" coordsize="21600,21600">
            <v:path/>
            <v:fill on="f" focussize="0,0"/>
            <v:stroke on="f" joinstyle="miter"/>
            <v:imagedata r:id="rId412" o:title=""/>
            <o:lock v:ext="edit" aspectratio="t"/>
            <w10:wrap type="none"/>
            <w10:anchorlock/>
          </v:shape>
          <o:OLEObject Type="Embed" ProgID="Equation.DSMT4" ShapeID="_x0000_i1244" DrawAspect="Content" ObjectID="_1468075951" r:id="rId411">
            <o:LockedField>false</o:LockedField>
          </o:OLEObject>
        </w:object>
      </w:r>
      <w:r>
        <w:rPr>
          <w:rFonts w:eastAsia="Calibri"/>
          <w:sz w:val="28"/>
          <w:szCs w:val="28"/>
          <w:lang w:eastAsia="en-US"/>
        </w:rPr>
        <w:t xml:space="preserve"> и собственного капитала </w:t>
      </w:r>
      <w:r>
        <w:rPr>
          <w:position w:val="-14"/>
          <w:sz w:val="28"/>
          <w:szCs w:val="28"/>
        </w:rPr>
        <w:object>
          <v:shape id="_x0000_i1245" o:spt="75" type="#_x0000_t75" style="height:19.5pt;width:34.5pt;" o:ole="t" filled="f" o:preferrelative="t" stroked="f" coordsize="21600,21600">
            <v:path/>
            <v:fill on="f" focussize="0,0"/>
            <v:stroke on="f" joinstyle="miter"/>
            <v:imagedata r:id="rId414" o:title=""/>
            <o:lock v:ext="edit" aspectratio="t"/>
            <w10:wrap type="none"/>
            <w10:anchorlock/>
          </v:shape>
          <o:OLEObject Type="Embed" ProgID="Equation.DSMT4" ShapeID="_x0000_i1245" DrawAspect="Content" ObjectID="_1468075952" r:id="rId413">
            <o:LockedField>false</o:LockedField>
          </o:OLEObject>
        </w:object>
      </w:r>
      <w:r>
        <w:rPr>
          <w:rFonts w:eastAsia="Calibri"/>
          <w:sz w:val="28"/>
          <w:szCs w:val="28"/>
        </w:rPr>
        <w:t xml:space="preserve"> Таким образом, баланс банка </w:t>
      </w:r>
      <w:r>
        <w:rPr>
          <w:position w:val="-6"/>
          <w:sz w:val="28"/>
          <w:szCs w:val="28"/>
        </w:rPr>
        <w:object>
          <v:shape id="_x0000_i1246" o:spt="75" type="#_x0000_t75" style="height:13.5pt;width:9.75pt;" o:ole="t" filled="f" o:preferrelative="t" stroked="f" coordsize="21600,21600">
            <v:path/>
            <v:fill on="f" focussize="0,0"/>
            <v:stroke on="f" joinstyle="miter"/>
            <v:imagedata r:id="rId382" o:title=""/>
            <o:lock v:ext="edit" aspectratio="t"/>
            <w10:wrap type="none"/>
            <w10:anchorlock/>
          </v:shape>
          <o:OLEObject Type="Embed" ProgID="Equation.DSMT4" ShapeID="_x0000_i1246" DrawAspect="Content" ObjectID="_1468075953" r:id="rId415">
            <o:LockedField>false</o:LockedField>
          </o:OLEObject>
        </w:object>
      </w:r>
      <w:r>
        <w:rPr>
          <w:rFonts w:eastAsia="Calibri"/>
          <w:sz w:val="28"/>
          <w:szCs w:val="28"/>
        </w:rPr>
        <w:t xml:space="preserve"> в момент его выделения </w:t>
      </w:r>
      <w:r>
        <w:rPr>
          <w:position w:val="-6"/>
          <w:sz w:val="28"/>
          <w:szCs w:val="28"/>
        </w:rPr>
        <w:object>
          <v:shape id="_x0000_i1247" o:spt="75" type="#_x0000_t75" style="height:12pt;width:7.5pt;" o:ole="t" filled="f" o:preferrelative="t" stroked="f" coordsize="21600,21600">
            <v:path/>
            <v:fill on="f" focussize="0,0"/>
            <v:stroke on="f" joinstyle="miter"/>
            <v:imagedata r:id="rId408" o:title=""/>
            <o:lock v:ext="edit" aspectratio="t"/>
            <w10:wrap type="none"/>
            <w10:anchorlock/>
          </v:shape>
          <o:OLEObject Type="Embed" ProgID="Equation.DSMT4" ShapeID="_x0000_i1247" DrawAspect="Content" ObjectID="_1468075954" r:id="rId416">
            <o:LockedField>false</o:LockedField>
          </o:OLEObject>
        </w:object>
      </w:r>
      <w:r>
        <w:rPr>
          <w:sz w:val="28"/>
          <w:szCs w:val="28"/>
        </w:rPr>
        <w:t xml:space="preserve"> </w:t>
      </w:r>
    </w:p>
    <w:p w14:paraId="2D63CA3D">
      <w:pPr>
        <w:pStyle w:val="37"/>
        <w:rPr>
          <w:rFonts w:eastAsia="Calibri"/>
          <w:sz w:val="28"/>
          <w:szCs w:val="28"/>
          <w:lang w:eastAsia="en-US"/>
        </w:rPr>
      </w:pPr>
    </w:p>
    <w:p w14:paraId="6852452C">
      <w:pPr>
        <w:pStyle w:val="38"/>
        <w:spacing w:before="0" w:after="0"/>
        <w:jc w:val="center"/>
        <w:rPr>
          <w:sz w:val="28"/>
          <w:szCs w:val="28"/>
        </w:rPr>
      </w:pPr>
      <w:r>
        <w:rPr>
          <w:sz w:val="28"/>
          <w:szCs w:val="28"/>
        </w:rPr>
        <w:t xml:space="preserve">                                  </w:t>
      </w:r>
      <w:r>
        <w:rPr>
          <w:position w:val="-14"/>
          <w:sz w:val="28"/>
          <w:szCs w:val="28"/>
        </w:rPr>
        <w:object>
          <v:shape id="_x0000_i1248" o:spt="75" type="#_x0000_t75" style="height:22.5pt;width:126pt;" o:ole="t" filled="f" o:preferrelative="t" stroked="f" coordsize="21600,21600">
            <v:path/>
            <v:fill on="f" focussize="0,0"/>
            <v:stroke on="f" joinstyle="miter"/>
            <v:imagedata r:id="rId418" o:title=""/>
            <o:lock v:ext="edit" aspectratio="t"/>
            <w10:wrap type="none"/>
            <w10:anchorlock/>
          </v:shape>
          <o:OLEObject Type="Embed" ProgID="Equation.DSMT4" ShapeID="_x0000_i1248" DrawAspect="Content" ObjectID="_1468075955" r:id="rId417">
            <o:LockedField>false</o:LockedField>
          </o:OLEObject>
        </w:object>
      </w:r>
      <w:r>
        <w:rPr>
          <w:sz w:val="28"/>
          <w:szCs w:val="28"/>
        </w:rPr>
        <w:tab/>
      </w:r>
      <w:r>
        <w:rPr>
          <w:sz w:val="28"/>
          <w:szCs w:val="28"/>
        </w:rPr>
        <w:t xml:space="preserve">                           (21)</w:t>
      </w:r>
    </w:p>
    <w:p w14:paraId="37349FF9">
      <w:pPr>
        <w:pStyle w:val="37"/>
        <w:ind w:firstLine="0"/>
        <w:rPr>
          <w:rFonts w:eastAsia="Calibri"/>
          <w:sz w:val="28"/>
          <w:szCs w:val="28"/>
          <w:lang w:eastAsia="en-US"/>
        </w:rPr>
      </w:pPr>
    </w:p>
    <w:p w14:paraId="78E9D803">
      <w:pPr>
        <w:pStyle w:val="37"/>
        <w:rPr>
          <w:rFonts w:eastAsia="Calibri"/>
          <w:sz w:val="28"/>
          <w:szCs w:val="28"/>
        </w:rPr>
      </w:pPr>
      <w:r>
        <w:rPr>
          <w:rFonts w:eastAsia="Calibri"/>
          <w:sz w:val="28"/>
          <w:szCs w:val="28"/>
        </w:rPr>
        <w:t xml:space="preserve">Считаем в соответствии с [Hauck et al. 2015], что процентные платежи в «плохом» банке </w:t>
      </w:r>
      <m:oMath>
        <m:r>
          <m:rPr/>
          <w:rPr>
            <w:rFonts w:ascii="Cambria Math" w:hAnsi="Cambria Math"/>
            <w:sz w:val="28"/>
            <w:szCs w:val="28"/>
          </w:rPr>
          <m:t>b</m:t>
        </m:r>
      </m:oMath>
      <w:r>
        <w:rPr>
          <w:rFonts w:eastAsia="Calibri"/>
          <w:sz w:val="28"/>
          <w:szCs w:val="28"/>
        </w:rPr>
        <w:t xml:space="preserve"> не начисляются ни на кредиты </w:t>
      </w:r>
      <w:r>
        <w:rPr>
          <w:position w:val="-4"/>
          <w:sz w:val="28"/>
          <w:szCs w:val="28"/>
        </w:rPr>
        <w:object>
          <v:shape id="_x0000_i1249" o:spt="75" type="#_x0000_t75" style="height:15pt;width:16.5pt;" o:ole="t" filled="f" o:preferrelative="t" stroked="f" coordsize="21600,21600">
            <v:path/>
            <v:fill on="f" focussize="0,0"/>
            <v:stroke on="f" joinstyle="miter"/>
            <v:imagedata r:id="rId420" o:title=""/>
            <o:lock v:ext="edit" aspectratio="t"/>
            <w10:wrap type="none"/>
            <w10:anchorlock/>
          </v:shape>
          <o:OLEObject Type="Embed" ProgID="Equation.DSMT4" ShapeID="_x0000_i1249" DrawAspect="Content" ObjectID="_1468075956" r:id="rId419">
            <o:LockedField>false</o:LockedField>
          </o:OLEObject>
        </w:object>
      </w:r>
      <w:r>
        <w:rPr>
          <w:rFonts w:eastAsia="Calibri"/>
          <w:sz w:val="28"/>
          <w:szCs w:val="28"/>
        </w:rPr>
        <w:t xml:space="preserve">, ни на депозиты </w:t>
      </w:r>
      <w:r>
        <w:rPr>
          <w:position w:val="-6"/>
          <w:sz w:val="28"/>
          <w:szCs w:val="28"/>
        </w:rPr>
        <w:object>
          <v:shape id="_x0000_i1250" o:spt="75" type="#_x0000_t75" style="height:16.5pt;width:19.5pt;" o:ole="t" filled="f" o:preferrelative="t" stroked="f" coordsize="21600,21600">
            <v:path/>
            <v:fill on="f" focussize="0,0"/>
            <v:stroke on="f" joinstyle="miter"/>
            <v:imagedata r:id="rId422" o:title=""/>
            <o:lock v:ext="edit" aspectratio="t"/>
            <w10:wrap type="none"/>
            <w10:anchorlock/>
          </v:shape>
          <o:OLEObject Type="Embed" ProgID="Equation.DSMT4" ShapeID="_x0000_i1250" DrawAspect="Content" ObjectID="_1468075957" r:id="rId421">
            <o:LockedField>false</o:LockedField>
          </o:OLEObject>
        </w:object>
      </w:r>
    </w:p>
    <w:p w14:paraId="3E10F303">
      <w:pPr>
        <w:pStyle w:val="37"/>
        <w:rPr>
          <w:rFonts w:eastAsia="Calibri"/>
          <w:sz w:val="28"/>
          <w:szCs w:val="28"/>
          <w:lang w:eastAsia="en-US"/>
        </w:rPr>
      </w:pPr>
      <w:r>
        <w:rPr>
          <w:rFonts w:eastAsia="Calibri"/>
          <w:sz w:val="28"/>
          <w:szCs w:val="28"/>
          <w:lang w:eastAsia="en-US"/>
        </w:rPr>
        <w:t xml:space="preserve">Пусть </w:t>
      </w:r>
      <m:oMath>
        <m:r>
          <m:rPr/>
          <w:rPr>
            <w:rFonts w:ascii="Cambria Math" w:hAnsi="Cambria Math"/>
            <w:sz w:val="28"/>
            <w:szCs w:val="28"/>
          </w:rPr>
          <m:t>η</m:t>
        </m:r>
      </m:oMath>
      <w:r>
        <w:rPr>
          <w:rFonts w:eastAsia="Calibri"/>
          <w:sz w:val="28"/>
          <w:szCs w:val="28"/>
        </w:rPr>
        <w:t xml:space="preserve"> – норма требований к капиталу, минимальное отношение капитала к рискованным активам, </w:t>
      </w:r>
      <m:oMath>
        <m:r>
          <m:rPr/>
          <w:rPr>
            <w:rFonts w:ascii="Cambria Math" w:hAnsi="Cambria Math" w:eastAsia="Calibri"/>
            <w:sz w:val="28"/>
            <w:szCs w:val="28"/>
          </w:rPr>
          <m:t>0&lt;</m:t>
        </m:r>
        <m:r>
          <m:rPr/>
          <w:rPr>
            <w:rFonts w:ascii="Cambria Math" w:hAnsi="Cambria Math"/>
            <w:sz w:val="28"/>
            <w:szCs w:val="28"/>
          </w:rPr>
          <m:t>η&lt;1</m:t>
        </m:r>
      </m:oMath>
      <w:r>
        <w:rPr>
          <w:rFonts w:eastAsia="Calibri"/>
          <w:sz w:val="28"/>
          <w:szCs w:val="28"/>
        </w:rPr>
        <w:t xml:space="preserve">. В момент времени </w:t>
      </w:r>
      <m:oMath>
        <m:r>
          <m:rPr/>
          <w:rPr>
            <w:rFonts w:ascii="Cambria Math" w:hAnsi="Cambria Math" w:eastAsia="Calibri"/>
            <w:sz w:val="28"/>
            <w:szCs w:val="28"/>
            <w:lang w:eastAsia="en-US"/>
          </w:rPr>
          <m:t>t</m:t>
        </m:r>
      </m:oMath>
      <w:r>
        <w:rPr>
          <w:rFonts w:eastAsia="Calibri"/>
          <w:sz w:val="28"/>
          <w:szCs w:val="28"/>
        </w:rPr>
        <w:t xml:space="preserve"> собственный капитал банка </w:t>
      </w:r>
      <m:oMath>
        <m:r>
          <m:rPr/>
          <w:rPr>
            <w:rFonts w:ascii="Cambria Math" w:hAnsi="Cambria Math"/>
            <w:sz w:val="28"/>
            <w:szCs w:val="28"/>
          </w:rPr>
          <m:t>b</m:t>
        </m:r>
      </m:oMath>
      <w:r>
        <w:rPr>
          <w:rFonts w:eastAsia="Calibri"/>
          <w:sz w:val="28"/>
          <w:szCs w:val="28"/>
        </w:rPr>
        <w:t xml:space="preserve"> в точности удовлетворяет минимальным требованиям к капиталу, </w:t>
      </w:r>
      <m:oMath>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O</m:t>
            </m:r>
            <m:ctrlPr>
              <w:rPr>
                <w:rFonts w:ascii="Cambria Math" w:hAnsi="Cambria Math" w:eastAsia="Calibri"/>
                <w:sz w:val="28"/>
                <w:szCs w:val="28"/>
                <w:lang w:eastAsia="en-US"/>
              </w:rPr>
            </m:ctrlPr>
          </m:e>
          <m:sup>
            <m:r>
              <m:rPr/>
              <w:rPr>
                <w:rFonts w:ascii="Cambria Math" w:hAnsi="Cambria Math" w:eastAsia="Calibri"/>
                <w:sz w:val="28"/>
                <w:szCs w:val="28"/>
                <w:lang w:eastAsia="en-US"/>
              </w:rPr>
              <m:t>b</m:t>
            </m:r>
            <m:ctrlPr>
              <w:rPr>
                <w:rFonts w:ascii="Cambria Math" w:hAnsi="Cambria Math" w:eastAsia="Calibri"/>
                <w:sz w:val="28"/>
                <w:szCs w:val="28"/>
                <w:lang w:eastAsia="en-US"/>
              </w:rPr>
            </m:ctrlPr>
          </m:sup>
        </m:sSup>
        <m:d>
          <m:dPr>
            <m:ctrlPr>
              <w:rPr>
                <w:rFonts w:ascii="Cambria Math" w:hAnsi="Cambria Math" w:eastAsia="Calibri"/>
                <w:sz w:val="28"/>
                <w:szCs w:val="28"/>
                <w:lang w:eastAsia="en-US"/>
              </w:rPr>
            </m:ctrlPr>
          </m:dPr>
          <m:e>
            <m:r>
              <m:rPr>
                <m:sty m:val="p"/>
              </m:rPr>
              <w:rPr>
                <w:rFonts w:ascii="Cambria Math" w:hAnsi="Cambria Math" w:eastAsia="Calibri"/>
                <w:sz w:val="28"/>
                <w:szCs w:val="28"/>
                <w:lang w:eastAsia="en-US"/>
              </w:rPr>
              <m:t>t</m:t>
            </m:r>
            <m:ctrlPr>
              <w:rPr>
                <w:rFonts w:ascii="Cambria Math" w:hAnsi="Cambria Math" w:eastAsia="Calibri"/>
                <w:sz w:val="28"/>
                <w:szCs w:val="28"/>
                <w:lang w:eastAsia="en-US"/>
              </w:rPr>
            </m:ctrlPr>
          </m:e>
        </m:d>
        <m:r>
          <m:rPr>
            <m:sty m:val="p"/>
          </m:rPr>
          <w:rPr>
            <w:rFonts w:ascii="Cambria Math" w:hAnsi="Cambria Math" w:eastAsia="Calibri"/>
            <w:sz w:val="28"/>
            <w:szCs w:val="28"/>
            <w:lang w:eastAsia="en-US"/>
          </w:rPr>
          <m:t>=</m:t>
        </m:r>
        <m:r>
          <m:rPr/>
          <w:rPr>
            <w:rFonts w:ascii="Cambria Math" w:hAnsi="Cambria Math"/>
            <w:sz w:val="28"/>
            <w:szCs w:val="28"/>
          </w:rPr>
          <m:t>η</m:t>
        </m:r>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ρL</m:t>
            </m:r>
            <m:ctrlPr>
              <w:rPr>
                <w:rFonts w:ascii="Cambria Math" w:hAnsi="Cambria Math" w:eastAsia="Calibri"/>
                <w:sz w:val="28"/>
                <w:szCs w:val="28"/>
                <w:lang w:eastAsia="en-US"/>
              </w:rPr>
            </m:ctrlPr>
          </m:e>
          <m:sup>
            <m:r>
              <m:rPr/>
              <w:rPr>
                <w:rFonts w:ascii="Cambria Math" w:hAnsi="Cambria Math" w:eastAsia="Calibri"/>
                <w:sz w:val="28"/>
                <w:szCs w:val="28"/>
                <w:lang w:eastAsia="en-US"/>
              </w:rPr>
              <m:t>bp</m:t>
            </m:r>
            <m:ctrlPr>
              <w:rPr>
                <w:rFonts w:ascii="Cambria Math" w:hAnsi="Cambria Math" w:eastAsia="Calibri"/>
                <w:sz w:val="28"/>
                <w:szCs w:val="28"/>
                <w:lang w:eastAsia="en-US"/>
              </w:rPr>
            </m:ctrlPr>
          </m:sup>
        </m:sSup>
        <m:d>
          <m:dPr>
            <m:ctrlPr>
              <w:rPr>
                <w:rFonts w:ascii="Cambria Math" w:hAnsi="Cambria Math" w:eastAsia="Calibri"/>
                <w:sz w:val="28"/>
                <w:szCs w:val="28"/>
                <w:lang w:eastAsia="en-US"/>
              </w:rPr>
            </m:ctrlPr>
          </m:dPr>
          <m:e>
            <m:r>
              <m:rPr>
                <m:sty m:val="p"/>
              </m:rPr>
              <w:rPr>
                <w:rFonts w:ascii="Cambria Math" w:hAnsi="Cambria Math" w:eastAsia="Calibri"/>
                <w:sz w:val="28"/>
                <w:szCs w:val="28"/>
                <w:lang w:eastAsia="en-US"/>
              </w:rPr>
              <m:t>t</m:t>
            </m:r>
            <m:ctrlPr>
              <w:rPr>
                <w:rFonts w:ascii="Cambria Math" w:hAnsi="Cambria Math" w:eastAsia="Calibri"/>
                <w:sz w:val="28"/>
                <w:szCs w:val="28"/>
                <w:lang w:eastAsia="en-US"/>
              </w:rPr>
            </m:ctrlPr>
          </m:e>
        </m:d>
      </m:oMath>
      <w:r>
        <w:rPr>
          <w:rFonts w:eastAsia="Calibri"/>
          <w:sz w:val="28"/>
          <w:szCs w:val="28"/>
        </w:rPr>
        <w:t xml:space="preserve">. В соответствии с балансом (21) депозиты </w:t>
      </w:r>
      <w:r>
        <w:rPr>
          <w:rFonts w:eastAsia="Calibri"/>
          <w:sz w:val="28"/>
          <w:szCs w:val="28"/>
          <w:lang w:eastAsia="en-US"/>
        </w:rPr>
        <w:t xml:space="preserve">домашних хозяйств </w:t>
      </w:r>
    </w:p>
    <w:p w14:paraId="2B4780C0">
      <w:pPr>
        <w:pStyle w:val="37"/>
        <w:rPr>
          <w:rFonts w:eastAsia="Calibri"/>
          <w:sz w:val="28"/>
          <w:szCs w:val="28"/>
          <w:lang w:eastAsia="en-US"/>
        </w:rPr>
      </w:pPr>
    </w:p>
    <w:p w14:paraId="7123043D">
      <w:pPr>
        <w:pStyle w:val="38"/>
        <w:spacing w:before="0" w:after="0"/>
        <w:rPr>
          <w:sz w:val="28"/>
          <w:szCs w:val="28"/>
        </w:rPr>
      </w:pPr>
      <w:r>
        <w:rPr>
          <w:sz w:val="28"/>
          <w:szCs w:val="28"/>
        </w:rPr>
        <w:tab/>
      </w:r>
      <w:r>
        <w:rPr>
          <w:sz w:val="28"/>
          <w:szCs w:val="28"/>
        </w:rPr>
        <w:t xml:space="preserve">                                          </w:t>
      </w:r>
      <m:oMath>
        <m:sSup>
          <m:sSupPr>
            <m:ctrlPr>
              <w:rPr>
                <w:rFonts w:ascii="Cambria Math" w:hAnsi="Cambria Math"/>
                <w:i/>
                <w:sz w:val="28"/>
                <w:szCs w:val="28"/>
              </w:rPr>
            </m:ctrlPr>
          </m:sSupPr>
          <m:e>
            <m:r>
              <m:rPr/>
              <w:rPr>
                <w:rFonts w:ascii="Cambria Math" w:hAnsi="Cambria Math"/>
                <w:sz w:val="28"/>
                <w:szCs w:val="28"/>
              </w:rPr>
              <m:t>L</m:t>
            </m:r>
            <m:ctrlPr>
              <w:rPr>
                <w:rFonts w:ascii="Cambria Math" w:hAnsi="Cambria Math"/>
                <w:i/>
                <w:sz w:val="28"/>
                <w:szCs w:val="28"/>
              </w:rPr>
            </m:ctrlPr>
          </m:e>
          <m:sup>
            <m:r>
              <m:rPr/>
              <w:rPr>
                <w:rFonts w:ascii="Cambria Math" w:hAnsi="Cambria Math"/>
                <w:sz w:val="28"/>
                <w:szCs w:val="28"/>
              </w:rPr>
              <m:t>hb</m:t>
            </m:r>
            <m:ctrlPr>
              <w:rPr>
                <w:rFonts w:ascii="Cambria Math" w:hAnsi="Cambria Math"/>
                <w:i/>
                <w:sz w:val="28"/>
                <w:szCs w:val="28"/>
              </w:rPr>
            </m:ctrlPr>
          </m:sup>
        </m:sSup>
        <m:r>
          <m:rPr/>
          <w:rPr>
            <w:rFonts w:ascii="Cambria Math" w:hAnsi="Cambria Math"/>
            <w:sz w:val="28"/>
            <w:szCs w:val="28"/>
          </w:rPr>
          <m:t>(t)</m:t>
        </m:r>
      </m:oMath>
      <w:r>
        <w:rPr>
          <w:i/>
          <w:sz w:val="28"/>
          <w:szCs w:val="28"/>
        </w:rPr>
        <w:t>=</w:t>
      </w:r>
      <m:oMath>
        <m:r>
          <m:rPr/>
          <w:rPr>
            <w:rFonts w:ascii="Cambria Math" w:hAnsi="Cambria Math"/>
            <w:sz w:val="28"/>
            <w:szCs w:val="28"/>
          </w:rPr>
          <m:t xml:space="preserve"> (1−η)ρ</m:t>
        </m:r>
        <m:sSup>
          <m:sSupPr>
            <m:ctrlPr>
              <w:rPr>
                <w:rFonts w:ascii="Cambria Math" w:hAnsi="Cambria Math"/>
                <w:i/>
                <w:sz w:val="28"/>
                <w:szCs w:val="28"/>
              </w:rPr>
            </m:ctrlPr>
          </m:sSupPr>
          <m:e>
            <m:r>
              <m:rPr/>
              <w:rPr>
                <w:rFonts w:ascii="Cambria Math" w:hAnsi="Cambria Math"/>
                <w:sz w:val="28"/>
                <w:szCs w:val="28"/>
              </w:rPr>
              <m:t>L</m:t>
            </m:r>
            <m:ctrlPr>
              <w:rPr>
                <w:rFonts w:ascii="Cambria Math" w:hAnsi="Cambria Math"/>
                <w:i/>
                <w:sz w:val="28"/>
                <w:szCs w:val="28"/>
              </w:rPr>
            </m:ctrlPr>
          </m:e>
          <m:sup>
            <m:r>
              <m:rPr/>
              <w:rPr>
                <w:rFonts w:ascii="Cambria Math" w:hAnsi="Cambria Math"/>
                <w:sz w:val="28"/>
                <w:szCs w:val="28"/>
              </w:rPr>
              <m:t>bp</m:t>
            </m:r>
            <m:ctrlPr>
              <w:rPr>
                <w:rFonts w:ascii="Cambria Math" w:hAnsi="Cambria Math"/>
                <w:i/>
                <w:sz w:val="28"/>
                <w:szCs w:val="28"/>
              </w:rPr>
            </m:ctrlPr>
          </m:sup>
        </m:sSup>
        <m:d>
          <m:dPr>
            <m:ctrlPr>
              <w:rPr>
                <w:rFonts w:ascii="Cambria Math" w:hAnsi="Cambria Math"/>
                <w:i/>
                <w:sz w:val="28"/>
                <w:szCs w:val="28"/>
              </w:rPr>
            </m:ctrlPr>
          </m:dPr>
          <m:e>
            <m:r>
              <m:rPr/>
              <w:rPr>
                <w:rFonts w:ascii="Cambria Math" w:hAnsi="Cambria Math"/>
                <w:sz w:val="28"/>
                <w:szCs w:val="28"/>
              </w:rPr>
              <m:t>t</m:t>
            </m:r>
            <m:ctrlPr>
              <w:rPr>
                <w:rFonts w:ascii="Cambria Math" w:hAnsi="Cambria Math"/>
                <w:i/>
                <w:sz w:val="28"/>
                <w:szCs w:val="28"/>
              </w:rPr>
            </m:ctrlPr>
          </m:e>
        </m:d>
      </m:oMath>
      <w:r>
        <w:rPr>
          <w:sz w:val="28"/>
          <w:szCs w:val="28"/>
        </w:rPr>
        <w:t>.</w:t>
      </w:r>
      <w:r>
        <w:rPr>
          <w:sz w:val="28"/>
          <w:szCs w:val="28"/>
        </w:rPr>
        <w:tab/>
      </w:r>
      <w:r>
        <w:rPr>
          <w:sz w:val="28"/>
          <w:szCs w:val="28"/>
        </w:rPr>
        <w:t xml:space="preserve">                          (22)</w:t>
      </w:r>
    </w:p>
    <w:p w14:paraId="676684BB">
      <w:pPr>
        <w:pStyle w:val="37"/>
        <w:rPr>
          <w:rFonts w:eastAsia="Calibri"/>
          <w:sz w:val="28"/>
          <w:szCs w:val="28"/>
          <w:lang w:eastAsia="en-US"/>
        </w:rPr>
      </w:pPr>
    </w:p>
    <w:p w14:paraId="62FEDB6A">
      <w:pPr>
        <w:pStyle w:val="37"/>
        <w:rPr>
          <w:rFonts w:eastAsia="Calibri"/>
          <w:sz w:val="28"/>
          <w:szCs w:val="28"/>
          <w:lang w:eastAsia="en-US"/>
        </w:rPr>
      </w:pPr>
      <w:r>
        <w:rPr>
          <w:rFonts w:eastAsia="Calibri"/>
          <w:sz w:val="28"/>
          <w:szCs w:val="28"/>
          <w:lang w:eastAsia="en-US"/>
        </w:rPr>
        <w:t xml:space="preserve">Если перевода токсичных активов в «плохой» банк не производить (схема 0), то в момент созревания </w:t>
      </w:r>
      <m:oMath>
        <m:r>
          <m:rPr/>
          <w:rPr>
            <w:rFonts w:ascii="Cambria Math" w:hAnsi="Cambria Math"/>
            <w:sz w:val="28"/>
            <w:szCs w:val="28"/>
            <w:lang w:eastAsia="en-US" w:bidi="he-IL"/>
          </w:rPr>
          <m:t>t+</m:t>
        </m:r>
        <m:r>
          <m:rPr/>
          <w:rPr>
            <w:rFonts w:ascii="Cambria Math" w:hAnsi="Cambria Math" w:eastAsia="Calibri"/>
            <w:sz w:val="28"/>
            <w:szCs w:val="28"/>
          </w:rPr>
          <m:t>τ</m:t>
        </m:r>
      </m:oMath>
      <w:r>
        <w:rPr>
          <w:rFonts w:eastAsia="Calibri"/>
          <w:sz w:val="28"/>
          <w:szCs w:val="28"/>
          <w:lang w:eastAsia="en-US"/>
        </w:rPr>
        <w:t xml:space="preserve"> могут реализоваться два крайних сценария. </w:t>
      </w:r>
    </w:p>
    <w:p w14:paraId="66345769">
      <w:pPr>
        <w:pStyle w:val="37"/>
        <w:rPr>
          <w:rFonts w:eastAsia="Calibri"/>
          <w:sz w:val="28"/>
          <w:szCs w:val="28"/>
          <w:lang w:eastAsia="en-US"/>
        </w:rPr>
      </w:pPr>
      <w:r>
        <w:rPr>
          <w:rFonts w:eastAsia="Calibri"/>
          <w:sz w:val="28"/>
          <w:szCs w:val="28"/>
          <w:lang w:eastAsia="en-US"/>
        </w:rPr>
        <w:t xml:space="preserve">В первом сценарии, реализуемом с вероятностью </w:t>
      </w:r>
      <m:oMath>
        <m:r>
          <m:rPr/>
          <w:rPr>
            <w:rFonts w:ascii="Cambria Math" w:hAnsi="Cambria Math" w:eastAsia="Calibri"/>
            <w:sz w:val="28"/>
            <w:szCs w:val="28"/>
            <w:lang w:eastAsia="en-US"/>
          </w:rPr>
          <m:t>ρ</m:t>
        </m:r>
      </m:oMath>
      <w:r>
        <w:rPr>
          <w:rFonts w:eastAsia="Calibri"/>
          <w:sz w:val="28"/>
          <w:szCs w:val="28"/>
        </w:rPr>
        <w:t>,</w:t>
      </w:r>
      <w:r>
        <w:rPr>
          <w:rFonts w:eastAsia="Calibri"/>
          <w:sz w:val="28"/>
          <w:szCs w:val="28"/>
          <w:lang w:eastAsia="en-US"/>
        </w:rPr>
        <w:t xml:space="preserve"> производители возвращают кредит полностью</w:t>
      </w:r>
      <w:r>
        <w:rPr>
          <w:rFonts w:eastAsia="Calibri"/>
          <w:sz w:val="28"/>
          <w:szCs w:val="28"/>
        </w:rPr>
        <w:t xml:space="preserve">. Баланс банка в момент </w:t>
      </w:r>
      <m:oMath>
        <m:r>
          <m:rPr>
            <m:sty m:val="p"/>
          </m:rPr>
          <w:rPr>
            <w:rFonts w:ascii="Cambria Math" w:hAnsi="Cambria Math" w:eastAsia="Calibri"/>
            <w:sz w:val="28"/>
            <w:szCs w:val="28"/>
            <w:lang w:eastAsia="en-US"/>
          </w:rPr>
          <m:t>t</m:t>
        </m:r>
        <m:r>
          <m:rPr/>
          <w:rPr>
            <w:rFonts w:ascii="Cambria Math" w:hAnsi="Cambria Math" w:eastAsia="Calibri"/>
            <w:sz w:val="28"/>
            <w:szCs w:val="28"/>
            <w:lang w:eastAsia="en-US"/>
          </w:rPr>
          <m:t>+A</m:t>
        </m:r>
      </m:oMath>
      <w:r>
        <w:rPr>
          <w:rFonts w:eastAsia="Calibri"/>
          <w:sz w:val="28"/>
          <w:szCs w:val="28"/>
          <w:lang w:eastAsia="en-US"/>
        </w:rPr>
        <w:t xml:space="preserve"> </w:t>
      </w:r>
    </w:p>
    <w:p w14:paraId="010A3230">
      <w:pPr>
        <w:pStyle w:val="37"/>
        <w:rPr>
          <w:rFonts w:eastAsia="Calibri"/>
          <w:sz w:val="28"/>
          <w:szCs w:val="28"/>
          <w:lang w:eastAsia="en-US"/>
        </w:rPr>
      </w:pPr>
    </w:p>
    <w:p w14:paraId="7F340325">
      <w:pPr>
        <w:pStyle w:val="38"/>
        <w:spacing w:before="0" w:after="0"/>
        <w:jc w:val="center"/>
        <w:rPr>
          <w:sz w:val="28"/>
          <w:szCs w:val="28"/>
        </w:rPr>
      </w:pPr>
      <w:r>
        <w:rPr>
          <w:rFonts w:eastAsia="Calibri"/>
          <w:sz w:val="28"/>
          <w:szCs w:val="28"/>
          <w:lang w:eastAsia="en-US"/>
        </w:rPr>
        <w:t xml:space="preserve">                      </w:t>
      </w:r>
      <m:oMath>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W</m:t>
            </m:r>
            <m:ctrlPr>
              <w:rPr>
                <w:rFonts w:ascii="Cambria Math" w:hAnsi="Cambria Math" w:eastAsia="Calibri"/>
                <w:sz w:val="28"/>
                <w:szCs w:val="28"/>
                <w:lang w:eastAsia="en-US"/>
              </w:rPr>
            </m:ctrlPr>
          </m:e>
          <m:sup>
            <m:r>
              <m:rPr/>
              <w:rPr>
                <w:rFonts w:ascii="Cambria Math" w:hAnsi="Cambria Math" w:eastAsia="Calibri"/>
                <w:sz w:val="28"/>
                <w:szCs w:val="28"/>
                <w:lang w:eastAsia="en-US"/>
              </w:rPr>
              <m:t>b</m:t>
            </m:r>
            <m:ctrlPr>
              <w:rPr>
                <w:rFonts w:ascii="Cambria Math" w:hAnsi="Cambria Math" w:eastAsia="Calibri"/>
                <w:sz w:val="28"/>
                <w:szCs w:val="28"/>
                <w:lang w:eastAsia="en-US"/>
              </w:rPr>
            </m:ctrlPr>
          </m:sup>
        </m:sSup>
        <m:d>
          <m:dPr>
            <m:ctrlPr>
              <w:rPr>
                <w:rFonts w:ascii="Cambria Math" w:hAnsi="Cambria Math" w:eastAsia="Calibri"/>
                <w:sz w:val="28"/>
                <w:szCs w:val="28"/>
                <w:lang w:eastAsia="en-US"/>
              </w:rPr>
            </m:ctrlPr>
          </m:dPr>
          <m:e>
            <m:r>
              <m:rPr>
                <m:sty m:val="p"/>
              </m:rPr>
              <w:rPr>
                <w:rFonts w:ascii="Cambria Math" w:hAnsi="Cambria Math" w:eastAsia="Calibri"/>
                <w:sz w:val="28"/>
                <w:szCs w:val="28"/>
                <w:lang w:eastAsia="en-US"/>
              </w:rPr>
              <m:t>t+</m:t>
            </m:r>
            <m:r>
              <m:rPr/>
              <w:rPr>
                <w:rFonts w:ascii="Cambria Math" w:hAnsi="Cambria Math" w:eastAsia="Calibri"/>
                <w:sz w:val="28"/>
                <w:szCs w:val="28"/>
              </w:rPr>
              <m:t>τ</m:t>
            </m:r>
            <m:ctrlPr>
              <w:rPr>
                <w:rFonts w:ascii="Cambria Math" w:hAnsi="Cambria Math" w:eastAsia="Calibri"/>
                <w:sz w:val="28"/>
                <w:szCs w:val="28"/>
                <w:lang w:eastAsia="en-US"/>
              </w:rPr>
            </m:ctrlPr>
          </m:e>
        </m:d>
        <m:r>
          <m:rPr>
            <m:sty m:val="p"/>
          </m:rPr>
          <w:rPr>
            <w:rFonts w:ascii="Cambria Math" w:hAnsi="Cambria Math"/>
            <w:sz w:val="28"/>
            <w:szCs w:val="28"/>
          </w:rPr>
          <m:t>=</m:t>
        </m:r>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L</m:t>
            </m:r>
            <m:ctrlPr>
              <w:rPr>
                <w:rFonts w:ascii="Cambria Math" w:hAnsi="Cambria Math" w:eastAsia="Calibri"/>
                <w:sz w:val="28"/>
                <w:szCs w:val="28"/>
                <w:lang w:eastAsia="en-US"/>
              </w:rPr>
            </m:ctrlPr>
          </m:e>
          <m:sup>
            <m:r>
              <m:rPr/>
              <w:rPr>
                <w:rFonts w:ascii="Cambria Math" w:hAnsi="Cambria Math" w:eastAsia="Calibri"/>
                <w:sz w:val="28"/>
                <w:szCs w:val="28"/>
                <w:lang w:eastAsia="en-US"/>
              </w:rPr>
              <m:t>hb</m:t>
            </m:r>
            <m:ctrlPr>
              <w:rPr>
                <w:rFonts w:ascii="Cambria Math" w:hAnsi="Cambria Math" w:eastAsia="Calibri"/>
                <w:sz w:val="28"/>
                <w:szCs w:val="28"/>
                <w:lang w:eastAsia="en-US"/>
              </w:rPr>
            </m:ctrlPr>
          </m:sup>
        </m:sSup>
        <m:d>
          <m:dPr>
            <m:ctrlPr>
              <w:rPr>
                <w:rFonts w:ascii="Cambria Math" w:hAnsi="Cambria Math" w:eastAsia="Calibri"/>
                <w:sz w:val="28"/>
                <w:szCs w:val="28"/>
                <w:lang w:eastAsia="en-US"/>
              </w:rPr>
            </m:ctrlPr>
          </m:dPr>
          <m:e>
            <m:r>
              <m:rPr>
                <m:sty m:val="p"/>
              </m:rPr>
              <w:rPr>
                <w:rFonts w:ascii="Cambria Math" w:hAnsi="Cambria Math" w:eastAsia="Calibri"/>
                <w:sz w:val="28"/>
                <w:szCs w:val="28"/>
                <w:lang w:eastAsia="en-US"/>
              </w:rPr>
              <m:t>t+</m:t>
            </m:r>
            <m:r>
              <m:rPr/>
              <w:rPr>
                <w:rFonts w:ascii="Cambria Math" w:hAnsi="Cambria Math" w:eastAsia="Calibri"/>
                <w:sz w:val="28"/>
                <w:szCs w:val="28"/>
              </w:rPr>
              <m:t>τ</m:t>
            </m:r>
            <m:ctrlPr>
              <w:rPr>
                <w:rFonts w:ascii="Cambria Math" w:hAnsi="Cambria Math" w:eastAsia="Calibri"/>
                <w:sz w:val="28"/>
                <w:szCs w:val="28"/>
                <w:lang w:eastAsia="en-US"/>
              </w:rPr>
            </m:ctrlPr>
          </m:e>
        </m:d>
        <m:r>
          <m:rPr>
            <m:sty m:val="p"/>
          </m:rPr>
          <w:rPr>
            <w:rFonts w:ascii="Cambria Math" w:hAnsi="Cambria Math" w:eastAsia="Calibri"/>
            <w:sz w:val="28"/>
            <w:szCs w:val="28"/>
            <w:lang w:eastAsia="en-US"/>
          </w:rPr>
          <m:t>+</m:t>
        </m:r>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O</m:t>
            </m:r>
            <m:ctrlPr>
              <w:rPr>
                <w:rFonts w:ascii="Cambria Math" w:hAnsi="Cambria Math" w:eastAsia="Calibri"/>
                <w:sz w:val="28"/>
                <w:szCs w:val="28"/>
                <w:lang w:eastAsia="en-US"/>
              </w:rPr>
            </m:ctrlPr>
          </m:e>
          <m:sup>
            <m:r>
              <m:rPr/>
              <w:rPr>
                <w:rFonts w:ascii="Cambria Math" w:hAnsi="Cambria Math" w:eastAsia="Calibri"/>
                <w:sz w:val="28"/>
                <w:szCs w:val="28"/>
                <w:lang w:eastAsia="en-US"/>
              </w:rPr>
              <m:t>b</m:t>
            </m:r>
            <m:ctrlPr>
              <w:rPr>
                <w:rFonts w:ascii="Cambria Math" w:hAnsi="Cambria Math" w:eastAsia="Calibri"/>
                <w:sz w:val="28"/>
                <w:szCs w:val="28"/>
                <w:lang w:eastAsia="en-US"/>
              </w:rPr>
            </m:ctrlPr>
          </m:sup>
        </m:sSup>
        <m:d>
          <m:dPr>
            <m:ctrlPr>
              <w:rPr>
                <w:rFonts w:ascii="Cambria Math" w:hAnsi="Cambria Math" w:eastAsia="Calibri"/>
                <w:sz w:val="28"/>
                <w:szCs w:val="28"/>
                <w:lang w:eastAsia="en-US"/>
              </w:rPr>
            </m:ctrlPr>
          </m:dPr>
          <m:e>
            <m:r>
              <m:rPr>
                <m:sty m:val="p"/>
              </m:rPr>
              <w:rPr>
                <w:rFonts w:ascii="Cambria Math" w:hAnsi="Cambria Math" w:eastAsia="Calibri"/>
                <w:sz w:val="28"/>
                <w:szCs w:val="28"/>
                <w:lang w:eastAsia="en-US"/>
              </w:rPr>
              <m:t>t+</m:t>
            </m:r>
            <m:r>
              <m:rPr/>
              <w:rPr>
                <w:rFonts w:ascii="Cambria Math" w:hAnsi="Cambria Math" w:eastAsia="Calibri"/>
                <w:sz w:val="28"/>
                <w:szCs w:val="28"/>
              </w:rPr>
              <m:t>τ</m:t>
            </m:r>
            <m:ctrlPr>
              <w:rPr>
                <w:rFonts w:ascii="Cambria Math" w:hAnsi="Cambria Math" w:eastAsia="Calibri"/>
                <w:sz w:val="28"/>
                <w:szCs w:val="28"/>
                <w:lang w:eastAsia="en-US"/>
              </w:rPr>
            </m:ctrlPr>
          </m:e>
        </m:d>
      </m:oMath>
      <w:r>
        <w:rPr>
          <w:sz w:val="28"/>
          <w:szCs w:val="28"/>
        </w:rPr>
        <w:t>,</w:t>
      </w:r>
      <w:r>
        <w:rPr>
          <w:sz w:val="28"/>
          <w:szCs w:val="28"/>
        </w:rPr>
        <w:tab/>
      </w:r>
      <w:r>
        <w:rPr>
          <w:sz w:val="28"/>
          <w:szCs w:val="28"/>
        </w:rPr>
        <w:t xml:space="preserve"> (23)</w:t>
      </w:r>
    </w:p>
    <w:p w14:paraId="0969ACFD">
      <w:pPr>
        <w:pStyle w:val="37"/>
        <w:ind w:firstLine="0"/>
        <w:rPr>
          <w:rFonts w:eastAsia="Calibri"/>
          <w:sz w:val="28"/>
          <w:szCs w:val="28"/>
          <w:lang w:eastAsia="en-US"/>
        </w:rPr>
      </w:pPr>
    </w:p>
    <w:p w14:paraId="361E1F62">
      <w:pPr>
        <w:pStyle w:val="37"/>
        <w:ind w:firstLine="0"/>
        <w:rPr>
          <w:rFonts w:eastAsia="Calibri"/>
          <w:sz w:val="28"/>
          <w:szCs w:val="28"/>
          <w:lang w:eastAsia="en-US"/>
        </w:rPr>
      </w:pPr>
      <w:r>
        <w:rPr>
          <w:rFonts w:eastAsia="Calibri"/>
          <w:sz w:val="28"/>
          <w:szCs w:val="28"/>
          <w:lang w:eastAsia="en-US"/>
        </w:rPr>
        <w:t xml:space="preserve">где </w:t>
      </w:r>
      <m:oMath>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W</m:t>
            </m:r>
            <m:ctrlPr>
              <w:rPr>
                <w:rFonts w:ascii="Cambria Math" w:hAnsi="Cambria Math" w:eastAsia="Calibri"/>
                <w:sz w:val="28"/>
                <w:szCs w:val="28"/>
                <w:lang w:eastAsia="en-US"/>
              </w:rPr>
            </m:ctrlPr>
          </m:e>
          <m:sup>
            <m:r>
              <m:rPr/>
              <w:rPr>
                <w:rFonts w:ascii="Cambria Math" w:hAnsi="Cambria Math" w:eastAsia="Calibri"/>
                <w:sz w:val="28"/>
                <w:szCs w:val="28"/>
                <w:lang w:eastAsia="en-US"/>
              </w:rPr>
              <m:t>b</m:t>
            </m:r>
            <m:ctrlPr>
              <w:rPr>
                <w:rFonts w:ascii="Cambria Math" w:hAnsi="Cambria Math" w:eastAsia="Calibri"/>
                <w:sz w:val="28"/>
                <w:szCs w:val="28"/>
                <w:lang w:eastAsia="en-US"/>
              </w:rPr>
            </m:ctrlPr>
          </m:sup>
        </m:sSup>
        <m:d>
          <m:dPr>
            <m:ctrlPr>
              <w:rPr>
                <w:rFonts w:ascii="Cambria Math" w:hAnsi="Cambria Math" w:eastAsia="Calibri"/>
                <w:sz w:val="28"/>
                <w:szCs w:val="28"/>
                <w:lang w:eastAsia="en-US"/>
              </w:rPr>
            </m:ctrlPr>
          </m:dPr>
          <m:e>
            <m:r>
              <m:rPr>
                <m:sty m:val="p"/>
              </m:rPr>
              <w:rPr>
                <w:rFonts w:ascii="Cambria Math" w:hAnsi="Cambria Math" w:eastAsia="Calibri"/>
                <w:sz w:val="28"/>
                <w:szCs w:val="28"/>
                <w:lang w:eastAsia="en-US"/>
              </w:rPr>
              <m:t>t+</m:t>
            </m:r>
            <m:r>
              <m:rPr/>
              <w:rPr>
                <w:rFonts w:ascii="Cambria Math" w:hAnsi="Cambria Math" w:eastAsia="Calibri"/>
                <w:sz w:val="28"/>
                <w:szCs w:val="28"/>
              </w:rPr>
              <m:t>τ</m:t>
            </m:r>
            <m:ctrlPr>
              <w:rPr>
                <w:rFonts w:ascii="Cambria Math" w:hAnsi="Cambria Math" w:eastAsia="Calibri"/>
                <w:sz w:val="28"/>
                <w:szCs w:val="28"/>
                <w:lang w:eastAsia="en-US"/>
              </w:rPr>
            </m:ctrlPr>
          </m:e>
        </m:d>
      </m:oMath>
      <w:r>
        <w:rPr>
          <w:rFonts w:eastAsia="Calibri"/>
          <w:sz w:val="28"/>
          <w:szCs w:val="28"/>
          <w:lang w:eastAsia="en-US"/>
        </w:rPr>
        <w:t>=</w:t>
      </w:r>
      <m:oMath>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L</m:t>
            </m:r>
            <m:ctrlPr>
              <w:rPr>
                <w:rFonts w:ascii="Cambria Math" w:hAnsi="Cambria Math" w:eastAsia="Calibri"/>
                <w:sz w:val="28"/>
                <w:szCs w:val="28"/>
                <w:lang w:eastAsia="en-US"/>
              </w:rPr>
            </m:ctrlPr>
          </m:e>
          <m:sup>
            <m:r>
              <m:rPr/>
              <w:rPr>
                <w:rFonts w:ascii="Cambria Math" w:hAnsi="Cambria Math" w:eastAsia="Calibri"/>
                <w:sz w:val="28"/>
                <w:szCs w:val="28"/>
                <w:lang w:eastAsia="en-US"/>
              </w:rPr>
              <m:t>bp</m:t>
            </m:r>
            <m:ctrlPr>
              <w:rPr>
                <w:rFonts w:ascii="Cambria Math" w:hAnsi="Cambria Math" w:eastAsia="Calibri"/>
                <w:sz w:val="28"/>
                <w:szCs w:val="28"/>
                <w:lang w:eastAsia="en-US"/>
              </w:rPr>
            </m:ctrlPr>
          </m:sup>
        </m:sSup>
        <m:d>
          <m:dPr>
            <m:ctrlPr>
              <w:rPr>
                <w:rFonts w:ascii="Cambria Math" w:hAnsi="Cambria Math" w:eastAsia="Calibri"/>
                <w:sz w:val="28"/>
                <w:szCs w:val="28"/>
                <w:lang w:eastAsia="en-US"/>
              </w:rPr>
            </m:ctrlPr>
          </m:dPr>
          <m:e>
            <m:r>
              <m:rPr>
                <m:sty m:val="p"/>
              </m:rPr>
              <w:rPr>
                <w:rFonts w:ascii="Cambria Math" w:hAnsi="Cambria Math" w:eastAsia="Calibri"/>
                <w:sz w:val="28"/>
                <w:szCs w:val="28"/>
                <w:lang w:eastAsia="en-US"/>
              </w:rPr>
              <m:t>t</m:t>
            </m:r>
            <m:ctrlPr>
              <w:rPr>
                <w:rFonts w:ascii="Cambria Math" w:hAnsi="Cambria Math" w:eastAsia="Calibri"/>
                <w:sz w:val="28"/>
                <w:szCs w:val="28"/>
                <w:lang w:eastAsia="en-US"/>
              </w:rPr>
            </m:ctrlPr>
          </m:e>
        </m:d>
      </m:oMath>
      <w:r>
        <w:rPr>
          <w:rFonts w:eastAsia="Calibri"/>
          <w:sz w:val="28"/>
          <w:szCs w:val="28"/>
          <w:lang w:eastAsia="en-US"/>
        </w:rPr>
        <w:t xml:space="preserve"> – кассовый остаток, </w:t>
      </w:r>
      <m:oMath>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L</m:t>
            </m:r>
            <m:ctrlPr>
              <w:rPr>
                <w:rFonts w:ascii="Cambria Math" w:hAnsi="Cambria Math" w:eastAsia="Calibri"/>
                <w:sz w:val="28"/>
                <w:szCs w:val="28"/>
                <w:lang w:eastAsia="en-US"/>
              </w:rPr>
            </m:ctrlPr>
          </m:e>
          <m:sup>
            <m:r>
              <m:rPr/>
              <w:rPr>
                <w:rFonts w:ascii="Cambria Math" w:hAnsi="Cambria Math" w:eastAsia="Calibri"/>
                <w:sz w:val="28"/>
                <w:szCs w:val="28"/>
                <w:lang w:eastAsia="en-US"/>
              </w:rPr>
              <m:t>hb</m:t>
            </m:r>
            <m:ctrlPr>
              <w:rPr>
                <w:rFonts w:ascii="Cambria Math" w:hAnsi="Cambria Math" w:eastAsia="Calibri"/>
                <w:sz w:val="28"/>
                <w:szCs w:val="28"/>
                <w:lang w:eastAsia="en-US"/>
              </w:rPr>
            </m:ctrlPr>
          </m:sup>
        </m:sSup>
        <m:d>
          <m:dPr>
            <m:ctrlPr>
              <w:rPr>
                <w:rFonts w:ascii="Cambria Math" w:hAnsi="Cambria Math" w:eastAsia="Calibri"/>
                <w:sz w:val="28"/>
                <w:szCs w:val="28"/>
                <w:lang w:eastAsia="en-US"/>
              </w:rPr>
            </m:ctrlPr>
          </m:dPr>
          <m:e>
            <m:r>
              <m:rPr>
                <m:sty m:val="p"/>
              </m:rPr>
              <w:rPr>
                <w:rFonts w:ascii="Cambria Math" w:hAnsi="Cambria Math" w:eastAsia="Calibri"/>
                <w:sz w:val="28"/>
                <w:szCs w:val="28"/>
                <w:lang w:eastAsia="en-US"/>
              </w:rPr>
              <m:t>t+</m:t>
            </m:r>
            <m:r>
              <m:rPr/>
              <w:rPr>
                <w:rFonts w:ascii="Cambria Math" w:hAnsi="Cambria Math" w:eastAsia="Calibri"/>
                <w:sz w:val="28"/>
                <w:szCs w:val="28"/>
              </w:rPr>
              <m:t>τ</m:t>
            </m:r>
            <m:ctrlPr>
              <w:rPr>
                <w:rFonts w:ascii="Cambria Math" w:hAnsi="Cambria Math" w:eastAsia="Calibri"/>
                <w:sz w:val="28"/>
                <w:szCs w:val="28"/>
                <w:lang w:eastAsia="en-US"/>
              </w:rPr>
            </m:ctrlPr>
          </m:e>
        </m:d>
        <m:r>
          <m:rPr>
            <m:sty m:val="p"/>
          </m:rPr>
          <w:rPr>
            <w:rFonts w:ascii="Cambria Math" w:hAnsi="Cambria Math" w:eastAsia="Calibri"/>
            <w:sz w:val="28"/>
            <w:szCs w:val="28"/>
            <w:lang w:eastAsia="en-US"/>
          </w:rPr>
          <m:t>=</m:t>
        </m:r>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L</m:t>
            </m:r>
            <m:ctrlPr>
              <w:rPr>
                <w:rFonts w:ascii="Cambria Math" w:hAnsi="Cambria Math" w:eastAsia="Calibri"/>
                <w:sz w:val="28"/>
                <w:szCs w:val="28"/>
                <w:lang w:eastAsia="en-US"/>
              </w:rPr>
            </m:ctrlPr>
          </m:e>
          <m:sup>
            <m:r>
              <m:rPr/>
              <w:rPr>
                <w:rFonts w:ascii="Cambria Math" w:hAnsi="Cambria Math" w:eastAsia="Calibri"/>
                <w:sz w:val="28"/>
                <w:szCs w:val="28"/>
                <w:lang w:eastAsia="en-US"/>
              </w:rPr>
              <m:t>hb</m:t>
            </m:r>
            <m:ctrlPr>
              <w:rPr>
                <w:rFonts w:ascii="Cambria Math" w:hAnsi="Cambria Math" w:eastAsia="Calibri"/>
                <w:sz w:val="28"/>
                <w:szCs w:val="28"/>
                <w:lang w:eastAsia="en-US"/>
              </w:rPr>
            </m:ctrlPr>
          </m:sup>
        </m:sSup>
        <m:d>
          <m:dPr>
            <m:ctrlPr>
              <w:rPr>
                <w:rFonts w:ascii="Cambria Math" w:hAnsi="Cambria Math" w:eastAsia="Calibri"/>
                <w:sz w:val="28"/>
                <w:szCs w:val="28"/>
                <w:lang w:eastAsia="en-US"/>
              </w:rPr>
            </m:ctrlPr>
          </m:dPr>
          <m:e>
            <m:r>
              <m:rPr>
                <m:sty m:val="p"/>
              </m:rPr>
              <w:rPr>
                <w:rFonts w:ascii="Cambria Math" w:hAnsi="Cambria Math" w:eastAsia="Calibri"/>
                <w:sz w:val="28"/>
                <w:szCs w:val="28"/>
                <w:lang w:eastAsia="en-US"/>
              </w:rPr>
              <m:t>t</m:t>
            </m:r>
            <m:ctrlPr>
              <w:rPr>
                <w:rFonts w:ascii="Cambria Math" w:hAnsi="Cambria Math" w:eastAsia="Calibri"/>
                <w:sz w:val="28"/>
                <w:szCs w:val="28"/>
                <w:lang w:eastAsia="en-US"/>
              </w:rPr>
            </m:ctrlPr>
          </m:e>
        </m:d>
      </m:oMath>
      <w:r>
        <w:rPr>
          <w:rFonts w:eastAsia="Calibri"/>
          <w:sz w:val="28"/>
          <w:szCs w:val="28"/>
          <w:lang w:eastAsia="en-US"/>
        </w:rPr>
        <w:t xml:space="preserve"> – депозиты домашних хозяйств, </w:t>
      </w:r>
      <m:oMath>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O</m:t>
            </m:r>
            <m:ctrlPr>
              <w:rPr>
                <w:rFonts w:ascii="Cambria Math" w:hAnsi="Cambria Math" w:eastAsia="Calibri"/>
                <w:sz w:val="28"/>
                <w:szCs w:val="28"/>
                <w:lang w:eastAsia="en-US"/>
              </w:rPr>
            </m:ctrlPr>
          </m:e>
          <m:sup>
            <m:r>
              <m:rPr/>
              <w:rPr>
                <w:rFonts w:ascii="Cambria Math" w:hAnsi="Cambria Math" w:eastAsia="Calibri"/>
                <w:sz w:val="28"/>
                <w:szCs w:val="28"/>
                <w:lang w:eastAsia="en-US"/>
              </w:rPr>
              <m:t>b</m:t>
            </m:r>
            <m:ctrlPr>
              <w:rPr>
                <w:rFonts w:ascii="Cambria Math" w:hAnsi="Cambria Math" w:eastAsia="Calibri"/>
                <w:sz w:val="28"/>
                <w:szCs w:val="28"/>
                <w:lang w:eastAsia="en-US"/>
              </w:rPr>
            </m:ctrlPr>
          </m:sup>
        </m:sSup>
        <m:d>
          <m:dPr>
            <m:ctrlPr>
              <w:rPr>
                <w:rFonts w:ascii="Cambria Math" w:hAnsi="Cambria Math" w:eastAsia="Calibri"/>
                <w:sz w:val="28"/>
                <w:szCs w:val="28"/>
                <w:lang w:eastAsia="en-US"/>
              </w:rPr>
            </m:ctrlPr>
          </m:dPr>
          <m:e>
            <m:r>
              <m:rPr>
                <m:sty m:val="p"/>
              </m:rPr>
              <w:rPr>
                <w:rFonts w:ascii="Cambria Math" w:hAnsi="Cambria Math" w:eastAsia="Calibri"/>
                <w:sz w:val="28"/>
                <w:szCs w:val="28"/>
                <w:lang w:eastAsia="en-US"/>
              </w:rPr>
              <m:t>t+</m:t>
            </m:r>
            <m:r>
              <m:rPr/>
              <w:rPr>
                <w:rFonts w:ascii="Cambria Math" w:hAnsi="Cambria Math" w:eastAsia="Calibri"/>
                <w:sz w:val="28"/>
                <w:szCs w:val="28"/>
              </w:rPr>
              <m:t>τ</m:t>
            </m:r>
            <m:ctrlPr>
              <w:rPr>
                <w:rFonts w:ascii="Cambria Math" w:hAnsi="Cambria Math" w:eastAsia="Calibri"/>
                <w:sz w:val="28"/>
                <w:szCs w:val="28"/>
                <w:lang w:eastAsia="en-US"/>
              </w:rPr>
            </m:ctrlPr>
          </m:e>
        </m:d>
        <m:r>
          <m:rPr>
            <m:sty m:val="p"/>
          </m:rPr>
          <w:rPr>
            <w:rFonts w:ascii="Cambria Math" w:hAnsi="Cambria Math" w:eastAsia="Calibri"/>
            <w:sz w:val="28"/>
            <w:szCs w:val="28"/>
            <w:lang w:eastAsia="en-US"/>
          </w:rPr>
          <m:t>=</m:t>
        </m:r>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L</m:t>
            </m:r>
            <m:ctrlPr>
              <w:rPr>
                <w:rFonts w:ascii="Cambria Math" w:hAnsi="Cambria Math" w:eastAsia="Calibri"/>
                <w:sz w:val="28"/>
                <w:szCs w:val="28"/>
                <w:lang w:eastAsia="en-US"/>
              </w:rPr>
            </m:ctrlPr>
          </m:e>
          <m:sup>
            <m:r>
              <m:rPr/>
              <w:rPr>
                <w:rFonts w:ascii="Cambria Math" w:hAnsi="Cambria Math" w:eastAsia="Calibri"/>
                <w:sz w:val="28"/>
                <w:szCs w:val="28"/>
                <w:lang w:eastAsia="en-US"/>
              </w:rPr>
              <m:t>bp</m:t>
            </m:r>
            <m:ctrlPr>
              <w:rPr>
                <w:rFonts w:ascii="Cambria Math" w:hAnsi="Cambria Math" w:eastAsia="Calibri"/>
                <w:sz w:val="28"/>
                <w:szCs w:val="28"/>
                <w:lang w:eastAsia="en-US"/>
              </w:rPr>
            </m:ctrlPr>
          </m:sup>
        </m:sSup>
        <m:d>
          <m:dPr>
            <m:ctrlPr>
              <w:rPr>
                <w:rFonts w:ascii="Cambria Math" w:hAnsi="Cambria Math" w:eastAsia="Calibri"/>
                <w:sz w:val="28"/>
                <w:szCs w:val="28"/>
                <w:lang w:eastAsia="en-US"/>
              </w:rPr>
            </m:ctrlPr>
          </m:dPr>
          <m:e>
            <m:r>
              <m:rPr>
                <m:sty m:val="p"/>
              </m:rPr>
              <w:rPr>
                <w:rFonts w:ascii="Cambria Math" w:hAnsi="Cambria Math" w:eastAsia="Calibri"/>
                <w:sz w:val="28"/>
                <w:szCs w:val="28"/>
                <w:lang w:eastAsia="en-US"/>
              </w:rPr>
              <m:t>t</m:t>
            </m:r>
            <m:ctrlPr>
              <w:rPr>
                <w:rFonts w:ascii="Cambria Math" w:hAnsi="Cambria Math" w:eastAsia="Calibri"/>
                <w:sz w:val="28"/>
                <w:szCs w:val="28"/>
                <w:lang w:eastAsia="en-US"/>
              </w:rPr>
            </m:ctrlPr>
          </m:e>
        </m:d>
        <m:r>
          <m:rPr>
            <m:sty m:val="p"/>
          </m:rPr>
          <w:rPr>
            <w:rFonts w:ascii="Cambria Math" w:hAnsi="Cambria Math" w:eastAsia="Calibri"/>
            <w:sz w:val="28"/>
            <w:szCs w:val="28"/>
            <w:lang w:eastAsia="en-US"/>
          </w:rPr>
          <m:t>−</m:t>
        </m:r>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L</m:t>
            </m:r>
            <m:ctrlPr>
              <w:rPr>
                <w:rFonts w:ascii="Cambria Math" w:hAnsi="Cambria Math" w:eastAsia="Calibri"/>
                <w:sz w:val="28"/>
                <w:szCs w:val="28"/>
                <w:lang w:eastAsia="en-US"/>
              </w:rPr>
            </m:ctrlPr>
          </m:e>
          <m:sup>
            <m:r>
              <m:rPr/>
              <w:rPr>
                <w:rFonts w:ascii="Cambria Math" w:hAnsi="Cambria Math" w:eastAsia="Calibri"/>
                <w:sz w:val="28"/>
                <w:szCs w:val="28"/>
                <w:lang w:eastAsia="en-US"/>
              </w:rPr>
              <m:t>hb</m:t>
            </m:r>
            <m:ctrlPr>
              <w:rPr>
                <w:rFonts w:ascii="Cambria Math" w:hAnsi="Cambria Math" w:eastAsia="Calibri"/>
                <w:sz w:val="28"/>
                <w:szCs w:val="28"/>
                <w:lang w:eastAsia="en-US"/>
              </w:rPr>
            </m:ctrlPr>
          </m:sup>
        </m:sSup>
        <m:d>
          <m:dPr>
            <m:ctrlPr>
              <w:rPr>
                <w:rFonts w:ascii="Cambria Math" w:hAnsi="Cambria Math" w:eastAsia="Calibri"/>
                <w:sz w:val="28"/>
                <w:szCs w:val="28"/>
                <w:lang w:eastAsia="en-US"/>
              </w:rPr>
            </m:ctrlPr>
          </m:dPr>
          <m:e>
            <m:r>
              <m:rPr>
                <m:sty m:val="p"/>
              </m:rPr>
              <w:rPr>
                <w:rFonts w:ascii="Cambria Math" w:hAnsi="Cambria Math" w:eastAsia="Calibri"/>
                <w:sz w:val="28"/>
                <w:szCs w:val="28"/>
                <w:lang w:eastAsia="en-US"/>
              </w:rPr>
              <m:t>t</m:t>
            </m:r>
            <m:ctrlPr>
              <w:rPr>
                <w:rFonts w:ascii="Cambria Math" w:hAnsi="Cambria Math" w:eastAsia="Calibri"/>
                <w:sz w:val="28"/>
                <w:szCs w:val="28"/>
                <w:lang w:eastAsia="en-US"/>
              </w:rPr>
            </m:ctrlPr>
          </m:e>
        </m:d>
      </m:oMath>
      <w:r>
        <w:rPr>
          <w:rFonts w:eastAsia="Calibri"/>
          <w:sz w:val="28"/>
          <w:szCs w:val="28"/>
          <w:lang w:eastAsia="en-US"/>
        </w:rPr>
        <w:t xml:space="preserve"> – собственный капитал, который определяются в соответствии с балансом (23). </w:t>
      </w:r>
    </w:p>
    <w:p w14:paraId="3CA6B24B">
      <w:pPr>
        <w:pStyle w:val="37"/>
        <w:rPr>
          <w:sz w:val="28"/>
          <w:szCs w:val="28"/>
        </w:rPr>
      </w:pPr>
      <w:r>
        <w:rPr>
          <w:rFonts w:eastAsia="Calibri"/>
          <w:sz w:val="28"/>
          <w:szCs w:val="28"/>
          <w:lang w:eastAsia="en-US"/>
        </w:rPr>
        <w:t xml:space="preserve">Во втором сценарии, реализуемом с вероятностью </w:t>
      </w:r>
      <m:oMath>
        <m:r>
          <m:rPr/>
          <w:rPr>
            <w:rFonts w:ascii="Cambria Math" w:hAnsi="Cambria Math" w:eastAsia="Calibri"/>
            <w:sz w:val="28"/>
            <w:szCs w:val="28"/>
            <w:lang w:eastAsia="en-US"/>
          </w:rPr>
          <m:t>1−ρ</m:t>
        </m:r>
        <m:r>
          <m:rPr/>
          <w:rPr>
            <w:rFonts w:ascii="Cambria Math" w:hAnsi="Cambria Math"/>
            <w:sz w:val="28"/>
            <w:szCs w:val="28"/>
          </w:rPr>
          <m:t>,</m:t>
        </m:r>
      </m:oMath>
      <w:r>
        <w:rPr>
          <w:rFonts w:eastAsia="Calibri"/>
          <w:sz w:val="28"/>
          <w:szCs w:val="28"/>
          <w:lang w:eastAsia="en-US"/>
        </w:rPr>
        <w:t xml:space="preserve"> производители кредит не возвращают, </w:t>
      </w:r>
      <w:r>
        <w:rPr>
          <w:rFonts w:eastAsia="Calibri"/>
          <w:sz w:val="28"/>
          <w:szCs w:val="28"/>
        </w:rPr>
        <w:t xml:space="preserve">депозиты населению возвращаются по страховке </w:t>
      </w:r>
      <m:oMath>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S</m:t>
            </m:r>
            <m:ctrlPr>
              <w:rPr>
                <w:rFonts w:ascii="Cambria Math" w:hAnsi="Cambria Math" w:eastAsia="Calibri"/>
                <w:sz w:val="28"/>
                <w:szCs w:val="28"/>
                <w:lang w:eastAsia="en-US"/>
              </w:rPr>
            </m:ctrlPr>
          </m:e>
          <m:sup>
            <m:r>
              <m:rPr/>
              <w:rPr>
                <w:rFonts w:ascii="Cambria Math" w:hAnsi="Cambria Math" w:eastAsia="Calibri"/>
                <w:sz w:val="28"/>
                <w:szCs w:val="28"/>
                <w:lang w:eastAsia="en-US"/>
              </w:rPr>
              <m:t>b</m:t>
            </m:r>
            <m:ctrlPr>
              <w:rPr>
                <w:rFonts w:ascii="Cambria Math" w:hAnsi="Cambria Math" w:eastAsia="Calibri"/>
                <w:sz w:val="28"/>
                <w:szCs w:val="28"/>
                <w:lang w:eastAsia="en-US"/>
              </w:rPr>
            </m:ctrlPr>
          </m:sup>
        </m:sSup>
        <m:d>
          <m:dPr>
            <m:ctrlPr>
              <w:rPr>
                <w:rFonts w:ascii="Cambria Math" w:hAnsi="Cambria Math" w:eastAsia="Calibri"/>
                <w:sz w:val="28"/>
                <w:szCs w:val="28"/>
                <w:lang w:eastAsia="en-US"/>
              </w:rPr>
            </m:ctrlPr>
          </m:dPr>
          <m:e>
            <m:r>
              <m:rPr>
                <m:sty m:val="p"/>
              </m:rPr>
              <w:rPr>
                <w:rFonts w:ascii="Cambria Math" w:hAnsi="Cambria Math" w:eastAsia="Calibri"/>
                <w:sz w:val="28"/>
                <w:szCs w:val="28"/>
                <w:lang w:eastAsia="en-US"/>
              </w:rPr>
              <m:t>t+</m:t>
            </m:r>
            <m:r>
              <m:rPr/>
              <w:rPr>
                <w:rFonts w:ascii="Cambria Math" w:hAnsi="Cambria Math" w:eastAsia="Calibri"/>
                <w:sz w:val="28"/>
                <w:szCs w:val="28"/>
              </w:rPr>
              <m:t>τ</m:t>
            </m:r>
            <m:ctrlPr>
              <w:rPr>
                <w:rFonts w:ascii="Cambria Math" w:hAnsi="Cambria Math" w:eastAsia="Calibri"/>
                <w:sz w:val="28"/>
                <w:szCs w:val="28"/>
                <w:lang w:eastAsia="en-US"/>
              </w:rPr>
            </m:ctrlPr>
          </m:e>
        </m:d>
        <m:r>
          <m:rPr>
            <m:sty m:val="p"/>
          </m:rPr>
          <w:rPr>
            <w:rFonts w:ascii="Cambria Math" w:hAnsi="Cambria Math"/>
            <w:sz w:val="28"/>
            <w:szCs w:val="28"/>
          </w:rPr>
          <m:t>=</m:t>
        </m:r>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L</m:t>
            </m:r>
            <m:ctrlPr>
              <w:rPr>
                <w:rFonts w:ascii="Cambria Math" w:hAnsi="Cambria Math" w:eastAsia="Calibri"/>
                <w:sz w:val="28"/>
                <w:szCs w:val="28"/>
                <w:lang w:eastAsia="en-US"/>
              </w:rPr>
            </m:ctrlPr>
          </m:e>
          <m:sup>
            <m:r>
              <m:rPr/>
              <w:rPr>
                <w:rFonts w:ascii="Cambria Math" w:hAnsi="Cambria Math" w:eastAsia="Calibri"/>
                <w:sz w:val="28"/>
                <w:szCs w:val="28"/>
                <w:lang w:eastAsia="en-US"/>
              </w:rPr>
              <m:t>hb</m:t>
            </m:r>
            <m:ctrlPr>
              <w:rPr>
                <w:rFonts w:ascii="Cambria Math" w:hAnsi="Cambria Math" w:eastAsia="Calibri"/>
                <w:sz w:val="28"/>
                <w:szCs w:val="28"/>
                <w:lang w:eastAsia="en-US"/>
              </w:rPr>
            </m:ctrlPr>
          </m:sup>
        </m:sSup>
        <m:d>
          <m:dPr>
            <m:ctrlPr>
              <w:rPr>
                <w:rFonts w:ascii="Cambria Math" w:hAnsi="Cambria Math" w:eastAsia="Calibri"/>
                <w:sz w:val="28"/>
                <w:szCs w:val="28"/>
                <w:lang w:eastAsia="en-US"/>
              </w:rPr>
            </m:ctrlPr>
          </m:dPr>
          <m:e>
            <m:r>
              <m:rPr>
                <m:sty m:val="p"/>
              </m:rPr>
              <w:rPr>
                <w:rFonts w:ascii="Cambria Math" w:hAnsi="Cambria Math" w:eastAsia="Calibri"/>
                <w:sz w:val="28"/>
                <w:szCs w:val="28"/>
                <w:lang w:eastAsia="en-US"/>
              </w:rPr>
              <m:t>t</m:t>
            </m:r>
            <m:ctrlPr>
              <w:rPr>
                <w:rFonts w:ascii="Cambria Math" w:hAnsi="Cambria Math" w:eastAsia="Calibri"/>
                <w:sz w:val="28"/>
                <w:szCs w:val="28"/>
                <w:lang w:eastAsia="en-US"/>
              </w:rPr>
            </m:ctrlPr>
          </m:e>
        </m:d>
        <m:r>
          <m:rPr>
            <m:sty m:val="p"/>
          </m:rPr>
          <w:rPr>
            <w:rFonts w:ascii="Cambria Math" w:hAnsi="Cambria Math" w:eastAsia="Calibri"/>
            <w:sz w:val="28"/>
            <w:szCs w:val="28"/>
            <w:lang w:eastAsia="en-US"/>
          </w:rPr>
          <m:t>,</m:t>
        </m:r>
      </m:oMath>
      <w:r>
        <w:rPr>
          <w:rFonts w:eastAsia="Calibri"/>
          <w:sz w:val="28"/>
          <w:szCs w:val="28"/>
        </w:rPr>
        <w:t xml:space="preserve"> а собственный капитал банка обнуляется, </w:t>
      </w:r>
      <m:oMath>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O</m:t>
            </m:r>
            <m:ctrlPr>
              <w:rPr>
                <w:rFonts w:ascii="Cambria Math" w:hAnsi="Cambria Math" w:eastAsia="Calibri"/>
                <w:sz w:val="28"/>
                <w:szCs w:val="28"/>
                <w:lang w:eastAsia="en-US"/>
              </w:rPr>
            </m:ctrlPr>
          </m:e>
          <m:sup>
            <m:r>
              <m:rPr/>
              <w:rPr>
                <w:rFonts w:ascii="Cambria Math" w:hAnsi="Cambria Math" w:eastAsia="Calibri"/>
                <w:sz w:val="28"/>
                <w:szCs w:val="28"/>
                <w:lang w:eastAsia="en-US"/>
              </w:rPr>
              <m:t>b</m:t>
            </m:r>
            <m:ctrlPr>
              <w:rPr>
                <w:rFonts w:ascii="Cambria Math" w:hAnsi="Cambria Math" w:eastAsia="Calibri"/>
                <w:sz w:val="28"/>
                <w:szCs w:val="28"/>
                <w:lang w:eastAsia="en-US"/>
              </w:rPr>
            </m:ctrlPr>
          </m:sup>
        </m:sSup>
        <m:d>
          <m:dPr>
            <m:ctrlPr>
              <w:rPr>
                <w:rFonts w:ascii="Cambria Math" w:hAnsi="Cambria Math" w:eastAsia="Calibri"/>
                <w:sz w:val="28"/>
                <w:szCs w:val="28"/>
                <w:lang w:eastAsia="en-US"/>
              </w:rPr>
            </m:ctrlPr>
          </m:dPr>
          <m:e>
            <m:r>
              <m:rPr>
                <m:sty m:val="p"/>
              </m:rPr>
              <w:rPr>
                <w:rFonts w:ascii="Cambria Math" w:hAnsi="Cambria Math" w:eastAsia="Calibri"/>
                <w:sz w:val="28"/>
                <w:szCs w:val="28"/>
                <w:lang w:eastAsia="en-US"/>
              </w:rPr>
              <m:t>t+</m:t>
            </m:r>
            <m:r>
              <m:rPr/>
              <w:rPr>
                <w:rFonts w:ascii="Cambria Math" w:hAnsi="Cambria Math" w:eastAsia="Calibri"/>
                <w:sz w:val="28"/>
                <w:szCs w:val="28"/>
              </w:rPr>
              <m:t>τ</m:t>
            </m:r>
            <m:ctrlPr>
              <w:rPr>
                <w:rFonts w:ascii="Cambria Math" w:hAnsi="Cambria Math" w:eastAsia="Calibri"/>
                <w:sz w:val="28"/>
                <w:szCs w:val="28"/>
                <w:lang w:eastAsia="en-US"/>
              </w:rPr>
            </m:ctrlPr>
          </m:e>
        </m:d>
        <m:r>
          <m:rPr/>
          <w:rPr>
            <w:rFonts w:ascii="Cambria Math" w:hAnsi="Cambria Math" w:eastAsia="Calibri"/>
            <w:sz w:val="28"/>
            <w:szCs w:val="28"/>
            <w:lang w:eastAsia="en-US"/>
          </w:rPr>
          <m:t>=0</m:t>
        </m:r>
      </m:oMath>
      <w:r>
        <w:rPr>
          <w:rFonts w:eastAsia="Calibri"/>
          <w:sz w:val="28"/>
          <w:szCs w:val="28"/>
          <w:lang w:eastAsia="en-US"/>
        </w:rPr>
        <w:t xml:space="preserve">. </w:t>
      </w:r>
      <w:r>
        <w:rPr>
          <w:sz w:val="28"/>
          <w:szCs w:val="28"/>
        </w:rPr>
        <w:t>Банк в этом случае неплатежеспособен.</w:t>
      </w:r>
    </w:p>
    <w:p w14:paraId="6212A9DB">
      <w:pPr>
        <w:pStyle w:val="37"/>
        <w:rPr>
          <w:sz w:val="28"/>
          <w:szCs w:val="28"/>
        </w:rPr>
      </w:pPr>
      <w:r>
        <w:rPr>
          <w:sz w:val="28"/>
          <w:szCs w:val="28"/>
        </w:rPr>
        <w:t xml:space="preserve">Итак, ожидаемая величина капитала «плохого» банка </w:t>
      </w:r>
      <m:oMath>
        <m:r>
          <m:rPr/>
          <w:rPr>
            <w:rFonts w:ascii="Cambria Math" w:hAnsi="Cambria Math"/>
            <w:sz w:val="28"/>
            <w:szCs w:val="28"/>
          </w:rPr>
          <m:t>b</m:t>
        </m:r>
      </m:oMath>
      <w:r>
        <w:rPr>
          <w:sz w:val="28"/>
          <w:szCs w:val="28"/>
        </w:rPr>
        <w:t xml:space="preserve">, если его владелец не передает рискованные активы в государственный фонд проблемных активов </w:t>
      </w:r>
      <m:oMath>
        <m:r>
          <m:rPr/>
          <w:rPr>
            <w:rFonts w:ascii="Cambria Math" w:hAnsi="Cambria Math"/>
            <w:sz w:val="28"/>
            <w:szCs w:val="28"/>
          </w:rPr>
          <m:t>d</m:t>
        </m:r>
      </m:oMath>
    </w:p>
    <w:p w14:paraId="010B22C2">
      <w:pPr>
        <w:pStyle w:val="37"/>
        <w:rPr>
          <w:sz w:val="28"/>
          <w:szCs w:val="28"/>
        </w:rPr>
      </w:pPr>
    </w:p>
    <w:p w14:paraId="23412B0B">
      <w:pPr>
        <w:pStyle w:val="38"/>
        <w:spacing w:before="0" w:after="0"/>
        <w:rPr>
          <w:sz w:val="28"/>
          <w:szCs w:val="28"/>
        </w:rPr>
      </w:pPr>
      <w:r>
        <w:rPr>
          <w:sz w:val="28"/>
          <w:szCs w:val="28"/>
        </w:rPr>
        <w:tab/>
      </w:r>
      <w:r>
        <w:rPr>
          <w:sz w:val="28"/>
          <w:szCs w:val="28"/>
        </w:rPr>
        <w:t xml:space="preserve">                                </w:t>
      </w:r>
      <m:oMath>
        <m:r>
          <m:rPr>
            <m:sty m:val="p"/>
          </m:rPr>
          <w:rPr>
            <w:rFonts w:ascii="Cambria Math" w:hAnsi="Cambria Math"/>
            <w:sz w:val="28"/>
            <w:szCs w:val="28"/>
          </w:rPr>
          <m:t>E</m:t>
        </m:r>
        <m:d>
          <m:dPr>
            <m:begChr m:val="["/>
            <m:endChr m:val="]"/>
            <m:ctrlPr>
              <w:rPr>
                <w:rFonts w:ascii="Cambria Math" w:hAnsi="Cambria Math"/>
                <w:sz w:val="28"/>
                <w:szCs w:val="28"/>
              </w:rPr>
            </m:ctrlPr>
          </m:dPr>
          <m:e>
            <m:sSup>
              <m:sSupPr>
                <m:ctrlPr>
                  <w:rPr>
                    <w:rFonts w:ascii="Cambria Math" w:hAnsi="Cambria Math"/>
                    <w:sz w:val="28"/>
                    <w:szCs w:val="28"/>
                  </w:rPr>
                </m:ctrlPr>
              </m:sSupPr>
              <m:e>
                <m:r>
                  <m:rPr>
                    <m:sty m:val="p"/>
                  </m:rPr>
                  <w:rPr>
                    <w:rFonts w:ascii="Cambria Math" w:hAnsi="Cambria Math"/>
                    <w:sz w:val="28"/>
                    <w:szCs w:val="28"/>
                  </w:rPr>
                  <m:t>O</m:t>
                </m:r>
                <m:ctrlPr>
                  <w:rPr>
                    <w:rFonts w:ascii="Cambria Math" w:hAnsi="Cambria Math"/>
                    <w:sz w:val="28"/>
                    <w:szCs w:val="28"/>
                  </w:rPr>
                </m:ctrlPr>
              </m:e>
              <m:sup>
                <m:r>
                  <m:rPr/>
                  <w:rPr>
                    <w:rFonts w:ascii="Cambria Math" w:hAnsi="Cambria Math"/>
                    <w:sz w:val="28"/>
                    <w:szCs w:val="28"/>
                  </w:rPr>
                  <m:t>b</m:t>
                </m:r>
                <m:ctrlPr>
                  <w:rPr>
                    <w:rFonts w:ascii="Cambria Math" w:hAnsi="Cambria Math"/>
                    <w:sz w:val="28"/>
                    <w:szCs w:val="28"/>
                  </w:rPr>
                </m:ctrlPr>
              </m:sup>
            </m:sSup>
            <m:d>
              <m:dPr>
                <m:ctrlPr>
                  <w:rPr>
                    <w:rFonts w:ascii="Cambria Math" w:hAnsi="Cambria Math"/>
                    <w:sz w:val="28"/>
                    <w:szCs w:val="28"/>
                  </w:rPr>
                </m:ctrlPr>
              </m:dPr>
              <m:e>
                <m:r>
                  <m:rPr>
                    <m:sty m:val="p"/>
                  </m:rPr>
                  <w:rPr>
                    <w:rFonts w:ascii="Cambria Math" w:hAnsi="Cambria Math"/>
                    <w:sz w:val="28"/>
                    <w:szCs w:val="28"/>
                  </w:rPr>
                  <m:t>t+τ</m:t>
                </m:r>
                <m:ctrlPr>
                  <w:rPr>
                    <w:rFonts w:ascii="Cambria Math" w:hAnsi="Cambria Math"/>
                    <w:sz w:val="28"/>
                    <w:szCs w:val="28"/>
                  </w:rPr>
                </m:ctrlPr>
              </m:e>
            </m:d>
            <m:ctrlPr>
              <w:rPr>
                <w:rFonts w:ascii="Cambria Math" w:hAnsi="Cambria Math"/>
                <w:sz w:val="28"/>
                <w:szCs w:val="28"/>
              </w:rPr>
            </m:ctrlPr>
          </m:e>
        </m:d>
        <m:r>
          <m:rPr>
            <m:sty m:val="p"/>
          </m:rPr>
          <w:rPr>
            <w:rFonts w:ascii="Cambria Math" w:hAnsi="Cambria Math"/>
            <w:sz w:val="28"/>
            <w:szCs w:val="28"/>
          </w:rPr>
          <m:t>=</m:t>
        </m:r>
        <m:sSup>
          <m:sSupPr>
            <m:ctrlPr>
              <w:rPr>
                <w:rFonts w:ascii="Cambria Math" w:hAnsi="Cambria Math"/>
                <w:sz w:val="28"/>
                <w:szCs w:val="28"/>
              </w:rPr>
            </m:ctrlPr>
          </m:sSupPr>
          <m:e>
            <m:r>
              <m:rPr>
                <m:sty m:val="p"/>
              </m:rPr>
              <w:rPr>
                <w:rFonts w:ascii="Cambria Math" w:hAnsi="Cambria Math"/>
                <w:sz w:val="28"/>
                <w:szCs w:val="28"/>
              </w:rPr>
              <m:t>ρ(L</m:t>
            </m:r>
            <m:ctrlPr>
              <w:rPr>
                <w:rFonts w:ascii="Cambria Math" w:hAnsi="Cambria Math"/>
                <w:sz w:val="28"/>
                <w:szCs w:val="28"/>
              </w:rPr>
            </m:ctrlPr>
          </m:e>
          <m:sup>
            <m:r>
              <m:rPr>
                <m:sty m:val="p"/>
              </m:rPr>
              <w:rPr>
                <w:rFonts w:ascii="Cambria Math" w:hAnsi="Cambria Math"/>
                <w:sz w:val="28"/>
                <w:szCs w:val="28"/>
              </w:rPr>
              <m:t>bp</m:t>
            </m:r>
            <m:ctrlPr>
              <w:rPr>
                <w:rFonts w:ascii="Cambria Math" w:hAnsi="Cambria Math"/>
                <w:sz w:val="28"/>
                <w:szCs w:val="28"/>
              </w:rPr>
            </m:ctrlPr>
          </m:sup>
        </m:sSup>
        <m:d>
          <m:dPr>
            <m:ctrlPr>
              <w:rPr>
                <w:rFonts w:ascii="Cambria Math" w:hAnsi="Cambria Math"/>
                <w:sz w:val="28"/>
                <w:szCs w:val="28"/>
              </w:rPr>
            </m:ctrlPr>
          </m:dPr>
          <m:e>
            <m:r>
              <m:rPr>
                <m:sty m:val="p"/>
              </m:rPr>
              <w:rPr>
                <w:rFonts w:ascii="Cambria Math" w:hAnsi="Cambria Math"/>
                <w:sz w:val="28"/>
                <w:szCs w:val="28"/>
              </w:rPr>
              <m:t>t</m:t>
            </m:r>
            <m:ctrlPr>
              <w:rPr>
                <w:rFonts w:ascii="Cambria Math" w:hAnsi="Cambria Math"/>
                <w:sz w:val="28"/>
                <w:szCs w:val="28"/>
              </w:rPr>
            </m:ctrlPr>
          </m:e>
        </m:d>
        <m:r>
          <m:rPr>
            <m:sty m:val="p"/>
          </m:rPr>
          <w:rPr>
            <w:rFonts w:ascii="Cambria Math" w:hAnsi="Cambria Math"/>
            <w:sz w:val="28"/>
            <w:szCs w:val="28"/>
          </w:rPr>
          <m:t>−</m:t>
        </m:r>
        <m:sSup>
          <m:sSupPr>
            <m:ctrlPr>
              <w:rPr>
                <w:rFonts w:ascii="Cambria Math" w:hAnsi="Cambria Math"/>
                <w:sz w:val="28"/>
                <w:szCs w:val="28"/>
              </w:rPr>
            </m:ctrlPr>
          </m:sSupPr>
          <m:e>
            <m:r>
              <m:rPr>
                <m:sty m:val="p"/>
              </m:rPr>
              <w:rPr>
                <w:rFonts w:ascii="Cambria Math" w:hAnsi="Cambria Math"/>
                <w:sz w:val="28"/>
                <w:szCs w:val="28"/>
              </w:rPr>
              <m:t>L</m:t>
            </m:r>
            <m:ctrlPr>
              <w:rPr>
                <w:rFonts w:ascii="Cambria Math" w:hAnsi="Cambria Math"/>
                <w:sz w:val="28"/>
                <w:szCs w:val="28"/>
              </w:rPr>
            </m:ctrlPr>
          </m:e>
          <m:sup>
            <m:r>
              <m:rPr>
                <m:sty m:val="p"/>
              </m:rPr>
              <w:rPr>
                <w:rFonts w:ascii="Cambria Math" w:hAnsi="Cambria Math"/>
                <w:sz w:val="28"/>
                <w:szCs w:val="28"/>
              </w:rPr>
              <m:t>hb</m:t>
            </m:r>
            <m:ctrlPr>
              <w:rPr>
                <w:rFonts w:ascii="Cambria Math" w:hAnsi="Cambria Math"/>
                <w:sz w:val="28"/>
                <w:szCs w:val="28"/>
              </w:rPr>
            </m:ctrlPr>
          </m:sup>
        </m:sSup>
        <m:d>
          <m:dPr>
            <m:ctrlPr>
              <w:rPr>
                <w:rFonts w:ascii="Cambria Math" w:hAnsi="Cambria Math"/>
                <w:sz w:val="28"/>
                <w:szCs w:val="28"/>
              </w:rPr>
            </m:ctrlPr>
          </m:dPr>
          <m:e>
            <m:r>
              <m:rPr>
                <m:sty m:val="p"/>
              </m:rPr>
              <w:rPr>
                <w:rFonts w:ascii="Cambria Math" w:hAnsi="Cambria Math"/>
                <w:sz w:val="28"/>
                <w:szCs w:val="28"/>
              </w:rPr>
              <m:t>t</m:t>
            </m:r>
            <m:ctrlPr>
              <w:rPr>
                <w:rFonts w:ascii="Cambria Math" w:hAnsi="Cambria Math"/>
                <w:sz w:val="28"/>
                <w:szCs w:val="28"/>
              </w:rPr>
            </m:ctrlPr>
          </m:e>
        </m:d>
        <m:r>
          <m:rPr>
            <m:sty m:val="p"/>
          </m:rPr>
          <w:rPr>
            <w:rFonts w:ascii="Cambria Math" w:hAnsi="Cambria Math"/>
            <w:sz w:val="28"/>
            <w:szCs w:val="28"/>
          </w:rPr>
          <m:t>)</m:t>
        </m:r>
      </m:oMath>
      <w:r>
        <w:rPr>
          <w:sz w:val="28"/>
          <w:szCs w:val="28"/>
        </w:rPr>
        <w:t>.</w:t>
      </w:r>
      <w:r>
        <w:rPr>
          <w:sz w:val="28"/>
          <w:szCs w:val="28"/>
        </w:rPr>
        <w:tab/>
      </w:r>
      <w:r>
        <w:rPr>
          <w:sz w:val="28"/>
          <w:szCs w:val="28"/>
        </w:rPr>
        <w:t xml:space="preserve">                     (24)</w:t>
      </w:r>
    </w:p>
    <w:p w14:paraId="161D122D">
      <w:pPr>
        <w:pStyle w:val="37"/>
        <w:ind w:firstLine="0"/>
        <w:rPr>
          <w:rFonts w:eastAsia="Calibri"/>
          <w:sz w:val="28"/>
          <w:szCs w:val="28"/>
          <w:lang w:eastAsia="en-US"/>
        </w:rPr>
      </w:pPr>
    </w:p>
    <w:p w14:paraId="744F0AC5">
      <w:pPr>
        <w:autoSpaceDE w:val="0"/>
        <w:autoSpaceDN w:val="0"/>
        <w:adjustRightInd w:val="0"/>
        <w:spacing w:after="0" w:line="240" w:lineRule="auto"/>
        <w:ind w:firstLine="708"/>
        <w:contextualSpacing/>
        <w:jc w:val="both"/>
        <w:rPr>
          <w:rFonts w:ascii="Times New Roman" w:hAnsi="Times New Roman" w:cs="Times New Roman"/>
          <w:color w:val="000000"/>
          <w:sz w:val="28"/>
          <w:szCs w:val="28"/>
        </w:rPr>
      </w:pPr>
      <w:r>
        <w:rPr>
          <w:rFonts w:ascii="Times New Roman" w:hAnsi="Times New Roman" w:eastAsia="Calibri" w:cs="Times New Roman"/>
          <w:sz w:val="28"/>
          <w:szCs w:val="28"/>
        </w:rPr>
        <w:t xml:space="preserve">Банк </w:t>
      </w:r>
      <m:oMath>
        <m:r>
          <m:rPr/>
          <w:rPr>
            <w:rFonts w:ascii="Cambria Math" w:hAnsi="Cambria Math" w:cs="Times New Roman"/>
            <w:sz w:val="28"/>
            <w:szCs w:val="28"/>
          </w:rPr>
          <m:t>b</m:t>
        </m:r>
      </m:oMath>
      <w:r>
        <w:rPr>
          <w:rFonts w:ascii="Times New Roman" w:hAnsi="Times New Roman" w:eastAsia="Calibri" w:cs="Times New Roman"/>
          <w:sz w:val="28"/>
          <w:szCs w:val="28"/>
        </w:rPr>
        <w:t xml:space="preserve"> не может выдавать новые кредиты, поскольку его активы токсичны, и проценты по ним не выплачиваются. Банк </w:t>
      </w:r>
      <m:oMath>
        <m:r>
          <m:rPr/>
          <w:rPr>
            <w:rFonts w:ascii="Cambria Math" w:hAnsi="Cambria Math" w:eastAsia="Calibri" w:cs="Times New Roman"/>
            <w:sz w:val="28"/>
            <w:szCs w:val="28"/>
          </w:rPr>
          <m:t>b</m:t>
        </m:r>
      </m:oMath>
      <w:r>
        <w:rPr>
          <w:rFonts w:ascii="Times New Roman" w:hAnsi="Times New Roman" w:eastAsia="Calibri" w:cs="Times New Roman"/>
          <w:sz w:val="28"/>
          <w:szCs w:val="28"/>
        </w:rPr>
        <w:t xml:space="preserve"> может получить возможность выдавать новые кредиты, если продаст токсичные активы экономическому агенту </w:t>
      </w:r>
      <m:oMath>
        <m:r>
          <m:rPr/>
          <w:rPr>
            <w:rFonts w:ascii="Cambria Math" w:hAnsi="Cambria Math" w:cs="Times New Roman"/>
            <w:sz w:val="28"/>
            <w:szCs w:val="28"/>
          </w:rPr>
          <m:t>d</m:t>
        </m:r>
      </m:oMath>
      <w:r>
        <w:rPr>
          <w:rFonts w:ascii="Times New Roman" w:hAnsi="Times New Roman" w:eastAsia="Calibri" w:cs="Times New Roman"/>
          <w:sz w:val="28"/>
          <w:szCs w:val="28"/>
        </w:rPr>
        <w:t xml:space="preserve"> – фонду проблемных активов</w:t>
      </w:r>
      <m:oMath>
        <m:r>
          <m:rPr>
            <m:sty m:val="p"/>
          </m:rPr>
          <w:rPr>
            <w:rStyle w:val="8"/>
            <w:rFonts w:ascii="Cambria Math" w:hAnsi="Cambria Math" w:cs="Times New Roman"/>
            <w:sz w:val="28"/>
            <w:szCs w:val="28"/>
          </w:rPr>
          <w:footnoteReference w:id="0"/>
        </m:r>
      </m:oMath>
      <w:r>
        <w:rPr>
          <w:rFonts w:ascii="Times New Roman" w:hAnsi="Times New Roman" w:eastAsia="Calibri" w:cs="Times New Roman"/>
          <w:sz w:val="28"/>
          <w:szCs w:val="28"/>
        </w:rPr>
        <w:t xml:space="preserve">. Нематериальные издержки σ такой передачи связаны с потерей репутации управляющего коммерческим плохим банком </w:t>
      </w:r>
      <m:oMath>
        <m:r>
          <m:rPr/>
          <w:rPr>
            <w:rFonts w:ascii="Cambria Math" w:hAnsi="Cambria Math" w:cs="Times New Roman"/>
            <w:sz w:val="28"/>
            <w:szCs w:val="28"/>
          </w:rPr>
          <m:t>b</m:t>
        </m:r>
      </m:oMath>
      <w:r>
        <w:rPr>
          <w:rFonts w:ascii="Times New Roman" w:hAnsi="Times New Roman" w:eastAsia="Calibri" w:cs="Times New Roman"/>
          <w:sz w:val="28"/>
          <w:szCs w:val="28"/>
        </w:rPr>
        <w:t xml:space="preserve">. Кроме того, он получит безопасные государственные облигации на сумму </w:t>
      </w:r>
      <m:oMath>
        <m:sSup>
          <m:sSupPr>
            <m:ctrlPr>
              <w:rPr>
                <w:rFonts w:ascii="Cambria Math" w:hAnsi="Cambria Math" w:eastAsia="Calibri" w:cs="Times New Roman"/>
                <w:sz w:val="28"/>
                <w:szCs w:val="28"/>
              </w:rPr>
            </m:ctrlPr>
          </m:sSupPr>
          <m:e>
            <m:r>
              <m:rPr/>
              <w:rPr>
                <w:rFonts w:ascii="Cambria Math" w:hAnsi="Cambria Math" w:eastAsia="Calibri" w:cs="Times New Roman"/>
                <w:sz w:val="28"/>
                <w:szCs w:val="28"/>
              </w:rPr>
              <m:t>B</m:t>
            </m:r>
            <m:ctrlPr>
              <w:rPr>
                <w:rFonts w:ascii="Cambria Math" w:hAnsi="Cambria Math" w:eastAsia="Calibri" w:cs="Times New Roman"/>
                <w:sz w:val="28"/>
                <w:szCs w:val="28"/>
              </w:rPr>
            </m:ctrlPr>
          </m:e>
          <m:sup>
            <m:r>
              <m:rPr/>
              <w:rPr>
                <w:rFonts w:ascii="Cambria Math" w:hAnsi="Cambria Math" w:eastAsia="Calibri" w:cs="Times New Roman"/>
                <w:sz w:val="28"/>
                <w:szCs w:val="28"/>
              </w:rPr>
              <m:t>bd</m:t>
            </m:r>
            <m:ctrlPr>
              <w:rPr>
                <w:rFonts w:ascii="Cambria Math" w:hAnsi="Cambria Math" w:eastAsia="Calibri" w:cs="Times New Roman"/>
                <w:sz w:val="28"/>
                <w:szCs w:val="28"/>
              </w:rPr>
            </m:ctrlPr>
          </m:sup>
        </m:sSup>
        <m:d>
          <m:dPr>
            <m:ctrlPr>
              <w:rPr>
                <w:rFonts w:ascii="Cambria Math" w:hAnsi="Cambria Math" w:eastAsia="Calibri" w:cs="Times New Roman"/>
                <w:sz w:val="28"/>
                <w:szCs w:val="28"/>
              </w:rPr>
            </m:ctrlPr>
          </m:dPr>
          <m:e>
            <m:r>
              <m:rPr>
                <m:sty m:val="p"/>
              </m:rPr>
              <w:rPr>
                <w:rFonts w:ascii="Cambria Math" w:hAnsi="Cambria Math" w:eastAsia="Calibri" w:cs="Times New Roman"/>
                <w:sz w:val="28"/>
                <w:szCs w:val="28"/>
              </w:rPr>
              <m:t>t</m:t>
            </m:r>
            <m:ctrlPr>
              <w:rPr>
                <w:rFonts w:ascii="Cambria Math" w:hAnsi="Cambria Math" w:eastAsia="Calibri" w:cs="Times New Roman"/>
                <w:sz w:val="28"/>
                <w:szCs w:val="28"/>
              </w:rPr>
            </m:ctrlPr>
          </m:e>
        </m:d>
      </m:oMath>
      <w:r>
        <w:rPr>
          <w:rFonts w:ascii="Times New Roman" w:hAnsi="Times New Roman" w:eastAsia="Calibri" w:cs="Times New Roman"/>
          <w:sz w:val="28"/>
          <w:szCs w:val="28"/>
        </w:rPr>
        <w:t xml:space="preserve"> в обмен на проблемные активы. Этот денежный выкуп </w:t>
      </w:r>
      <m:oMath>
        <m:sSup>
          <m:sSupPr>
            <m:ctrlPr>
              <w:rPr>
                <w:rFonts w:ascii="Cambria Math" w:hAnsi="Cambria Math" w:eastAsia="Calibri" w:cs="Times New Roman"/>
                <w:sz w:val="28"/>
                <w:szCs w:val="28"/>
              </w:rPr>
            </m:ctrlPr>
          </m:sSupPr>
          <m:e>
            <m:r>
              <m:rPr/>
              <w:rPr>
                <w:rFonts w:ascii="Cambria Math" w:hAnsi="Cambria Math" w:eastAsia="Calibri" w:cs="Times New Roman"/>
                <w:sz w:val="28"/>
                <w:szCs w:val="28"/>
              </w:rPr>
              <m:t>B</m:t>
            </m:r>
            <m:ctrlPr>
              <w:rPr>
                <w:rFonts w:ascii="Cambria Math" w:hAnsi="Cambria Math" w:eastAsia="Calibri" w:cs="Times New Roman"/>
                <w:sz w:val="28"/>
                <w:szCs w:val="28"/>
              </w:rPr>
            </m:ctrlPr>
          </m:e>
          <m:sup>
            <m:r>
              <m:rPr/>
              <w:rPr>
                <w:rFonts w:ascii="Cambria Math" w:hAnsi="Cambria Math" w:eastAsia="Calibri" w:cs="Times New Roman"/>
                <w:sz w:val="28"/>
                <w:szCs w:val="28"/>
              </w:rPr>
              <m:t>bd</m:t>
            </m:r>
            <m:ctrlPr>
              <w:rPr>
                <w:rFonts w:ascii="Cambria Math" w:hAnsi="Cambria Math" w:eastAsia="Calibri" w:cs="Times New Roman"/>
                <w:sz w:val="28"/>
                <w:szCs w:val="28"/>
              </w:rPr>
            </m:ctrlPr>
          </m:sup>
        </m:sSup>
        <m:d>
          <m:dPr>
            <m:ctrlPr>
              <w:rPr>
                <w:rFonts w:ascii="Cambria Math" w:hAnsi="Cambria Math" w:eastAsia="Calibri" w:cs="Times New Roman"/>
                <w:sz w:val="28"/>
                <w:szCs w:val="28"/>
              </w:rPr>
            </m:ctrlPr>
          </m:dPr>
          <m:e>
            <m:r>
              <m:rPr>
                <m:sty m:val="p"/>
              </m:rPr>
              <w:rPr>
                <w:rFonts w:ascii="Cambria Math" w:hAnsi="Cambria Math" w:eastAsia="Calibri" w:cs="Times New Roman"/>
                <w:sz w:val="28"/>
                <w:szCs w:val="28"/>
              </w:rPr>
              <m:t>t</m:t>
            </m:r>
            <m:ctrlPr>
              <w:rPr>
                <w:rFonts w:ascii="Cambria Math" w:hAnsi="Cambria Math" w:eastAsia="Calibri" w:cs="Times New Roman"/>
                <w:sz w:val="28"/>
                <w:szCs w:val="28"/>
              </w:rPr>
            </m:ctrlPr>
          </m:e>
        </m:d>
      </m:oMath>
      <w:r>
        <w:rPr>
          <w:rFonts w:ascii="Times New Roman" w:hAnsi="Times New Roman" w:eastAsia="Calibri" w:cs="Times New Roman"/>
          <w:sz w:val="28"/>
          <w:szCs w:val="28"/>
        </w:rPr>
        <w:t xml:space="preserve"> не может быть ниже депозитов домашних хозяйств</w:t>
      </w:r>
      <w:r>
        <w:rPr>
          <w:rFonts w:ascii="Times New Roman" w:hAnsi="Times New Roman" w:cs="Times New Roman"/>
          <w:sz w:val="28"/>
          <w:szCs w:val="28"/>
        </w:rPr>
        <w:t xml:space="preserve"> </w:t>
      </w:r>
    </w:p>
    <w:p w14:paraId="175D1587">
      <w:pPr>
        <w:pStyle w:val="37"/>
        <w:rPr>
          <w:sz w:val="28"/>
          <w:szCs w:val="28"/>
        </w:rPr>
      </w:pPr>
    </w:p>
    <w:p w14:paraId="690F91C4">
      <w:pPr>
        <w:pStyle w:val="38"/>
        <w:spacing w:before="0" w:after="0"/>
        <w:rPr>
          <w:sz w:val="28"/>
          <w:szCs w:val="28"/>
        </w:rPr>
      </w:pPr>
      <w:r>
        <w:rPr>
          <w:sz w:val="28"/>
          <w:szCs w:val="28"/>
        </w:rPr>
        <w:tab/>
      </w:r>
      <w:r>
        <w:rPr>
          <w:sz w:val="28"/>
          <w:szCs w:val="28"/>
        </w:rPr>
        <w:t xml:space="preserve">                             </w:t>
      </w:r>
      <m:oMath>
        <m:sSup>
          <m:sSupPr>
            <m:ctrlPr>
              <w:rPr>
                <w:rFonts w:ascii="Cambria Math" w:hAnsi="Cambria Math"/>
                <w:i/>
                <w:sz w:val="28"/>
                <w:szCs w:val="28"/>
              </w:rPr>
            </m:ctrlPr>
          </m:sSupPr>
          <m:e>
            <m:sSup>
              <m:sSupPr>
                <m:ctrlPr>
                  <w:rPr>
                    <w:rFonts w:ascii="Cambria Math" w:hAnsi="Cambria Math"/>
                    <w:i/>
                    <w:sz w:val="28"/>
                    <w:szCs w:val="28"/>
                  </w:rPr>
                </m:ctrlPr>
              </m:sSupPr>
              <m:e>
                <m:r>
                  <m:rPr/>
                  <w:rPr>
                    <w:rFonts w:ascii="Cambria Math" w:hAnsi="Cambria Math"/>
                    <w:sz w:val="28"/>
                    <w:szCs w:val="28"/>
                  </w:rPr>
                  <m:t>B</m:t>
                </m:r>
                <m:ctrlPr>
                  <w:rPr>
                    <w:rFonts w:ascii="Cambria Math" w:hAnsi="Cambria Math"/>
                    <w:i/>
                    <w:sz w:val="28"/>
                    <w:szCs w:val="28"/>
                  </w:rPr>
                </m:ctrlPr>
              </m:e>
              <m:sup>
                <m:r>
                  <m:rPr/>
                  <w:rPr>
                    <w:rFonts w:ascii="Cambria Math" w:hAnsi="Cambria Math"/>
                    <w:sz w:val="28"/>
                    <w:szCs w:val="28"/>
                  </w:rPr>
                  <m:t>bd</m:t>
                </m:r>
                <m:ctrlPr>
                  <w:rPr>
                    <w:rFonts w:ascii="Cambria Math" w:hAnsi="Cambria Math"/>
                    <w:i/>
                    <w:sz w:val="28"/>
                    <w:szCs w:val="28"/>
                  </w:rPr>
                </m:ctrlPr>
              </m:sup>
            </m:sSup>
            <m:d>
              <m:dPr>
                <m:ctrlPr>
                  <w:rPr>
                    <w:rFonts w:ascii="Cambria Math" w:hAnsi="Cambria Math"/>
                    <w:i/>
                    <w:sz w:val="28"/>
                    <w:szCs w:val="28"/>
                  </w:rPr>
                </m:ctrlPr>
              </m:dPr>
              <m:e>
                <m:r>
                  <m:rPr/>
                  <w:rPr>
                    <w:rFonts w:ascii="Cambria Math" w:hAnsi="Cambria Math"/>
                    <w:sz w:val="28"/>
                    <w:szCs w:val="28"/>
                  </w:rPr>
                  <m:t>t</m:t>
                </m:r>
                <m:ctrlPr>
                  <w:rPr>
                    <w:rFonts w:ascii="Cambria Math" w:hAnsi="Cambria Math"/>
                    <w:i/>
                    <w:sz w:val="28"/>
                    <w:szCs w:val="28"/>
                  </w:rPr>
                </m:ctrlPr>
              </m:e>
            </m:d>
            <m:r>
              <m:rPr/>
              <w:rPr>
                <w:rFonts w:ascii="Cambria Math" w:hAnsi="Cambria Math"/>
                <w:sz w:val="28"/>
                <w:szCs w:val="28"/>
              </w:rPr>
              <m:t>≥L</m:t>
            </m:r>
            <m:ctrlPr>
              <w:rPr>
                <w:rFonts w:ascii="Cambria Math" w:hAnsi="Cambria Math"/>
                <w:i/>
                <w:sz w:val="28"/>
                <w:szCs w:val="28"/>
              </w:rPr>
            </m:ctrlPr>
          </m:e>
          <m:sup>
            <m:r>
              <m:rPr/>
              <w:rPr>
                <w:rFonts w:ascii="Cambria Math" w:hAnsi="Cambria Math"/>
                <w:sz w:val="28"/>
                <w:szCs w:val="28"/>
              </w:rPr>
              <m:t>hb</m:t>
            </m:r>
            <m:ctrlPr>
              <w:rPr>
                <w:rFonts w:ascii="Cambria Math" w:hAnsi="Cambria Math"/>
                <w:i/>
                <w:sz w:val="28"/>
                <w:szCs w:val="28"/>
              </w:rPr>
            </m:ctrlPr>
          </m:sup>
        </m:sSup>
        <m:d>
          <m:dPr>
            <m:ctrlPr>
              <w:rPr>
                <w:rFonts w:ascii="Cambria Math" w:hAnsi="Cambria Math"/>
                <w:i/>
                <w:sz w:val="28"/>
                <w:szCs w:val="28"/>
              </w:rPr>
            </m:ctrlPr>
          </m:dPr>
          <m:e>
            <m:r>
              <m:rPr/>
              <w:rPr>
                <w:rFonts w:ascii="Cambria Math" w:hAnsi="Cambria Math"/>
                <w:sz w:val="28"/>
                <w:szCs w:val="28"/>
              </w:rPr>
              <m:t>t</m:t>
            </m:r>
            <m:ctrlPr>
              <w:rPr>
                <w:rFonts w:ascii="Cambria Math" w:hAnsi="Cambria Math"/>
                <w:i/>
                <w:sz w:val="28"/>
                <w:szCs w:val="28"/>
              </w:rPr>
            </m:ctrlPr>
          </m:e>
        </m:d>
      </m:oMath>
      <w:r>
        <w:rPr>
          <w:sz w:val="28"/>
          <w:szCs w:val="28"/>
        </w:rPr>
        <w:t>.</w:t>
      </w:r>
      <w:r>
        <w:rPr>
          <w:sz w:val="28"/>
          <w:szCs w:val="28"/>
        </w:rPr>
        <w:tab/>
      </w:r>
      <w:r>
        <w:rPr>
          <w:sz w:val="28"/>
          <w:szCs w:val="28"/>
        </w:rPr>
        <w:tab/>
      </w:r>
      <w:r>
        <w:rPr>
          <w:sz w:val="28"/>
          <w:szCs w:val="28"/>
        </w:rPr>
        <w:tab/>
      </w:r>
      <w:r>
        <w:rPr>
          <w:sz w:val="28"/>
          <w:szCs w:val="28"/>
        </w:rPr>
        <w:t>(25)</w:t>
      </w:r>
    </w:p>
    <w:p w14:paraId="1557EF1D">
      <w:pPr>
        <w:pStyle w:val="37"/>
        <w:rPr>
          <w:sz w:val="28"/>
          <w:szCs w:val="28"/>
        </w:rPr>
      </w:pPr>
    </w:p>
    <w:p w14:paraId="697CD604">
      <w:pPr>
        <w:pStyle w:val="37"/>
        <w:rPr>
          <w:sz w:val="28"/>
          <w:szCs w:val="28"/>
        </w:rPr>
      </w:pPr>
      <w:r>
        <w:rPr>
          <w:sz w:val="28"/>
          <w:szCs w:val="28"/>
        </w:rPr>
        <w:t xml:space="preserve">В противном случае банк </w:t>
      </w:r>
      <m:oMath>
        <m:r>
          <m:rPr/>
          <w:rPr>
            <w:rFonts w:ascii="Cambria Math" w:hAnsi="Cambria Math"/>
            <w:sz w:val="28"/>
            <w:szCs w:val="28"/>
          </w:rPr>
          <m:t>b</m:t>
        </m:r>
      </m:oMath>
      <w:r>
        <w:rPr>
          <w:sz w:val="28"/>
          <w:szCs w:val="28"/>
        </w:rPr>
        <w:t xml:space="preserve"> обанкротится сразу после передачи своих рискованных активов. </w:t>
      </w:r>
    </w:p>
    <w:p w14:paraId="752B5747">
      <w:pPr>
        <w:pStyle w:val="37"/>
        <w:rPr>
          <w:rFonts w:eastAsia="Calibri"/>
          <w:sz w:val="28"/>
          <w:szCs w:val="28"/>
        </w:rPr>
      </w:pPr>
      <w:r>
        <w:rPr>
          <w:rFonts w:eastAsia="Calibri"/>
          <w:sz w:val="28"/>
          <w:szCs w:val="28"/>
          <w:lang w:eastAsia="en-US"/>
        </w:rPr>
        <w:t xml:space="preserve">В случае передачи проблемных активов в обмен на государственные облигации баланс банка </w:t>
      </w:r>
      <m:oMath>
        <m:r>
          <m:rPr/>
          <w:rPr>
            <w:rFonts w:ascii="Cambria Math" w:hAnsi="Cambria Math"/>
            <w:sz w:val="28"/>
            <w:szCs w:val="28"/>
          </w:rPr>
          <m:t>b</m:t>
        </m:r>
      </m:oMath>
      <w:r>
        <w:rPr>
          <w:rFonts w:eastAsia="Calibri"/>
          <w:sz w:val="28"/>
          <w:szCs w:val="28"/>
        </w:rPr>
        <w:t xml:space="preserve"> в момент времени </w:t>
      </w:r>
      <m:oMath>
        <m:r>
          <m:rPr/>
          <w:rPr>
            <w:rFonts w:ascii="Cambria Math" w:hAnsi="Cambria Math" w:eastAsia="Calibri"/>
            <w:sz w:val="28"/>
            <w:szCs w:val="28"/>
            <w:lang w:eastAsia="en-US"/>
          </w:rPr>
          <m:t>t</m:t>
        </m:r>
      </m:oMath>
    </w:p>
    <w:p w14:paraId="1AC03A5A">
      <w:pPr>
        <w:pStyle w:val="37"/>
        <w:rPr>
          <w:rFonts w:eastAsia="Calibri"/>
          <w:sz w:val="28"/>
          <w:szCs w:val="28"/>
          <w:lang w:eastAsia="en-US"/>
        </w:rPr>
      </w:pPr>
    </w:p>
    <w:p w14:paraId="5B8B5666">
      <w:pPr>
        <w:pStyle w:val="38"/>
        <w:spacing w:before="0" w:after="0"/>
        <w:rPr>
          <w:sz w:val="28"/>
          <w:szCs w:val="28"/>
        </w:rPr>
      </w:pPr>
      <w:r>
        <w:rPr>
          <w:sz w:val="28"/>
          <w:szCs w:val="28"/>
        </w:rPr>
        <w:tab/>
      </w:r>
      <m:oMath>
        <m:r>
          <m:rPr/>
          <w:rPr>
            <w:rFonts w:ascii="Cambria Math" w:hAnsi="Cambria Math"/>
            <w:sz w:val="28"/>
            <w:szCs w:val="28"/>
          </w:rPr>
          <m:t xml:space="preserve">            </m:t>
        </m:r>
        <m:sSup>
          <m:sSupPr>
            <m:ctrlPr>
              <w:rPr>
                <w:rFonts w:ascii="Cambria Math" w:hAnsi="Cambria Math"/>
                <w:i/>
                <w:sz w:val="28"/>
                <w:szCs w:val="28"/>
              </w:rPr>
            </m:ctrlPr>
          </m:sSupPr>
          <m:e>
            <m:r>
              <m:rPr/>
              <w:rPr>
                <w:rFonts w:ascii="Cambria Math" w:hAnsi="Cambria Math"/>
                <w:sz w:val="28"/>
                <w:szCs w:val="28"/>
              </w:rPr>
              <m:t>B</m:t>
            </m:r>
            <m:ctrlPr>
              <w:rPr>
                <w:rFonts w:ascii="Cambria Math" w:hAnsi="Cambria Math"/>
                <w:i/>
                <w:sz w:val="28"/>
                <w:szCs w:val="28"/>
              </w:rPr>
            </m:ctrlPr>
          </m:e>
          <m:sup>
            <m:r>
              <m:rPr/>
              <w:rPr>
                <w:rFonts w:ascii="Cambria Math" w:hAnsi="Cambria Math"/>
                <w:sz w:val="28"/>
                <w:szCs w:val="28"/>
              </w:rPr>
              <m:t>bd</m:t>
            </m:r>
            <m:ctrlPr>
              <w:rPr>
                <w:rFonts w:ascii="Cambria Math" w:hAnsi="Cambria Math"/>
                <w:i/>
                <w:sz w:val="28"/>
                <w:szCs w:val="28"/>
              </w:rPr>
            </m:ctrlPr>
          </m:sup>
        </m:sSup>
        <m:d>
          <m:dPr>
            <m:ctrlPr>
              <w:rPr>
                <w:rFonts w:ascii="Cambria Math" w:hAnsi="Cambria Math"/>
                <w:i/>
                <w:sz w:val="28"/>
                <w:szCs w:val="28"/>
              </w:rPr>
            </m:ctrlPr>
          </m:dPr>
          <m:e>
            <m:r>
              <m:rPr/>
              <w:rPr>
                <w:rFonts w:ascii="Cambria Math" w:hAnsi="Cambria Math"/>
                <w:sz w:val="28"/>
                <w:szCs w:val="28"/>
              </w:rPr>
              <m:t>t</m:t>
            </m:r>
            <m:ctrlPr>
              <w:rPr>
                <w:rFonts w:ascii="Cambria Math" w:hAnsi="Cambria Math"/>
                <w:i/>
                <w:sz w:val="28"/>
                <w:szCs w:val="28"/>
              </w:rPr>
            </m:ctrlPr>
          </m:e>
        </m:d>
        <m:r>
          <m:rPr/>
          <w:rPr>
            <w:rFonts w:ascii="Cambria Math" w:hAnsi="Cambria Math"/>
            <w:sz w:val="28"/>
            <w:szCs w:val="28"/>
          </w:rPr>
          <m:t>+</m:t>
        </m:r>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N</m:t>
            </m:r>
            <m:ctrlPr>
              <w:rPr>
                <w:rFonts w:ascii="Cambria Math" w:hAnsi="Cambria Math" w:eastAsia="Calibri"/>
                <w:sz w:val="28"/>
                <w:szCs w:val="28"/>
                <w:lang w:eastAsia="en-US"/>
              </w:rPr>
            </m:ctrlPr>
          </m:e>
          <m:sup>
            <m:r>
              <m:rPr/>
              <w:rPr>
                <w:rFonts w:ascii="Cambria Math" w:hAnsi="Cambria Math" w:eastAsia="Calibri"/>
                <w:sz w:val="28"/>
                <w:szCs w:val="28"/>
                <w:lang w:eastAsia="en-US"/>
              </w:rPr>
              <m:t>bp</m:t>
            </m:r>
            <m:ctrlPr>
              <w:rPr>
                <w:rFonts w:ascii="Cambria Math" w:hAnsi="Cambria Math" w:eastAsia="Calibri"/>
                <w:sz w:val="28"/>
                <w:szCs w:val="28"/>
                <w:lang w:eastAsia="en-US"/>
              </w:rPr>
            </m:ctrlPr>
          </m:sup>
        </m:sSup>
        <m:d>
          <m:dPr>
            <m:ctrlPr>
              <w:rPr>
                <w:rFonts w:ascii="Cambria Math" w:hAnsi="Cambria Math" w:eastAsia="Calibri"/>
                <w:sz w:val="28"/>
                <w:szCs w:val="28"/>
                <w:lang w:eastAsia="en-US"/>
              </w:rPr>
            </m:ctrlPr>
          </m:dPr>
          <m:e>
            <m:r>
              <m:rPr>
                <m:sty m:val="p"/>
              </m:rPr>
              <w:rPr>
                <w:rFonts w:ascii="Cambria Math" w:hAnsi="Cambria Math" w:eastAsia="Calibri"/>
                <w:sz w:val="28"/>
                <w:szCs w:val="28"/>
                <w:lang w:eastAsia="en-US"/>
              </w:rPr>
              <m:t>t</m:t>
            </m:r>
            <m:ctrlPr>
              <w:rPr>
                <w:rFonts w:ascii="Cambria Math" w:hAnsi="Cambria Math" w:eastAsia="Calibri"/>
                <w:sz w:val="28"/>
                <w:szCs w:val="28"/>
                <w:lang w:eastAsia="en-US"/>
              </w:rPr>
            </m:ctrlPr>
          </m:e>
        </m:d>
        <m:r>
          <m:rPr>
            <m:sty m:val="p"/>
          </m:rPr>
          <w:rPr>
            <w:rFonts w:ascii="Cambria Math" w:hAnsi="Cambria Math"/>
            <w:sz w:val="28"/>
            <w:szCs w:val="28"/>
          </w:rPr>
          <m:t>=</m:t>
        </m:r>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L</m:t>
            </m:r>
            <m:ctrlPr>
              <w:rPr>
                <w:rFonts w:ascii="Cambria Math" w:hAnsi="Cambria Math" w:eastAsia="Calibri"/>
                <w:sz w:val="28"/>
                <w:szCs w:val="28"/>
                <w:lang w:eastAsia="en-US"/>
              </w:rPr>
            </m:ctrlPr>
          </m:e>
          <m:sup>
            <m:r>
              <m:rPr/>
              <w:rPr>
                <w:rFonts w:ascii="Cambria Math" w:hAnsi="Cambria Math" w:eastAsia="Calibri"/>
                <w:sz w:val="28"/>
                <w:szCs w:val="28"/>
                <w:lang w:eastAsia="en-US"/>
              </w:rPr>
              <m:t>hb</m:t>
            </m:r>
            <m:ctrlPr>
              <w:rPr>
                <w:rFonts w:ascii="Cambria Math" w:hAnsi="Cambria Math" w:eastAsia="Calibri"/>
                <w:sz w:val="28"/>
                <w:szCs w:val="28"/>
                <w:lang w:eastAsia="en-US"/>
              </w:rPr>
            </m:ctrlPr>
          </m:sup>
        </m:sSup>
        <m:d>
          <m:dPr>
            <m:ctrlPr>
              <w:rPr>
                <w:rFonts w:ascii="Cambria Math" w:hAnsi="Cambria Math" w:eastAsia="Calibri"/>
                <w:sz w:val="28"/>
                <w:szCs w:val="28"/>
                <w:lang w:eastAsia="en-US"/>
              </w:rPr>
            </m:ctrlPr>
          </m:dPr>
          <m:e>
            <m:r>
              <m:rPr>
                <m:sty m:val="p"/>
              </m:rPr>
              <w:rPr>
                <w:rFonts w:ascii="Cambria Math" w:hAnsi="Cambria Math" w:eastAsia="Calibri"/>
                <w:sz w:val="28"/>
                <w:szCs w:val="28"/>
                <w:lang w:eastAsia="en-US"/>
              </w:rPr>
              <m:t>t</m:t>
            </m:r>
            <m:ctrlPr>
              <w:rPr>
                <w:rFonts w:ascii="Cambria Math" w:hAnsi="Cambria Math" w:eastAsia="Calibri"/>
                <w:sz w:val="28"/>
                <w:szCs w:val="28"/>
                <w:lang w:eastAsia="en-US"/>
              </w:rPr>
            </m:ctrlPr>
          </m:e>
        </m:d>
        <m:r>
          <m:rPr>
            <m:sty m:val="p"/>
          </m:rPr>
          <w:rPr>
            <w:rFonts w:ascii="Cambria Math" w:hAnsi="Cambria Math" w:eastAsia="Calibri"/>
            <w:sz w:val="28"/>
            <w:szCs w:val="28"/>
            <w:lang w:eastAsia="en-US"/>
          </w:rPr>
          <m:t>+</m:t>
        </m:r>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N</m:t>
            </m:r>
            <m:ctrlPr>
              <w:rPr>
                <w:rFonts w:ascii="Cambria Math" w:hAnsi="Cambria Math" w:eastAsia="Calibri"/>
                <w:sz w:val="28"/>
                <w:szCs w:val="28"/>
                <w:lang w:eastAsia="en-US"/>
              </w:rPr>
            </m:ctrlPr>
          </m:e>
          <m:sup>
            <m:r>
              <m:rPr/>
              <w:rPr>
                <w:rFonts w:ascii="Cambria Math" w:hAnsi="Cambria Math" w:eastAsia="Calibri"/>
                <w:sz w:val="28"/>
                <w:szCs w:val="28"/>
                <w:lang w:eastAsia="en-US"/>
              </w:rPr>
              <m:t>hb</m:t>
            </m:r>
            <m:ctrlPr>
              <w:rPr>
                <w:rFonts w:ascii="Cambria Math" w:hAnsi="Cambria Math" w:eastAsia="Calibri"/>
                <w:sz w:val="28"/>
                <w:szCs w:val="28"/>
                <w:lang w:eastAsia="en-US"/>
              </w:rPr>
            </m:ctrlPr>
          </m:sup>
        </m:sSup>
        <m:d>
          <m:dPr>
            <m:ctrlPr>
              <w:rPr>
                <w:rFonts w:ascii="Cambria Math" w:hAnsi="Cambria Math" w:eastAsia="Calibri"/>
                <w:sz w:val="28"/>
                <w:szCs w:val="28"/>
                <w:lang w:eastAsia="en-US"/>
              </w:rPr>
            </m:ctrlPr>
          </m:dPr>
          <m:e>
            <m:r>
              <m:rPr>
                <m:sty m:val="p"/>
              </m:rPr>
              <w:rPr>
                <w:rFonts w:ascii="Cambria Math" w:hAnsi="Cambria Math" w:eastAsia="Calibri"/>
                <w:sz w:val="28"/>
                <w:szCs w:val="28"/>
                <w:lang w:eastAsia="en-US"/>
              </w:rPr>
              <m:t>t</m:t>
            </m:r>
            <m:ctrlPr>
              <w:rPr>
                <w:rFonts w:ascii="Cambria Math" w:hAnsi="Cambria Math" w:eastAsia="Calibri"/>
                <w:sz w:val="28"/>
                <w:szCs w:val="28"/>
                <w:lang w:eastAsia="en-US"/>
              </w:rPr>
            </m:ctrlPr>
          </m:e>
        </m:d>
        <m:r>
          <m:rPr>
            <m:sty m:val="p"/>
          </m:rPr>
          <w:rPr>
            <w:rFonts w:ascii="Cambria Math" w:hAnsi="Cambria Math" w:eastAsia="Calibri"/>
            <w:sz w:val="28"/>
            <w:szCs w:val="28"/>
            <w:lang w:eastAsia="en-US"/>
          </w:rPr>
          <m:t>+</m:t>
        </m:r>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O</m:t>
            </m:r>
            <m:ctrlPr>
              <w:rPr>
                <w:rFonts w:ascii="Cambria Math" w:hAnsi="Cambria Math" w:eastAsia="Calibri"/>
                <w:sz w:val="28"/>
                <w:szCs w:val="28"/>
                <w:lang w:eastAsia="en-US"/>
              </w:rPr>
            </m:ctrlPr>
          </m:e>
          <m:sup>
            <m:r>
              <m:rPr/>
              <w:rPr>
                <w:rFonts w:ascii="Cambria Math" w:hAnsi="Cambria Math" w:eastAsia="Calibri"/>
                <w:sz w:val="28"/>
                <w:szCs w:val="28"/>
                <w:lang w:eastAsia="en-US"/>
              </w:rPr>
              <m:t>b</m:t>
            </m:r>
            <m:ctrlPr>
              <w:rPr>
                <w:rFonts w:ascii="Cambria Math" w:hAnsi="Cambria Math" w:eastAsia="Calibri"/>
                <w:sz w:val="28"/>
                <w:szCs w:val="28"/>
                <w:lang w:eastAsia="en-US"/>
              </w:rPr>
            </m:ctrlPr>
          </m:sup>
        </m:sSup>
        <m:d>
          <m:dPr>
            <m:ctrlPr>
              <w:rPr>
                <w:rFonts w:ascii="Cambria Math" w:hAnsi="Cambria Math" w:eastAsia="Calibri"/>
                <w:sz w:val="28"/>
                <w:szCs w:val="28"/>
                <w:lang w:eastAsia="en-US"/>
              </w:rPr>
            </m:ctrlPr>
          </m:dPr>
          <m:e>
            <m:r>
              <m:rPr>
                <m:sty m:val="p"/>
              </m:rPr>
              <w:rPr>
                <w:rFonts w:ascii="Cambria Math" w:hAnsi="Cambria Math" w:eastAsia="Calibri"/>
                <w:sz w:val="28"/>
                <w:szCs w:val="28"/>
                <w:lang w:eastAsia="en-US"/>
              </w:rPr>
              <m:t>t</m:t>
            </m:r>
            <m:ctrlPr>
              <w:rPr>
                <w:rFonts w:ascii="Cambria Math" w:hAnsi="Cambria Math" w:eastAsia="Calibri"/>
                <w:sz w:val="28"/>
                <w:szCs w:val="28"/>
                <w:lang w:eastAsia="en-US"/>
              </w:rPr>
            </m:ctrlPr>
          </m:e>
        </m:d>
      </m:oMath>
      <w:r>
        <w:rPr>
          <w:sz w:val="28"/>
          <w:szCs w:val="28"/>
          <w:lang w:eastAsia="en-US"/>
        </w:rPr>
        <w:t>.</w:t>
      </w:r>
      <w:r>
        <w:rPr>
          <w:sz w:val="28"/>
          <w:szCs w:val="28"/>
        </w:rPr>
        <w:tab/>
      </w:r>
      <w:r>
        <w:rPr>
          <w:sz w:val="28"/>
          <w:szCs w:val="28"/>
        </w:rPr>
        <w:t xml:space="preserve">                              (26)</w:t>
      </w:r>
    </w:p>
    <w:p w14:paraId="0B7E80BE">
      <w:pPr>
        <w:pStyle w:val="37"/>
        <w:rPr>
          <w:rFonts w:eastAsia="Calibri"/>
          <w:sz w:val="28"/>
          <w:szCs w:val="28"/>
          <w:lang w:eastAsia="en-US"/>
        </w:rPr>
      </w:pPr>
    </w:p>
    <w:p w14:paraId="0F1DABE7">
      <w:pPr>
        <w:pStyle w:val="37"/>
        <w:rPr>
          <w:rFonts w:eastAsia="Calibri"/>
          <w:sz w:val="28"/>
          <w:szCs w:val="28"/>
          <w:lang w:eastAsia="en-US"/>
        </w:rPr>
      </w:pPr>
      <w:r>
        <w:rPr>
          <w:rFonts w:eastAsia="Calibri"/>
          <w:sz w:val="28"/>
          <w:szCs w:val="28"/>
          <w:lang w:eastAsia="en-US"/>
        </w:rPr>
        <w:t xml:space="preserve">Активы банка </w:t>
      </w:r>
      <m:oMath>
        <m:r>
          <m:rPr/>
          <w:rPr>
            <w:rFonts w:ascii="Cambria Math" w:hAnsi="Cambria Math"/>
            <w:sz w:val="28"/>
            <w:szCs w:val="28"/>
          </w:rPr>
          <m:t>b</m:t>
        </m:r>
      </m:oMath>
      <w:r>
        <w:rPr>
          <w:rFonts w:eastAsia="Calibri"/>
          <w:sz w:val="28"/>
          <w:szCs w:val="28"/>
          <w:lang w:eastAsia="en-US"/>
        </w:rPr>
        <w:t xml:space="preserve"> состоят из вновь полученных государственных облигаций </w:t>
      </w:r>
      <m:oMath>
        <m:sSup>
          <m:sSupPr>
            <m:ctrlPr>
              <w:rPr>
                <w:rFonts w:ascii="Cambria Math" w:hAnsi="Cambria Math"/>
                <w:i/>
                <w:sz w:val="28"/>
                <w:szCs w:val="28"/>
              </w:rPr>
            </m:ctrlPr>
          </m:sSupPr>
          <m:e>
            <m:r>
              <m:rPr/>
              <w:rPr>
                <w:rFonts w:ascii="Cambria Math" w:hAnsi="Cambria Math"/>
                <w:sz w:val="28"/>
                <w:szCs w:val="28"/>
              </w:rPr>
              <m:t>B</m:t>
            </m:r>
            <m:ctrlPr>
              <w:rPr>
                <w:rFonts w:ascii="Cambria Math" w:hAnsi="Cambria Math"/>
                <w:i/>
                <w:sz w:val="28"/>
                <w:szCs w:val="28"/>
              </w:rPr>
            </m:ctrlPr>
          </m:e>
          <m:sup>
            <m:r>
              <m:rPr/>
              <w:rPr>
                <w:rFonts w:ascii="Cambria Math" w:hAnsi="Cambria Math"/>
                <w:sz w:val="28"/>
                <w:szCs w:val="28"/>
              </w:rPr>
              <m:t>bd</m:t>
            </m:r>
            <m:ctrlPr>
              <w:rPr>
                <w:rFonts w:ascii="Cambria Math" w:hAnsi="Cambria Math"/>
                <w:i/>
                <w:sz w:val="28"/>
                <w:szCs w:val="28"/>
              </w:rPr>
            </m:ctrlPr>
          </m:sup>
        </m:sSup>
        <m:d>
          <m:dPr>
            <m:ctrlPr>
              <w:rPr>
                <w:rFonts w:ascii="Cambria Math" w:hAnsi="Cambria Math"/>
                <w:i/>
                <w:sz w:val="28"/>
                <w:szCs w:val="28"/>
              </w:rPr>
            </m:ctrlPr>
          </m:dPr>
          <m:e>
            <m:r>
              <m:rPr/>
              <w:rPr>
                <w:rFonts w:ascii="Cambria Math" w:hAnsi="Cambria Math"/>
                <w:sz w:val="28"/>
                <w:szCs w:val="28"/>
              </w:rPr>
              <m:t>t</m:t>
            </m:r>
            <m:ctrlPr>
              <w:rPr>
                <w:rFonts w:ascii="Cambria Math" w:hAnsi="Cambria Math"/>
                <w:i/>
                <w:sz w:val="28"/>
                <w:szCs w:val="28"/>
              </w:rPr>
            </m:ctrlPr>
          </m:e>
        </m:d>
      </m:oMath>
      <w:r>
        <w:rPr>
          <w:rFonts w:eastAsia="Calibri"/>
          <w:sz w:val="28"/>
          <w:szCs w:val="28"/>
          <w:lang w:eastAsia="en-US"/>
        </w:rPr>
        <w:t xml:space="preserve"> и вновь предоставленных кредитов производителям </w:t>
      </w:r>
      <m:oMath>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N</m:t>
            </m:r>
            <m:ctrlPr>
              <w:rPr>
                <w:rFonts w:ascii="Cambria Math" w:hAnsi="Cambria Math" w:eastAsia="Calibri"/>
                <w:sz w:val="28"/>
                <w:szCs w:val="28"/>
                <w:lang w:eastAsia="en-US"/>
              </w:rPr>
            </m:ctrlPr>
          </m:e>
          <m:sup>
            <m:r>
              <m:rPr/>
              <w:rPr>
                <w:rFonts w:ascii="Cambria Math" w:hAnsi="Cambria Math" w:eastAsia="Calibri"/>
                <w:sz w:val="28"/>
                <w:szCs w:val="28"/>
                <w:lang w:eastAsia="en-US"/>
              </w:rPr>
              <m:t>bp</m:t>
            </m:r>
            <m:ctrlPr>
              <w:rPr>
                <w:rFonts w:ascii="Cambria Math" w:hAnsi="Cambria Math" w:eastAsia="Calibri"/>
                <w:sz w:val="28"/>
                <w:szCs w:val="28"/>
                <w:lang w:eastAsia="en-US"/>
              </w:rPr>
            </m:ctrlPr>
          </m:sup>
        </m:sSup>
        <m:d>
          <m:dPr>
            <m:ctrlPr>
              <w:rPr>
                <w:rFonts w:ascii="Cambria Math" w:hAnsi="Cambria Math" w:eastAsia="Calibri"/>
                <w:sz w:val="28"/>
                <w:szCs w:val="28"/>
                <w:lang w:eastAsia="en-US"/>
              </w:rPr>
            </m:ctrlPr>
          </m:dPr>
          <m:e>
            <m:r>
              <m:rPr/>
              <w:rPr>
                <w:rFonts w:ascii="Cambria Math" w:hAnsi="Cambria Math" w:eastAsia="Calibri"/>
                <w:sz w:val="28"/>
                <w:szCs w:val="28"/>
                <w:lang w:eastAsia="en-US"/>
              </w:rPr>
              <m:t>t</m:t>
            </m:r>
            <m:ctrlPr>
              <w:rPr>
                <w:rFonts w:ascii="Cambria Math" w:hAnsi="Cambria Math" w:eastAsia="Calibri"/>
                <w:sz w:val="28"/>
                <w:szCs w:val="28"/>
                <w:lang w:eastAsia="en-US"/>
              </w:rPr>
            </m:ctrlPr>
          </m:e>
        </m:d>
      </m:oMath>
      <w:r>
        <w:rPr>
          <w:rFonts w:eastAsia="Calibri"/>
          <w:sz w:val="28"/>
          <w:szCs w:val="28"/>
          <w:lang w:eastAsia="en-US"/>
        </w:rPr>
        <w:t xml:space="preserve">. Банк может предоставить эти кредиты, так как требования по капиталу не распространяются на государственные облигации. Пассивы состоят из старых депозитов </w:t>
      </w:r>
      <m:oMath>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L</m:t>
            </m:r>
            <m:ctrlPr>
              <w:rPr>
                <w:rFonts w:ascii="Cambria Math" w:hAnsi="Cambria Math" w:eastAsia="Calibri"/>
                <w:sz w:val="28"/>
                <w:szCs w:val="28"/>
                <w:lang w:eastAsia="en-US"/>
              </w:rPr>
            </m:ctrlPr>
          </m:e>
          <m:sup>
            <m:r>
              <m:rPr/>
              <w:rPr>
                <w:rFonts w:ascii="Cambria Math" w:hAnsi="Cambria Math" w:eastAsia="Calibri"/>
                <w:sz w:val="28"/>
                <w:szCs w:val="28"/>
                <w:lang w:eastAsia="en-US"/>
              </w:rPr>
              <m:t>hb</m:t>
            </m:r>
            <m:ctrlPr>
              <w:rPr>
                <w:rFonts w:ascii="Cambria Math" w:hAnsi="Cambria Math" w:eastAsia="Calibri"/>
                <w:sz w:val="28"/>
                <w:szCs w:val="28"/>
                <w:lang w:eastAsia="en-US"/>
              </w:rPr>
            </m:ctrlPr>
          </m:sup>
        </m:sSup>
        <m:d>
          <m:dPr>
            <m:ctrlPr>
              <w:rPr>
                <w:rFonts w:ascii="Cambria Math" w:hAnsi="Cambria Math" w:eastAsia="Calibri"/>
                <w:sz w:val="28"/>
                <w:szCs w:val="28"/>
                <w:lang w:eastAsia="en-US"/>
              </w:rPr>
            </m:ctrlPr>
          </m:dPr>
          <m:e>
            <m:r>
              <m:rPr/>
              <w:rPr>
                <w:rFonts w:ascii="Cambria Math" w:hAnsi="Cambria Math" w:eastAsia="Calibri"/>
                <w:sz w:val="28"/>
                <w:szCs w:val="28"/>
                <w:lang w:eastAsia="en-US"/>
              </w:rPr>
              <m:t>t</m:t>
            </m:r>
            <m:ctrlPr>
              <w:rPr>
                <w:rFonts w:ascii="Cambria Math" w:hAnsi="Cambria Math" w:eastAsia="Calibri"/>
                <w:sz w:val="28"/>
                <w:szCs w:val="28"/>
                <w:lang w:eastAsia="en-US"/>
              </w:rPr>
            </m:ctrlPr>
          </m:e>
        </m:d>
      </m:oMath>
      <w:r>
        <w:rPr>
          <w:rFonts w:eastAsia="Calibri"/>
          <w:sz w:val="28"/>
          <w:szCs w:val="28"/>
          <w:lang w:eastAsia="en-US"/>
        </w:rPr>
        <w:t xml:space="preserve">, вновь привлеченных депозитов </w:t>
      </w:r>
      <m:oMath>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N</m:t>
            </m:r>
            <m:ctrlPr>
              <w:rPr>
                <w:rFonts w:ascii="Cambria Math" w:hAnsi="Cambria Math" w:eastAsia="Calibri"/>
                <w:sz w:val="28"/>
                <w:szCs w:val="28"/>
                <w:lang w:eastAsia="en-US"/>
              </w:rPr>
            </m:ctrlPr>
          </m:e>
          <m:sup>
            <m:r>
              <m:rPr/>
              <w:rPr>
                <w:rFonts w:ascii="Cambria Math" w:hAnsi="Cambria Math" w:eastAsia="Calibri"/>
                <w:sz w:val="28"/>
                <w:szCs w:val="28"/>
                <w:lang w:eastAsia="en-US"/>
              </w:rPr>
              <m:t>hb</m:t>
            </m:r>
            <m:ctrlPr>
              <w:rPr>
                <w:rFonts w:ascii="Cambria Math" w:hAnsi="Cambria Math" w:eastAsia="Calibri"/>
                <w:sz w:val="28"/>
                <w:szCs w:val="28"/>
                <w:lang w:eastAsia="en-US"/>
              </w:rPr>
            </m:ctrlPr>
          </m:sup>
        </m:sSup>
        <m:d>
          <m:dPr>
            <m:ctrlPr>
              <w:rPr>
                <w:rFonts w:ascii="Cambria Math" w:hAnsi="Cambria Math" w:eastAsia="Calibri"/>
                <w:sz w:val="28"/>
                <w:szCs w:val="28"/>
                <w:lang w:eastAsia="en-US"/>
              </w:rPr>
            </m:ctrlPr>
          </m:dPr>
          <m:e>
            <m:r>
              <m:rPr/>
              <w:rPr>
                <w:rFonts w:ascii="Cambria Math" w:hAnsi="Cambria Math" w:eastAsia="Calibri"/>
                <w:sz w:val="28"/>
                <w:szCs w:val="28"/>
                <w:lang w:eastAsia="en-US"/>
              </w:rPr>
              <m:t>t</m:t>
            </m:r>
            <m:ctrlPr>
              <w:rPr>
                <w:rFonts w:ascii="Cambria Math" w:hAnsi="Cambria Math" w:eastAsia="Calibri"/>
                <w:sz w:val="28"/>
                <w:szCs w:val="28"/>
                <w:lang w:eastAsia="en-US"/>
              </w:rPr>
            </m:ctrlPr>
          </m:e>
        </m:d>
      </m:oMath>
      <w:r>
        <w:rPr>
          <w:rFonts w:eastAsia="Calibri"/>
          <w:sz w:val="28"/>
          <w:szCs w:val="28"/>
          <w:lang w:eastAsia="en-US"/>
        </w:rPr>
        <w:t xml:space="preserve"> и капитала </w:t>
      </w:r>
      <m:oMath>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O</m:t>
            </m:r>
            <m:ctrlPr>
              <w:rPr>
                <w:rFonts w:ascii="Cambria Math" w:hAnsi="Cambria Math" w:eastAsia="Calibri"/>
                <w:sz w:val="28"/>
                <w:szCs w:val="28"/>
                <w:lang w:eastAsia="en-US"/>
              </w:rPr>
            </m:ctrlPr>
          </m:e>
          <m:sup>
            <m:r>
              <m:rPr/>
              <w:rPr>
                <w:rFonts w:ascii="Cambria Math" w:hAnsi="Cambria Math" w:eastAsia="Calibri"/>
                <w:sz w:val="28"/>
                <w:szCs w:val="28"/>
                <w:lang w:eastAsia="en-US"/>
              </w:rPr>
              <m:t>b</m:t>
            </m:r>
            <m:ctrlPr>
              <w:rPr>
                <w:rFonts w:ascii="Cambria Math" w:hAnsi="Cambria Math" w:eastAsia="Calibri"/>
                <w:sz w:val="28"/>
                <w:szCs w:val="28"/>
                <w:lang w:eastAsia="en-US"/>
              </w:rPr>
            </m:ctrlPr>
          </m:sup>
        </m:sSup>
        <m:d>
          <m:dPr>
            <m:ctrlPr>
              <w:rPr>
                <w:rFonts w:ascii="Cambria Math" w:hAnsi="Cambria Math" w:eastAsia="Calibri"/>
                <w:i/>
                <w:sz w:val="28"/>
                <w:szCs w:val="28"/>
                <w:lang w:eastAsia="en-US"/>
              </w:rPr>
            </m:ctrlPr>
          </m:dPr>
          <m:e>
            <m:r>
              <m:rPr/>
              <w:rPr>
                <w:rFonts w:ascii="Cambria Math" w:hAnsi="Cambria Math" w:eastAsia="Calibri"/>
                <w:sz w:val="28"/>
                <w:szCs w:val="28"/>
                <w:lang w:eastAsia="en-US"/>
              </w:rPr>
              <m:t>t</m:t>
            </m:r>
            <m:ctrlPr>
              <w:rPr>
                <w:rFonts w:ascii="Cambria Math" w:hAnsi="Cambria Math" w:eastAsia="Calibri"/>
                <w:i/>
                <w:sz w:val="28"/>
                <w:szCs w:val="28"/>
                <w:lang w:eastAsia="en-US"/>
              </w:rPr>
            </m:ctrlPr>
          </m:e>
        </m:d>
      </m:oMath>
      <w:r>
        <w:rPr>
          <w:rFonts w:eastAsia="Calibri"/>
          <w:sz w:val="28"/>
          <w:szCs w:val="28"/>
          <w:lang w:eastAsia="en-US"/>
        </w:rPr>
        <w:t xml:space="preserve">. </w:t>
      </w:r>
    </w:p>
    <w:p w14:paraId="00587D36">
      <w:pPr>
        <w:pStyle w:val="37"/>
        <w:rPr>
          <w:rFonts w:eastAsia="Calibri"/>
          <w:sz w:val="28"/>
          <w:szCs w:val="28"/>
          <w:lang w:eastAsia="en-US"/>
        </w:rPr>
      </w:pPr>
      <w:r>
        <w:rPr>
          <w:rFonts w:eastAsia="Calibri"/>
          <w:sz w:val="28"/>
          <w:szCs w:val="28"/>
          <w:lang w:eastAsia="en-US"/>
        </w:rPr>
        <w:t xml:space="preserve">Поскольку «плохой» банк </w:t>
      </w:r>
      <m:oMath>
        <m:r>
          <m:rPr/>
          <w:rPr>
            <w:rFonts w:ascii="Cambria Math" w:hAnsi="Cambria Math" w:eastAsia="Calibri"/>
            <w:sz w:val="28"/>
            <w:szCs w:val="28"/>
            <w:lang w:eastAsia="en-US"/>
          </w:rPr>
          <m:t>b</m:t>
        </m:r>
      </m:oMath>
      <w:r>
        <w:rPr>
          <w:rFonts w:eastAsia="Calibri"/>
          <w:sz w:val="28"/>
          <w:szCs w:val="28"/>
          <w:lang w:eastAsia="en-US"/>
        </w:rPr>
        <w:t xml:space="preserve"> не в состоянии привлечь новый капитал и не имеет права продавать государственные облигации, он должен финансировать новые кредиты за счет привлечения новых депозитов. Поставка полностью застрахованных депозитов полностью эластична. Таким образом, общий объем новых депозитов равен объему новых кредитов:</w:t>
      </w:r>
    </w:p>
    <w:p w14:paraId="5DC82E3F">
      <w:pPr>
        <w:pStyle w:val="37"/>
        <w:rPr>
          <w:rFonts w:eastAsia="Calibri"/>
          <w:sz w:val="28"/>
          <w:szCs w:val="28"/>
          <w:lang w:eastAsia="en-US"/>
        </w:rPr>
      </w:pPr>
    </w:p>
    <w:p w14:paraId="63A3187A">
      <w:pPr>
        <w:pStyle w:val="38"/>
        <w:spacing w:before="0" w:after="0"/>
        <w:rPr>
          <w:sz w:val="28"/>
          <w:szCs w:val="28"/>
        </w:rPr>
      </w:pPr>
      <w:r>
        <w:rPr>
          <w:sz w:val="28"/>
          <w:szCs w:val="28"/>
        </w:rPr>
        <w:tab/>
      </w:r>
      <w:r>
        <w:rPr>
          <w:sz w:val="28"/>
          <w:szCs w:val="28"/>
        </w:rPr>
        <w:t xml:space="preserve">                                                              </w:t>
      </w:r>
      <m:oMath>
        <m:sSup>
          <m:sSupPr>
            <m:ctrlPr>
              <w:rPr>
                <w:rFonts w:ascii="Cambria Math" w:hAnsi="Cambria Math" w:eastAsia="Calibri"/>
                <w:i/>
                <w:sz w:val="28"/>
                <w:szCs w:val="28"/>
                <w:lang w:eastAsia="en-US"/>
              </w:rPr>
            </m:ctrlPr>
          </m:sSupPr>
          <m:e>
            <m:r>
              <m:rPr/>
              <w:rPr>
                <w:rFonts w:ascii="Cambria Math" w:hAnsi="Cambria Math" w:eastAsia="Calibri"/>
                <w:sz w:val="28"/>
                <w:szCs w:val="28"/>
                <w:lang w:eastAsia="en-US"/>
              </w:rPr>
              <m:t>N</m:t>
            </m:r>
            <m:ctrlPr>
              <w:rPr>
                <w:rFonts w:ascii="Cambria Math" w:hAnsi="Cambria Math" w:eastAsia="Calibri"/>
                <w:i/>
                <w:sz w:val="28"/>
                <w:szCs w:val="28"/>
                <w:lang w:eastAsia="en-US"/>
              </w:rPr>
            </m:ctrlPr>
          </m:e>
          <m:sup>
            <m:r>
              <m:rPr/>
              <w:rPr>
                <w:rFonts w:ascii="Cambria Math" w:hAnsi="Cambria Math" w:eastAsia="Calibri"/>
                <w:sz w:val="28"/>
                <w:szCs w:val="28"/>
                <w:lang w:eastAsia="en-US"/>
              </w:rPr>
              <m:t>hb</m:t>
            </m:r>
            <m:ctrlPr>
              <w:rPr>
                <w:rFonts w:ascii="Cambria Math" w:hAnsi="Cambria Math" w:eastAsia="Calibri"/>
                <w:i/>
                <w:sz w:val="28"/>
                <w:szCs w:val="28"/>
                <w:lang w:eastAsia="en-US"/>
              </w:rPr>
            </m:ctrlPr>
          </m:sup>
        </m:sSup>
        <m:d>
          <m:dPr>
            <m:ctrlPr>
              <w:rPr>
                <w:rFonts w:ascii="Cambria Math" w:hAnsi="Cambria Math" w:eastAsia="Calibri"/>
                <w:i/>
                <w:sz w:val="28"/>
                <w:szCs w:val="28"/>
                <w:lang w:eastAsia="en-US"/>
              </w:rPr>
            </m:ctrlPr>
          </m:dPr>
          <m:e>
            <m:r>
              <m:rPr/>
              <w:rPr>
                <w:rFonts w:ascii="Cambria Math" w:hAnsi="Cambria Math" w:eastAsia="Calibri"/>
                <w:sz w:val="28"/>
                <w:szCs w:val="28"/>
                <w:lang w:eastAsia="en-US"/>
              </w:rPr>
              <m:t>t</m:t>
            </m:r>
            <m:ctrlPr>
              <w:rPr>
                <w:rFonts w:ascii="Cambria Math" w:hAnsi="Cambria Math" w:eastAsia="Calibri"/>
                <w:i/>
                <w:sz w:val="28"/>
                <w:szCs w:val="28"/>
                <w:lang w:eastAsia="en-US"/>
              </w:rPr>
            </m:ctrlPr>
          </m:e>
        </m:d>
        <m:r>
          <m:rPr/>
          <w:rPr>
            <w:rFonts w:ascii="Cambria Math" w:hAnsi="Cambria Math" w:eastAsia="Calibri"/>
            <w:sz w:val="28"/>
            <w:szCs w:val="28"/>
            <w:lang w:eastAsia="en-US"/>
          </w:rPr>
          <m:t>=</m:t>
        </m:r>
        <m:sSup>
          <m:sSupPr>
            <m:ctrlPr>
              <w:rPr>
                <w:rFonts w:ascii="Cambria Math" w:hAnsi="Cambria Math" w:eastAsia="Calibri"/>
                <w:i/>
                <w:sz w:val="28"/>
                <w:szCs w:val="28"/>
                <w:lang w:eastAsia="en-US"/>
              </w:rPr>
            </m:ctrlPr>
          </m:sSupPr>
          <m:e>
            <m:r>
              <m:rPr/>
              <w:rPr>
                <w:rFonts w:ascii="Cambria Math" w:hAnsi="Cambria Math" w:eastAsia="Calibri"/>
                <w:sz w:val="28"/>
                <w:szCs w:val="28"/>
                <w:lang w:eastAsia="en-US"/>
              </w:rPr>
              <m:t>N</m:t>
            </m:r>
            <m:ctrlPr>
              <w:rPr>
                <w:rFonts w:ascii="Cambria Math" w:hAnsi="Cambria Math" w:eastAsia="Calibri"/>
                <w:i/>
                <w:sz w:val="28"/>
                <w:szCs w:val="28"/>
                <w:lang w:eastAsia="en-US"/>
              </w:rPr>
            </m:ctrlPr>
          </m:e>
          <m:sup>
            <m:r>
              <m:rPr/>
              <w:rPr>
                <w:rFonts w:ascii="Cambria Math" w:hAnsi="Cambria Math" w:eastAsia="Calibri"/>
                <w:sz w:val="28"/>
                <w:szCs w:val="28"/>
                <w:lang w:eastAsia="en-US"/>
              </w:rPr>
              <m:t>bp</m:t>
            </m:r>
            <m:ctrlPr>
              <w:rPr>
                <w:rFonts w:ascii="Cambria Math" w:hAnsi="Cambria Math" w:eastAsia="Calibri"/>
                <w:i/>
                <w:sz w:val="28"/>
                <w:szCs w:val="28"/>
                <w:lang w:eastAsia="en-US"/>
              </w:rPr>
            </m:ctrlPr>
          </m:sup>
        </m:sSup>
        <m:d>
          <m:dPr>
            <m:ctrlPr>
              <w:rPr>
                <w:rFonts w:ascii="Cambria Math" w:hAnsi="Cambria Math" w:eastAsia="Calibri"/>
                <w:i/>
                <w:sz w:val="28"/>
                <w:szCs w:val="28"/>
                <w:lang w:eastAsia="en-US"/>
              </w:rPr>
            </m:ctrlPr>
          </m:dPr>
          <m:e>
            <m:r>
              <m:rPr/>
              <w:rPr>
                <w:rFonts w:ascii="Cambria Math" w:hAnsi="Cambria Math" w:eastAsia="Calibri"/>
                <w:sz w:val="28"/>
                <w:szCs w:val="28"/>
                <w:lang w:eastAsia="en-US"/>
              </w:rPr>
              <m:t>t</m:t>
            </m:r>
            <m:ctrlPr>
              <w:rPr>
                <w:rFonts w:ascii="Cambria Math" w:hAnsi="Cambria Math" w:eastAsia="Calibri"/>
                <w:i/>
                <w:sz w:val="28"/>
                <w:szCs w:val="28"/>
                <w:lang w:eastAsia="en-US"/>
              </w:rPr>
            </m:ctrlPr>
          </m:e>
        </m:d>
      </m:oMath>
      <w:r>
        <w:rPr>
          <w:sz w:val="28"/>
          <w:szCs w:val="28"/>
          <w:lang w:eastAsia="en-US"/>
        </w:rPr>
        <w:t>.</w:t>
      </w:r>
      <w:r>
        <w:rPr>
          <w:sz w:val="28"/>
          <w:szCs w:val="28"/>
        </w:rPr>
        <w:tab/>
      </w:r>
      <w:r>
        <w:rPr>
          <w:sz w:val="28"/>
          <w:szCs w:val="28"/>
        </w:rPr>
        <w:t xml:space="preserve">                            (27)</w:t>
      </w:r>
    </w:p>
    <w:p w14:paraId="02EEF6A3">
      <w:pPr>
        <w:pStyle w:val="37"/>
        <w:rPr>
          <w:rFonts w:eastAsia="Calibri"/>
          <w:sz w:val="28"/>
          <w:szCs w:val="28"/>
          <w:lang w:eastAsia="en-US"/>
        </w:rPr>
      </w:pPr>
    </w:p>
    <w:p w14:paraId="2478776D">
      <w:pPr>
        <w:pStyle w:val="37"/>
        <w:rPr>
          <w:rFonts w:eastAsia="Calibri"/>
          <w:sz w:val="28"/>
          <w:szCs w:val="28"/>
          <w:lang w:eastAsia="en-US"/>
        </w:rPr>
      </w:pPr>
      <w:r>
        <w:rPr>
          <w:rFonts w:eastAsia="Calibri"/>
          <w:sz w:val="28"/>
          <w:szCs w:val="28"/>
          <w:lang w:eastAsia="en-US"/>
        </w:rPr>
        <w:t xml:space="preserve">В момент времени </w:t>
      </w:r>
      <m:oMath>
        <m:r>
          <m:rPr/>
          <w:rPr>
            <w:rFonts w:ascii="Cambria Math" w:hAnsi="Cambria Math" w:eastAsia="Calibri"/>
            <w:sz w:val="28"/>
            <w:szCs w:val="28"/>
            <w:lang w:eastAsia="en-US"/>
          </w:rPr>
          <m:t>t</m:t>
        </m:r>
        <m:r>
          <m:rPr>
            <m:sty m:val="p"/>
          </m:rPr>
          <w:rPr>
            <w:rFonts w:ascii="Cambria Math" w:hAnsi="Cambria Math" w:eastAsia="Calibri"/>
            <w:sz w:val="28"/>
            <w:szCs w:val="28"/>
            <w:lang w:eastAsia="en-US"/>
          </w:rPr>
          <m:t>+</m:t>
        </m:r>
        <m:r>
          <m:rPr/>
          <w:rPr>
            <w:rFonts w:ascii="Cambria Math" w:hAnsi="Cambria Math" w:eastAsia="Calibri"/>
            <w:sz w:val="28"/>
            <w:szCs w:val="28"/>
          </w:rPr>
          <m:t>τ</m:t>
        </m:r>
      </m:oMath>
      <w:r>
        <w:rPr>
          <w:rFonts w:eastAsia="Calibri"/>
          <w:sz w:val="28"/>
          <w:szCs w:val="28"/>
          <w:lang w:eastAsia="en-US"/>
        </w:rPr>
        <w:t xml:space="preserve"> доход по новым кредитам является случайной величиной, обозначаемой </w:t>
      </w:r>
      <m:oMath>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N</m:t>
            </m:r>
            <m:ctrlPr>
              <w:rPr>
                <w:rFonts w:ascii="Cambria Math" w:hAnsi="Cambria Math" w:eastAsia="Calibri"/>
                <w:sz w:val="28"/>
                <w:szCs w:val="28"/>
                <w:lang w:eastAsia="en-US"/>
              </w:rPr>
            </m:ctrlPr>
          </m:e>
          <m:sup>
            <m:r>
              <m:rPr/>
              <w:rPr>
                <w:rFonts w:ascii="Cambria Math" w:hAnsi="Cambria Math" w:eastAsia="Calibri"/>
                <w:sz w:val="28"/>
                <w:szCs w:val="28"/>
                <w:lang w:eastAsia="en-US"/>
              </w:rPr>
              <m:t>bp</m:t>
            </m:r>
            <m:ctrlPr>
              <w:rPr>
                <w:rFonts w:ascii="Cambria Math" w:hAnsi="Cambria Math" w:eastAsia="Calibri"/>
                <w:sz w:val="28"/>
                <w:szCs w:val="28"/>
                <w:lang w:eastAsia="en-US"/>
              </w:rPr>
            </m:ctrlPr>
          </m:sup>
        </m:sSup>
        <m:r>
          <m:rPr>
            <m:sty m:val="p"/>
          </m:rPr>
          <w:rPr>
            <w:rFonts w:ascii="Cambria Math" w:hAnsi="Cambria Math" w:eastAsia="Calibri"/>
            <w:sz w:val="28"/>
            <w:szCs w:val="28"/>
            <w:lang w:eastAsia="en-US"/>
          </w:rPr>
          <m:t>(</m:t>
        </m:r>
        <m:r>
          <m:rPr/>
          <w:rPr>
            <w:rFonts w:ascii="Cambria Math" w:hAnsi="Cambria Math" w:eastAsia="Calibri"/>
            <w:sz w:val="28"/>
            <w:szCs w:val="28"/>
            <w:lang w:eastAsia="en-US"/>
          </w:rPr>
          <m:t>t</m:t>
        </m:r>
        <m:r>
          <m:rPr>
            <m:sty m:val="p"/>
          </m:rPr>
          <w:rPr>
            <w:rFonts w:ascii="Cambria Math" w:hAnsi="Cambria Math" w:eastAsia="Calibri"/>
            <w:sz w:val="28"/>
            <w:szCs w:val="28"/>
            <w:lang w:eastAsia="en-US"/>
          </w:rPr>
          <m:t>+</m:t>
        </m:r>
        <m:r>
          <m:rPr/>
          <w:rPr>
            <w:rFonts w:ascii="Cambria Math" w:hAnsi="Cambria Math" w:eastAsia="Calibri"/>
            <w:sz w:val="28"/>
            <w:szCs w:val="28"/>
          </w:rPr>
          <m:t>τ</m:t>
        </m:r>
        <m:r>
          <m:rPr>
            <m:sty m:val="p"/>
          </m:rPr>
          <w:rPr>
            <w:rFonts w:ascii="Cambria Math" w:hAnsi="Cambria Math" w:eastAsia="Calibri"/>
            <w:sz w:val="28"/>
            <w:szCs w:val="28"/>
            <w:lang w:eastAsia="en-US"/>
          </w:rPr>
          <m:t>)</m:t>
        </m:r>
      </m:oMath>
      <w:r>
        <w:rPr>
          <w:rFonts w:eastAsia="Calibri"/>
          <w:sz w:val="28"/>
          <w:szCs w:val="28"/>
          <w:lang w:eastAsia="en-US"/>
        </w:rPr>
        <w:t xml:space="preserve">. С вероятностью </w:t>
      </w:r>
      <m:oMath>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ρ</m:t>
            </m:r>
            <m:ctrlPr>
              <w:rPr>
                <w:rFonts w:ascii="Cambria Math" w:hAnsi="Cambria Math" w:eastAsia="Calibri"/>
                <w:sz w:val="28"/>
                <w:szCs w:val="28"/>
                <w:lang w:eastAsia="en-US"/>
              </w:rPr>
            </m:ctrlPr>
          </m:e>
          <m:sup>
            <m:r>
              <m:rPr/>
              <w:rPr>
                <w:rFonts w:ascii="Cambria Math" w:hAnsi="Cambria Math" w:eastAsia="Calibri"/>
                <w:sz w:val="28"/>
                <w:szCs w:val="28"/>
                <w:lang w:eastAsia="en-US"/>
              </w:rPr>
              <m:t>b</m:t>
            </m:r>
            <m:ctrlPr>
              <w:rPr>
                <w:rFonts w:ascii="Cambria Math" w:hAnsi="Cambria Math" w:eastAsia="Calibri"/>
                <w:sz w:val="28"/>
                <w:szCs w:val="28"/>
                <w:lang w:eastAsia="en-US"/>
              </w:rPr>
            </m:ctrlPr>
          </m:sup>
        </m:sSup>
      </m:oMath>
      <w:r>
        <w:rPr>
          <w:rFonts w:eastAsia="Calibri"/>
          <w:sz w:val="28"/>
          <w:szCs w:val="28"/>
          <w:lang w:eastAsia="en-US"/>
        </w:rPr>
        <w:t xml:space="preserve"> новые кредиты являются успешными и дают доход </w:t>
      </w:r>
      <m:oMath>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N</m:t>
            </m:r>
            <m:ctrlPr>
              <w:rPr>
                <w:rFonts w:ascii="Cambria Math" w:hAnsi="Cambria Math" w:eastAsia="Calibri"/>
                <w:sz w:val="28"/>
                <w:szCs w:val="28"/>
                <w:lang w:eastAsia="en-US"/>
              </w:rPr>
            </m:ctrlPr>
          </m:e>
          <m:sup>
            <m:r>
              <m:rPr/>
              <w:rPr>
                <w:rFonts w:ascii="Cambria Math" w:hAnsi="Cambria Math" w:eastAsia="Calibri"/>
                <w:sz w:val="28"/>
                <w:szCs w:val="28"/>
                <w:lang w:eastAsia="en-US"/>
              </w:rPr>
              <m:t>bp</m:t>
            </m:r>
            <m:ctrlPr>
              <w:rPr>
                <w:rFonts w:ascii="Cambria Math" w:hAnsi="Cambria Math" w:eastAsia="Calibri"/>
                <w:sz w:val="28"/>
                <w:szCs w:val="28"/>
                <w:lang w:eastAsia="en-US"/>
              </w:rPr>
            </m:ctrlPr>
          </m:sup>
        </m:sSup>
        <m:r>
          <m:rPr>
            <m:sty m:val="p"/>
          </m:rPr>
          <w:rPr>
            <w:rFonts w:ascii="Cambria Math" w:hAnsi="Cambria Math" w:eastAsia="Calibri"/>
            <w:sz w:val="28"/>
            <w:szCs w:val="28"/>
            <w:lang w:eastAsia="en-US"/>
          </w:rPr>
          <m:t>(</m:t>
        </m:r>
        <m:r>
          <m:rPr/>
          <w:rPr>
            <w:rFonts w:ascii="Cambria Math" w:hAnsi="Cambria Math" w:eastAsia="Calibri"/>
            <w:sz w:val="28"/>
            <w:szCs w:val="28"/>
            <w:lang w:eastAsia="en-US"/>
          </w:rPr>
          <m:t>t</m:t>
        </m:r>
        <m:r>
          <m:rPr>
            <m:sty m:val="p"/>
          </m:rPr>
          <w:rPr>
            <w:rFonts w:ascii="Cambria Math" w:hAnsi="Cambria Math" w:eastAsia="Calibri"/>
            <w:sz w:val="28"/>
            <w:szCs w:val="28"/>
            <w:lang w:eastAsia="en-US"/>
          </w:rPr>
          <m:t>+</m:t>
        </m:r>
        <m:r>
          <m:rPr/>
          <w:rPr>
            <w:rFonts w:ascii="Cambria Math" w:hAnsi="Cambria Math" w:eastAsia="Calibri"/>
            <w:sz w:val="28"/>
            <w:szCs w:val="28"/>
          </w:rPr>
          <m:t>τ</m:t>
        </m:r>
        <m:r>
          <m:rPr>
            <m:sty m:val="p"/>
          </m:rPr>
          <w:rPr>
            <w:rFonts w:ascii="Cambria Math" w:hAnsi="Cambria Math" w:eastAsia="Calibri"/>
            <w:sz w:val="28"/>
            <w:szCs w:val="28"/>
            <w:lang w:eastAsia="en-US"/>
          </w:rPr>
          <m:t xml:space="preserve">)=(1+ </m:t>
        </m:r>
        <m:r>
          <m:rPr/>
          <w:rPr>
            <w:rFonts w:ascii="Cambria Math" w:hAnsi="Cambria Math" w:eastAsia="Calibri"/>
            <w:sz w:val="28"/>
            <w:szCs w:val="28"/>
            <w:lang w:eastAsia="en-US"/>
          </w:rPr>
          <m:t>ν</m:t>
        </m:r>
        <m:r>
          <m:rPr>
            <m:sty m:val="p"/>
          </m:rPr>
          <w:rPr>
            <w:rFonts w:ascii="Cambria Math" w:hAnsi="Cambria Math" w:eastAsia="Calibri"/>
            <w:sz w:val="28"/>
            <w:szCs w:val="28"/>
            <w:lang w:eastAsia="en-US"/>
          </w:rPr>
          <m:t>)</m:t>
        </m:r>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N</m:t>
            </m:r>
            <m:ctrlPr>
              <w:rPr>
                <w:rFonts w:ascii="Cambria Math" w:hAnsi="Cambria Math" w:eastAsia="Calibri"/>
                <w:sz w:val="28"/>
                <w:szCs w:val="28"/>
                <w:lang w:eastAsia="en-US"/>
              </w:rPr>
            </m:ctrlPr>
          </m:e>
          <m:sup>
            <m:r>
              <m:rPr/>
              <w:rPr>
                <w:rFonts w:ascii="Cambria Math" w:hAnsi="Cambria Math" w:eastAsia="Calibri"/>
                <w:sz w:val="28"/>
                <w:szCs w:val="28"/>
                <w:lang w:eastAsia="en-US"/>
              </w:rPr>
              <m:t>bp</m:t>
            </m:r>
            <m:ctrlPr>
              <w:rPr>
                <w:rFonts w:ascii="Cambria Math" w:hAnsi="Cambria Math" w:eastAsia="Calibri"/>
                <w:sz w:val="28"/>
                <w:szCs w:val="28"/>
                <w:lang w:eastAsia="en-US"/>
              </w:rPr>
            </m:ctrlPr>
          </m:sup>
        </m:sSup>
        <m:d>
          <m:dPr>
            <m:ctrlPr>
              <w:rPr>
                <w:rFonts w:ascii="Cambria Math" w:hAnsi="Cambria Math" w:eastAsia="Calibri"/>
                <w:sz w:val="28"/>
                <w:szCs w:val="28"/>
                <w:lang w:eastAsia="en-US"/>
              </w:rPr>
            </m:ctrlPr>
          </m:dPr>
          <m:e>
            <m:r>
              <m:rPr>
                <m:sty m:val="p"/>
              </m:rPr>
              <w:rPr>
                <w:rFonts w:ascii="Cambria Math" w:hAnsi="Cambria Math" w:eastAsia="Calibri"/>
                <w:sz w:val="28"/>
                <w:szCs w:val="28"/>
                <w:lang w:eastAsia="en-US"/>
              </w:rPr>
              <m:t>t</m:t>
            </m:r>
            <m:ctrlPr>
              <w:rPr>
                <w:rFonts w:ascii="Cambria Math" w:hAnsi="Cambria Math" w:eastAsia="Calibri"/>
                <w:sz w:val="28"/>
                <w:szCs w:val="28"/>
                <w:lang w:eastAsia="en-US"/>
              </w:rPr>
            </m:ctrlPr>
          </m:e>
        </m:d>
      </m:oMath>
      <w:r>
        <w:rPr>
          <w:rFonts w:eastAsia="Calibri"/>
          <w:sz w:val="28"/>
          <w:szCs w:val="28"/>
          <w:lang w:eastAsia="en-US"/>
        </w:rPr>
        <w:t xml:space="preserve">, где </w:t>
      </w:r>
      <m:oMath>
        <m:r>
          <m:rPr/>
          <w:rPr>
            <w:rFonts w:ascii="Cambria Math" w:hAnsi="Cambria Math" w:eastAsia="Calibri"/>
            <w:sz w:val="28"/>
            <w:szCs w:val="28"/>
            <w:lang w:eastAsia="en-US"/>
          </w:rPr>
          <m:t>ν</m:t>
        </m:r>
      </m:oMath>
      <w:r>
        <w:rPr>
          <w:rFonts w:eastAsia="Calibri"/>
          <w:sz w:val="28"/>
          <w:szCs w:val="28"/>
          <w:lang w:eastAsia="en-US"/>
        </w:rPr>
        <w:t xml:space="preserve"> отражает чистую норму отдачи по этим кредитам. С вероятностью </w:t>
      </w:r>
      <m:oMath>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1−ρ</m:t>
            </m:r>
            <m:ctrlPr>
              <w:rPr>
                <w:rFonts w:ascii="Cambria Math" w:hAnsi="Cambria Math" w:eastAsia="Calibri"/>
                <w:sz w:val="28"/>
                <w:szCs w:val="28"/>
                <w:lang w:eastAsia="en-US"/>
              </w:rPr>
            </m:ctrlPr>
          </m:e>
          <m:sup>
            <m:r>
              <m:rPr/>
              <w:rPr>
                <w:rFonts w:ascii="Cambria Math" w:hAnsi="Cambria Math" w:eastAsia="Calibri"/>
                <w:sz w:val="28"/>
                <w:szCs w:val="28"/>
                <w:lang w:eastAsia="en-US"/>
              </w:rPr>
              <m:t>b</m:t>
            </m:r>
            <m:ctrlPr>
              <w:rPr>
                <w:rFonts w:ascii="Cambria Math" w:hAnsi="Cambria Math" w:eastAsia="Calibri"/>
                <w:sz w:val="28"/>
                <w:szCs w:val="28"/>
                <w:lang w:eastAsia="en-US"/>
              </w:rPr>
            </m:ctrlPr>
          </m:sup>
        </m:sSup>
      </m:oMath>
      <w:r>
        <w:rPr>
          <w:rFonts w:eastAsia="Calibri"/>
          <w:sz w:val="28"/>
          <w:szCs w:val="28"/>
          <w:lang w:eastAsia="en-US"/>
        </w:rPr>
        <w:t xml:space="preserve"> они терпят неудачу и не приносят никаких денежных средств </w:t>
      </w:r>
      <m:oMath>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N</m:t>
            </m:r>
            <m:ctrlPr>
              <w:rPr>
                <w:rFonts w:ascii="Cambria Math" w:hAnsi="Cambria Math" w:eastAsia="Calibri"/>
                <w:sz w:val="28"/>
                <w:szCs w:val="28"/>
                <w:lang w:eastAsia="en-US"/>
              </w:rPr>
            </m:ctrlPr>
          </m:e>
          <m:sup>
            <m:r>
              <m:rPr/>
              <w:rPr>
                <w:rFonts w:ascii="Cambria Math" w:hAnsi="Cambria Math" w:eastAsia="Calibri"/>
                <w:sz w:val="28"/>
                <w:szCs w:val="28"/>
                <w:lang w:eastAsia="en-US"/>
              </w:rPr>
              <m:t>bp</m:t>
            </m:r>
            <m:ctrlPr>
              <w:rPr>
                <w:rFonts w:ascii="Cambria Math" w:hAnsi="Cambria Math" w:eastAsia="Calibri"/>
                <w:sz w:val="28"/>
                <w:szCs w:val="28"/>
                <w:lang w:eastAsia="en-US"/>
              </w:rPr>
            </m:ctrlPr>
          </m:sup>
        </m:sSup>
        <m:r>
          <m:rPr>
            <m:sty m:val="p"/>
          </m:rPr>
          <w:rPr>
            <w:rFonts w:ascii="Cambria Math" w:hAnsi="Cambria Math" w:eastAsia="Calibri"/>
            <w:sz w:val="28"/>
            <w:szCs w:val="28"/>
            <w:lang w:eastAsia="en-US"/>
          </w:rPr>
          <m:t>(t+</m:t>
        </m:r>
        <m:r>
          <m:rPr/>
          <w:rPr>
            <w:rFonts w:ascii="Cambria Math" w:hAnsi="Cambria Math" w:eastAsia="Calibri"/>
            <w:sz w:val="28"/>
            <w:szCs w:val="28"/>
          </w:rPr>
          <m:t>τ</m:t>
        </m:r>
        <m:r>
          <m:rPr>
            <m:sty m:val="p"/>
          </m:rPr>
          <w:rPr>
            <w:rFonts w:ascii="Cambria Math" w:hAnsi="Cambria Math" w:eastAsia="Calibri"/>
            <w:sz w:val="28"/>
            <w:szCs w:val="28"/>
            <w:lang w:eastAsia="en-US"/>
          </w:rPr>
          <m:t>)=0</m:t>
        </m:r>
      </m:oMath>
      <w:r>
        <w:rPr>
          <w:rFonts w:eastAsia="Calibri"/>
          <w:sz w:val="28"/>
          <w:szCs w:val="28"/>
          <w:lang w:eastAsia="en-US"/>
        </w:rPr>
        <w:t xml:space="preserve">. Естественно считать, что вновь предоставленные кредиты менее рискованны, чем токсичные активы, </w:t>
      </w:r>
      <m:oMath>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ρ</m:t>
            </m:r>
            <m:ctrlPr>
              <w:rPr>
                <w:rFonts w:ascii="Cambria Math" w:hAnsi="Cambria Math" w:eastAsia="Calibri"/>
                <w:sz w:val="28"/>
                <w:szCs w:val="28"/>
                <w:lang w:eastAsia="en-US"/>
              </w:rPr>
            </m:ctrlPr>
          </m:e>
          <m:sup>
            <m:r>
              <m:rPr/>
              <w:rPr>
                <w:rFonts w:ascii="Cambria Math" w:hAnsi="Cambria Math" w:eastAsia="Calibri"/>
                <w:sz w:val="28"/>
                <w:szCs w:val="28"/>
                <w:lang w:eastAsia="en-US"/>
              </w:rPr>
              <m:t>b</m:t>
            </m:r>
            <m:ctrlPr>
              <w:rPr>
                <w:rFonts w:ascii="Cambria Math" w:hAnsi="Cambria Math" w:eastAsia="Calibri"/>
                <w:sz w:val="28"/>
                <w:szCs w:val="28"/>
                <w:lang w:eastAsia="en-US"/>
              </w:rPr>
            </m:ctrlPr>
          </m:sup>
        </m:sSup>
        <m:r>
          <m:rPr/>
          <w:rPr>
            <w:rFonts w:ascii="Cambria Math" w:hAnsi="Cambria Math" w:eastAsia="Calibri"/>
            <w:sz w:val="28"/>
            <w:szCs w:val="28"/>
            <w:lang w:eastAsia="en-US"/>
          </w:rPr>
          <m:t>&gt;ρ</m:t>
        </m:r>
      </m:oMath>
      <w:r>
        <w:rPr>
          <w:rFonts w:eastAsia="Calibri"/>
          <w:sz w:val="28"/>
          <w:szCs w:val="28"/>
          <w:lang w:eastAsia="en-US"/>
        </w:rPr>
        <w:t xml:space="preserve">. Более того, они имеют положительный ожидаемый чистый доход на единицу новых кредитов, </w:t>
      </w:r>
      <m:oMath>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ρ</m:t>
            </m:r>
            <m:ctrlPr>
              <w:rPr>
                <w:rFonts w:ascii="Cambria Math" w:hAnsi="Cambria Math" w:eastAsia="Calibri"/>
                <w:sz w:val="28"/>
                <w:szCs w:val="28"/>
                <w:lang w:eastAsia="en-US"/>
              </w:rPr>
            </m:ctrlPr>
          </m:e>
          <m:sup>
            <m:r>
              <m:rPr/>
              <w:rPr>
                <w:rFonts w:ascii="Cambria Math" w:hAnsi="Cambria Math" w:eastAsia="Calibri"/>
                <w:sz w:val="28"/>
                <w:szCs w:val="28"/>
                <w:lang w:eastAsia="en-US"/>
              </w:rPr>
              <m:t>b</m:t>
            </m:r>
            <m:ctrlPr>
              <w:rPr>
                <w:rFonts w:ascii="Cambria Math" w:hAnsi="Cambria Math" w:eastAsia="Calibri"/>
                <w:sz w:val="28"/>
                <w:szCs w:val="28"/>
                <w:lang w:eastAsia="en-US"/>
              </w:rPr>
            </m:ctrlPr>
          </m:sup>
        </m:sSup>
        <m:d>
          <m:dPr>
            <m:ctrlPr>
              <w:rPr>
                <w:rFonts w:ascii="Cambria Math" w:hAnsi="Cambria Math" w:eastAsia="Calibri"/>
                <w:sz w:val="28"/>
                <w:szCs w:val="28"/>
                <w:lang w:eastAsia="en-US"/>
              </w:rPr>
            </m:ctrlPr>
          </m:dPr>
          <m:e>
            <m:r>
              <m:rPr>
                <m:sty m:val="p"/>
              </m:rPr>
              <w:rPr>
                <w:rFonts w:ascii="Cambria Math" w:hAnsi="Cambria Math" w:eastAsia="Calibri"/>
                <w:sz w:val="28"/>
                <w:szCs w:val="28"/>
                <w:lang w:eastAsia="en-US"/>
              </w:rPr>
              <m:t xml:space="preserve">1+ </m:t>
            </m:r>
            <m:r>
              <m:rPr/>
              <w:rPr>
                <w:rFonts w:ascii="Cambria Math" w:hAnsi="Cambria Math" w:eastAsia="Calibri"/>
                <w:sz w:val="28"/>
                <w:szCs w:val="28"/>
                <w:lang w:eastAsia="en-US"/>
              </w:rPr>
              <m:t>ν</m:t>
            </m:r>
            <m:ctrlPr>
              <w:rPr>
                <w:rFonts w:ascii="Cambria Math" w:hAnsi="Cambria Math" w:eastAsia="Calibri"/>
                <w:sz w:val="28"/>
                <w:szCs w:val="28"/>
                <w:lang w:eastAsia="en-US"/>
              </w:rPr>
            </m:ctrlPr>
          </m:e>
        </m:d>
        <m:r>
          <m:rPr>
            <m:sty m:val="p"/>
          </m:rPr>
          <w:rPr>
            <w:rFonts w:ascii="Cambria Math" w:hAnsi="Cambria Math" w:eastAsia="Calibri"/>
            <w:sz w:val="28"/>
            <w:szCs w:val="28"/>
            <w:lang w:eastAsia="en-US"/>
          </w:rPr>
          <m:t>&gt;</m:t>
        </m:r>
        <m:r>
          <m:rPr/>
          <w:rPr>
            <w:rFonts w:ascii="Cambria Math" w:hAnsi="Cambria Math" w:eastAsia="Calibri"/>
            <w:sz w:val="28"/>
            <w:szCs w:val="28"/>
            <w:lang w:eastAsia="en-US"/>
          </w:rPr>
          <m:t>1</m:t>
        </m:r>
      </m:oMath>
      <w:r>
        <w:rPr>
          <w:rFonts w:eastAsia="Calibri"/>
          <w:sz w:val="28"/>
          <w:szCs w:val="28"/>
          <w:lang w:eastAsia="en-US"/>
        </w:rPr>
        <w:t>.</w:t>
      </w:r>
    </w:p>
    <w:p w14:paraId="3C8A4A85">
      <w:pPr>
        <w:pStyle w:val="37"/>
        <w:rPr>
          <w:rFonts w:eastAsia="Calibri"/>
          <w:sz w:val="28"/>
          <w:szCs w:val="28"/>
          <w:lang w:eastAsia="en-US"/>
        </w:rPr>
      </w:pPr>
      <w:r>
        <w:rPr>
          <w:rFonts w:eastAsia="Calibri"/>
          <w:sz w:val="28"/>
          <w:szCs w:val="28"/>
          <w:lang w:eastAsia="en-US"/>
        </w:rPr>
        <w:t xml:space="preserve">Свойства баланса в момент времени </w:t>
      </w:r>
      <m:oMath>
        <m:r>
          <m:rPr/>
          <w:rPr>
            <w:rFonts w:ascii="Cambria Math" w:hAnsi="Cambria Math" w:eastAsia="Calibri"/>
            <w:sz w:val="28"/>
            <w:szCs w:val="28"/>
            <w:lang w:eastAsia="en-US"/>
          </w:rPr>
          <m:t>t</m:t>
        </m:r>
        <m:r>
          <m:rPr>
            <m:sty m:val="p"/>
          </m:rPr>
          <w:rPr>
            <w:rFonts w:ascii="Cambria Math" w:hAnsi="Cambria Math" w:eastAsia="Calibri"/>
            <w:sz w:val="28"/>
            <w:szCs w:val="28"/>
            <w:lang w:eastAsia="en-US"/>
          </w:rPr>
          <m:t>+</m:t>
        </m:r>
        <m:r>
          <m:rPr/>
          <w:rPr>
            <w:rFonts w:ascii="Cambria Math" w:hAnsi="Cambria Math" w:eastAsia="Calibri"/>
            <w:sz w:val="28"/>
            <w:szCs w:val="28"/>
          </w:rPr>
          <m:t>τ</m:t>
        </m:r>
      </m:oMath>
      <w:r>
        <w:rPr>
          <w:rFonts w:eastAsia="Calibri"/>
          <w:sz w:val="28"/>
          <w:szCs w:val="28"/>
          <w:lang w:eastAsia="en-US"/>
        </w:rPr>
        <w:t xml:space="preserve"> зависят от того, какую конкретную схему выбирает плохой банк </w:t>
      </w:r>
      <w:r>
        <w:rPr>
          <w:position w:val="-6"/>
          <w:sz w:val="28"/>
          <w:szCs w:val="28"/>
        </w:rPr>
        <w:object>
          <v:shape id="_x0000_i1251" o:spt="75" type="#_x0000_t75" style="height:13.5pt;width:9.75pt;" o:ole="t" filled="f" o:preferrelative="t" stroked="f" coordsize="21600,21600">
            <v:path/>
            <v:fill on="f" focussize="0,0"/>
            <v:stroke on="f" joinstyle="miter"/>
            <v:imagedata r:id="rId424" o:title=""/>
            <o:lock v:ext="edit" aspectratio="t"/>
            <w10:wrap type="none"/>
            <w10:anchorlock/>
          </v:shape>
          <o:OLEObject Type="Embed" ProgID="Equation.DSMT4" ShapeID="_x0000_i1251" DrawAspect="Content" ObjectID="_1468075958" r:id="rId423">
            <o:LockedField>false</o:LockedField>
          </o:OLEObject>
        </w:object>
      </w:r>
      <w:r>
        <w:rPr>
          <w:rFonts w:eastAsia="Calibri"/>
          <w:sz w:val="28"/>
          <w:szCs w:val="28"/>
          <w:lang w:eastAsia="en-US"/>
        </w:rPr>
        <w:t xml:space="preserve">. Здесь мы проанализируем две разные схемы, предложенные в </w:t>
      </w:r>
      <w:r>
        <w:rPr>
          <w:sz w:val="28"/>
          <w:szCs w:val="28"/>
        </w:rPr>
        <w:t>[Hauck et al. 2015]</w:t>
      </w:r>
      <w:r>
        <w:rPr>
          <w:rFonts w:eastAsia="Calibri"/>
          <w:sz w:val="28"/>
          <w:szCs w:val="28"/>
          <w:lang w:eastAsia="en-US"/>
        </w:rPr>
        <w:t xml:space="preserve">. Первая схема соответствует безвозвратной продаже проблемного актива банку </w:t>
      </w:r>
      <m:oMath>
        <m:r>
          <m:rPr/>
          <w:rPr>
            <w:rFonts w:ascii="Cambria Math" w:hAnsi="Cambria Math"/>
            <w:sz w:val="28"/>
            <w:szCs w:val="28"/>
          </w:rPr>
          <m:t>d</m:t>
        </m:r>
      </m:oMath>
      <w:r>
        <w:rPr>
          <w:rFonts w:eastAsia="Calibri"/>
          <w:sz w:val="28"/>
          <w:szCs w:val="28"/>
          <w:lang w:eastAsia="en-US"/>
        </w:rPr>
        <w:t xml:space="preserve">. По этой схеме коммерческий плохой банк </w:t>
      </w:r>
      <m:oMath>
        <m:r>
          <m:rPr/>
          <w:rPr>
            <w:rFonts w:ascii="Cambria Math" w:hAnsi="Cambria Math"/>
            <w:sz w:val="28"/>
            <w:szCs w:val="28"/>
          </w:rPr>
          <m:t>b</m:t>
        </m:r>
      </m:oMath>
      <w:r>
        <w:rPr>
          <w:rFonts w:eastAsia="Calibri"/>
          <w:sz w:val="28"/>
          <w:szCs w:val="28"/>
          <w:lang w:eastAsia="en-US"/>
        </w:rPr>
        <w:t xml:space="preserve"> обменивает проблемный актив на</w:t>
      </w:r>
      <w:r>
        <w:rPr>
          <w:rFonts w:eastAsia="Calibri"/>
          <w:sz w:val="28"/>
          <w:szCs w:val="28"/>
        </w:rPr>
        <w:t xml:space="preserve"> </w:t>
      </w:r>
      <w:r>
        <w:rPr>
          <w:rFonts w:eastAsia="Calibri"/>
          <w:sz w:val="28"/>
          <w:szCs w:val="28"/>
          <w:lang w:eastAsia="en-US"/>
        </w:rPr>
        <w:t xml:space="preserve">безопасные государственные облигации в момент времени </w:t>
      </w:r>
      <m:oMath>
        <m:r>
          <m:rPr/>
          <w:rPr>
            <w:rFonts w:ascii="Cambria Math" w:hAnsi="Cambria Math" w:eastAsia="Calibri"/>
            <w:sz w:val="28"/>
            <w:szCs w:val="28"/>
          </w:rPr>
          <m:t>t</m:t>
        </m:r>
      </m:oMath>
      <w:r>
        <w:rPr>
          <w:rFonts w:eastAsia="Calibri"/>
          <w:sz w:val="28"/>
          <w:szCs w:val="28"/>
        </w:rPr>
        <w:t>.</w:t>
      </w:r>
      <w:r>
        <w:rPr>
          <w:rFonts w:eastAsia="Calibri"/>
          <w:sz w:val="28"/>
          <w:szCs w:val="28"/>
          <w:lang w:eastAsia="en-US"/>
        </w:rPr>
        <w:t xml:space="preserve"> После этого между банками </w:t>
      </w:r>
      <m:oMath>
        <m:r>
          <m:rPr/>
          <w:rPr>
            <w:rFonts w:ascii="Cambria Math" w:hAnsi="Cambria Math"/>
            <w:sz w:val="28"/>
            <w:szCs w:val="28"/>
          </w:rPr>
          <m:t>b</m:t>
        </m:r>
      </m:oMath>
      <w:r>
        <w:rPr>
          <w:rFonts w:eastAsia="Calibri"/>
          <w:sz w:val="28"/>
          <w:szCs w:val="28"/>
        </w:rPr>
        <w:t xml:space="preserve"> и </w:t>
      </w:r>
      <m:oMath>
        <m:r>
          <m:rPr/>
          <w:rPr>
            <w:rFonts w:ascii="Cambria Math" w:hAnsi="Cambria Math"/>
            <w:sz w:val="28"/>
            <w:szCs w:val="28"/>
          </w:rPr>
          <m:t>d</m:t>
        </m:r>
      </m:oMath>
      <w:r>
        <w:rPr>
          <w:rFonts w:eastAsia="Calibri"/>
          <w:sz w:val="28"/>
          <w:szCs w:val="28"/>
        </w:rPr>
        <w:t xml:space="preserve"> </w:t>
      </w:r>
      <w:r>
        <w:rPr>
          <w:rFonts w:eastAsia="Calibri"/>
          <w:sz w:val="28"/>
          <w:szCs w:val="28"/>
          <w:lang w:eastAsia="en-US"/>
        </w:rPr>
        <w:t xml:space="preserve">не происходит никаких операций. Таким образом, банк </w:t>
      </w:r>
      <m:oMath>
        <m:r>
          <m:rPr/>
          <w:rPr>
            <w:rFonts w:ascii="Cambria Math" w:hAnsi="Cambria Math" w:eastAsia="Calibri"/>
            <w:sz w:val="28"/>
            <w:szCs w:val="28"/>
            <w:lang w:eastAsia="en-US"/>
          </w:rPr>
          <m:t>b</m:t>
        </m:r>
      </m:oMath>
      <w:r>
        <w:rPr>
          <w:rFonts w:eastAsia="Calibri"/>
          <w:sz w:val="28"/>
          <w:szCs w:val="28"/>
          <w:lang w:eastAsia="en-US"/>
        </w:rPr>
        <w:t xml:space="preserve"> не несет дальнейших потерь от переданных проблемных активов и не извлекает выгоду от их потенциальной прибыли.</w:t>
      </w:r>
    </w:p>
    <w:p w14:paraId="2059AA75">
      <w:pPr>
        <w:pStyle w:val="37"/>
        <w:rPr>
          <w:rFonts w:eastAsia="Calibri"/>
          <w:sz w:val="28"/>
          <w:szCs w:val="28"/>
          <w:lang w:eastAsia="en-US"/>
        </w:rPr>
      </w:pPr>
      <w:r>
        <w:rPr>
          <w:rFonts w:eastAsia="Calibri"/>
          <w:sz w:val="28"/>
          <w:szCs w:val="28"/>
          <w:lang w:eastAsia="en-US"/>
        </w:rPr>
        <w:t xml:space="preserve">Вторая схема напоминает соглашение об обратном выкупе. В то время как обесцененные активы также передаются фонду проблемных активов в момент времени </w:t>
      </w:r>
      <m:oMath>
        <m:r>
          <m:rPr/>
          <w:rPr>
            <w:rFonts w:ascii="Cambria Math" w:hAnsi="Cambria Math" w:eastAsia="Calibri"/>
            <w:sz w:val="28"/>
            <w:szCs w:val="28"/>
          </w:rPr>
          <m:t>t</m:t>
        </m:r>
      </m:oMath>
      <w:r>
        <w:rPr>
          <w:rFonts w:eastAsia="Calibri"/>
          <w:sz w:val="28"/>
          <w:szCs w:val="28"/>
          <w:lang w:eastAsia="en-US"/>
        </w:rPr>
        <w:t xml:space="preserve"> в обмен на безопасные государственные облигации, банк </w:t>
      </w:r>
      <m:oMath>
        <m:r>
          <m:rPr/>
          <w:rPr>
            <w:rFonts w:ascii="Cambria Math" w:hAnsi="Cambria Math"/>
            <w:sz w:val="28"/>
            <w:szCs w:val="28"/>
          </w:rPr>
          <m:t>b</m:t>
        </m:r>
      </m:oMath>
      <w:r>
        <w:rPr>
          <w:rFonts w:eastAsia="Calibri"/>
          <w:sz w:val="28"/>
          <w:szCs w:val="28"/>
          <w:lang w:eastAsia="en-US"/>
        </w:rPr>
        <w:t xml:space="preserve"> теперь согласен выкупить эти активы в момент времени </w:t>
      </w:r>
      <m:oMath>
        <m:r>
          <m:rPr>
            <m:sty m:val="p"/>
          </m:rPr>
          <w:rPr>
            <w:rFonts w:ascii="Cambria Math" w:hAnsi="Cambria Math" w:eastAsia="Calibri"/>
            <w:sz w:val="28"/>
            <w:szCs w:val="28"/>
            <w:lang w:eastAsia="en-US"/>
          </w:rPr>
          <m:t>t+</m:t>
        </m:r>
        <m:r>
          <m:rPr/>
          <w:rPr>
            <w:rFonts w:ascii="Cambria Math" w:hAnsi="Cambria Math" w:eastAsia="Calibri"/>
            <w:sz w:val="28"/>
            <w:szCs w:val="28"/>
          </w:rPr>
          <m:t>τ</m:t>
        </m:r>
      </m:oMath>
      <w:r>
        <w:rPr>
          <w:rFonts w:eastAsia="Calibri"/>
          <w:sz w:val="28"/>
          <w:szCs w:val="28"/>
          <w:lang w:eastAsia="en-US"/>
        </w:rPr>
        <w:t xml:space="preserve"> и вернуть государственные облигации в этот же момент времени. В соответствии с этой схемой банк </w:t>
      </w:r>
      <m:oMath>
        <m:r>
          <m:rPr/>
          <w:rPr>
            <w:rFonts w:ascii="Cambria Math" w:hAnsi="Cambria Math"/>
            <w:sz w:val="28"/>
            <w:szCs w:val="28"/>
          </w:rPr>
          <m:t>b</m:t>
        </m:r>
      </m:oMath>
      <w:r>
        <w:rPr>
          <w:rFonts w:eastAsia="Calibri"/>
          <w:sz w:val="28"/>
          <w:szCs w:val="28"/>
          <w:lang w:eastAsia="en-US"/>
        </w:rPr>
        <w:t xml:space="preserve"> по-прежнему несет риск проблемных активов, но также участвует и в возможной прибыли. </w:t>
      </w:r>
    </w:p>
    <w:p w14:paraId="2AED11B0">
      <w:pPr>
        <w:pStyle w:val="37"/>
        <w:tabs>
          <w:tab w:val="left" w:pos="1276"/>
        </w:tabs>
        <w:rPr>
          <w:rFonts w:eastAsia="Calibri"/>
          <w:sz w:val="28"/>
          <w:szCs w:val="28"/>
          <w:lang w:eastAsia="en-US"/>
        </w:rPr>
      </w:pPr>
      <w:r>
        <w:rPr>
          <w:rFonts w:eastAsia="Calibri"/>
          <w:sz w:val="28"/>
          <w:szCs w:val="28"/>
          <w:lang w:eastAsia="en-US"/>
        </w:rPr>
        <w:t xml:space="preserve">Коммерческий «плохой» банк </w:t>
      </w:r>
      <m:oMath>
        <m:r>
          <m:rPr/>
          <w:rPr>
            <w:rFonts w:ascii="Cambria Math" w:hAnsi="Cambria Math"/>
            <w:sz w:val="28"/>
            <w:szCs w:val="28"/>
          </w:rPr>
          <m:t>b</m:t>
        </m:r>
      </m:oMath>
      <w:r>
        <w:rPr>
          <w:rFonts w:eastAsia="Calibri"/>
          <w:sz w:val="28"/>
          <w:szCs w:val="28"/>
          <w:lang w:eastAsia="en-US"/>
        </w:rPr>
        <w:t xml:space="preserve"> стремится получить максимальную выгоду. Принимая решение о передаче проблемных активов в фонд </w:t>
      </w:r>
      <m:oMath>
        <m:r>
          <m:rPr/>
          <w:rPr>
            <w:rFonts w:ascii="Cambria Math" w:hAnsi="Cambria Math"/>
            <w:sz w:val="28"/>
            <w:szCs w:val="28"/>
          </w:rPr>
          <m:t>d</m:t>
        </m:r>
      </m:oMath>
      <w:r>
        <w:rPr>
          <w:rFonts w:eastAsia="Calibri"/>
          <w:sz w:val="28"/>
          <w:szCs w:val="28"/>
          <w:lang w:eastAsia="en-US"/>
        </w:rPr>
        <w:t xml:space="preserve">, он сравнивает свою доходность в обеих ситуациях. Если он не передаст токсичные активы, то его полезность </w:t>
      </w:r>
      <m:oMath>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U</m:t>
            </m:r>
            <m:ctrlPr>
              <w:rPr>
                <w:rFonts w:ascii="Cambria Math" w:hAnsi="Cambria Math" w:eastAsia="Calibri"/>
                <w:sz w:val="28"/>
                <w:szCs w:val="28"/>
                <w:lang w:eastAsia="en-US"/>
              </w:rPr>
            </m:ctrlPr>
          </m:e>
          <m:sup>
            <m:r>
              <m:rPr/>
              <w:rPr>
                <w:rFonts w:ascii="Cambria Math" w:hAnsi="Cambria Math" w:eastAsia="Calibri"/>
                <w:sz w:val="28"/>
                <w:szCs w:val="28"/>
                <w:lang w:eastAsia="en-US"/>
              </w:rPr>
              <m:t>b</m:t>
            </m:r>
            <m:ctrlPr>
              <w:rPr>
                <w:rFonts w:ascii="Cambria Math" w:hAnsi="Cambria Math" w:eastAsia="Calibri"/>
                <w:sz w:val="28"/>
                <w:szCs w:val="28"/>
                <w:lang w:eastAsia="en-US"/>
              </w:rPr>
            </m:ctrlPr>
          </m:sup>
        </m:sSup>
      </m:oMath>
      <w:r>
        <w:rPr>
          <w:rFonts w:eastAsia="Calibri"/>
          <w:sz w:val="28"/>
          <w:szCs w:val="28"/>
          <w:lang w:eastAsia="en-US"/>
        </w:rPr>
        <w:t xml:space="preserve"> будет зависеть только от ожидаемой стоимости капитала (14). Если же банк </w:t>
      </w:r>
      <m:oMath>
        <m:r>
          <m:rPr/>
          <w:rPr>
            <w:rFonts w:ascii="Cambria Math" w:hAnsi="Cambria Math"/>
            <w:sz w:val="28"/>
            <w:szCs w:val="28"/>
          </w:rPr>
          <m:t>b</m:t>
        </m:r>
      </m:oMath>
      <w:r>
        <w:rPr>
          <w:rFonts w:eastAsia="Calibri"/>
          <w:sz w:val="28"/>
          <w:szCs w:val="28"/>
          <w:lang w:eastAsia="en-US"/>
        </w:rPr>
        <w:t xml:space="preserve"> передаст активы фонду </w:t>
      </w:r>
      <m:oMath>
        <m:r>
          <m:rPr/>
          <w:rPr>
            <w:rFonts w:ascii="Cambria Math" w:hAnsi="Cambria Math"/>
            <w:sz w:val="28"/>
            <w:szCs w:val="28"/>
          </w:rPr>
          <m:t>d</m:t>
        </m:r>
      </m:oMath>
      <w:r>
        <w:rPr>
          <w:rFonts w:eastAsia="Calibri"/>
          <w:sz w:val="28"/>
          <w:szCs w:val="28"/>
          <w:lang w:eastAsia="en-US"/>
        </w:rPr>
        <w:t xml:space="preserve">, его полезность </w:t>
      </w:r>
      <m:oMath>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U</m:t>
            </m:r>
            <m:ctrlPr>
              <w:rPr>
                <w:rFonts w:ascii="Cambria Math" w:hAnsi="Cambria Math" w:eastAsia="Calibri"/>
                <w:sz w:val="28"/>
                <w:szCs w:val="28"/>
                <w:lang w:eastAsia="en-US"/>
              </w:rPr>
            </m:ctrlPr>
          </m:e>
          <m:sup>
            <m:r>
              <m:rPr/>
              <w:rPr>
                <w:rFonts w:ascii="Cambria Math" w:hAnsi="Cambria Math" w:eastAsia="Calibri"/>
                <w:sz w:val="28"/>
                <w:szCs w:val="28"/>
                <w:lang w:eastAsia="en-US"/>
              </w:rPr>
              <m:t>b</m:t>
            </m:r>
            <m:ctrlPr>
              <w:rPr>
                <w:rFonts w:ascii="Cambria Math" w:hAnsi="Cambria Math" w:eastAsia="Calibri"/>
                <w:sz w:val="28"/>
                <w:szCs w:val="28"/>
                <w:lang w:eastAsia="en-US"/>
              </w:rPr>
            </m:ctrlPr>
          </m:sup>
        </m:sSup>
        <m:r>
          <m:rPr>
            <m:sty m:val="p"/>
          </m:rPr>
          <w:rPr>
            <w:rFonts w:ascii="Cambria Math" w:hAnsi="Cambria Math" w:eastAsia="Calibri"/>
            <w:sz w:val="28"/>
            <w:szCs w:val="28"/>
            <w:lang w:eastAsia="en-US"/>
          </w:rPr>
          <m:t>(</m:t>
        </m:r>
        <m:r>
          <m:rPr/>
          <w:rPr>
            <w:rFonts w:ascii="Cambria Math" w:hAnsi="Cambria Math" w:eastAsia="Calibri"/>
            <w:sz w:val="28"/>
            <w:szCs w:val="28"/>
            <w:lang w:eastAsia="en-US"/>
          </w:rPr>
          <m:t>t</m:t>
        </m:r>
        <m:r>
          <m:rPr>
            <m:sty m:val="p"/>
          </m:rPr>
          <w:rPr>
            <w:rFonts w:ascii="Cambria Math" w:hAnsi="Cambria Math" w:eastAsia="Calibri"/>
            <w:sz w:val="28"/>
            <w:szCs w:val="28"/>
            <w:lang w:eastAsia="en-US"/>
          </w:rPr>
          <m:t>+</m:t>
        </m:r>
        <m:r>
          <m:rPr/>
          <w:rPr>
            <w:rFonts w:ascii="Cambria Math" w:hAnsi="Cambria Math" w:eastAsia="Calibri"/>
            <w:sz w:val="28"/>
            <w:szCs w:val="28"/>
          </w:rPr>
          <m:t>τ</m:t>
        </m:r>
        <m:r>
          <m:rPr>
            <m:sty m:val="p"/>
          </m:rPr>
          <w:rPr>
            <w:rFonts w:ascii="Cambria Math" w:hAnsi="Cambria Math" w:eastAsia="Calibri"/>
            <w:sz w:val="28"/>
            <w:szCs w:val="28"/>
            <w:lang w:eastAsia="en-US"/>
          </w:rPr>
          <m:t xml:space="preserve"> )</m:t>
        </m:r>
      </m:oMath>
      <w:r>
        <w:rPr>
          <w:rFonts w:eastAsia="Calibri"/>
          <w:sz w:val="28"/>
          <w:szCs w:val="28"/>
          <w:lang w:eastAsia="en-US"/>
        </w:rPr>
        <w:t xml:space="preserve"> будет определяться ожидаемой стоимостью капитала за вычетом нематериальных издержек, связанных с потерей репутации:</w:t>
      </w:r>
    </w:p>
    <w:p w14:paraId="63CC55D7">
      <w:pPr>
        <w:pStyle w:val="37"/>
        <w:rPr>
          <w:rFonts w:eastAsia="Calibri"/>
          <w:sz w:val="28"/>
          <w:szCs w:val="28"/>
          <w:lang w:eastAsia="en-US"/>
        </w:rPr>
      </w:pPr>
    </w:p>
    <w:p w14:paraId="31060F32">
      <w:pPr>
        <w:pStyle w:val="38"/>
        <w:spacing w:before="0" w:after="0"/>
        <w:rPr>
          <w:sz w:val="28"/>
          <w:szCs w:val="28"/>
        </w:rPr>
      </w:pPr>
      <w:r>
        <w:rPr>
          <w:sz w:val="28"/>
          <w:szCs w:val="28"/>
        </w:rPr>
        <w:tab/>
      </w:r>
      <w:r>
        <w:rPr>
          <w:sz w:val="28"/>
          <w:szCs w:val="28"/>
        </w:rPr>
        <w:t xml:space="preserve">                                          </w:t>
      </w:r>
      <m:oMath>
        <m:sSup>
          <m:sSupPr>
            <m:ctrlPr>
              <w:rPr>
                <w:rFonts w:ascii="Cambria Math" w:hAnsi="Cambria Math" w:eastAsia="Calibri"/>
                <w:i/>
                <w:sz w:val="28"/>
                <w:szCs w:val="28"/>
                <w:lang w:eastAsia="en-US"/>
              </w:rPr>
            </m:ctrlPr>
          </m:sSupPr>
          <m:e>
            <m:r>
              <m:rPr/>
              <w:rPr>
                <w:rFonts w:ascii="Cambria Math" w:hAnsi="Cambria Math" w:eastAsia="Calibri"/>
                <w:sz w:val="28"/>
                <w:szCs w:val="28"/>
                <w:lang w:eastAsia="en-US"/>
              </w:rPr>
              <m:t>U</m:t>
            </m:r>
            <m:ctrlPr>
              <w:rPr>
                <w:rFonts w:ascii="Cambria Math" w:hAnsi="Cambria Math" w:eastAsia="Calibri"/>
                <w:i/>
                <w:sz w:val="28"/>
                <w:szCs w:val="28"/>
                <w:lang w:eastAsia="en-US"/>
              </w:rPr>
            </m:ctrlPr>
          </m:e>
          <m:sup>
            <m:r>
              <m:rPr/>
              <w:rPr>
                <w:rFonts w:ascii="Cambria Math" w:hAnsi="Cambria Math" w:eastAsia="Calibri"/>
                <w:sz w:val="28"/>
                <w:szCs w:val="28"/>
                <w:lang w:eastAsia="en-US"/>
              </w:rPr>
              <m:t>b</m:t>
            </m:r>
            <m:ctrlPr>
              <w:rPr>
                <w:rFonts w:ascii="Cambria Math" w:hAnsi="Cambria Math" w:eastAsia="Calibri"/>
                <w:i/>
                <w:sz w:val="28"/>
                <w:szCs w:val="28"/>
                <w:lang w:eastAsia="en-US"/>
              </w:rPr>
            </m:ctrlPr>
          </m:sup>
        </m:sSup>
        <m:d>
          <m:dPr>
            <m:ctrlPr>
              <w:rPr>
                <w:rFonts w:ascii="Cambria Math" w:hAnsi="Cambria Math" w:eastAsia="Calibri"/>
                <w:i/>
                <w:sz w:val="28"/>
                <w:szCs w:val="28"/>
                <w:lang w:eastAsia="en-US"/>
              </w:rPr>
            </m:ctrlPr>
          </m:dPr>
          <m:e>
            <m:r>
              <m:rPr/>
              <w:rPr>
                <w:rFonts w:ascii="Cambria Math" w:hAnsi="Cambria Math" w:eastAsia="Calibri"/>
                <w:sz w:val="28"/>
                <w:szCs w:val="28"/>
                <w:lang w:eastAsia="en-US"/>
              </w:rPr>
              <m:t>t+</m:t>
            </m:r>
            <m:r>
              <m:rPr/>
              <w:rPr>
                <w:rFonts w:ascii="Cambria Math" w:hAnsi="Cambria Math" w:eastAsia="Calibri"/>
                <w:sz w:val="28"/>
                <w:szCs w:val="28"/>
              </w:rPr>
              <m:t>τ</m:t>
            </m:r>
            <m:r>
              <m:rPr/>
              <w:rPr>
                <w:rFonts w:ascii="Cambria Math" w:hAnsi="Cambria Math" w:eastAsia="Calibri"/>
                <w:sz w:val="28"/>
                <w:szCs w:val="28"/>
                <w:lang w:eastAsia="en-US"/>
              </w:rPr>
              <m:t xml:space="preserve"> </m:t>
            </m:r>
            <m:ctrlPr>
              <w:rPr>
                <w:rFonts w:ascii="Cambria Math" w:hAnsi="Cambria Math" w:eastAsia="Calibri"/>
                <w:i/>
                <w:sz w:val="28"/>
                <w:szCs w:val="28"/>
                <w:lang w:eastAsia="en-US"/>
              </w:rPr>
            </m:ctrlPr>
          </m:e>
        </m:d>
        <m:r>
          <m:rPr/>
          <w:rPr>
            <w:rFonts w:ascii="Cambria Math" w:hAnsi="Cambria Math" w:eastAsia="Calibri"/>
            <w:sz w:val="28"/>
            <w:szCs w:val="28"/>
            <w:lang w:eastAsia="en-US"/>
          </w:rPr>
          <m:t>=</m:t>
        </m:r>
        <m:r>
          <m:rPr/>
          <w:rPr>
            <w:rFonts w:ascii="Cambria Math" w:hAnsi="Cambria Math"/>
            <w:sz w:val="28"/>
            <w:szCs w:val="28"/>
          </w:rPr>
          <m:t>E</m:t>
        </m:r>
        <m:d>
          <m:dPr>
            <m:begChr m:val="["/>
            <m:endChr m:val="]"/>
            <m:ctrlPr>
              <w:rPr>
                <w:rFonts w:ascii="Cambria Math" w:hAnsi="Cambria Math"/>
                <w:i/>
                <w:sz w:val="28"/>
                <w:szCs w:val="28"/>
              </w:rPr>
            </m:ctrlPr>
          </m:dPr>
          <m:e>
            <m:sSup>
              <m:sSupPr>
                <m:ctrlPr>
                  <w:rPr>
                    <w:rFonts w:ascii="Cambria Math" w:hAnsi="Cambria Math"/>
                    <w:i/>
                    <w:sz w:val="28"/>
                    <w:szCs w:val="28"/>
                  </w:rPr>
                </m:ctrlPr>
              </m:sSupPr>
              <m:e>
                <m:r>
                  <m:rPr/>
                  <w:rPr>
                    <w:rFonts w:ascii="Cambria Math" w:hAnsi="Cambria Math"/>
                    <w:sz w:val="28"/>
                    <w:szCs w:val="28"/>
                  </w:rPr>
                  <m:t>O</m:t>
                </m:r>
                <m:ctrlPr>
                  <w:rPr>
                    <w:rFonts w:ascii="Cambria Math" w:hAnsi="Cambria Math"/>
                    <w:i/>
                    <w:sz w:val="28"/>
                    <w:szCs w:val="28"/>
                  </w:rPr>
                </m:ctrlPr>
              </m:e>
              <m:sup>
                <m:r>
                  <m:rPr/>
                  <w:rPr>
                    <w:rFonts w:ascii="Cambria Math" w:hAnsi="Cambria Math"/>
                    <w:sz w:val="28"/>
                    <w:szCs w:val="28"/>
                  </w:rPr>
                  <m:t>b</m:t>
                </m:r>
                <m:ctrlPr>
                  <w:rPr>
                    <w:rFonts w:ascii="Cambria Math" w:hAnsi="Cambria Math"/>
                    <w:i/>
                    <w:sz w:val="28"/>
                    <w:szCs w:val="28"/>
                  </w:rPr>
                </m:ctrlPr>
              </m:sup>
            </m:sSup>
            <m:d>
              <m:dPr>
                <m:ctrlPr>
                  <w:rPr>
                    <w:rFonts w:ascii="Cambria Math" w:hAnsi="Cambria Math"/>
                    <w:i/>
                    <w:sz w:val="28"/>
                    <w:szCs w:val="28"/>
                  </w:rPr>
                </m:ctrlPr>
              </m:dPr>
              <m:e>
                <m:r>
                  <m:rPr/>
                  <w:rPr>
                    <w:rFonts w:ascii="Cambria Math" w:hAnsi="Cambria Math"/>
                    <w:sz w:val="28"/>
                    <w:szCs w:val="28"/>
                  </w:rPr>
                  <m:t>t+τ</m:t>
                </m:r>
                <m:ctrlPr>
                  <w:rPr>
                    <w:rFonts w:ascii="Cambria Math" w:hAnsi="Cambria Math"/>
                    <w:i/>
                    <w:sz w:val="28"/>
                    <w:szCs w:val="28"/>
                  </w:rPr>
                </m:ctrlPr>
              </m:e>
            </m:d>
            <m:ctrlPr>
              <w:rPr>
                <w:rFonts w:ascii="Cambria Math" w:hAnsi="Cambria Math"/>
                <w:i/>
                <w:sz w:val="28"/>
                <w:szCs w:val="28"/>
              </w:rPr>
            </m:ctrlPr>
          </m:e>
        </m:d>
        <m:r>
          <m:rPr/>
          <w:rPr>
            <w:rFonts w:ascii="Cambria Math" w:hAnsi="Cambria Math"/>
            <w:sz w:val="28"/>
            <w:szCs w:val="28"/>
          </w:rPr>
          <m:t>−</m:t>
        </m:r>
        <m:r>
          <m:rPr>
            <m:sty m:val="p"/>
          </m:rPr>
          <w:rPr>
            <w:rFonts w:ascii="Cambria Math" w:hAnsi="Cambria Math" w:eastAsia="Calibri"/>
            <w:sz w:val="28"/>
            <w:szCs w:val="28"/>
            <w:lang w:eastAsia="en-US"/>
          </w:rPr>
          <m:t>σ</m:t>
        </m:r>
      </m:oMath>
      <w:r>
        <w:rPr>
          <w:sz w:val="28"/>
          <w:szCs w:val="28"/>
        </w:rPr>
        <w:tab/>
      </w:r>
      <w:r>
        <w:rPr>
          <w:sz w:val="28"/>
          <w:szCs w:val="28"/>
        </w:rPr>
        <w:t xml:space="preserve">                     (28)</w:t>
      </w:r>
    </w:p>
    <w:p w14:paraId="5081AED4">
      <w:pPr>
        <w:pStyle w:val="38"/>
        <w:spacing w:before="0" w:after="0"/>
        <w:rPr>
          <w:sz w:val="28"/>
          <w:szCs w:val="28"/>
        </w:rPr>
      </w:pPr>
    </w:p>
    <w:p w14:paraId="1A1CE7AA">
      <w:pPr>
        <w:pStyle w:val="38"/>
        <w:spacing w:before="0" w:after="0"/>
        <w:ind w:firstLine="709"/>
        <w:outlineLvl w:val="1"/>
        <w:rPr>
          <w:rFonts w:eastAsia="Calibri"/>
          <w:b/>
          <w:bCs/>
          <w:sz w:val="28"/>
          <w:szCs w:val="28"/>
        </w:rPr>
      </w:pPr>
      <w:bookmarkStart w:id="23" w:name="_Toc219671667"/>
      <w:r>
        <w:rPr>
          <w:rFonts w:eastAsia="Calibri"/>
          <w:b/>
          <w:bCs/>
          <w:sz w:val="28"/>
          <w:szCs w:val="28"/>
        </w:rPr>
        <w:t>b. Новое кредитование</w:t>
      </w:r>
      <w:bookmarkEnd w:id="23"/>
    </w:p>
    <w:p w14:paraId="61F026C5">
      <w:pPr>
        <w:pStyle w:val="38"/>
        <w:spacing w:before="0" w:after="0"/>
        <w:rPr>
          <w:sz w:val="28"/>
          <w:szCs w:val="28"/>
        </w:rPr>
      </w:pPr>
    </w:p>
    <w:p w14:paraId="550C2E61">
      <w:pPr>
        <w:pStyle w:val="37"/>
        <w:rPr>
          <w:rFonts w:eastAsia="Calibri"/>
          <w:sz w:val="28"/>
          <w:szCs w:val="28"/>
          <w:lang w:eastAsia="en-US"/>
        </w:rPr>
      </w:pPr>
      <w:r>
        <w:rPr>
          <w:rFonts w:eastAsia="Calibri"/>
          <w:sz w:val="28"/>
          <w:szCs w:val="28"/>
          <w:lang w:eastAsia="en-US"/>
        </w:rPr>
        <w:t xml:space="preserve">Если коммерческий «плохой» банк </w:t>
      </w:r>
      <m:oMath>
        <m:r>
          <m:rPr/>
          <w:rPr>
            <w:rFonts w:ascii="Cambria Math" w:hAnsi="Cambria Math"/>
            <w:sz w:val="28"/>
            <w:szCs w:val="28"/>
          </w:rPr>
          <m:t>b</m:t>
        </m:r>
      </m:oMath>
      <w:r>
        <w:rPr>
          <w:rFonts w:eastAsia="Calibri"/>
          <w:sz w:val="28"/>
          <w:szCs w:val="28"/>
          <w:lang w:eastAsia="en-US"/>
        </w:rPr>
        <w:t xml:space="preserve"> участвует в первой или второй схеме, он может выдавать новые кредиты. Однако эти кредиты являются рискованными, поэтому банк </w:t>
      </w:r>
      <m:oMath>
        <m:r>
          <m:rPr/>
          <w:rPr>
            <w:rFonts w:ascii="Cambria Math" w:hAnsi="Cambria Math"/>
            <w:sz w:val="28"/>
            <w:szCs w:val="28"/>
          </w:rPr>
          <m:t>b</m:t>
        </m:r>
      </m:oMath>
      <w:r>
        <w:rPr>
          <w:rFonts w:eastAsia="Calibri"/>
          <w:sz w:val="28"/>
          <w:szCs w:val="28"/>
          <w:lang w:eastAsia="en-US"/>
        </w:rPr>
        <w:t xml:space="preserve"> должен обеспечить их капиталом. Согласно минимальным требованиям, банковский капитал должен удовлетворять условию </w:t>
      </w:r>
      <m:oMath>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O</m:t>
            </m:r>
            <m:ctrlPr>
              <w:rPr>
                <w:rFonts w:ascii="Cambria Math" w:hAnsi="Cambria Math" w:eastAsia="Calibri"/>
                <w:sz w:val="28"/>
                <w:szCs w:val="28"/>
                <w:lang w:eastAsia="en-US"/>
              </w:rPr>
            </m:ctrlPr>
          </m:e>
          <m:sup>
            <m:r>
              <m:rPr/>
              <w:rPr>
                <w:rFonts w:ascii="Cambria Math" w:hAnsi="Cambria Math" w:eastAsia="Calibri"/>
                <w:sz w:val="28"/>
                <w:szCs w:val="28"/>
                <w:lang w:eastAsia="en-US"/>
              </w:rPr>
              <m:t>b</m:t>
            </m:r>
            <m:ctrlPr>
              <w:rPr>
                <w:rFonts w:ascii="Cambria Math" w:hAnsi="Cambria Math" w:eastAsia="Calibri"/>
                <w:sz w:val="28"/>
                <w:szCs w:val="28"/>
                <w:lang w:eastAsia="en-US"/>
              </w:rPr>
            </m:ctrlPr>
          </m:sup>
        </m:sSup>
        <m:d>
          <m:dPr>
            <m:ctrlPr>
              <w:rPr>
                <w:rFonts w:ascii="Cambria Math" w:hAnsi="Cambria Math" w:eastAsia="Calibri"/>
                <w:sz w:val="28"/>
                <w:szCs w:val="28"/>
                <w:lang w:eastAsia="en-US"/>
              </w:rPr>
            </m:ctrlPr>
          </m:dPr>
          <m:e>
            <m:r>
              <m:rPr>
                <m:sty m:val="p"/>
              </m:rPr>
              <w:rPr>
                <w:rFonts w:ascii="Cambria Math" w:hAnsi="Cambria Math" w:eastAsia="Calibri"/>
                <w:sz w:val="28"/>
                <w:szCs w:val="28"/>
                <w:lang w:eastAsia="en-US"/>
              </w:rPr>
              <m:t>t</m:t>
            </m:r>
            <m:ctrlPr>
              <w:rPr>
                <w:rFonts w:ascii="Cambria Math" w:hAnsi="Cambria Math" w:eastAsia="Calibri"/>
                <w:sz w:val="28"/>
                <w:szCs w:val="28"/>
                <w:lang w:eastAsia="en-US"/>
              </w:rPr>
            </m:ctrlPr>
          </m:e>
        </m:d>
        <m:r>
          <m:rPr>
            <m:sty m:val="p"/>
          </m:rPr>
          <w:rPr>
            <w:rFonts w:ascii="Cambria Math" w:hAnsi="Cambria Math" w:eastAsia="Calibri"/>
            <w:sz w:val="28"/>
            <w:szCs w:val="28"/>
            <w:lang w:eastAsia="en-US"/>
          </w:rPr>
          <m:t>≥η</m:t>
        </m:r>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N</m:t>
            </m:r>
            <m:ctrlPr>
              <w:rPr>
                <w:rFonts w:ascii="Cambria Math" w:hAnsi="Cambria Math" w:eastAsia="Calibri"/>
                <w:sz w:val="28"/>
                <w:szCs w:val="28"/>
                <w:lang w:eastAsia="en-US"/>
              </w:rPr>
            </m:ctrlPr>
          </m:e>
          <m:sup>
            <m:r>
              <m:rPr/>
              <w:rPr>
                <w:rFonts w:ascii="Cambria Math" w:hAnsi="Cambria Math" w:eastAsia="Calibri"/>
                <w:sz w:val="28"/>
                <w:szCs w:val="28"/>
                <w:lang w:eastAsia="en-US"/>
              </w:rPr>
              <m:t>bp</m:t>
            </m:r>
            <m:ctrlPr>
              <w:rPr>
                <w:rFonts w:ascii="Cambria Math" w:hAnsi="Cambria Math" w:eastAsia="Calibri"/>
                <w:sz w:val="28"/>
                <w:szCs w:val="28"/>
                <w:lang w:eastAsia="en-US"/>
              </w:rPr>
            </m:ctrlPr>
          </m:sup>
        </m:sSup>
        <m:d>
          <m:dPr>
            <m:ctrlPr>
              <w:rPr>
                <w:rFonts w:ascii="Cambria Math" w:hAnsi="Cambria Math" w:eastAsia="Calibri"/>
                <w:sz w:val="28"/>
                <w:szCs w:val="28"/>
                <w:lang w:eastAsia="en-US"/>
              </w:rPr>
            </m:ctrlPr>
          </m:dPr>
          <m:e>
            <m:r>
              <m:rPr>
                <m:sty m:val="p"/>
              </m:rPr>
              <w:rPr>
                <w:rFonts w:ascii="Cambria Math" w:hAnsi="Cambria Math" w:eastAsia="Calibri"/>
                <w:sz w:val="28"/>
                <w:szCs w:val="28"/>
                <w:lang w:eastAsia="en-US"/>
              </w:rPr>
              <m:t>t</m:t>
            </m:r>
            <m:ctrlPr>
              <w:rPr>
                <w:rFonts w:ascii="Cambria Math" w:hAnsi="Cambria Math" w:eastAsia="Calibri"/>
                <w:sz w:val="28"/>
                <w:szCs w:val="28"/>
                <w:lang w:eastAsia="en-US"/>
              </w:rPr>
            </m:ctrlPr>
          </m:e>
        </m:d>
      </m:oMath>
      <w:r>
        <w:rPr>
          <w:rFonts w:eastAsia="Calibri"/>
          <w:sz w:val="28"/>
          <w:szCs w:val="28"/>
          <w:lang w:eastAsia="en-US"/>
        </w:rPr>
        <w:t xml:space="preserve">. Из баланса (26) и условий (27) и (22) непосредственно следует </w:t>
      </w:r>
    </w:p>
    <w:p w14:paraId="4F5C1EC5">
      <w:pPr>
        <w:pStyle w:val="37"/>
        <w:ind w:firstLine="0"/>
        <w:rPr>
          <w:rFonts w:eastAsia="Calibri"/>
          <w:sz w:val="28"/>
          <w:szCs w:val="28"/>
          <w:lang w:eastAsia="en-US"/>
        </w:rPr>
      </w:pPr>
    </w:p>
    <w:p w14:paraId="1C155C1C">
      <w:pPr>
        <w:pStyle w:val="37"/>
        <w:rPr>
          <w:rFonts w:eastAsia="Calibri"/>
          <w:sz w:val="28"/>
          <w:szCs w:val="28"/>
          <w:lang w:eastAsia="en-US"/>
        </w:rPr>
      </w:pPr>
      <w:r>
        <w:rPr>
          <w:rFonts w:eastAsia="Calibri"/>
          <w:b/>
          <w:sz w:val="28"/>
          <w:szCs w:val="28"/>
          <w:lang w:eastAsia="en-US"/>
        </w:rPr>
        <w:t>Лемма 1</w:t>
      </w:r>
      <w:r>
        <w:rPr>
          <w:rFonts w:eastAsia="Calibri"/>
          <w:sz w:val="28"/>
          <w:szCs w:val="28"/>
          <w:lang w:eastAsia="en-US"/>
        </w:rPr>
        <w:t xml:space="preserve">: </w:t>
      </w:r>
      <w:r>
        <w:rPr>
          <w:rFonts w:eastAsia="Calibri"/>
          <w:i/>
          <w:sz w:val="28"/>
          <w:szCs w:val="28"/>
          <w:lang w:eastAsia="en-US"/>
        </w:rPr>
        <w:t xml:space="preserve">если в момент времени </w:t>
      </w:r>
      <m:oMath>
        <m:r>
          <m:rPr/>
          <w:rPr>
            <w:rFonts w:ascii="Cambria Math" w:hAnsi="Cambria Math" w:eastAsia="Calibri"/>
            <w:sz w:val="28"/>
            <w:szCs w:val="28"/>
            <w:lang w:eastAsia="en-US"/>
          </w:rPr>
          <m:t>t</m:t>
        </m:r>
      </m:oMath>
      <w:r>
        <w:rPr>
          <w:rFonts w:eastAsia="Calibri"/>
          <w:i/>
          <w:sz w:val="28"/>
          <w:szCs w:val="28"/>
          <w:lang w:eastAsia="en-US"/>
        </w:rPr>
        <w:t xml:space="preserve"> коммерческий плохой банк </w:t>
      </w:r>
      <m:oMath>
        <m:r>
          <m:rPr/>
          <w:rPr>
            <w:rFonts w:ascii="Cambria Math" w:hAnsi="Cambria Math" w:eastAsia="Calibri"/>
            <w:sz w:val="28"/>
            <w:szCs w:val="28"/>
            <w:lang w:eastAsia="en-US"/>
          </w:rPr>
          <m:t>b</m:t>
        </m:r>
      </m:oMath>
      <w:r>
        <w:rPr>
          <w:rFonts w:eastAsia="Calibri"/>
          <w:i/>
          <w:sz w:val="28"/>
          <w:szCs w:val="28"/>
          <w:lang w:eastAsia="en-US"/>
        </w:rPr>
        <w:t xml:space="preserve"> передает токсичные активы государственному фонду проблемных активов </w:t>
      </w:r>
      <m:oMath>
        <m:r>
          <m:rPr/>
          <w:rPr>
            <w:rFonts w:ascii="Cambria Math" w:hAnsi="Cambria Math" w:eastAsia="Calibri"/>
            <w:sz w:val="28"/>
            <w:szCs w:val="28"/>
            <w:lang w:eastAsia="en-US"/>
          </w:rPr>
          <m:t>d</m:t>
        </m:r>
      </m:oMath>
      <w:r>
        <w:rPr>
          <w:rFonts w:eastAsia="Calibri"/>
          <w:i/>
          <w:sz w:val="28"/>
          <w:szCs w:val="28"/>
          <w:lang w:eastAsia="en-US"/>
        </w:rPr>
        <w:t xml:space="preserve">, то объем новых кредитов </w:t>
      </w:r>
      <w:r>
        <w:rPr>
          <w:i/>
          <w:position w:val="-14"/>
          <w:sz w:val="28"/>
          <w:szCs w:val="28"/>
        </w:rPr>
        <w:object>
          <v:shape id="_x0000_i1252" o:spt="75" type="#_x0000_t75" style="height:20.25pt;width:37.5pt;" o:ole="t" filled="f" o:preferrelative="t" stroked="f" coordsize="21600,21600">
            <v:path/>
            <v:fill on="f" focussize="0,0"/>
            <v:stroke on="f" joinstyle="miter"/>
            <v:imagedata r:id="rId426" o:title=""/>
            <o:lock v:ext="edit" aspectratio="t"/>
            <w10:wrap type="none"/>
            <w10:anchorlock/>
          </v:shape>
          <o:OLEObject Type="Embed" ProgID="Equation.DSMT4" ShapeID="_x0000_i1252" DrawAspect="Content" ObjectID="_1468075959" r:id="rId425">
            <o:LockedField>false</o:LockedField>
          </o:OLEObject>
        </w:object>
      </w:r>
      <w:r>
        <w:rPr>
          <w:rFonts w:eastAsia="Calibri"/>
          <w:i/>
          <w:sz w:val="28"/>
          <w:szCs w:val="28"/>
          <w:lang w:eastAsia="en-US"/>
        </w:rPr>
        <w:t xml:space="preserve"> должен удовлетворять неравенству</w:t>
      </w:r>
    </w:p>
    <w:p w14:paraId="7A7B7144">
      <w:pPr>
        <w:pStyle w:val="37"/>
        <w:ind w:firstLine="0"/>
        <w:rPr>
          <w:rFonts w:eastAsia="Calibri"/>
          <w:sz w:val="28"/>
          <w:szCs w:val="28"/>
          <w:lang w:eastAsia="en-US"/>
        </w:rPr>
      </w:pPr>
    </w:p>
    <w:p w14:paraId="6CB52866">
      <w:pPr>
        <w:pStyle w:val="38"/>
        <w:spacing w:before="0" w:after="0"/>
        <w:rPr>
          <w:sz w:val="28"/>
          <w:szCs w:val="28"/>
        </w:rPr>
      </w:pPr>
      <w:r>
        <w:rPr>
          <w:sz w:val="28"/>
          <w:szCs w:val="28"/>
        </w:rPr>
        <w:tab/>
      </w:r>
      <w:r>
        <w:rPr>
          <w:sz w:val="28"/>
          <w:szCs w:val="28"/>
        </w:rPr>
        <w:t xml:space="preserve">                            </w:t>
      </w:r>
      <w:r>
        <w:rPr>
          <w:position w:val="-28"/>
          <w:sz w:val="28"/>
          <w:szCs w:val="28"/>
        </w:rPr>
        <w:object>
          <v:shape id="_x0000_i1253" o:spt="75" type="#_x0000_t75" style="height:33.75pt;width:243pt;" o:ole="t" filled="f" o:preferrelative="t" stroked="f" coordsize="21600,21600">
            <v:path/>
            <v:fill on="f" focussize="0,0"/>
            <v:stroke on="f" joinstyle="miter"/>
            <v:imagedata r:id="rId428" o:title=""/>
            <o:lock v:ext="edit" aspectratio="t"/>
            <w10:wrap type="none"/>
            <w10:anchorlock/>
          </v:shape>
          <o:OLEObject Type="Embed" ProgID="Equation.DSMT4" ShapeID="_x0000_i1253" DrawAspect="Content" ObjectID="_1468075960" r:id="rId427">
            <o:LockedField>false</o:LockedField>
          </o:OLEObject>
        </w:object>
      </w:r>
      <w:r>
        <w:rPr>
          <w:sz w:val="28"/>
          <w:szCs w:val="28"/>
        </w:rPr>
        <w:t xml:space="preserve">                  </w:t>
      </w:r>
      <w:r>
        <w:rPr>
          <w:sz w:val="28"/>
          <w:szCs w:val="28"/>
        </w:rPr>
        <w:tab/>
      </w:r>
      <w:r>
        <w:rPr>
          <w:sz w:val="28"/>
          <w:szCs w:val="28"/>
        </w:rPr>
        <w:t>(29)</w:t>
      </w:r>
    </w:p>
    <w:p w14:paraId="7CDBC411">
      <w:pPr>
        <w:pStyle w:val="37"/>
        <w:ind w:firstLine="0"/>
        <w:rPr>
          <w:rFonts w:eastAsia="Calibri"/>
          <w:sz w:val="28"/>
          <w:szCs w:val="28"/>
          <w:lang w:eastAsia="en-US"/>
        </w:rPr>
      </w:pPr>
    </w:p>
    <w:p w14:paraId="15FDB97D">
      <w:pPr>
        <w:pStyle w:val="37"/>
        <w:rPr>
          <w:rFonts w:eastAsia="Calibri"/>
          <w:sz w:val="28"/>
          <w:szCs w:val="28"/>
          <w:lang w:eastAsia="en-US"/>
        </w:rPr>
      </w:pPr>
      <w:r>
        <w:rPr>
          <w:rFonts w:eastAsia="Calibri"/>
          <w:sz w:val="28"/>
          <w:szCs w:val="28"/>
          <w:lang w:eastAsia="en-US"/>
        </w:rPr>
        <w:t>Лемма показывает, что минимальные требования к капиталу накладывают ограничение на объем новых кредитов. Согласно (29) максимальный объем</w:t>
      </w:r>
      <w:r>
        <w:rPr>
          <w:rFonts w:eastAsia="Calibri"/>
          <w:sz w:val="28"/>
          <w:szCs w:val="28"/>
        </w:rPr>
        <w:t xml:space="preserve"> </w:t>
      </w:r>
      <w:r>
        <w:rPr>
          <w:rFonts w:eastAsia="Calibri"/>
          <w:sz w:val="28"/>
          <w:szCs w:val="28"/>
          <w:lang w:eastAsia="en-US"/>
        </w:rPr>
        <w:t xml:space="preserve">кредитов </w:t>
      </w:r>
      <w:r>
        <w:rPr>
          <w:position w:val="-14"/>
          <w:sz w:val="28"/>
          <w:szCs w:val="28"/>
        </w:rPr>
        <w:object>
          <v:shape id="_x0000_i1254" o:spt="75" type="#_x0000_t75" style="height:20.25pt;width:41.25pt;" o:ole="t" filled="f" o:preferrelative="t" stroked="f" coordsize="21600,21600">
            <v:path/>
            <v:fill on="f" focussize="0,0"/>
            <v:stroke on="f" joinstyle="miter"/>
            <v:imagedata r:id="rId430" o:title=""/>
            <o:lock v:ext="edit" aspectratio="t"/>
            <w10:wrap type="none"/>
            <w10:anchorlock/>
          </v:shape>
          <o:OLEObject Type="Embed" ProgID="Equation.DSMT4" ShapeID="_x0000_i1254" DrawAspect="Content" ObjectID="_1468075961" r:id="rId429">
            <o:LockedField>false</o:LockedField>
          </o:OLEObject>
        </w:object>
      </w:r>
      <w:r>
        <w:rPr>
          <w:rFonts w:eastAsia="Calibri"/>
          <w:sz w:val="28"/>
          <w:szCs w:val="28"/>
          <w:lang w:eastAsia="en-US"/>
        </w:rPr>
        <w:t xml:space="preserve"> зависит от размера трансферного платежа </w:t>
      </w:r>
      <w:r>
        <w:rPr>
          <w:position w:val="-14"/>
          <w:sz w:val="28"/>
          <w:szCs w:val="28"/>
        </w:rPr>
        <w:object>
          <v:shape id="_x0000_i1255" o:spt="75" type="#_x0000_t75" style="height:20.25pt;width:34.5pt;" o:ole="t" filled="f" o:preferrelative="t" stroked="f" coordsize="21600,21600">
            <v:path/>
            <v:fill on="f" focussize="0,0"/>
            <v:stroke on="f" joinstyle="miter"/>
            <v:imagedata r:id="rId432" o:title=""/>
            <o:lock v:ext="edit" aspectratio="t"/>
            <w10:wrap type="none"/>
            <w10:anchorlock/>
          </v:shape>
          <o:OLEObject Type="Embed" ProgID="Equation.DSMT4" ShapeID="_x0000_i1255" DrawAspect="Content" ObjectID="_1468075962" r:id="rId431">
            <o:LockedField>false</o:LockedField>
          </o:OLEObject>
        </w:object>
      </w:r>
      <w:r>
        <w:rPr>
          <w:rFonts w:eastAsia="Calibri"/>
          <w:sz w:val="28"/>
          <w:szCs w:val="28"/>
          <w:lang w:eastAsia="en-US"/>
        </w:rPr>
        <w:t xml:space="preserve"> по отношению к балансовой стоимости </w:t>
      </w:r>
      <w:r>
        <w:rPr>
          <w:position w:val="-14"/>
          <w:sz w:val="28"/>
          <w:szCs w:val="28"/>
        </w:rPr>
        <w:object>
          <v:shape id="_x0000_i1256" o:spt="75" type="#_x0000_t75" style="height:20.25pt;width:40.5pt;" o:ole="t" filled="f" o:preferrelative="t" stroked="f" coordsize="21600,21600">
            <v:path/>
            <v:fill on="f" focussize="0,0"/>
            <v:stroke on="f" joinstyle="miter"/>
            <v:imagedata r:id="rId434" o:title=""/>
            <o:lock v:ext="edit" aspectratio="t"/>
            <w10:wrap type="none"/>
            <w10:anchorlock/>
          </v:shape>
          <o:OLEObject Type="Embed" ProgID="Equation.DSMT4" ShapeID="_x0000_i1256" DrawAspect="Content" ObjectID="_1468075963" r:id="rId433">
            <o:LockedField>false</o:LockedField>
          </o:OLEObject>
        </w:object>
      </w:r>
      <w:r>
        <w:rPr>
          <w:rFonts w:eastAsia="Calibri"/>
          <w:sz w:val="28"/>
          <w:szCs w:val="28"/>
          <w:lang w:eastAsia="en-US"/>
        </w:rPr>
        <w:t xml:space="preserve"> токсичных активов. Для интерпретации этого максимального объема кредитов полезно различать два эффекта от участия в схеме плохого банка, которые могут влиять на способность коммерческого банка </w:t>
      </w:r>
      <m:oMath>
        <m:r>
          <m:rPr/>
          <w:rPr>
            <w:rFonts w:ascii="Cambria Math" w:hAnsi="Cambria Math" w:eastAsia="Calibri"/>
            <w:sz w:val="28"/>
            <w:szCs w:val="28"/>
            <w:lang w:eastAsia="en-US"/>
          </w:rPr>
          <m:t>d</m:t>
        </m:r>
      </m:oMath>
      <w:r>
        <w:rPr>
          <w:rFonts w:eastAsia="Calibri"/>
          <w:sz w:val="28"/>
          <w:szCs w:val="28"/>
          <w:lang w:eastAsia="en-US"/>
        </w:rPr>
        <w:t xml:space="preserve"> выдавать новые кредиты.</w:t>
      </w:r>
    </w:p>
    <w:p w14:paraId="41C1A6E2">
      <w:pPr>
        <w:pStyle w:val="37"/>
        <w:rPr>
          <w:rFonts w:eastAsia="Calibri"/>
          <w:sz w:val="28"/>
          <w:szCs w:val="28"/>
          <w:lang w:eastAsia="en-US"/>
        </w:rPr>
      </w:pPr>
      <w:r>
        <w:rPr>
          <w:rFonts w:eastAsia="Calibri"/>
          <w:sz w:val="28"/>
          <w:szCs w:val="28"/>
          <w:lang w:eastAsia="en-US"/>
        </w:rPr>
        <w:t xml:space="preserve">Во-первых, будет эффект замещения актива (первый член в правой части (29)). Сделка с государственным фондом проблемных активов </w:t>
      </w:r>
      <m:oMath>
        <m:r>
          <m:rPr/>
          <w:rPr>
            <w:rFonts w:ascii="Cambria Math" w:hAnsi="Cambria Math" w:eastAsia="Calibri"/>
            <w:sz w:val="28"/>
            <w:szCs w:val="28"/>
            <w:lang w:eastAsia="en-US"/>
          </w:rPr>
          <m:t>d</m:t>
        </m:r>
      </m:oMath>
      <w:r>
        <w:rPr>
          <w:rFonts w:eastAsia="Calibri"/>
          <w:sz w:val="28"/>
          <w:szCs w:val="28"/>
          <w:lang w:eastAsia="en-US"/>
        </w:rPr>
        <w:t xml:space="preserve"> позволяет плохому банку </w:t>
      </w:r>
      <m:oMath>
        <m:r>
          <m:rPr/>
          <w:rPr>
            <w:rFonts w:ascii="Cambria Math" w:hAnsi="Cambria Math" w:eastAsia="Calibri"/>
            <w:sz w:val="28"/>
            <w:szCs w:val="28"/>
            <w:lang w:eastAsia="en-US"/>
          </w:rPr>
          <m:t>b</m:t>
        </m:r>
      </m:oMath>
      <w:r>
        <w:rPr>
          <w:rFonts w:eastAsia="Calibri"/>
          <w:sz w:val="28"/>
          <w:szCs w:val="28"/>
          <w:lang w:eastAsia="en-US"/>
        </w:rPr>
        <w:t xml:space="preserve"> заменить свои проблемные активы надежными государственными облигациями. Пока трансферный платеж равен балансовой стоимости проблемного актива, </w:t>
      </w:r>
      <w:r>
        <w:rPr>
          <w:position w:val="-14"/>
          <w:sz w:val="28"/>
          <w:szCs w:val="28"/>
        </w:rPr>
        <w:object>
          <v:shape id="_x0000_i1257" o:spt="75" type="#_x0000_t75" style="height:20.25pt;width:84pt;" o:ole="t" filled="f" o:preferrelative="t" stroked="f" coordsize="21600,21600">
            <v:path/>
            <v:fill on="f" focussize="0,0"/>
            <v:stroke on="f" joinstyle="miter"/>
            <v:imagedata r:id="rId436" o:title=""/>
            <o:lock v:ext="edit" aspectratio="t"/>
            <w10:wrap type="none"/>
            <w10:anchorlock/>
          </v:shape>
          <o:OLEObject Type="Embed" ProgID="Equation.DSMT4" ShapeID="_x0000_i1257" DrawAspect="Content" ObjectID="_1468075964" r:id="rId435">
            <o:LockedField>false</o:LockedField>
          </o:OLEObject>
        </w:object>
      </w:r>
      <w:r>
        <w:rPr>
          <w:rFonts w:eastAsia="Calibri"/>
          <w:sz w:val="28"/>
          <w:szCs w:val="28"/>
          <w:lang w:eastAsia="en-US"/>
        </w:rPr>
        <w:t xml:space="preserve">, участие в сделке с государственным фондом </w:t>
      </w:r>
      <m:oMath>
        <m:r>
          <m:rPr/>
          <w:rPr>
            <w:rFonts w:ascii="Cambria Math" w:hAnsi="Cambria Math" w:eastAsia="Calibri"/>
            <w:sz w:val="28"/>
            <w:szCs w:val="28"/>
            <w:lang w:eastAsia="en-US"/>
          </w:rPr>
          <m:t>d</m:t>
        </m:r>
      </m:oMath>
      <w:r>
        <w:rPr>
          <w:rFonts w:eastAsia="Calibri"/>
          <w:sz w:val="28"/>
          <w:szCs w:val="28"/>
          <w:lang w:eastAsia="en-US"/>
        </w:rPr>
        <w:t xml:space="preserve"> оставляет собственный капитал банка </w:t>
      </w:r>
      <m:oMath>
        <m:r>
          <m:rPr/>
          <w:rPr>
            <w:rFonts w:ascii="Cambria Math" w:hAnsi="Cambria Math" w:eastAsia="Calibri"/>
            <w:sz w:val="28"/>
            <w:szCs w:val="28"/>
            <w:lang w:eastAsia="en-US"/>
          </w:rPr>
          <m:t>b</m:t>
        </m:r>
      </m:oMath>
      <w:r>
        <w:rPr>
          <w:rFonts w:eastAsia="Calibri"/>
          <w:sz w:val="28"/>
          <w:szCs w:val="28"/>
          <w:lang w:eastAsia="en-US"/>
        </w:rPr>
        <w:t xml:space="preserve"> неизменным. Однако этот капитал, который использовался для поддержки рискованных активов, теперь доступен для поддержки новых кредитов, поскольку государственные облигации не требуют поддержки капиталом. Следовательно, сумма, равная балансовой стоимости токсичных активов </w:t>
      </w:r>
      <w:r>
        <w:rPr>
          <w:position w:val="-14"/>
          <w:sz w:val="28"/>
          <w:szCs w:val="28"/>
        </w:rPr>
        <w:object>
          <v:shape id="_x0000_i1258" o:spt="75" type="#_x0000_t75" style="height:20.25pt;width:40.5pt;" o:ole="t" filled="f" o:preferrelative="t" stroked="f" coordsize="21600,21600">
            <v:path/>
            <v:fill on="f" focussize="0,0"/>
            <v:stroke on="f" joinstyle="miter"/>
            <v:imagedata r:id="rId438" o:title=""/>
            <o:lock v:ext="edit" aspectratio="t"/>
            <w10:wrap type="none"/>
            <w10:anchorlock/>
          </v:shape>
          <o:OLEObject Type="Embed" ProgID="Equation.DSMT4" ShapeID="_x0000_i1258" DrawAspect="Content" ObjectID="_1468075965" r:id="rId437">
            <o:LockedField>false</o:LockedField>
          </o:OLEObject>
        </w:object>
      </w:r>
      <w:r>
        <w:rPr>
          <w:rFonts w:eastAsia="Calibri"/>
          <w:sz w:val="28"/>
          <w:szCs w:val="28"/>
          <w:lang w:eastAsia="en-US"/>
        </w:rPr>
        <w:t xml:space="preserve">, может быть предоставлена в качестве новых ссуд. </w:t>
      </w:r>
    </w:p>
    <w:p w14:paraId="3D2C07F7">
      <w:pPr>
        <w:pStyle w:val="37"/>
        <w:rPr>
          <w:sz w:val="28"/>
          <w:szCs w:val="28"/>
        </w:rPr>
      </w:pPr>
      <w:r>
        <w:rPr>
          <w:rFonts w:eastAsia="Calibri"/>
          <w:sz w:val="28"/>
          <w:szCs w:val="28"/>
          <w:lang w:eastAsia="en-US"/>
        </w:rPr>
        <w:t xml:space="preserve">Во-вторых, произойдет изменение капитала, когда денежный выкуп </w:t>
      </w:r>
      <w:r>
        <w:rPr>
          <w:position w:val="-14"/>
          <w:sz w:val="28"/>
          <w:szCs w:val="28"/>
        </w:rPr>
        <w:object>
          <v:shape id="_x0000_i1259" o:spt="75" type="#_x0000_t75" style="height:20.25pt;width:34.5pt;" o:ole="t" filled="f" o:preferrelative="t" stroked="f" coordsize="21600,21600">
            <v:path/>
            <v:fill on="f" focussize="0,0"/>
            <v:stroke on="f" joinstyle="miter"/>
            <v:imagedata r:id="rId440" o:title=""/>
            <o:lock v:ext="edit" aspectratio="t"/>
            <w10:wrap type="none"/>
            <w10:anchorlock/>
          </v:shape>
          <o:OLEObject Type="Embed" ProgID="Equation.DSMT4" ShapeID="_x0000_i1259" DrawAspect="Content" ObjectID="_1468075966" r:id="rId439">
            <o:LockedField>false</o:LockedField>
          </o:OLEObject>
        </w:object>
      </w:r>
      <w:r>
        <w:rPr>
          <w:rFonts w:eastAsia="Calibri"/>
          <w:sz w:val="28"/>
          <w:szCs w:val="28"/>
          <w:lang w:eastAsia="en-US"/>
        </w:rPr>
        <w:t xml:space="preserve"> отличается от балансовой стоимости </w:t>
      </w:r>
      <w:r>
        <w:rPr>
          <w:position w:val="-14"/>
          <w:sz w:val="28"/>
          <w:szCs w:val="28"/>
        </w:rPr>
        <w:object>
          <v:shape id="_x0000_i1260" o:spt="75" type="#_x0000_t75" style="height:20.25pt;width:40.5pt;" o:ole="t" filled="f" o:preferrelative="t" stroked="f" coordsize="21600,21600">
            <v:path/>
            <v:fill on="f" focussize="0,0"/>
            <v:stroke on="f" joinstyle="miter"/>
            <v:imagedata r:id="rId442" o:title=""/>
            <o:lock v:ext="edit" aspectratio="t"/>
            <w10:wrap type="none"/>
            <w10:anchorlock/>
          </v:shape>
          <o:OLEObject Type="Embed" ProgID="Equation.DSMT4" ShapeID="_x0000_i1260" DrawAspect="Content" ObjectID="_1468075967" r:id="rId441">
            <o:LockedField>false</o:LockedField>
          </o:OLEObject>
        </w:object>
      </w:r>
      <w:r>
        <w:rPr>
          <w:rFonts w:eastAsia="Calibri"/>
          <w:sz w:val="28"/>
          <w:szCs w:val="28"/>
          <w:lang w:eastAsia="en-US"/>
        </w:rPr>
        <w:t xml:space="preserve"> токсичных активов (второй член в правой части (29)). Этот эффект обусловлен дополнительным капиталом банка (в случае </w:t>
      </w:r>
      <w:r>
        <w:rPr>
          <w:position w:val="-14"/>
          <w:sz w:val="28"/>
          <w:szCs w:val="28"/>
        </w:rPr>
        <w:object>
          <v:shape id="_x0000_i1261" o:spt="75" type="#_x0000_t75" style="height:20.25pt;width:84pt;" o:ole="t" filled="f" o:preferrelative="t" stroked="f" coordsize="21600,21600">
            <v:path/>
            <v:fill on="f" focussize="0,0"/>
            <v:stroke on="f" joinstyle="miter"/>
            <v:imagedata r:id="rId444" o:title=""/>
            <o:lock v:ext="edit" aspectratio="t"/>
            <w10:wrap type="none"/>
            <w10:anchorlock/>
          </v:shape>
          <o:OLEObject Type="Embed" ProgID="Equation.DSMT4" ShapeID="_x0000_i1261" DrawAspect="Content" ObjectID="_1468075968" r:id="rId443">
            <o:LockedField>false</o:LockedField>
          </o:OLEObject>
        </w:object>
      </w:r>
      <w:r>
        <w:rPr>
          <w:rFonts w:eastAsia="Calibri"/>
          <w:sz w:val="28"/>
          <w:szCs w:val="28"/>
          <w:lang w:eastAsia="en-US"/>
        </w:rPr>
        <w:t xml:space="preserve">) или потерей капитала (в случае </w:t>
      </w:r>
      <w:r>
        <w:rPr>
          <w:position w:val="-14"/>
          <w:sz w:val="28"/>
          <w:szCs w:val="28"/>
        </w:rPr>
        <w:object>
          <v:shape id="_x0000_i1262" o:spt="75" type="#_x0000_t75" style="height:20.25pt;width:84pt;" o:ole="t" filled="f" o:preferrelative="t" stroked="f" coordsize="21600,21600">
            <v:path/>
            <v:fill on="f" focussize="0,0"/>
            <v:stroke on="f" joinstyle="miter"/>
            <v:imagedata r:id="rId446" o:title=""/>
            <o:lock v:ext="edit" aspectratio="t"/>
            <w10:wrap type="none"/>
            <w10:anchorlock/>
          </v:shape>
          <o:OLEObject Type="Embed" ProgID="Equation.DSMT4" ShapeID="_x0000_i1262" DrawAspect="Content" ObjectID="_1468075969" r:id="rId445">
            <o:LockedField>false</o:LockedField>
          </o:OLEObject>
        </w:object>
      </w:r>
      <w:r>
        <w:rPr>
          <w:rFonts w:eastAsia="Calibri"/>
          <w:sz w:val="28"/>
          <w:szCs w:val="28"/>
          <w:lang w:eastAsia="en-US"/>
        </w:rPr>
        <w:t xml:space="preserve">) при участии в банке проблемных активов. Если </w:t>
      </w:r>
      <w:r>
        <w:rPr>
          <w:position w:val="-14"/>
          <w:sz w:val="28"/>
          <w:szCs w:val="28"/>
        </w:rPr>
        <w:object>
          <v:shape id="_x0000_i1263" o:spt="75" type="#_x0000_t75" style="height:20.25pt;width:84pt;" o:ole="t" filled="f" o:preferrelative="t" stroked="f" coordsize="21600,21600">
            <v:path/>
            <v:fill on="f" focussize="0,0"/>
            <v:stroke on="f" joinstyle="miter"/>
            <v:imagedata r:id="rId448" o:title=""/>
            <o:lock v:ext="edit" aspectratio="t"/>
            <w10:wrap type="none"/>
            <w10:anchorlock/>
          </v:shape>
          <o:OLEObject Type="Embed" ProgID="Equation.DSMT4" ShapeID="_x0000_i1263" DrawAspect="Content" ObjectID="_1468075970" r:id="rId447">
            <o:LockedField>false</o:LockedField>
          </o:OLEObject>
        </w:object>
      </w:r>
      <w:r>
        <w:rPr>
          <w:rFonts w:eastAsia="Calibri"/>
          <w:sz w:val="28"/>
          <w:szCs w:val="28"/>
          <w:lang w:eastAsia="en-US"/>
        </w:rPr>
        <w:t xml:space="preserve">, банк получит дополнительный капитал. Умножая на мультипликатор </w:t>
      </w:r>
      <w:r>
        <w:rPr>
          <w:rFonts w:eastAsia="Calibri"/>
          <w:position w:val="-28"/>
          <w:sz w:val="28"/>
          <w:szCs w:val="28"/>
          <w:lang w:eastAsia="en-US"/>
        </w:rPr>
        <w:object>
          <v:shape id="_x0000_i1264" o:spt="75" type="#_x0000_t75" style="height:33.75pt;width:28.5pt;" o:ole="t" filled="f" o:preferrelative="t" stroked="f" coordsize="21600,21600">
            <v:path/>
            <v:fill on="f" focussize="0,0"/>
            <v:stroke on="f" joinstyle="miter"/>
            <v:imagedata r:id="rId450" o:title=""/>
            <o:lock v:ext="edit" aspectratio="t"/>
            <w10:wrap type="none"/>
            <w10:anchorlock/>
          </v:shape>
          <o:OLEObject Type="Embed" ProgID="Equation.DSMT4" ShapeID="_x0000_i1264" DrawAspect="Content" ObjectID="_1468075971" r:id="rId449">
            <o:LockedField>false</o:LockedField>
          </o:OLEObject>
        </w:object>
      </w:r>
      <w:r>
        <w:rPr>
          <w:rFonts w:eastAsia="Calibri"/>
          <w:sz w:val="28"/>
          <w:szCs w:val="28"/>
          <w:lang w:eastAsia="en-US"/>
        </w:rPr>
        <w:t xml:space="preserve">, мы получим сумму новых кредитов, которые могут быть дополнительно предоставлены. Если объем государственных облигаций меньше балансовой стоимости токсичных кредитов, </w:t>
      </w:r>
      <w:r>
        <w:rPr>
          <w:position w:val="-14"/>
          <w:sz w:val="28"/>
          <w:szCs w:val="28"/>
        </w:rPr>
        <w:object>
          <v:shape id="_x0000_i1265" o:spt="75" type="#_x0000_t75" style="height:20.25pt;width:84pt;" o:ole="t" filled="f" o:preferrelative="t" stroked="f" coordsize="21600,21600">
            <v:path/>
            <v:fill on="f" focussize="0,0"/>
            <v:stroke on="f" joinstyle="miter"/>
            <v:imagedata r:id="rId452" o:title=""/>
            <o:lock v:ext="edit" aspectratio="t"/>
            <w10:wrap type="none"/>
            <w10:anchorlock/>
          </v:shape>
          <o:OLEObject Type="Embed" ProgID="Equation.DSMT4" ShapeID="_x0000_i1265" DrawAspect="Content" ObjectID="_1468075972" r:id="rId451">
            <o:LockedField>false</o:LockedField>
          </o:OLEObject>
        </w:object>
      </w:r>
      <w:r>
        <w:rPr>
          <w:rFonts w:eastAsia="Calibri"/>
          <w:sz w:val="28"/>
          <w:szCs w:val="28"/>
          <w:lang w:eastAsia="en-US"/>
        </w:rPr>
        <w:t xml:space="preserve">, банк </w:t>
      </w:r>
      <m:oMath>
        <m:r>
          <m:rPr/>
          <w:rPr>
            <w:rFonts w:ascii="Cambria Math" w:hAnsi="Cambria Math" w:eastAsia="Calibri"/>
            <w:sz w:val="28"/>
            <w:szCs w:val="28"/>
            <w:lang w:eastAsia="en-US"/>
          </w:rPr>
          <m:t>b</m:t>
        </m:r>
      </m:oMath>
      <w:r>
        <w:rPr>
          <w:rFonts w:eastAsia="Calibri"/>
          <w:sz w:val="28"/>
          <w:szCs w:val="28"/>
          <w:lang w:eastAsia="en-US"/>
        </w:rPr>
        <w:t xml:space="preserve"> «потеряет» капитал при передаче проблемных активов в государственный фонд </w:t>
      </w:r>
      <m:oMath>
        <m:r>
          <m:rPr/>
          <w:rPr>
            <w:rFonts w:ascii="Cambria Math" w:hAnsi="Cambria Math" w:eastAsia="Calibri"/>
            <w:sz w:val="28"/>
            <w:szCs w:val="28"/>
            <w:lang w:eastAsia="en-US"/>
          </w:rPr>
          <m:t>d</m:t>
        </m:r>
      </m:oMath>
      <w:r>
        <w:rPr>
          <w:rFonts w:eastAsia="Calibri"/>
          <w:sz w:val="28"/>
          <w:szCs w:val="28"/>
          <w:lang w:eastAsia="en-US"/>
        </w:rPr>
        <w:t xml:space="preserve">. Следовательно, сумма новых займов будет меньше балансовой стоимости </w:t>
      </w:r>
      <w:r>
        <w:rPr>
          <w:position w:val="-14"/>
          <w:sz w:val="28"/>
          <w:szCs w:val="28"/>
        </w:rPr>
        <w:object>
          <v:shape id="_x0000_i1266" o:spt="75" type="#_x0000_t75" style="height:20.25pt;width:40.5pt;" o:ole="t" filled="f" o:preferrelative="t" stroked="f" coordsize="21600,21600">
            <v:path/>
            <v:fill on="f" focussize="0,0"/>
            <v:stroke on="f" joinstyle="miter"/>
            <v:imagedata r:id="rId454" o:title=""/>
            <o:lock v:ext="edit" aspectratio="t"/>
            <w10:wrap type="none"/>
            <w10:anchorlock/>
          </v:shape>
          <o:OLEObject Type="Embed" ProgID="Equation.DSMT4" ShapeID="_x0000_i1266" DrawAspect="Content" ObjectID="_1468075973" r:id="rId453">
            <o:LockedField>false</o:LockedField>
          </o:OLEObject>
        </w:object>
      </w:r>
      <w:r>
        <w:rPr>
          <w:rFonts w:eastAsia="Calibri"/>
          <w:sz w:val="28"/>
          <w:szCs w:val="28"/>
          <w:lang w:eastAsia="en-US"/>
        </w:rPr>
        <w:t xml:space="preserve"> проблемных активов. Следовательно, </w:t>
      </w:r>
      <w:r>
        <w:rPr>
          <w:position w:val="-14"/>
          <w:sz w:val="28"/>
          <w:szCs w:val="28"/>
        </w:rPr>
        <w:object>
          <v:shape id="_x0000_i1267" o:spt="75" type="#_x0000_t75" style="height:20.25pt;width:41.25pt;" o:ole="t" filled="f" o:preferrelative="t" stroked="f" coordsize="21600,21600">
            <v:path/>
            <v:fill on="f" focussize="0,0"/>
            <v:stroke on="f" joinstyle="miter"/>
            <v:imagedata r:id="rId456" o:title=""/>
            <o:lock v:ext="edit" aspectratio="t"/>
            <w10:wrap type="none"/>
            <w10:anchorlock/>
          </v:shape>
          <o:OLEObject Type="Embed" ProgID="Equation.DSMT4" ShapeID="_x0000_i1267" DrawAspect="Content" ObjectID="_1468075974" r:id="rId455">
            <o:LockedField>false</o:LockedField>
          </o:OLEObject>
        </w:object>
      </w:r>
      <w:r>
        <w:rPr>
          <w:rFonts w:eastAsia="Calibri"/>
          <w:sz w:val="28"/>
          <w:szCs w:val="28"/>
          <w:lang w:eastAsia="en-US"/>
        </w:rPr>
        <w:t xml:space="preserve"> увеличивается с ростом </w:t>
      </w:r>
      <w:r>
        <w:rPr>
          <w:position w:val="-14"/>
          <w:sz w:val="28"/>
          <w:szCs w:val="28"/>
        </w:rPr>
        <w:object>
          <v:shape id="_x0000_i1268" o:spt="75" type="#_x0000_t75" style="height:20.25pt;width:34.5pt;" o:ole="t" filled="f" o:preferrelative="t" stroked="f" coordsize="21600,21600">
            <v:path/>
            <v:fill on="f" focussize="0,0"/>
            <v:stroke on="f" joinstyle="miter"/>
            <v:imagedata r:id="rId458" o:title=""/>
            <o:lock v:ext="edit" aspectratio="t"/>
            <w10:wrap type="none"/>
            <w10:anchorlock/>
          </v:shape>
          <o:OLEObject Type="Embed" ProgID="Equation.DSMT4" ShapeID="_x0000_i1268" DrawAspect="Content" ObjectID="_1468075975" r:id="rId457">
            <o:LockedField>false</o:LockedField>
          </o:OLEObject>
        </w:object>
      </w:r>
      <w:r>
        <w:rPr>
          <w:rFonts w:eastAsia="Calibri"/>
          <w:sz w:val="28"/>
          <w:szCs w:val="28"/>
          <w:lang w:eastAsia="en-US"/>
        </w:rPr>
        <w:t xml:space="preserve">, поскольку либо возрастает дополнительный капитал, либо сокращаются потери капитала: </w:t>
      </w:r>
      <w:r>
        <w:rPr>
          <w:position w:val="-12"/>
          <w:sz w:val="28"/>
          <w:szCs w:val="28"/>
        </w:rPr>
        <w:object>
          <v:shape id="_x0000_i1269" o:spt="75" type="#_x0000_t75" style="height:19.5pt;width:109.5pt;" o:ole="t" filled="f" o:preferrelative="t" stroked="f" coordsize="21600,21600">
            <v:path/>
            <v:fill on="f" focussize="0,0"/>
            <v:stroke on="f" joinstyle="miter"/>
            <v:imagedata r:id="rId460" o:title=""/>
            <o:lock v:ext="edit" aspectratio="t"/>
            <w10:wrap type="none"/>
            <w10:anchorlock/>
          </v:shape>
          <o:OLEObject Type="Embed" ProgID="Equation.DSMT4" ShapeID="_x0000_i1269" DrawAspect="Content" ObjectID="_1468075976" r:id="rId459">
            <o:LockedField>false</o:LockedField>
          </o:OLEObject>
        </w:object>
      </w:r>
    </w:p>
    <w:p w14:paraId="5D3A5CBB">
      <w:pPr>
        <w:pStyle w:val="37"/>
        <w:rPr>
          <w:sz w:val="28"/>
          <w:szCs w:val="28"/>
        </w:rPr>
      </w:pPr>
    </w:p>
    <w:p w14:paraId="23044F25">
      <w:pPr>
        <w:pStyle w:val="3"/>
        <w:ind w:firstLine="709"/>
        <w:rPr>
          <w:rFonts w:ascii="Times New Roman" w:hAnsi="Times New Roman" w:eastAsia="Calibri" w:cs="Times New Roman"/>
          <w:b/>
          <w:bCs/>
          <w:color w:val="auto"/>
          <w:sz w:val="28"/>
          <w:szCs w:val="28"/>
        </w:rPr>
      </w:pPr>
      <w:bookmarkStart w:id="24" w:name="_Toc219671668"/>
      <w:r>
        <w:rPr>
          <w:rFonts w:ascii="Times New Roman" w:hAnsi="Times New Roman" w:eastAsia="Calibri" w:cs="Times New Roman"/>
          <w:b/>
          <w:bCs/>
          <w:color w:val="auto"/>
          <w:sz w:val="28"/>
          <w:szCs w:val="28"/>
        </w:rPr>
        <w:t>c. Безвозвратная продажа проблемного актива (схема 1)</w:t>
      </w:r>
      <w:bookmarkEnd w:id="24"/>
    </w:p>
    <w:p w14:paraId="775D16C7">
      <w:pPr>
        <w:pStyle w:val="4"/>
        <w:spacing w:before="0" w:beforeAutospacing="0" w:after="0" w:afterAutospacing="0"/>
        <w:jc w:val="both"/>
        <w:rPr>
          <w:rFonts w:eastAsia="Calibri"/>
          <w:sz w:val="28"/>
          <w:szCs w:val="28"/>
        </w:rPr>
      </w:pPr>
    </w:p>
    <w:p w14:paraId="493FD66A">
      <w:pPr>
        <w:pStyle w:val="37"/>
        <w:rPr>
          <w:rFonts w:eastAsia="Calibri"/>
          <w:sz w:val="28"/>
          <w:szCs w:val="28"/>
          <w:lang w:eastAsia="en-US"/>
        </w:rPr>
      </w:pPr>
      <w:r>
        <w:rPr>
          <w:rFonts w:eastAsia="Calibri"/>
          <w:sz w:val="28"/>
          <w:szCs w:val="28"/>
          <w:lang w:eastAsia="en-US"/>
        </w:rPr>
        <w:t xml:space="preserve">Рассмотрим первую схему «плохого» банка, которая соответствует безвозвратной продаже токсичного актива. По схеме 1 коммерческий «плохой» банк </w:t>
      </w:r>
      <w:r>
        <w:rPr>
          <w:rFonts w:eastAsia="Calibri"/>
          <w:position w:val="-6"/>
          <w:sz w:val="28"/>
          <w:szCs w:val="28"/>
          <w:lang w:eastAsia="en-US"/>
        </w:rPr>
        <w:object>
          <v:shape id="_x0000_i1270" o:spt="75" type="#_x0000_t75" style="height:13.5pt;width:9.75pt;" o:ole="t" filled="f" o:preferrelative="t" stroked="f" coordsize="21600,21600">
            <v:path/>
            <v:fill on="f" focussize="0,0"/>
            <v:stroke on="f" joinstyle="miter"/>
            <v:imagedata r:id="rId462" o:title=""/>
            <o:lock v:ext="edit" aspectratio="t"/>
            <w10:wrap type="none"/>
            <w10:anchorlock/>
          </v:shape>
          <o:OLEObject Type="Embed" ProgID="Equation.DSMT4" ShapeID="_x0000_i1270" DrawAspect="Content" ObjectID="_1468075977" r:id="rId461">
            <o:LockedField>false</o:LockedField>
          </o:OLEObject>
        </w:object>
      </w:r>
      <w:r>
        <w:rPr>
          <w:rFonts w:eastAsia="Calibri"/>
          <w:sz w:val="28"/>
          <w:szCs w:val="28"/>
          <w:lang w:eastAsia="en-US"/>
        </w:rPr>
        <w:t xml:space="preserve"> может обменять актив на безопасные государственные облигации на сумму </w:t>
      </w:r>
      <w:r>
        <w:rPr>
          <w:position w:val="-14"/>
          <w:sz w:val="28"/>
          <w:szCs w:val="28"/>
        </w:rPr>
        <w:object>
          <v:shape id="_x0000_i1271" o:spt="75" type="#_x0000_t75" style="height:20.25pt;width:34.5pt;" o:ole="t" filled="f" o:preferrelative="t" stroked="f" coordsize="21600,21600">
            <v:path/>
            <v:fill on="f" focussize="0,0"/>
            <v:stroke on="f" joinstyle="miter"/>
            <v:imagedata r:id="rId464" o:title=""/>
            <o:lock v:ext="edit" aspectratio="t"/>
            <w10:wrap type="none"/>
            <w10:anchorlock/>
          </v:shape>
          <o:OLEObject Type="Embed" ProgID="Equation.DSMT4" ShapeID="_x0000_i1271" DrawAspect="Content" ObjectID="_1468075978" r:id="rId463">
            <o:LockedField>false</o:LockedField>
          </o:OLEObject>
        </w:object>
      </w:r>
      <w:r>
        <w:rPr>
          <w:rFonts w:eastAsia="Calibri"/>
          <w:sz w:val="28"/>
          <w:szCs w:val="28"/>
          <w:lang w:eastAsia="en-US"/>
        </w:rPr>
        <w:t xml:space="preserve"> в момент времени </w:t>
      </w:r>
      <w:r>
        <w:rPr>
          <w:rFonts w:eastAsia="Calibri"/>
          <w:position w:val="-6"/>
          <w:sz w:val="28"/>
          <w:szCs w:val="28"/>
          <w:lang w:eastAsia="en-US"/>
        </w:rPr>
        <w:object>
          <v:shape id="_x0000_i1272" o:spt="75" type="#_x0000_t75" style="height:12pt;width:7.5pt;" o:ole="t" filled="f" o:preferrelative="t" stroked="f" coordsize="21600,21600">
            <v:path/>
            <v:fill on="f" focussize="0,0"/>
            <v:stroke on="f" joinstyle="miter"/>
            <v:imagedata r:id="rId466" o:title=""/>
            <o:lock v:ext="edit" aspectratio="t"/>
            <w10:wrap type="none"/>
            <w10:anchorlock/>
          </v:shape>
          <o:OLEObject Type="Embed" ProgID="Equation.DSMT4" ShapeID="_x0000_i1272" DrawAspect="Content" ObjectID="_1468075979" r:id="rId465">
            <o:LockedField>false</o:LockedField>
          </o:OLEObject>
        </w:object>
      </w:r>
      <w:r>
        <w:rPr>
          <w:rFonts w:eastAsia="Calibri"/>
          <w:sz w:val="28"/>
          <w:szCs w:val="28"/>
          <w:lang w:eastAsia="en-US"/>
        </w:rPr>
        <w:t xml:space="preserve">. Эта сделка безвозвратна. Следовательно, банк не несет убытки и не получает прибыли от любой отдачи токсичных активов в момент времени </w:t>
      </w:r>
      <w:r>
        <w:rPr>
          <w:rFonts w:eastAsia="Calibri"/>
          <w:position w:val="-6"/>
          <w:sz w:val="28"/>
          <w:szCs w:val="28"/>
          <w:lang w:eastAsia="en-US"/>
        </w:rPr>
        <w:object>
          <v:shape id="_x0000_i1273" o:spt="75" type="#_x0000_t75" style="height:12pt;width:24pt;" o:ole="t" filled="f" o:preferrelative="t" stroked="f" coordsize="21600,21600">
            <v:path/>
            <v:fill on="f" focussize="0,0"/>
            <v:stroke on="f" joinstyle="miter"/>
            <v:imagedata r:id="rId468" o:title=""/>
            <o:lock v:ext="edit" aspectratio="t"/>
            <w10:wrap type="none"/>
            <w10:anchorlock/>
          </v:shape>
          <o:OLEObject Type="Embed" ProgID="Equation.DSMT4" ShapeID="_x0000_i1273" DrawAspect="Content" ObjectID="_1468075980" r:id="rId467">
            <o:LockedField>false</o:LockedField>
          </o:OLEObject>
        </w:object>
      </w:r>
      <w:r>
        <w:rPr>
          <w:rFonts w:eastAsia="Calibri"/>
          <w:sz w:val="28"/>
          <w:szCs w:val="28"/>
          <w:lang w:eastAsia="en-US"/>
        </w:rPr>
        <w:t>.</w:t>
      </w:r>
    </w:p>
    <w:p w14:paraId="31117FBE">
      <w:pPr>
        <w:pStyle w:val="37"/>
        <w:rPr>
          <w:rFonts w:eastAsia="Calibri"/>
          <w:b/>
          <w:sz w:val="28"/>
          <w:szCs w:val="28"/>
          <w:lang w:eastAsia="en-US"/>
        </w:rPr>
      </w:pPr>
      <w:r>
        <w:rPr>
          <w:rFonts w:eastAsia="Calibri"/>
          <w:b/>
          <w:sz w:val="28"/>
          <w:szCs w:val="28"/>
          <w:lang w:eastAsia="en-US"/>
        </w:rPr>
        <w:t xml:space="preserve">Баланс плохого банка </w:t>
      </w:r>
      <w:r>
        <w:rPr>
          <w:rFonts w:eastAsia="Calibri"/>
          <w:b/>
          <w:position w:val="-6"/>
          <w:sz w:val="28"/>
          <w:szCs w:val="28"/>
          <w:lang w:eastAsia="en-US"/>
        </w:rPr>
        <w:object>
          <v:shape id="_x0000_i1274" o:spt="75" type="#_x0000_t75" style="height:13.5pt;width:9.75pt;" o:ole="t" filled="f" o:preferrelative="t" stroked="f" coordsize="21600,21600">
            <v:path/>
            <v:fill on="f" focussize="0,0"/>
            <v:stroke on="f" joinstyle="miter"/>
            <v:imagedata r:id="rId470" o:title=""/>
            <o:lock v:ext="edit" aspectratio="t"/>
            <w10:wrap type="none"/>
            <w10:anchorlock/>
          </v:shape>
          <o:OLEObject Type="Embed" ProgID="Equation.DSMT4" ShapeID="_x0000_i1274" DrawAspect="Content" ObjectID="_1468075981" r:id="rId469">
            <o:LockedField>false</o:LockedField>
          </o:OLEObject>
        </w:object>
      </w:r>
      <w:r>
        <w:rPr>
          <w:rFonts w:eastAsia="Calibri"/>
          <w:b/>
          <w:sz w:val="28"/>
          <w:szCs w:val="28"/>
          <w:lang w:eastAsia="en-US"/>
        </w:rPr>
        <w:t xml:space="preserve"> в момент </w:t>
      </w:r>
      <w:r>
        <w:rPr>
          <w:rFonts w:eastAsia="Calibri"/>
          <w:b/>
          <w:position w:val="-6"/>
          <w:sz w:val="28"/>
          <w:szCs w:val="28"/>
          <w:lang w:eastAsia="en-US"/>
        </w:rPr>
        <w:object>
          <v:shape id="_x0000_i1275" o:spt="75" type="#_x0000_t75" style="height:12pt;width:24pt;" o:ole="t" filled="f" o:preferrelative="t" stroked="f" coordsize="21600,21600">
            <v:path/>
            <v:fill on="f" focussize="0,0"/>
            <v:stroke on="f" joinstyle="miter"/>
            <v:imagedata r:id="rId472" o:title=""/>
            <o:lock v:ext="edit" aspectratio="t"/>
            <w10:wrap type="none"/>
            <w10:anchorlock/>
          </v:shape>
          <o:OLEObject Type="Embed" ProgID="Equation.DSMT4" ShapeID="_x0000_i1275" DrawAspect="Content" ObjectID="_1468075982" r:id="rId471">
            <o:LockedField>false</o:LockedField>
          </o:OLEObject>
        </w:object>
      </w:r>
      <w:r>
        <w:rPr>
          <w:rFonts w:eastAsia="Calibri"/>
          <w:b/>
          <w:sz w:val="28"/>
          <w:szCs w:val="28"/>
          <w:lang w:eastAsia="en-US"/>
        </w:rPr>
        <w:t xml:space="preserve"> и ожидаемая стоимость капитала</w:t>
      </w:r>
    </w:p>
    <w:p w14:paraId="075E70B2">
      <w:pPr>
        <w:pStyle w:val="37"/>
        <w:rPr>
          <w:rFonts w:eastAsia="Calibri"/>
          <w:sz w:val="28"/>
          <w:szCs w:val="28"/>
          <w:lang w:eastAsia="en-US"/>
        </w:rPr>
      </w:pPr>
      <w:r>
        <w:rPr>
          <w:rFonts w:eastAsia="Calibri"/>
          <w:sz w:val="28"/>
          <w:szCs w:val="28"/>
          <w:lang w:eastAsia="en-US"/>
        </w:rPr>
        <w:t xml:space="preserve">Приведем последствия участия в схеме 1 для баланса «плохого» банка </w:t>
      </w:r>
      <w:r>
        <w:rPr>
          <w:rFonts w:eastAsia="Calibri"/>
          <w:position w:val="-6"/>
          <w:sz w:val="28"/>
          <w:szCs w:val="28"/>
          <w:lang w:eastAsia="en-US"/>
        </w:rPr>
        <w:object>
          <v:shape id="_x0000_i1276" o:spt="75" type="#_x0000_t75" style="height:13.5pt;width:9.75pt;" o:ole="t" filled="f" o:preferrelative="t" stroked="f" coordsize="21600,21600">
            <v:path/>
            <v:fill on="f" focussize="0,0"/>
            <v:stroke on="f" joinstyle="miter"/>
            <v:imagedata r:id="rId474" o:title=""/>
            <o:lock v:ext="edit" aspectratio="t"/>
            <w10:wrap type="none"/>
            <w10:anchorlock/>
          </v:shape>
          <o:OLEObject Type="Embed" ProgID="Equation.DSMT4" ShapeID="_x0000_i1276" DrawAspect="Content" ObjectID="_1468075983" r:id="rId473">
            <o:LockedField>false</o:LockedField>
          </o:OLEObject>
        </w:object>
      </w:r>
      <w:r>
        <w:rPr>
          <w:rFonts w:eastAsia="Calibri"/>
          <w:sz w:val="28"/>
          <w:szCs w:val="28"/>
          <w:lang w:eastAsia="en-US"/>
        </w:rPr>
        <w:t xml:space="preserve"> в момент времени </w:t>
      </w:r>
      <w:r>
        <w:rPr>
          <w:rFonts w:eastAsia="Calibri"/>
          <w:position w:val="-6"/>
          <w:sz w:val="28"/>
          <w:szCs w:val="28"/>
          <w:lang w:eastAsia="en-US"/>
        </w:rPr>
        <w:object>
          <v:shape id="_x0000_i1277" o:spt="75" type="#_x0000_t75" style="height:12pt;width:24pt;" o:ole="t" filled="f" o:preferrelative="t" stroked="f" coordsize="21600,21600">
            <v:path/>
            <v:fill on="f" focussize="0,0"/>
            <v:stroke on="f" joinstyle="miter"/>
            <v:imagedata r:id="rId476" o:title=""/>
            <o:lock v:ext="edit" aspectratio="t"/>
            <w10:wrap type="none"/>
            <w10:anchorlock/>
          </v:shape>
          <o:OLEObject Type="Embed" ProgID="Equation.DSMT4" ShapeID="_x0000_i1277" DrawAspect="Content" ObjectID="_1468075984" r:id="rId475">
            <o:LockedField>false</o:LockedField>
          </o:OLEObject>
        </w:object>
      </w:r>
      <w:r>
        <w:rPr>
          <w:rFonts w:eastAsia="Calibri"/>
          <w:sz w:val="28"/>
          <w:szCs w:val="28"/>
          <w:lang w:eastAsia="en-US"/>
        </w:rPr>
        <w:t xml:space="preserve">. Активы состоят из государственных облигаций, объемов новых кредитов и возможной выплаты по страхованию вкладов. Пассив состоит из депозитов и собственного капитала. Если государственные облигации и доход по новым займам покрывают объем депозитов, </w:t>
      </w:r>
    </w:p>
    <w:p w14:paraId="4D1619E1">
      <w:pPr>
        <w:pStyle w:val="37"/>
        <w:rPr>
          <w:rFonts w:eastAsia="Calibri"/>
          <w:sz w:val="28"/>
          <w:szCs w:val="28"/>
          <w:lang w:eastAsia="en-US"/>
        </w:rPr>
      </w:pPr>
    </w:p>
    <w:p w14:paraId="63EBB5F0">
      <w:pPr>
        <w:pStyle w:val="37"/>
        <w:ind w:firstLine="0"/>
        <w:rPr>
          <w:rFonts w:eastAsia="Calibri"/>
          <w:sz w:val="28"/>
          <w:szCs w:val="28"/>
          <w:lang w:eastAsia="en-US"/>
        </w:rPr>
      </w:pPr>
      <w:r>
        <w:rPr>
          <w:sz w:val="28"/>
          <w:szCs w:val="28"/>
        </w:rPr>
        <w:t xml:space="preserve">                                    </w:t>
      </w:r>
      <w:r>
        <w:rPr>
          <w:position w:val="-14"/>
          <w:sz w:val="28"/>
          <w:szCs w:val="28"/>
        </w:rPr>
        <w:object>
          <v:shape id="_x0000_i1278" o:spt="75" type="#_x0000_t75" style="height:20.25pt;width:229.5pt;" o:ole="t" filled="f" o:preferrelative="t" stroked="f" coordsize="21600,21600">
            <v:path/>
            <v:fill on="f" focussize="0,0"/>
            <v:stroke on="f" joinstyle="miter"/>
            <v:imagedata r:id="rId478" o:title=""/>
            <o:lock v:ext="edit" aspectratio="t"/>
            <w10:wrap type="none"/>
            <w10:anchorlock/>
          </v:shape>
          <o:OLEObject Type="Embed" ProgID="Equation.DSMT4" ShapeID="_x0000_i1278" DrawAspect="Content" ObjectID="_1468075985" r:id="rId477">
            <o:LockedField>false</o:LockedField>
          </o:OLEObject>
        </w:object>
      </w:r>
      <w:r>
        <w:rPr>
          <w:rFonts w:eastAsia="Calibri"/>
          <w:sz w:val="28"/>
          <w:szCs w:val="28"/>
          <w:lang w:eastAsia="en-US"/>
        </w:rPr>
        <w:t>,</w:t>
      </w:r>
    </w:p>
    <w:p w14:paraId="64AF92EC">
      <w:pPr>
        <w:pStyle w:val="37"/>
        <w:ind w:firstLine="0"/>
        <w:rPr>
          <w:rFonts w:eastAsia="Calibri"/>
          <w:sz w:val="28"/>
          <w:szCs w:val="28"/>
          <w:lang w:eastAsia="en-US"/>
        </w:rPr>
      </w:pPr>
    </w:p>
    <w:p w14:paraId="3EA466AA">
      <w:pPr>
        <w:autoSpaceDE w:val="0"/>
        <w:autoSpaceDN w:val="0"/>
        <w:adjustRightInd w:val="0"/>
        <w:spacing w:after="0" w:line="240" w:lineRule="auto"/>
        <w:ind w:firstLine="708"/>
        <w:contextualSpacing/>
        <w:jc w:val="both"/>
        <w:rPr>
          <w:rFonts w:ascii="Times New Roman" w:hAnsi="Times New Roman" w:cs="Times New Roman"/>
          <w:sz w:val="28"/>
          <w:szCs w:val="28"/>
        </w:rPr>
      </w:pPr>
      <w:r>
        <w:rPr>
          <w:rFonts w:ascii="Times New Roman" w:hAnsi="Times New Roman" w:eastAsia="Calibri" w:cs="Times New Roman"/>
          <w:sz w:val="28"/>
          <w:szCs w:val="28"/>
        </w:rPr>
        <w:t xml:space="preserve">банк </w:t>
      </w:r>
      <w:r>
        <w:rPr>
          <w:rFonts w:ascii="Times New Roman" w:hAnsi="Times New Roman" w:eastAsia="Calibri" w:cs="Times New Roman"/>
          <w:position w:val="-6"/>
          <w:sz w:val="28"/>
          <w:szCs w:val="28"/>
        </w:rPr>
        <w:object>
          <v:shape id="_x0000_i1279" o:spt="75" type="#_x0000_t75" style="height:13.5pt;width:9.75pt;" o:ole="t" filled="f" o:preferrelative="t" stroked="f" coordsize="21600,21600">
            <v:path/>
            <v:fill on="f" focussize="0,0"/>
            <v:stroke on="f" joinstyle="miter"/>
            <v:imagedata r:id="rId474" o:title=""/>
            <o:lock v:ext="edit" aspectratio="t"/>
            <w10:wrap type="none"/>
            <w10:anchorlock/>
          </v:shape>
          <o:OLEObject Type="Embed" ProgID="Equation.DSMT4" ShapeID="_x0000_i1279" DrawAspect="Content" ObjectID="_1468075986" r:id="rId479">
            <o:LockedField>false</o:LockedField>
          </o:OLEObject>
        </w:object>
      </w:r>
      <w:r>
        <w:rPr>
          <w:rFonts w:ascii="Times New Roman" w:hAnsi="Times New Roman" w:eastAsia="Calibri" w:cs="Times New Roman"/>
          <w:sz w:val="28"/>
          <w:szCs w:val="28"/>
        </w:rPr>
        <w:t xml:space="preserve"> сможет выполнить свои обязательства перед вкладчиками в момент времени </w:t>
      </w:r>
      <w:r>
        <w:rPr>
          <w:rFonts w:ascii="Times New Roman" w:hAnsi="Times New Roman" w:eastAsia="Calibri" w:cs="Times New Roman"/>
          <w:position w:val="-6"/>
          <w:sz w:val="28"/>
          <w:szCs w:val="28"/>
        </w:rPr>
        <w:object>
          <v:shape id="_x0000_i1280" o:spt="75" type="#_x0000_t75" style="height:12pt;width:24pt;" o:ole="t" filled="f" o:preferrelative="t" stroked="f" coordsize="21600,21600">
            <v:path/>
            <v:fill on="f" focussize="0,0"/>
            <v:stroke on="f" joinstyle="miter"/>
            <v:imagedata r:id="rId476" o:title=""/>
            <o:lock v:ext="edit" aspectratio="t"/>
            <w10:wrap type="none"/>
            <w10:anchorlock/>
          </v:shape>
          <o:OLEObject Type="Embed" ProgID="Equation.DSMT4" ShapeID="_x0000_i1280" DrawAspect="Content" ObjectID="_1468075987" r:id="rId480">
            <o:LockedField>false</o:LockedField>
          </o:OLEObject>
        </w:object>
      </w:r>
      <w:r>
        <w:rPr>
          <w:rFonts w:ascii="Times New Roman" w:hAnsi="Times New Roman" w:eastAsia="Calibri" w:cs="Times New Roman"/>
          <w:sz w:val="28"/>
          <w:szCs w:val="28"/>
        </w:rPr>
        <w:t xml:space="preserve">. Банк </w:t>
      </w:r>
      <w:r>
        <w:rPr>
          <w:rFonts w:ascii="Times New Roman" w:hAnsi="Times New Roman" w:eastAsia="Calibri" w:cs="Times New Roman"/>
          <w:position w:val="-6"/>
          <w:sz w:val="28"/>
          <w:szCs w:val="28"/>
        </w:rPr>
        <w:object>
          <v:shape id="_x0000_i1281" o:spt="75" type="#_x0000_t75" style="height:13.5pt;width:9.75pt;" o:ole="t" filled="f" o:preferrelative="t" stroked="f" coordsize="21600,21600">
            <v:path/>
            <v:fill on="f" focussize="0,0"/>
            <v:stroke on="f" joinstyle="miter"/>
            <v:imagedata r:id="rId474" o:title=""/>
            <o:lock v:ext="edit" aspectratio="t"/>
            <w10:wrap type="none"/>
            <w10:anchorlock/>
          </v:shape>
          <o:OLEObject Type="Embed" ProgID="Equation.DSMT4" ShapeID="_x0000_i1281" DrawAspect="Content" ObjectID="_1468075988" r:id="rId481">
            <o:LockedField>false</o:LockedField>
          </o:OLEObject>
        </w:object>
      </w:r>
      <w:r>
        <w:rPr>
          <w:rFonts w:ascii="Times New Roman" w:hAnsi="Times New Roman" w:eastAsia="Calibri" w:cs="Times New Roman"/>
          <w:sz w:val="28"/>
          <w:szCs w:val="28"/>
        </w:rPr>
        <w:t xml:space="preserve">, таким образом, платежеспособен. Следовательно, он выплатит депозиты вкладчикам, страховщику платить не придется, а владельцы капитала получат остаток после выплат депозитов </w:t>
      </w:r>
      <w:r>
        <w:rPr>
          <w:rFonts w:ascii="Times New Roman" w:hAnsi="Times New Roman" w:cs="Times New Roman"/>
          <w:position w:val="-6"/>
          <w:sz w:val="28"/>
          <w:szCs w:val="28"/>
        </w:rPr>
        <w:object>
          <v:shape id="_x0000_i1282" o:spt="75" type="#_x0000_t75" style="height:15.75pt;width:102.75pt;" o:ole="t" filled="f" o:preferrelative="t" stroked="f" coordsize="21600,21600">
            <v:path/>
            <v:fill on="f" focussize="0,0"/>
            <v:stroke on="f" joinstyle="miter"/>
            <v:imagedata r:id="rId483" o:title=""/>
            <o:lock v:ext="edit" aspectratio="t"/>
            <w10:wrap type="none"/>
            <w10:anchorlock/>
          </v:shape>
          <o:OLEObject Type="Embed" ProgID="Equation.DSMT4" ShapeID="_x0000_i1282" DrawAspect="Content" ObjectID="_1468075989" r:id="rId482">
            <o:LockedField>false</o:LockedField>
          </o:OLEObject>
        </w:object>
      </w:r>
      <w:r>
        <w:rPr>
          <w:rFonts w:ascii="Times New Roman" w:hAnsi="Times New Roman" w:eastAsia="Calibri" w:cs="Times New Roman"/>
          <w:sz w:val="28"/>
          <w:szCs w:val="28"/>
        </w:rPr>
        <w:t xml:space="preserve"> (все эти переменные заданы в момент времени </w:t>
      </w:r>
      <w:r>
        <w:rPr>
          <w:rFonts w:ascii="Times New Roman" w:hAnsi="Times New Roman" w:eastAsia="Calibri" w:cs="Times New Roman"/>
          <w:position w:val="-6"/>
          <w:sz w:val="28"/>
          <w:szCs w:val="28"/>
        </w:rPr>
        <w:object>
          <v:shape id="_x0000_i1283" o:spt="75" type="#_x0000_t75" style="height:12pt;width:24pt;" o:ole="t" filled="f" o:preferrelative="t" stroked="f" coordsize="21600,21600">
            <v:path/>
            <v:fill on="f" focussize="0,0"/>
            <v:stroke on="f" joinstyle="miter"/>
            <v:imagedata r:id="rId476" o:title=""/>
            <o:lock v:ext="edit" aspectratio="t"/>
            <w10:wrap type="none"/>
            <w10:anchorlock/>
          </v:shape>
          <o:OLEObject Type="Embed" ProgID="Equation.DSMT4" ShapeID="_x0000_i1283" DrawAspect="Content" ObjectID="_1468075990" r:id="rId484">
            <o:LockedField>false</o:LockedField>
          </o:OLEObject>
        </w:object>
      </w:r>
      <w:r>
        <w:rPr>
          <w:rFonts w:ascii="Times New Roman" w:hAnsi="Times New Roman" w:eastAsia="Calibri" w:cs="Times New Roman"/>
          <w:sz w:val="28"/>
          <w:szCs w:val="28"/>
        </w:rPr>
        <w:t xml:space="preserve">). Напротив, если общая доходность </w:t>
      </w:r>
      <w:r>
        <w:rPr>
          <w:rFonts w:ascii="Times New Roman" w:hAnsi="Times New Roman" w:cs="Times New Roman"/>
          <w:position w:val="-6"/>
          <w:sz w:val="28"/>
          <w:szCs w:val="28"/>
        </w:rPr>
        <w:object>
          <v:shape id="_x0000_i1284" o:spt="75" type="#_x0000_t75" style="height:15.75pt;width:49.5pt;" o:ole="t" filled="f" o:preferrelative="t" stroked="f" coordsize="21600,21600">
            <v:path/>
            <v:fill on="f" focussize="0,0"/>
            <v:stroke on="f" joinstyle="miter"/>
            <v:imagedata r:id="rId486" o:title=""/>
            <o:lock v:ext="edit" aspectratio="t"/>
            <w10:wrap type="none"/>
            <w10:anchorlock/>
          </v:shape>
          <o:OLEObject Type="Embed" ProgID="Equation.DSMT4" ShapeID="_x0000_i1284" DrawAspect="Content" ObjectID="_1468075991" r:id="rId485">
            <o:LockedField>false</o:LockedField>
          </o:OLEObject>
        </w:object>
      </w:r>
      <w:r>
        <w:rPr>
          <w:rFonts w:ascii="Times New Roman" w:hAnsi="Times New Roman" w:eastAsia="Calibri" w:cs="Times New Roman"/>
          <w:sz w:val="28"/>
          <w:szCs w:val="28"/>
        </w:rPr>
        <w:t xml:space="preserve"> не дотягивает до депозитов </w:t>
      </w:r>
      <w:r>
        <w:rPr>
          <w:rFonts w:ascii="Times New Roman" w:hAnsi="Times New Roman" w:cs="Times New Roman"/>
          <w:position w:val="-6"/>
          <w:sz w:val="28"/>
          <w:szCs w:val="28"/>
        </w:rPr>
        <w:object>
          <v:shape id="_x0000_i1285" o:spt="75" type="#_x0000_t75" style="height:15.75pt;width:45.75pt;" o:ole="t" filled="f" o:preferrelative="t" stroked="f" coordsize="21600,21600">
            <v:path/>
            <v:fill on="f" focussize="0,0"/>
            <v:stroke on="f" joinstyle="miter"/>
            <v:imagedata r:id="rId488" o:title=""/>
            <o:lock v:ext="edit" aspectratio="t"/>
            <w10:wrap type="none"/>
            <w10:anchorlock/>
          </v:shape>
          <o:OLEObject Type="Embed" ProgID="Equation.DSMT4" ShapeID="_x0000_i1285" DrawAspect="Content" ObjectID="_1468075992" r:id="rId487">
            <o:LockedField>false</o:LockedField>
          </o:OLEObject>
        </w:object>
      </w:r>
      <w:r>
        <w:rPr>
          <w:rFonts w:ascii="Times New Roman" w:hAnsi="Times New Roman" w:eastAsia="Calibri" w:cs="Times New Roman"/>
          <w:sz w:val="28"/>
          <w:szCs w:val="28"/>
        </w:rPr>
        <w:t xml:space="preserve">, банк </w:t>
      </w:r>
      <w:r>
        <w:rPr>
          <w:rFonts w:ascii="Times New Roman" w:hAnsi="Times New Roman" w:eastAsia="Calibri" w:cs="Times New Roman"/>
          <w:position w:val="-6"/>
          <w:sz w:val="28"/>
          <w:szCs w:val="28"/>
        </w:rPr>
        <w:object>
          <v:shape id="_x0000_i1286" o:spt="75" type="#_x0000_t75" style="height:13.5pt;width:9.75pt;" o:ole="t" filled="f" o:preferrelative="t" stroked="f" coordsize="21600,21600">
            <v:path/>
            <v:fill on="f" focussize="0,0"/>
            <v:stroke on="f" joinstyle="miter"/>
            <v:imagedata r:id="rId474" o:title=""/>
            <o:lock v:ext="edit" aspectratio="t"/>
            <w10:wrap type="none"/>
            <w10:anchorlock/>
          </v:shape>
          <o:OLEObject Type="Embed" ProgID="Equation.DSMT4" ShapeID="_x0000_i1286" DrawAspect="Content" ObjectID="_1468075993" r:id="rId489">
            <o:LockedField>false</o:LockedField>
          </o:OLEObject>
        </w:object>
      </w:r>
      <w:r>
        <w:rPr>
          <w:rFonts w:ascii="Times New Roman" w:hAnsi="Times New Roman" w:eastAsia="Calibri" w:cs="Times New Roman"/>
          <w:sz w:val="28"/>
          <w:szCs w:val="28"/>
        </w:rPr>
        <w:t xml:space="preserve"> будет неплатежеспособным. В этом случае активы банка </w:t>
      </w:r>
      <w:r>
        <w:rPr>
          <w:rFonts w:ascii="Times New Roman" w:hAnsi="Times New Roman" w:eastAsia="Calibri" w:cs="Times New Roman"/>
          <w:position w:val="-6"/>
          <w:sz w:val="28"/>
          <w:szCs w:val="28"/>
        </w:rPr>
        <w:object>
          <v:shape id="_x0000_i1287" o:spt="75" type="#_x0000_t75" style="height:13.5pt;width:9.75pt;" o:ole="t" filled="f" o:preferrelative="t" stroked="f" coordsize="21600,21600">
            <v:path/>
            <v:fill on="f" focussize="0,0"/>
            <v:stroke on="f" joinstyle="miter"/>
            <v:imagedata r:id="rId474" o:title=""/>
            <o:lock v:ext="edit" aspectratio="t"/>
            <w10:wrap type="none"/>
            <w10:anchorlock/>
          </v:shape>
          <o:OLEObject Type="Embed" ProgID="Equation.DSMT4" ShapeID="_x0000_i1287" DrawAspect="Content" ObjectID="_1468075994" r:id="rId490">
            <o:LockedField>false</o:LockedField>
          </o:OLEObject>
        </w:object>
      </w:r>
      <w:r>
        <w:rPr>
          <w:rFonts w:ascii="Times New Roman" w:hAnsi="Times New Roman" w:eastAsia="Calibri" w:cs="Times New Roman"/>
          <w:sz w:val="28"/>
          <w:szCs w:val="28"/>
        </w:rPr>
        <w:t xml:space="preserve"> будут использоваться для погашения вкладов, страховка должна урегулировать оставшуюся претензию </w:t>
      </w:r>
      <w:r>
        <w:rPr>
          <w:rFonts w:ascii="Times New Roman" w:hAnsi="Times New Roman" w:cs="Times New Roman"/>
          <w:position w:val="-6"/>
          <w:sz w:val="28"/>
          <w:szCs w:val="28"/>
        </w:rPr>
        <w:object>
          <v:shape id="_x0000_i1288" o:spt="75" type="#_x0000_t75" style="height:15.75pt;width:102.75pt;" o:ole="t" filled="f" o:preferrelative="t" stroked="f" coordsize="21600,21600">
            <v:path/>
            <v:fill on="f" focussize="0,0"/>
            <v:stroke on="f" joinstyle="miter"/>
            <v:imagedata r:id="rId492" o:title=""/>
            <o:lock v:ext="edit" aspectratio="t"/>
            <w10:wrap type="none"/>
            <w10:anchorlock/>
          </v:shape>
          <o:OLEObject Type="Embed" ProgID="Equation.DSMT4" ShapeID="_x0000_i1288" DrawAspect="Content" ObjectID="_1468075995" r:id="rId491">
            <o:LockedField>false</o:LockedField>
          </o:OLEObject>
        </w:object>
      </w:r>
      <w:r>
        <w:rPr>
          <w:rFonts w:ascii="Times New Roman" w:hAnsi="Times New Roman" w:eastAsia="Calibri" w:cs="Times New Roman"/>
          <w:sz w:val="28"/>
          <w:szCs w:val="28"/>
        </w:rPr>
        <w:t xml:space="preserve"> вкладчиков, а величина капитала будет нулевой. Из обсуждения баланса банка следует, что величина банковского капитала в момент времени </w:t>
      </w:r>
      <w:r>
        <w:rPr>
          <w:rFonts w:ascii="Times New Roman" w:hAnsi="Times New Roman" w:eastAsia="Calibri" w:cs="Times New Roman"/>
          <w:position w:val="-6"/>
          <w:sz w:val="28"/>
          <w:szCs w:val="28"/>
        </w:rPr>
        <w:object>
          <v:shape id="_x0000_i1289" o:spt="75" type="#_x0000_t75" style="height:12pt;width:24pt;" o:ole="t" filled="f" o:preferrelative="t" stroked="f" coordsize="21600,21600">
            <v:path/>
            <v:fill on="f" focussize="0,0"/>
            <v:stroke on="f" joinstyle="miter"/>
            <v:imagedata r:id="rId476" o:title=""/>
            <o:lock v:ext="edit" aspectratio="t"/>
            <w10:wrap type="none"/>
            <w10:anchorlock/>
          </v:shape>
          <o:OLEObject Type="Embed" ProgID="Equation.DSMT4" ShapeID="_x0000_i1289" DrawAspect="Content" ObjectID="_1468075996" r:id="rId493">
            <o:LockedField>false</o:LockedField>
          </o:OLEObject>
        </w:object>
      </w:r>
      <w:r>
        <w:rPr>
          <w:rFonts w:ascii="Times New Roman" w:hAnsi="Times New Roman" w:eastAsia="Calibri" w:cs="Times New Roman"/>
          <w:sz w:val="28"/>
          <w:szCs w:val="28"/>
        </w:rPr>
        <w:t xml:space="preserve"> равна </w:t>
      </w:r>
      <w:r>
        <w:rPr>
          <w:rFonts w:ascii="Times New Roman" w:hAnsi="Times New Roman" w:cs="Times New Roman"/>
          <w:position w:val="-18"/>
          <w:sz w:val="28"/>
          <w:szCs w:val="28"/>
        </w:rPr>
        <w:object>
          <v:shape id="_x0000_i1290" o:spt="75" type="#_x0000_t75" style="height:22.5pt;width:123pt;" o:ole="t" filled="f" o:preferrelative="t" stroked="f" coordsize="21600,21600">
            <v:path/>
            <v:fill on="f" focussize="0,0"/>
            <v:stroke on="f" joinstyle="miter"/>
            <v:imagedata r:id="rId495" o:title=""/>
            <o:lock v:ext="edit" aspectratio="t"/>
            <w10:wrap type="none"/>
            <w10:anchorlock/>
          </v:shape>
          <o:OLEObject Type="Embed" ProgID="Equation.DSMT4" ShapeID="_x0000_i1290" DrawAspect="Content" ObjectID="_1468075997" r:id="rId494">
            <o:LockedField>false</o:LockedField>
          </o:OLEObject>
        </w:object>
      </w:r>
      <w:r>
        <w:rPr>
          <w:rFonts w:ascii="Times New Roman" w:hAnsi="Times New Roman" w:cs="Times New Roman"/>
          <w:sz w:val="28"/>
          <w:szCs w:val="28"/>
        </w:rPr>
        <w:t xml:space="preserve"> где используется обозначение </w:t>
      </w:r>
      <w:r>
        <w:rPr>
          <w:rFonts w:ascii="Times New Roman" w:hAnsi="Times New Roman" w:cs="Times New Roman"/>
          <w:position w:val="-12"/>
          <w:sz w:val="28"/>
          <w:szCs w:val="28"/>
        </w:rPr>
        <w:object>
          <v:shape id="_x0000_i1291" o:spt="75" type="#_x0000_t75" style="height:18.75pt;width:81.75pt;" o:ole="t" filled="f" o:preferrelative="t" stroked="f" coordsize="21600,21600">
            <v:path/>
            <v:fill on="f" focussize="0,0"/>
            <v:stroke on="f" joinstyle="miter"/>
            <v:imagedata r:id="rId497" o:title=""/>
            <o:lock v:ext="edit" aspectratio="t"/>
            <w10:wrap type="none"/>
            <w10:anchorlock/>
          </v:shape>
          <o:OLEObject Type="Embed" ProgID="Equation.DSMT4" ShapeID="_x0000_i1291" DrawAspect="Content" ObjectID="_1468075998" r:id="rId496">
            <o:LockedField>false</o:LockedField>
          </o:OLEObject>
        </w:object>
      </w:r>
      <w:r>
        <w:rPr>
          <w:rFonts w:ascii="Times New Roman" w:hAnsi="Times New Roman" w:eastAsia="Calibri" w:cs="Times New Roman"/>
          <w:sz w:val="28"/>
          <w:szCs w:val="28"/>
        </w:rPr>
        <w:t xml:space="preserve"> На момент времени </w:t>
      </w:r>
      <w:r>
        <w:rPr>
          <w:rFonts w:ascii="Times New Roman" w:hAnsi="Times New Roman" w:eastAsia="Calibri" w:cs="Times New Roman"/>
          <w:position w:val="-6"/>
          <w:sz w:val="28"/>
          <w:szCs w:val="28"/>
        </w:rPr>
        <w:object>
          <v:shape id="_x0000_i1292" o:spt="75" type="#_x0000_t75" style="height:12pt;width:24pt;" o:ole="t" filled="f" o:preferrelative="t" stroked="f" coordsize="21600,21600">
            <v:path/>
            <v:fill on="f" focussize="0,0"/>
            <v:stroke on="f" joinstyle="miter"/>
            <v:imagedata r:id="rId476" o:title=""/>
            <o:lock v:ext="edit" aspectratio="t"/>
            <w10:wrap type="none"/>
            <w10:anchorlock/>
          </v:shape>
          <o:OLEObject Type="Embed" ProgID="Equation.DSMT4" ShapeID="_x0000_i1292" DrawAspect="Content" ObjectID="_1468075999" r:id="rId498">
            <o:LockedField>false</o:LockedField>
          </o:OLEObject>
        </w:object>
      </w:r>
      <w:r>
        <w:rPr>
          <w:rFonts w:ascii="Times New Roman" w:hAnsi="Times New Roman" w:eastAsia="Calibri" w:cs="Times New Roman"/>
          <w:sz w:val="28"/>
          <w:szCs w:val="28"/>
        </w:rPr>
        <w:t xml:space="preserve">могут существовать два состояния. Новые кредиты успешны с вероятностью </w:t>
      </w:r>
      <m:oMath>
        <m:sSup>
          <m:sSupPr>
            <m:ctrlPr>
              <w:rPr>
                <w:rFonts w:ascii="Cambria Math" w:hAnsi="Cambria Math" w:eastAsia="Calibri" w:cs="Times New Roman"/>
                <w:sz w:val="28"/>
                <w:szCs w:val="28"/>
              </w:rPr>
            </m:ctrlPr>
          </m:sSupPr>
          <m:e>
            <m:r>
              <m:rPr/>
              <w:rPr>
                <w:rFonts w:ascii="Cambria Math" w:hAnsi="Cambria Math" w:eastAsia="Calibri" w:cs="Times New Roman"/>
                <w:sz w:val="28"/>
                <w:szCs w:val="28"/>
              </w:rPr>
              <m:t>ρ</m:t>
            </m:r>
            <m:ctrlPr>
              <w:rPr>
                <w:rFonts w:ascii="Cambria Math" w:hAnsi="Cambria Math" w:eastAsia="Calibri" w:cs="Times New Roman"/>
                <w:sz w:val="28"/>
                <w:szCs w:val="28"/>
              </w:rPr>
            </m:ctrlPr>
          </m:e>
          <m:sup>
            <m:r>
              <m:rPr/>
              <w:rPr>
                <w:rFonts w:ascii="Cambria Math" w:hAnsi="Cambria Math" w:eastAsia="Calibri" w:cs="Times New Roman"/>
                <w:sz w:val="28"/>
                <w:szCs w:val="28"/>
              </w:rPr>
              <m:t>b</m:t>
            </m:r>
            <m:ctrlPr>
              <w:rPr>
                <w:rFonts w:ascii="Cambria Math" w:hAnsi="Cambria Math" w:eastAsia="Calibri" w:cs="Times New Roman"/>
                <w:sz w:val="28"/>
                <w:szCs w:val="28"/>
              </w:rPr>
            </m:ctrlPr>
          </m:sup>
        </m:sSup>
      </m:oMath>
      <w:r>
        <w:rPr>
          <w:rFonts w:ascii="Times New Roman" w:hAnsi="Times New Roman" w:eastAsia="Calibri" w:cs="Times New Roman"/>
          <w:sz w:val="28"/>
          <w:szCs w:val="28"/>
        </w:rPr>
        <w:t xml:space="preserve">. Тогда они дают (валовой) доход </w:t>
      </w:r>
      <w:r>
        <w:rPr>
          <w:rFonts w:ascii="Times New Roman" w:hAnsi="Times New Roman" w:cs="Times New Roman"/>
          <w:position w:val="-14"/>
          <w:sz w:val="28"/>
          <w:szCs w:val="28"/>
        </w:rPr>
        <w:object>
          <v:shape id="_x0000_i1293" o:spt="75" type="#_x0000_t75" style="height:20.25pt;width:130.5pt;" o:ole="t" filled="f" o:preferrelative="t" stroked="f" coordsize="21600,21600">
            <v:path/>
            <v:fill on="f" focussize="0,0"/>
            <v:stroke on="f" joinstyle="miter"/>
            <v:imagedata r:id="rId500" o:title=""/>
            <o:lock v:ext="edit" aspectratio="t"/>
            <w10:wrap type="none"/>
            <w10:anchorlock/>
          </v:shape>
          <o:OLEObject Type="Embed" ProgID="Equation.DSMT4" ShapeID="_x0000_i1293" DrawAspect="Content" ObjectID="_1468076000" r:id="rId499">
            <o:LockedField>false</o:LockedField>
          </o:OLEObject>
        </w:object>
      </w:r>
      <w:r>
        <w:rPr>
          <w:rFonts w:ascii="Times New Roman" w:hAnsi="Times New Roman" w:eastAsia="Calibri" w:cs="Times New Roman"/>
          <w:sz w:val="28"/>
          <w:szCs w:val="28"/>
        </w:rPr>
        <w:t xml:space="preserve">, и банк будет платежеспособным. Действительно, если новые ссуды производителям будут успешными, то из (5) следует, что </w:t>
      </w:r>
      <w:r>
        <w:rPr>
          <w:rFonts w:ascii="Times New Roman" w:hAnsi="Times New Roman" w:cs="Times New Roman"/>
          <w:position w:val="-14"/>
          <w:sz w:val="28"/>
          <w:szCs w:val="28"/>
        </w:rPr>
        <w:object>
          <v:shape id="_x0000_i1294" o:spt="75" type="#_x0000_t75" style="height:20.25pt;width:121.5pt;" o:ole="t" filled="f" o:preferrelative="t" stroked="f" coordsize="21600,21600">
            <v:path/>
            <v:fill on="f" focussize="0,0"/>
            <v:stroke on="f" joinstyle="miter"/>
            <v:imagedata r:id="rId502" o:title=""/>
            <o:lock v:ext="edit" aspectratio="t"/>
            <w10:wrap type="none"/>
            <w10:anchorlock/>
          </v:shape>
          <o:OLEObject Type="Embed" ProgID="Equation.DSMT4" ShapeID="_x0000_i1294" DrawAspect="Content" ObjectID="_1468076001" r:id="rId501">
            <o:LockedField>false</o:LockedField>
          </o:OLEObject>
        </w:object>
      </w:r>
      <w:r>
        <w:rPr>
          <w:rFonts w:ascii="Times New Roman" w:hAnsi="Times New Roman" w:cs="Times New Roman"/>
          <w:sz w:val="28"/>
          <w:szCs w:val="28"/>
        </w:rPr>
        <w:t xml:space="preserve"> </w:t>
      </w:r>
      <w:r>
        <w:rPr>
          <w:rFonts w:ascii="Times New Roman" w:hAnsi="Times New Roman" w:cs="Times New Roman"/>
          <w:position w:val="-14"/>
          <w:sz w:val="28"/>
          <w:szCs w:val="28"/>
        </w:rPr>
        <w:object>
          <v:shape id="_x0000_i1295" o:spt="75" type="#_x0000_t75" style="height:20.25pt;width:109.5pt;" o:ole="t" filled="f" o:preferrelative="t" stroked="f" coordsize="21600,21600">
            <v:path/>
            <v:fill on="f" focussize="0,0"/>
            <v:stroke on="f" joinstyle="miter"/>
            <v:imagedata r:id="rId504" o:title=""/>
            <o:lock v:ext="edit" aspectratio="t"/>
            <w10:wrap type="none"/>
            <w10:anchorlock/>
          </v:shape>
          <o:OLEObject Type="Embed" ProgID="Equation.DSMT4" ShapeID="_x0000_i1295" DrawAspect="Content" ObjectID="_1468076002" r:id="rId503">
            <o:LockedField>false</o:LockedField>
          </o:OLEObject>
        </w:object>
      </w:r>
      <w:r>
        <w:rPr>
          <w:rFonts w:ascii="Times New Roman" w:hAnsi="Times New Roman" w:eastAsia="Calibri" w:cs="Times New Roman"/>
          <w:sz w:val="28"/>
          <w:szCs w:val="28"/>
        </w:rPr>
        <w:t xml:space="preserve">, в то время как </w:t>
      </w:r>
      <w:r>
        <w:rPr>
          <w:rFonts w:ascii="Times New Roman" w:hAnsi="Times New Roman" w:cs="Times New Roman"/>
          <w:position w:val="-14"/>
          <w:sz w:val="28"/>
          <w:szCs w:val="28"/>
        </w:rPr>
        <w:object>
          <v:shape id="_x0000_i1296" o:spt="75" type="#_x0000_t75" style="height:20.25pt;width:119.25pt;" o:ole="t" filled="f" o:preferrelative="t" stroked="f" coordsize="21600,21600">
            <v:path/>
            <v:fill on="f" focussize="0,0"/>
            <v:stroke on="f" joinstyle="miter"/>
            <v:imagedata r:id="rId506" o:title=""/>
            <o:lock v:ext="edit" aspectratio="t"/>
            <w10:wrap type="none"/>
            <w10:anchorlock/>
          </v:shape>
          <o:OLEObject Type="Embed" ProgID="Equation.DSMT4" ShapeID="_x0000_i1296" DrawAspect="Content" ObjectID="_1468076003" r:id="rId505">
            <o:LockedField>false</o:LockedField>
          </o:OLEObject>
        </w:object>
      </w:r>
      <w:r>
        <w:rPr>
          <w:rFonts w:ascii="Times New Roman" w:hAnsi="Times New Roman" w:cs="Times New Roman"/>
          <w:position w:val="-14"/>
          <w:sz w:val="28"/>
          <w:szCs w:val="28"/>
        </w:rPr>
        <w:object>
          <v:shape id="_x0000_i1297" o:spt="75" type="#_x0000_t75" style="height:20.25pt;width:86.25pt;" o:ole="t" filled="f" o:preferrelative="t" stroked="f" coordsize="21600,21600">
            <v:path/>
            <v:fill on="f" focussize="0,0"/>
            <v:stroke on="f" joinstyle="miter"/>
            <v:imagedata r:id="rId508" o:title=""/>
            <o:lock v:ext="edit" aspectratio="t"/>
            <w10:wrap type="none"/>
            <w10:anchorlock/>
          </v:shape>
          <o:OLEObject Type="Embed" ProgID="Equation.DSMT4" ShapeID="_x0000_i1297" DrawAspect="Content" ObjectID="_1468076004" r:id="rId507">
            <o:LockedField>false</o:LockedField>
          </o:OLEObject>
        </w:object>
      </w:r>
      <w:r>
        <w:rPr>
          <w:rFonts w:ascii="Times New Roman" w:hAnsi="Times New Roman" w:cs="Times New Roman"/>
          <w:position w:val="-14"/>
          <w:sz w:val="28"/>
          <w:szCs w:val="28"/>
        </w:rPr>
        <w:object>
          <v:shape id="_x0000_i1298" o:spt="75" type="#_x0000_t75" style="height:20.25pt;width:108pt;" o:ole="t" filled="f" o:preferrelative="t" stroked="f" coordsize="21600,21600">
            <v:path/>
            <v:fill on="f" focussize="0,0"/>
            <v:stroke on="f" joinstyle="miter"/>
            <v:imagedata r:id="rId510" o:title=""/>
            <o:lock v:ext="edit" aspectratio="t"/>
            <w10:wrap type="none"/>
            <w10:anchorlock/>
          </v:shape>
          <o:OLEObject Type="Embed" ProgID="Equation.DSMT4" ShapeID="_x0000_i1298" DrawAspect="Content" ObjectID="_1468076005" r:id="rId509">
            <o:LockedField>false</o:LockedField>
          </o:OLEObject>
        </w:object>
      </w:r>
      <w:r>
        <w:rPr>
          <w:rFonts w:ascii="Times New Roman" w:hAnsi="Times New Roman" w:cs="Times New Roman"/>
          <w:sz w:val="28"/>
          <w:szCs w:val="28"/>
        </w:rPr>
        <w:t>.</w:t>
      </w:r>
    </w:p>
    <w:p w14:paraId="4403560F">
      <w:pPr>
        <w:autoSpaceDE w:val="0"/>
        <w:autoSpaceDN w:val="0"/>
        <w:adjustRightInd w:val="0"/>
        <w:spacing w:after="0" w:line="240" w:lineRule="auto"/>
        <w:ind w:firstLine="708"/>
        <w:contextualSpacing/>
        <w:jc w:val="both"/>
        <w:rPr>
          <w:rFonts w:ascii="Times New Roman" w:hAnsi="Times New Roman" w:cs="Times New Roman"/>
          <w:color w:val="000000"/>
          <w:sz w:val="28"/>
          <w:szCs w:val="28"/>
        </w:rPr>
      </w:pPr>
    </w:p>
    <w:p w14:paraId="4F09502B">
      <w:pPr>
        <w:pStyle w:val="37"/>
        <w:rPr>
          <w:rFonts w:eastAsia="Calibri"/>
          <w:sz w:val="28"/>
          <w:szCs w:val="28"/>
          <w:lang w:eastAsia="en-US"/>
        </w:rPr>
      </w:pPr>
      <w:r>
        <w:rPr>
          <w:rFonts w:eastAsia="Calibri"/>
          <w:sz w:val="28"/>
          <w:szCs w:val="28"/>
          <w:lang w:eastAsia="en-US"/>
        </w:rPr>
        <w:t xml:space="preserve">Соответственно, мы имеем </w:t>
      </w:r>
      <w:r>
        <w:rPr>
          <w:position w:val="-14"/>
          <w:sz w:val="28"/>
          <w:szCs w:val="28"/>
        </w:rPr>
        <w:object>
          <v:shape id="_x0000_i1299" o:spt="75" type="#_x0000_t75" style="height:20.25pt;width:121.5pt;" o:ole="t" filled="f" o:preferrelative="t" stroked="f" coordsize="21600,21600">
            <v:path/>
            <v:fill on="f" focussize="0,0"/>
            <v:stroke on="f" joinstyle="miter"/>
            <v:imagedata r:id="rId512" o:title=""/>
            <o:lock v:ext="edit" aspectratio="t"/>
            <w10:wrap type="none"/>
            <w10:anchorlock/>
          </v:shape>
          <o:OLEObject Type="Embed" ProgID="Equation.DSMT4" ShapeID="_x0000_i1299" DrawAspect="Content" ObjectID="_1468076006" r:id="rId511">
            <o:LockedField>false</o:LockedField>
          </o:OLEObject>
        </w:object>
      </w:r>
      <w:r>
        <w:rPr>
          <w:position w:val="-14"/>
          <w:sz w:val="28"/>
          <w:szCs w:val="28"/>
        </w:rPr>
        <w:object>
          <v:shape id="_x0000_i1300" o:spt="75" type="#_x0000_t75" style="height:20.25pt;width:109.5pt;" o:ole="t" filled="f" o:preferrelative="t" stroked="f" coordsize="21600,21600">
            <v:path/>
            <v:fill on="f" focussize="0,0"/>
            <v:stroke on="f" joinstyle="miter"/>
            <v:imagedata r:id="rId514" o:title=""/>
            <o:lock v:ext="edit" aspectratio="t"/>
            <w10:wrap type="none"/>
            <w10:anchorlock/>
          </v:shape>
          <o:OLEObject Type="Embed" ProgID="Equation.DSMT4" ShapeID="_x0000_i1300" DrawAspect="Content" ObjectID="_1468076007" r:id="rId513">
            <o:LockedField>false</o:LockedField>
          </o:OLEObject>
        </w:object>
      </w:r>
      <w:r>
        <w:rPr>
          <w:sz w:val="28"/>
          <w:szCs w:val="28"/>
        </w:rPr>
        <w:t xml:space="preserve">, </w:t>
      </w:r>
      <w:r>
        <w:rPr>
          <w:rFonts w:eastAsia="Calibri"/>
          <w:sz w:val="28"/>
          <w:szCs w:val="28"/>
          <w:lang w:eastAsia="en-US"/>
        </w:rPr>
        <w:t xml:space="preserve">так что банк </w:t>
      </w:r>
      <w:r>
        <w:rPr>
          <w:rFonts w:eastAsia="Calibri"/>
          <w:position w:val="-6"/>
          <w:sz w:val="28"/>
          <w:szCs w:val="28"/>
          <w:lang w:eastAsia="en-US"/>
        </w:rPr>
        <w:object>
          <v:shape id="_x0000_i1301" o:spt="75" type="#_x0000_t75" style="height:13.5pt;width:9.75pt;" o:ole="t" filled="f" o:preferrelative="t" stroked="f" coordsize="21600,21600">
            <v:path/>
            <v:fill on="f" focussize="0,0"/>
            <v:stroke on="f" joinstyle="miter"/>
            <v:imagedata r:id="rId474" o:title=""/>
            <o:lock v:ext="edit" aspectratio="t"/>
            <w10:wrap type="none"/>
            <w10:anchorlock/>
          </v:shape>
          <o:OLEObject Type="Embed" ProgID="Equation.DSMT4" ShapeID="_x0000_i1301" DrawAspect="Content" ObjectID="_1468076008" r:id="rId515">
            <o:LockedField>false</o:LockedField>
          </o:OLEObject>
        </w:object>
      </w:r>
      <w:r>
        <w:rPr>
          <w:rFonts w:eastAsia="Calibri"/>
          <w:sz w:val="28"/>
          <w:szCs w:val="28"/>
          <w:lang w:eastAsia="en-US"/>
        </w:rPr>
        <w:t xml:space="preserve"> платежеспособен. </w:t>
      </w:r>
    </w:p>
    <w:p w14:paraId="33556FD7">
      <w:pPr>
        <w:pStyle w:val="37"/>
        <w:rPr>
          <w:rFonts w:eastAsia="Calibri"/>
          <w:sz w:val="28"/>
          <w:szCs w:val="28"/>
          <w:lang w:eastAsia="en-US"/>
        </w:rPr>
      </w:pPr>
      <w:r>
        <w:rPr>
          <w:rFonts w:eastAsia="Calibri"/>
          <w:sz w:val="28"/>
          <w:szCs w:val="28"/>
          <w:lang w:eastAsia="en-US"/>
        </w:rPr>
        <w:t xml:space="preserve">С вероятностью </w:t>
      </w:r>
      <m:oMath>
        <m:sSup>
          <m:sSupPr>
            <m:ctrlPr>
              <w:rPr>
                <w:rFonts w:ascii="Cambria Math" w:hAnsi="Cambria Math" w:eastAsia="Calibri"/>
                <w:sz w:val="28"/>
                <w:szCs w:val="28"/>
                <w:lang w:eastAsia="en-US"/>
              </w:rPr>
            </m:ctrlPr>
          </m:sSupPr>
          <m:e>
            <m:r>
              <m:rPr/>
              <w:rPr>
                <w:rFonts w:ascii="Cambria Math" w:hAnsi="Cambria Math" w:eastAsia="Calibri"/>
                <w:sz w:val="28"/>
                <w:szCs w:val="28"/>
                <w:lang w:eastAsia="en-US"/>
              </w:rPr>
              <m:t>1−ρ</m:t>
            </m:r>
            <m:ctrlPr>
              <w:rPr>
                <w:rFonts w:ascii="Cambria Math" w:hAnsi="Cambria Math" w:eastAsia="Calibri"/>
                <w:sz w:val="28"/>
                <w:szCs w:val="28"/>
                <w:lang w:eastAsia="en-US"/>
              </w:rPr>
            </m:ctrlPr>
          </m:e>
          <m:sup>
            <m:r>
              <m:rPr/>
              <w:rPr>
                <w:rFonts w:ascii="Cambria Math" w:hAnsi="Cambria Math" w:eastAsia="Calibri"/>
                <w:sz w:val="28"/>
                <w:szCs w:val="28"/>
                <w:lang w:eastAsia="en-US"/>
              </w:rPr>
              <m:t>b</m:t>
            </m:r>
            <m:ctrlPr>
              <w:rPr>
                <w:rFonts w:ascii="Cambria Math" w:hAnsi="Cambria Math" w:eastAsia="Calibri"/>
                <w:sz w:val="28"/>
                <w:szCs w:val="28"/>
                <w:lang w:eastAsia="en-US"/>
              </w:rPr>
            </m:ctrlPr>
          </m:sup>
        </m:sSup>
      </m:oMath>
      <w:r>
        <w:rPr>
          <w:rFonts w:eastAsia="Calibri"/>
          <w:sz w:val="28"/>
          <w:szCs w:val="28"/>
          <w:lang w:eastAsia="en-US"/>
        </w:rPr>
        <w:t xml:space="preserve"> новые кредиты не возвращаются, </w:t>
      </w:r>
      <w:r>
        <w:rPr>
          <w:position w:val="-14"/>
          <w:sz w:val="28"/>
          <w:szCs w:val="28"/>
        </w:rPr>
        <w:object>
          <v:shape id="_x0000_i1302" o:spt="75" type="#_x0000_t75" style="height:20.25pt;width:71.25pt;" o:ole="t" filled="f" o:preferrelative="t" stroked="f" coordsize="21600,21600">
            <v:path/>
            <v:fill on="f" focussize="0,0"/>
            <v:stroke on="f" joinstyle="miter"/>
            <v:imagedata r:id="rId517" o:title=""/>
            <o:lock v:ext="edit" aspectratio="t"/>
            <w10:wrap type="none"/>
            <w10:anchorlock/>
          </v:shape>
          <o:OLEObject Type="Embed" ProgID="Equation.DSMT4" ShapeID="_x0000_i1302" DrawAspect="Content" ObjectID="_1468076009" r:id="rId516">
            <o:LockedField>false</o:LockedField>
          </o:OLEObject>
        </w:object>
      </w:r>
      <w:r>
        <w:rPr>
          <w:sz w:val="28"/>
          <w:szCs w:val="28"/>
        </w:rPr>
        <w:t>.</w:t>
      </w:r>
      <w:r>
        <w:rPr>
          <w:rFonts w:eastAsia="Calibri"/>
          <w:sz w:val="28"/>
          <w:szCs w:val="28"/>
          <w:lang w:eastAsia="en-US"/>
        </w:rPr>
        <w:t xml:space="preserve"> В этом случае банк </w:t>
      </w:r>
      <w:r>
        <w:rPr>
          <w:rFonts w:eastAsia="Calibri"/>
          <w:position w:val="-6"/>
          <w:sz w:val="28"/>
          <w:szCs w:val="28"/>
          <w:lang w:eastAsia="en-US"/>
        </w:rPr>
        <w:object>
          <v:shape id="_x0000_i1303" o:spt="75" type="#_x0000_t75" style="height:13.5pt;width:9.75pt;" o:ole="t" filled="f" o:preferrelative="t" stroked="f" coordsize="21600,21600">
            <v:path/>
            <v:fill on="f" focussize="0,0"/>
            <v:stroke on="f" joinstyle="miter"/>
            <v:imagedata r:id="rId519" o:title=""/>
            <o:lock v:ext="edit" aspectratio="t"/>
            <w10:wrap type="none"/>
            <w10:anchorlock/>
          </v:shape>
          <o:OLEObject Type="Embed" ProgID="Equation.DSMT4" ShapeID="_x0000_i1303" DrawAspect="Content" ObjectID="_1468076010" r:id="rId518">
            <o:LockedField>false</o:LockedField>
          </o:OLEObject>
        </w:object>
      </w:r>
      <w:r>
        <w:rPr>
          <w:rFonts w:eastAsia="Calibri"/>
          <w:sz w:val="28"/>
          <w:szCs w:val="28"/>
          <w:lang w:eastAsia="en-US"/>
        </w:rPr>
        <w:t xml:space="preserve"> будет платежеспособным только при условии </w:t>
      </w:r>
      <w:r>
        <w:rPr>
          <w:position w:val="-14"/>
          <w:sz w:val="28"/>
          <w:szCs w:val="28"/>
        </w:rPr>
        <w:object>
          <v:shape id="_x0000_i1304" o:spt="75" type="#_x0000_t75" style="height:20.25pt;width:60.75pt;" o:ole="t" filled="f" o:preferrelative="t" stroked="f" coordsize="21600,21600">
            <v:path/>
            <v:fill on="f" focussize="0,0"/>
            <v:stroke on="f" joinstyle="miter"/>
            <v:imagedata r:id="rId521" o:title=""/>
            <o:lock v:ext="edit" aspectratio="t"/>
            <w10:wrap type="none"/>
            <w10:anchorlock/>
          </v:shape>
          <o:OLEObject Type="Embed" ProgID="Equation.DSMT4" ShapeID="_x0000_i1304" DrawAspect="Content" ObjectID="_1468076011" r:id="rId520">
            <o:LockedField>false</o:LockedField>
          </o:OLEObject>
        </w:object>
      </w:r>
      <w:r>
        <w:rPr>
          <w:position w:val="-14"/>
          <w:sz w:val="28"/>
          <w:szCs w:val="28"/>
        </w:rPr>
        <w:object>
          <v:shape id="_x0000_i1305" o:spt="75" type="#_x0000_t75" style="height:20.25pt;width:109.5pt;" o:ole="t" filled="f" o:preferrelative="t" stroked="f" coordsize="21600,21600">
            <v:path/>
            <v:fill on="f" focussize="0,0"/>
            <v:stroke on="f" joinstyle="miter"/>
            <v:imagedata r:id="rId523" o:title=""/>
            <o:lock v:ext="edit" aspectratio="t"/>
            <w10:wrap type="none"/>
            <w10:anchorlock/>
          </v:shape>
          <o:OLEObject Type="Embed" ProgID="Equation.DSMT4" ShapeID="_x0000_i1305" DrawAspect="Content" ObjectID="_1468076012" r:id="rId522">
            <o:LockedField>false</o:LockedField>
          </o:OLEObject>
        </w:object>
      </w:r>
      <w:r>
        <w:rPr>
          <w:rFonts w:eastAsia="Calibri"/>
          <w:sz w:val="28"/>
          <w:szCs w:val="28"/>
          <w:lang w:eastAsia="en-US"/>
        </w:rPr>
        <w:t xml:space="preserve">. Как следствие, с точки зрения момента времени </w:t>
      </w:r>
      <w:r>
        <w:rPr>
          <w:rFonts w:eastAsia="Calibri"/>
          <w:position w:val="-6"/>
          <w:sz w:val="28"/>
          <w:szCs w:val="28"/>
          <w:lang w:eastAsia="en-US"/>
        </w:rPr>
        <w:object>
          <v:shape id="_x0000_i1306" o:spt="75" type="#_x0000_t75" style="height:12pt;width:7.5pt;" o:ole="t" filled="f" o:preferrelative="t" stroked="f" coordsize="21600,21600">
            <v:path/>
            <v:fill on="f" focussize="0,0"/>
            <v:stroke on="f" joinstyle="miter"/>
            <v:imagedata r:id="rId525" o:title=""/>
            <o:lock v:ext="edit" aspectratio="t"/>
            <w10:wrap type="none"/>
            <w10:anchorlock/>
          </v:shape>
          <o:OLEObject Type="Embed" ProgID="Equation.DSMT4" ShapeID="_x0000_i1306" DrawAspect="Content" ObjectID="_1468076013" r:id="rId524">
            <o:LockedField>false</o:LockedField>
          </o:OLEObject>
        </w:object>
      </w:r>
      <w:r>
        <w:rPr>
          <w:rFonts w:eastAsia="Calibri"/>
          <w:sz w:val="28"/>
          <w:szCs w:val="28"/>
          <w:lang w:eastAsia="en-US"/>
        </w:rPr>
        <w:t xml:space="preserve"> ожидаемая стоимость капитала в момент времени </w:t>
      </w:r>
      <w:r>
        <w:rPr>
          <w:rFonts w:eastAsia="Calibri"/>
          <w:position w:val="-6"/>
          <w:sz w:val="28"/>
          <w:szCs w:val="28"/>
          <w:lang w:eastAsia="en-US"/>
        </w:rPr>
        <w:object>
          <v:shape id="_x0000_i1307" o:spt="75" type="#_x0000_t75" style="height:12pt;width:24pt;" o:ole="t" filled="f" o:preferrelative="t" stroked="f" coordsize="21600,21600">
            <v:path/>
            <v:fill on="f" focussize="0,0"/>
            <v:stroke on="f" joinstyle="miter"/>
            <v:imagedata r:id="rId527" o:title=""/>
            <o:lock v:ext="edit" aspectratio="t"/>
            <w10:wrap type="none"/>
            <w10:anchorlock/>
          </v:shape>
          <o:OLEObject Type="Embed" ProgID="Equation.DSMT4" ShapeID="_x0000_i1307" DrawAspect="Content" ObjectID="_1468076014" r:id="rId526">
            <o:LockedField>false</o:LockedField>
          </o:OLEObject>
        </w:object>
      </w:r>
      <w:r>
        <w:rPr>
          <w:rFonts w:eastAsia="Calibri"/>
          <w:sz w:val="28"/>
          <w:szCs w:val="28"/>
          <w:lang w:eastAsia="en-US"/>
        </w:rPr>
        <w:t xml:space="preserve"> удовлетворяет </w:t>
      </w:r>
    </w:p>
    <w:p w14:paraId="6FB06C5C">
      <w:pPr>
        <w:pStyle w:val="37"/>
        <w:ind w:firstLine="0"/>
        <w:rPr>
          <w:rFonts w:eastAsia="Calibri"/>
          <w:sz w:val="28"/>
          <w:szCs w:val="28"/>
          <w:lang w:eastAsia="en-US"/>
        </w:rPr>
      </w:pPr>
    </w:p>
    <w:p w14:paraId="5E39FCC8">
      <w:pPr>
        <w:pStyle w:val="38"/>
        <w:spacing w:before="0" w:after="0"/>
        <w:rPr>
          <w:sz w:val="28"/>
          <w:szCs w:val="28"/>
        </w:rPr>
      </w:pPr>
      <w:r>
        <w:rPr>
          <w:sz w:val="28"/>
          <w:szCs w:val="28"/>
        </w:rPr>
        <w:tab/>
      </w:r>
      <w:r>
        <w:rPr>
          <w:sz w:val="28"/>
          <w:szCs w:val="28"/>
        </w:rPr>
        <w:t xml:space="preserve">                   </w:t>
      </w:r>
      <w:r>
        <w:rPr>
          <w:position w:val="-18"/>
          <w:sz w:val="28"/>
          <w:szCs w:val="28"/>
        </w:rPr>
        <w:object>
          <v:shape id="_x0000_i1308" o:spt="75" type="#_x0000_t75" style="height:22.5pt;width:339.75pt;" o:ole="t" filled="f" o:preferrelative="t" stroked="f" coordsize="21600,21600">
            <v:path/>
            <v:fill on="f" focussize="0,0"/>
            <v:stroke on="f" joinstyle="miter"/>
            <v:imagedata r:id="rId529" o:title=""/>
            <o:lock v:ext="edit" aspectratio="t"/>
            <w10:wrap type="none"/>
            <w10:anchorlock/>
          </v:shape>
          <o:OLEObject Type="Embed" ProgID="Equation.DSMT4" ShapeID="_x0000_i1308" DrawAspect="Content" ObjectID="_1468076015" r:id="rId528">
            <o:LockedField>false</o:LockedField>
          </o:OLEObject>
        </w:object>
      </w:r>
      <w:r>
        <w:rPr>
          <w:sz w:val="28"/>
          <w:szCs w:val="28"/>
        </w:rPr>
        <w:tab/>
      </w:r>
      <w:r>
        <w:rPr>
          <w:sz w:val="28"/>
          <w:szCs w:val="28"/>
        </w:rPr>
        <w:t>(30)</w:t>
      </w:r>
    </w:p>
    <w:p w14:paraId="71A36C21">
      <w:pPr>
        <w:pStyle w:val="38"/>
        <w:spacing w:before="0" w:after="0"/>
        <w:rPr>
          <w:sz w:val="28"/>
          <w:szCs w:val="28"/>
        </w:rPr>
      </w:pPr>
    </w:p>
    <w:p w14:paraId="25782846">
      <w:pPr>
        <w:pStyle w:val="37"/>
        <w:rPr>
          <w:rFonts w:eastAsia="Calibri"/>
          <w:sz w:val="28"/>
          <w:szCs w:val="28"/>
          <w:lang w:eastAsia="en-US"/>
        </w:rPr>
      </w:pPr>
      <w:r>
        <w:rPr>
          <w:rFonts w:eastAsia="Calibri"/>
          <w:sz w:val="28"/>
          <w:szCs w:val="28"/>
          <w:lang w:eastAsia="en-US"/>
        </w:rPr>
        <w:t xml:space="preserve">Подставляя (27) в (30), получаем </w:t>
      </w:r>
    </w:p>
    <w:p w14:paraId="0DADC9B1">
      <w:pPr>
        <w:pStyle w:val="37"/>
        <w:ind w:firstLine="0"/>
        <w:rPr>
          <w:rFonts w:eastAsia="Calibri"/>
          <w:sz w:val="28"/>
          <w:szCs w:val="28"/>
          <w:lang w:eastAsia="en-US"/>
        </w:rPr>
      </w:pPr>
    </w:p>
    <w:p w14:paraId="5F1F50FC">
      <w:pPr>
        <w:pStyle w:val="38"/>
        <w:spacing w:before="0" w:after="0"/>
        <w:rPr>
          <w:sz w:val="28"/>
          <w:szCs w:val="28"/>
        </w:rPr>
      </w:pPr>
      <w:r>
        <w:rPr>
          <w:sz w:val="28"/>
          <w:szCs w:val="28"/>
        </w:rPr>
        <w:tab/>
      </w:r>
      <w:r>
        <w:rPr>
          <w:sz w:val="28"/>
          <w:szCs w:val="28"/>
        </w:rPr>
        <w:t xml:space="preserve">                  </w:t>
      </w:r>
      <w:r>
        <w:rPr>
          <w:position w:val="-18"/>
          <w:sz w:val="28"/>
          <w:szCs w:val="28"/>
        </w:rPr>
        <w:object>
          <v:shape id="_x0000_i1309" o:spt="75" type="#_x0000_t75" style="height:22.5pt;width:317.25pt;" o:ole="t" filled="f" o:preferrelative="t" stroked="f" coordsize="21600,21600">
            <v:path/>
            <v:fill on="f" focussize="0,0"/>
            <v:stroke on="f" joinstyle="miter"/>
            <v:imagedata r:id="rId531" o:title=""/>
            <o:lock v:ext="edit" aspectratio="t"/>
            <w10:wrap type="none"/>
            <w10:anchorlock/>
          </v:shape>
          <o:OLEObject Type="Embed" ProgID="Equation.DSMT4" ShapeID="_x0000_i1309" DrawAspect="Content" ObjectID="_1468076016" r:id="rId530">
            <o:LockedField>false</o:LockedField>
          </o:OLEObject>
        </w:object>
      </w:r>
      <w:r>
        <w:rPr>
          <w:sz w:val="28"/>
          <w:szCs w:val="28"/>
        </w:rPr>
        <w:t>,</w:t>
      </w:r>
      <w:r>
        <w:rPr>
          <w:sz w:val="28"/>
          <w:szCs w:val="28"/>
        </w:rPr>
        <w:tab/>
      </w:r>
      <w:r>
        <w:rPr>
          <w:sz w:val="28"/>
          <w:szCs w:val="28"/>
        </w:rPr>
        <w:t xml:space="preserve">           (31)</w:t>
      </w:r>
    </w:p>
    <w:p w14:paraId="4F72AA8A">
      <w:pPr>
        <w:pStyle w:val="38"/>
        <w:spacing w:before="0" w:after="0"/>
        <w:rPr>
          <w:sz w:val="28"/>
          <w:szCs w:val="28"/>
        </w:rPr>
      </w:pPr>
    </w:p>
    <w:p w14:paraId="7D05458C">
      <w:pPr>
        <w:pStyle w:val="38"/>
        <w:spacing w:before="0" w:after="0"/>
        <w:rPr>
          <w:sz w:val="28"/>
          <w:szCs w:val="28"/>
        </w:rPr>
      </w:pPr>
      <w:r>
        <w:rPr>
          <w:rFonts w:eastAsia="Calibri"/>
          <w:sz w:val="28"/>
          <w:szCs w:val="28"/>
          <w:lang w:eastAsia="en-US"/>
        </w:rPr>
        <w:tab/>
      </w:r>
      <w:r>
        <w:rPr>
          <w:rFonts w:eastAsia="Calibri"/>
          <w:sz w:val="28"/>
          <w:szCs w:val="28"/>
          <w:lang w:eastAsia="en-US"/>
        </w:rPr>
        <w:t xml:space="preserve">Поскольку новые ссуды имеют положительный ожидаемый чистый доход, </w:t>
      </w:r>
      <w:r>
        <w:rPr>
          <w:position w:val="-14"/>
          <w:sz w:val="28"/>
          <w:szCs w:val="28"/>
        </w:rPr>
        <w:object>
          <v:shape id="_x0000_i1310" o:spt="75" type="#_x0000_t75" style="height:20.25pt;width:64.5pt;" o:ole="t" filled="f" o:preferrelative="t" stroked="f" coordsize="21600,21600">
            <v:path/>
            <v:fill on="f" focussize="0,0"/>
            <v:stroke on="f" joinstyle="miter"/>
            <v:imagedata r:id="rId533" o:title=""/>
            <o:lock v:ext="edit" aspectratio="t"/>
            <w10:wrap type="none"/>
            <w10:anchorlock/>
          </v:shape>
          <o:OLEObject Type="Embed" ProgID="Equation.DSMT4" ShapeID="_x0000_i1310" DrawAspect="Content" ObjectID="_1468076017" r:id="rId532">
            <o:LockedField>false</o:LockedField>
          </o:OLEObject>
        </w:object>
      </w:r>
      <w:r>
        <w:rPr>
          <w:rFonts w:eastAsia="Calibri"/>
          <w:sz w:val="28"/>
          <w:szCs w:val="28"/>
          <w:lang w:eastAsia="en-US"/>
        </w:rPr>
        <w:t xml:space="preserve">, из (30) следует, что ожидаемая стоимость собственного капитала «плохого» банка </w:t>
      </w:r>
      <w:r>
        <w:rPr>
          <w:rFonts w:eastAsia="Calibri"/>
          <w:position w:val="-6"/>
          <w:sz w:val="28"/>
          <w:szCs w:val="28"/>
          <w:lang w:eastAsia="en-US"/>
        </w:rPr>
        <w:object>
          <v:shape id="_x0000_i1311" o:spt="75" type="#_x0000_t75" style="height:13.5pt;width:9.75pt;" o:ole="t" filled="f" o:preferrelative="t" stroked="f" coordsize="21600,21600">
            <v:path/>
            <v:fill on="f" focussize="0,0"/>
            <v:stroke on="f" joinstyle="miter"/>
            <v:imagedata r:id="rId535" o:title=""/>
            <o:lock v:ext="edit" aspectratio="t"/>
            <w10:wrap type="none"/>
            <w10:anchorlock/>
          </v:shape>
          <o:OLEObject Type="Embed" ProgID="Equation.DSMT4" ShapeID="_x0000_i1311" DrawAspect="Content" ObjectID="_1468076018" r:id="rId534">
            <o:LockedField>false</o:LockedField>
          </o:OLEObject>
        </w:object>
      </w:r>
      <w:r>
        <w:rPr>
          <w:rFonts w:eastAsia="Calibri"/>
          <w:sz w:val="28"/>
          <w:szCs w:val="28"/>
          <w:lang w:eastAsia="en-US"/>
        </w:rPr>
        <w:t xml:space="preserve"> в момент времени </w:t>
      </w:r>
      <w:r>
        <w:rPr>
          <w:rFonts w:eastAsia="Calibri"/>
          <w:position w:val="-6"/>
          <w:sz w:val="28"/>
          <w:szCs w:val="28"/>
          <w:lang w:eastAsia="en-US"/>
        </w:rPr>
        <w:object>
          <v:shape id="_x0000_i1312" o:spt="75" type="#_x0000_t75" style="height:12pt;width:24pt;" o:ole="t" filled="f" o:preferrelative="t" stroked="f" coordsize="21600,21600">
            <v:path/>
            <v:fill on="f" focussize="0,0"/>
            <v:stroke on="f" joinstyle="miter"/>
            <v:imagedata r:id="rId476" o:title=""/>
            <o:lock v:ext="edit" aspectratio="t"/>
            <w10:wrap type="none"/>
            <w10:anchorlock/>
          </v:shape>
          <o:OLEObject Type="Embed" ProgID="Equation.DSMT4" ShapeID="_x0000_i1312" DrawAspect="Content" ObjectID="_1468076019" r:id="rId536">
            <o:LockedField>false</o:LockedField>
          </o:OLEObject>
        </w:object>
      </w:r>
      <w:r>
        <w:rPr>
          <w:rFonts w:eastAsia="Calibri"/>
          <w:sz w:val="28"/>
          <w:szCs w:val="28"/>
          <w:lang w:eastAsia="en-US"/>
        </w:rPr>
        <w:t xml:space="preserve">увеличивается с ростом объема новых ссуд производителям, </w:t>
      </w:r>
      <w:r>
        <w:rPr>
          <w:position w:val="-16"/>
          <w:sz w:val="28"/>
          <w:szCs w:val="28"/>
        </w:rPr>
        <w:object>
          <v:shape id="_x0000_i1313" o:spt="75" type="#_x0000_t75" style="height:21.75pt;width:139.5pt;" o:ole="t" filled="f" o:preferrelative="t" stroked="f" coordsize="21600,21600">
            <v:path/>
            <v:fill on="f" focussize="0,0"/>
            <v:stroke on="f" joinstyle="miter"/>
            <v:imagedata r:id="rId538" o:title=""/>
            <o:lock v:ext="edit" aspectratio="t"/>
            <w10:wrap type="none"/>
            <w10:anchorlock/>
          </v:shape>
          <o:OLEObject Type="Embed" ProgID="Equation.DSMT4" ShapeID="_x0000_i1313" DrawAspect="Content" ObjectID="_1468076020" r:id="rId537">
            <o:LockedField>false</o:LockedField>
          </o:OLEObject>
        </w:object>
      </w:r>
      <w:r>
        <w:rPr>
          <w:sz w:val="28"/>
          <w:szCs w:val="28"/>
        </w:rPr>
        <w:t>.</w:t>
      </w:r>
    </w:p>
    <w:p w14:paraId="4E4A0EC2">
      <w:pPr>
        <w:pStyle w:val="38"/>
        <w:spacing w:before="0" w:after="0"/>
        <w:rPr>
          <w:rFonts w:eastAsia="Calibri"/>
          <w:sz w:val="28"/>
          <w:szCs w:val="28"/>
          <w:lang w:eastAsia="en-US"/>
        </w:rPr>
      </w:pPr>
    </w:p>
    <w:p w14:paraId="0A250EE8">
      <w:pPr>
        <w:pStyle w:val="37"/>
        <w:rPr>
          <w:rFonts w:eastAsia="Calibri"/>
          <w:b/>
          <w:sz w:val="28"/>
          <w:szCs w:val="28"/>
          <w:lang w:eastAsia="en-US"/>
        </w:rPr>
      </w:pPr>
      <w:r>
        <w:rPr>
          <w:rFonts w:eastAsia="Calibri"/>
          <w:b/>
          <w:sz w:val="28"/>
          <w:szCs w:val="28"/>
          <w:lang w:eastAsia="en-US"/>
        </w:rPr>
        <w:t xml:space="preserve">Оптимальное поведение коммерческого плохого банка </w:t>
      </w:r>
      <w:r>
        <w:rPr>
          <w:rFonts w:eastAsia="Calibri"/>
          <w:b/>
          <w:position w:val="-6"/>
          <w:sz w:val="28"/>
          <w:szCs w:val="28"/>
          <w:lang w:eastAsia="en-US"/>
        </w:rPr>
        <w:object>
          <v:shape id="_x0000_i1314" o:spt="75" type="#_x0000_t75" style="height:13.5pt;width:9.75pt;" o:ole="t" filled="f" o:preferrelative="t" stroked="f" coordsize="21600,21600">
            <v:path/>
            <v:fill on="f" focussize="0,0"/>
            <v:stroke on="f" joinstyle="miter"/>
            <v:imagedata r:id="rId540" o:title=""/>
            <o:lock v:ext="edit" aspectratio="t"/>
            <w10:wrap type="none"/>
            <w10:anchorlock/>
          </v:shape>
          <o:OLEObject Type="Embed" ProgID="Equation.DSMT4" ShapeID="_x0000_i1314" DrawAspect="Content" ObjectID="_1468076021" r:id="rId539">
            <o:LockedField>false</o:LockedField>
          </o:OLEObject>
        </w:object>
      </w:r>
    </w:p>
    <w:p w14:paraId="4AB9995F">
      <w:pPr>
        <w:pStyle w:val="37"/>
        <w:rPr>
          <w:rFonts w:eastAsia="Calibri"/>
          <w:sz w:val="28"/>
          <w:szCs w:val="28"/>
          <w:lang w:eastAsia="en-US"/>
        </w:rPr>
      </w:pPr>
      <w:r>
        <w:rPr>
          <w:rFonts w:eastAsia="Calibri"/>
          <w:sz w:val="28"/>
          <w:szCs w:val="28"/>
          <w:lang w:eastAsia="en-US"/>
        </w:rPr>
        <w:t xml:space="preserve">Если коммерческий банк </w:t>
      </w:r>
      <w:r>
        <w:rPr>
          <w:rFonts w:eastAsia="Calibri"/>
          <w:position w:val="-6"/>
          <w:sz w:val="28"/>
          <w:szCs w:val="28"/>
          <w:lang w:eastAsia="en-US"/>
        </w:rPr>
        <w:object>
          <v:shape id="_x0000_i1315" o:spt="75" type="#_x0000_t75" style="height:13.5pt;width:9.75pt;" o:ole="t" filled="f" o:preferrelative="t" stroked="f" coordsize="21600,21600">
            <v:path/>
            <v:fill on="f" focussize="0,0"/>
            <v:stroke on="f" joinstyle="miter"/>
            <v:imagedata r:id="rId542" o:title=""/>
            <o:lock v:ext="edit" aspectratio="t"/>
            <w10:wrap type="none"/>
            <w10:anchorlock/>
          </v:shape>
          <o:OLEObject Type="Embed" ProgID="Equation.DSMT4" ShapeID="_x0000_i1315" DrawAspect="Content" ObjectID="_1468076022" r:id="rId541">
            <o:LockedField>false</o:LockedField>
          </o:OLEObject>
        </w:object>
      </w:r>
      <w:r>
        <w:rPr>
          <w:rFonts w:eastAsia="Calibri"/>
          <w:sz w:val="28"/>
          <w:szCs w:val="28"/>
          <w:lang w:eastAsia="en-US"/>
        </w:rPr>
        <w:t xml:space="preserve"> решил передать проблемные активы в государственный фонд проблемных активов </w:t>
      </w:r>
      <w:r>
        <w:rPr>
          <w:rFonts w:eastAsia="Calibri"/>
          <w:position w:val="-6"/>
          <w:sz w:val="28"/>
          <w:szCs w:val="28"/>
          <w:lang w:eastAsia="en-US"/>
        </w:rPr>
        <w:object>
          <v:shape id="_x0000_i1316" o:spt="75" type="#_x0000_t75" style="height:13.5pt;width:11.25pt;" o:ole="t" filled="f" o:preferrelative="t" stroked="f" coordsize="21600,21600">
            <v:path/>
            <v:fill on="f" focussize="0,0"/>
            <v:stroke on="f" joinstyle="miter"/>
            <v:imagedata r:id="rId544" o:title=""/>
            <o:lock v:ext="edit" aspectratio="t"/>
            <w10:wrap type="none"/>
            <w10:anchorlock/>
          </v:shape>
          <o:OLEObject Type="Embed" ProgID="Equation.DSMT4" ShapeID="_x0000_i1316" DrawAspect="Content" ObjectID="_1468076023" r:id="rId543">
            <o:LockedField>false</o:LockedField>
          </o:OLEObject>
        </w:object>
      </w:r>
      <w:r>
        <w:rPr>
          <w:rFonts w:eastAsia="Calibri"/>
          <w:sz w:val="28"/>
          <w:szCs w:val="28"/>
          <w:lang w:eastAsia="en-US"/>
        </w:rPr>
        <w:t xml:space="preserve"> в момент времени </w:t>
      </w:r>
      <w:r>
        <w:rPr>
          <w:rFonts w:eastAsia="Calibri"/>
          <w:b/>
          <w:position w:val="-6"/>
          <w:sz w:val="28"/>
          <w:szCs w:val="28"/>
          <w:lang w:eastAsia="en-US"/>
        </w:rPr>
        <w:object>
          <v:shape id="_x0000_i1317" o:spt="75" type="#_x0000_t75" style="height:12pt;width:7.5pt;" o:ole="t" filled="f" o:preferrelative="t" stroked="f" coordsize="21600,21600">
            <v:path/>
            <v:fill on="f" focussize="0,0"/>
            <v:stroke on="f" joinstyle="miter"/>
            <v:imagedata r:id="rId546" o:title=""/>
            <o:lock v:ext="edit" aspectratio="t"/>
            <w10:wrap type="none"/>
            <w10:anchorlock/>
          </v:shape>
          <o:OLEObject Type="Embed" ProgID="Equation.DSMT4" ShapeID="_x0000_i1317" DrawAspect="Content" ObjectID="_1468076024" r:id="rId545">
            <o:LockedField>false</o:LockedField>
          </o:OLEObject>
        </w:object>
      </w:r>
      <w:r>
        <w:rPr>
          <w:rFonts w:eastAsia="Calibri"/>
          <w:sz w:val="28"/>
          <w:szCs w:val="28"/>
          <w:lang w:eastAsia="en-US"/>
        </w:rPr>
        <w:t xml:space="preserve">, он стремится получить максимальную полезность, как указано в (28). Эта полезность увеличивается с ростом ожидаемой стоимости капитала </w:t>
      </w:r>
      <w:r>
        <w:rPr>
          <w:position w:val="-16"/>
          <w:sz w:val="28"/>
          <w:szCs w:val="28"/>
        </w:rPr>
        <w:object>
          <v:shape id="_x0000_i1318" o:spt="75" type="#_x0000_t75" style="height:22.5pt;width:69.75pt;" o:ole="t" filled="f" o:preferrelative="t" stroked="f" coordsize="21600,21600">
            <v:path/>
            <v:fill on="f" focussize="0,0"/>
            <v:stroke on="f" joinstyle="miter"/>
            <v:imagedata r:id="rId548" o:title=""/>
            <o:lock v:ext="edit" aspectratio="t"/>
            <w10:wrap type="none"/>
            <w10:anchorlock/>
          </v:shape>
          <o:OLEObject Type="Embed" ProgID="Equation.DSMT4" ShapeID="_x0000_i1318" DrawAspect="Content" ObjectID="_1468076025" r:id="rId547">
            <o:LockedField>false</o:LockedField>
          </o:OLEObject>
        </w:object>
      </w:r>
      <w:r>
        <w:rPr>
          <w:sz w:val="28"/>
          <w:szCs w:val="28"/>
        </w:rPr>
        <w:t xml:space="preserve">, а также с ростом новых кредитов </w:t>
      </w:r>
      <w:r>
        <w:rPr>
          <w:position w:val="-14"/>
          <w:sz w:val="28"/>
          <w:szCs w:val="28"/>
        </w:rPr>
        <w:object>
          <v:shape id="_x0000_i1319" o:spt="75" type="#_x0000_t75" style="height:20.25pt;width:37.5pt;" o:ole="t" filled="f" o:preferrelative="t" stroked="f" coordsize="21600,21600">
            <v:path/>
            <v:fill on="f" focussize="0,0"/>
            <v:stroke on="f" joinstyle="miter"/>
            <v:imagedata r:id="rId550" o:title=""/>
            <o:lock v:ext="edit" aspectratio="t"/>
            <w10:wrap type="none"/>
            <w10:anchorlock/>
          </v:shape>
          <o:OLEObject Type="Embed" ProgID="Equation.DSMT4" ShapeID="_x0000_i1319" DrawAspect="Content" ObjectID="_1468076026" r:id="rId549">
            <o:LockedField>false</o:LockedField>
          </o:OLEObject>
        </w:object>
      </w:r>
      <w:r>
        <w:rPr>
          <w:sz w:val="28"/>
          <w:szCs w:val="28"/>
        </w:rPr>
        <w:t xml:space="preserve">, как </w:t>
      </w:r>
      <w:r>
        <w:rPr>
          <w:rFonts w:eastAsia="Calibri"/>
          <w:sz w:val="28"/>
          <w:szCs w:val="28"/>
          <w:lang w:eastAsia="en-US"/>
        </w:rPr>
        <w:t xml:space="preserve">мы только что увидели. Поэтому оптимальное поведение банка </w:t>
      </w:r>
      <w:r>
        <w:rPr>
          <w:rFonts w:eastAsia="Calibri"/>
          <w:position w:val="-6"/>
          <w:sz w:val="28"/>
          <w:szCs w:val="28"/>
          <w:lang w:eastAsia="en-US"/>
        </w:rPr>
        <w:object>
          <v:shape id="_x0000_i1320" o:spt="75" type="#_x0000_t75" style="height:13.5pt;width:9.75pt;" o:ole="t" filled="f" o:preferrelative="t" stroked="f" coordsize="21600,21600">
            <v:path/>
            <v:fill on="f" focussize="0,0"/>
            <v:stroke on="f" joinstyle="miter"/>
            <v:imagedata r:id="rId552" o:title=""/>
            <o:lock v:ext="edit" aspectratio="t"/>
            <w10:wrap type="none"/>
            <w10:anchorlock/>
          </v:shape>
          <o:OLEObject Type="Embed" ProgID="Equation.DSMT4" ShapeID="_x0000_i1320" DrawAspect="Content" ObjectID="_1468076027" r:id="rId551">
            <o:LockedField>false</o:LockedField>
          </o:OLEObject>
        </w:object>
      </w:r>
      <w:r>
        <w:rPr>
          <w:rFonts w:eastAsia="Calibri"/>
          <w:sz w:val="28"/>
          <w:szCs w:val="28"/>
          <w:lang w:eastAsia="en-US"/>
        </w:rPr>
        <w:t xml:space="preserve"> состоит в выдаче максимально возможной суммы новых кредитов </w:t>
      </w:r>
      <w:r>
        <w:rPr>
          <w:position w:val="-14"/>
          <w:sz w:val="28"/>
          <w:szCs w:val="28"/>
        </w:rPr>
        <w:object>
          <v:shape id="_x0000_i1321" o:spt="75" type="#_x0000_t75" style="height:20.25pt;width:41.25pt;" o:ole="t" filled="f" o:preferrelative="t" stroked="f" coordsize="21600,21600">
            <v:path/>
            <v:fill on="f" focussize="0,0"/>
            <v:stroke on="f" joinstyle="miter"/>
            <v:imagedata r:id="rId554" o:title=""/>
            <o:lock v:ext="edit" aspectratio="t"/>
            <w10:wrap type="none"/>
            <w10:anchorlock/>
          </v:shape>
          <o:OLEObject Type="Embed" ProgID="Equation.DSMT4" ShapeID="_x0000_i1321" DrawAspect="Content" ObjectID="_1468076028" r:id="rId553">
            <o:LockedField>false</o:LockedField>
          </o:OLEObject>
        </w:object>
      </w:r>
      <w:r>
        <w:rPr>
          <w:sz w:val="28"/>
          <w:szCs w:val="28"/>
        </w:rPr>
        <w:t>,</w:t>
      </w:r>
      <w:r>
        <w:rPr>
          <w:rFonts w:eastAsia="Calibri"/>
          <w:sz w:val="28"/>
          <w:szCs w:val="28"/>
          <w:lang w:eastAsia="en-US"/>
        </w:rPr>
        <w:t xml:space="preserve"> если он участвует в схеме 1. Из (26) и (29) можно сделать вывод, что для предоставления этих кредитов требуется депозит </w:t>
      </w:r>
      <w:r>
        <w:rPr>
          <w:position w:val="-14"/>
          <w:sz w:val="28"/>
          <w:szCs w:val="28"/>
        </w:rPr>
        <w:object>
          <v:shape id="_x0000_i1322" o:spt="75" type="#_x0000_t75" style="height:20.25pt;width:115.5pt;" o:ole="t" filled="f" o:preferrelative="t" stroked="f" coordsize="21600,21600">
            <v:path/>
            <v:fill on="f" focussize="0,0"/>
            <v:stroke on="f" joinstyle="miter"/>
            <v:imagedata r:id="rId556" o:title=""/>
            <o:lock v:ext="edit" aspectratio="t"/>
            <w10:wrap type="none"/>
            <w10:anchorlock/>
          </v:shape>
          <o:OLEObject Type="Embed" ProgID="Equation.DSMT4" ShapeID="_x0000_i1322" DrawAspect="Content" ObjectID="_1468076029" r:id="rId555">
            <o:LockedField>false</o:LockedField>
          </o:OLEObject>
        </w:object>
      </w:r>
      <w:r>
        <w:rPr>
          <w:rFonts w:eastAsia="Calibri"/>
          <w:sz w:val="28"/>
          <w:szCs w:val="28"/>
          <w:lang w:eastAsia="en-US"/>
        </w:rPr>
        <w:t xml:space="preserve">. Следовательно, банк будет неплатежеспособным, если новые кредиты не вернутся, потому что тогда государственные облигации </w:t>
      </w:r>
      <w:r>
        <w:rPr>
          <w:position w:val="-14"/>
          <w:sz w:val="28"/>
          <w:szCs w:val="28"/>
        </w:rPr>
        <w:object>
          <v:shape id="_x0000_i1323" o:spt="75" type="#_x0000_t75" style="height:20.25pt;width:34.5pt;" o:ole="t" filled="f" o:preferrelative="t" stroked="f" coordsize="21600,21600">
            <v:path/>
            <v:fill on="f" focussize="0,0"/>
            <v:stroke on="f" joinstyle="miter"/>
            <v:imagedata r:id="rId558" o:title=""/>
            <o:lock v:ext="edit" aspectratio="t"/>
            <w10:wrap type="none"/>
            <w10:anchorlock/>
          </v:shape>
          <o:OLEObject Type="Embed" ProgID="Equation.DSMT4" ShapeID="_x0000_i1323" DrawAspect="Content" ObjectID="_1468076030" r:id="rId557">
            <o:LockedField>false</o:LockedField>
          </o:OLEObject>
        </w:object>
      </w:r>
      <w:r>
        <w:rPr>
          <w:rFonts w:eastAsia="Calibri"/>
          <w:sz w:val="28"/>
          <w:szCs w:val="28"/>
          <w:lang w:eastAsia="en-US"/>
        </w:rPr>
        <w:t xml:space="preserve"> не смогут удовлетворить общую сумму требований вкладчиков. Таким образом, банк будет платежеспособным в момент времени </w:t>
      </w:r>
      <w:r>
        <w:rPr>
          <w:rFonts w:eastAsia="Calibri"/>
          <w:position w:val="-6"/>
          <w:sz w:val="28"/>
          <w:szCs w:val="28"/>
          <w:lang w:eastAsia="en-US"/>
        </w:rPr>
        <w:object>
          <v:shape id="_x0000_i1324" o:spt="75" type="#_x0000_t75" style="height:12pt;width:24pt;" o:ole="t" filled="f" o:preferrelative="t" stroked="f" coordsize="21600,21600">
            <v:path/>
            <v:fill on="f" focussize="0,0"/>
            <v:stroke on="f" joinstyle="miter"/>
            <v:imagedata r:id="rId560" o:title=""/>
            <o:lock v:ext="edit" aspectratio="t"/>
            <w10:wrap type="none"/>
            <w10:anchorlock/>
          </v:shape>
          <o:OLEObject Type="Embed" ProgID="Equation.DSMT4" ShapeID="_x0000_i1324" DrawAspect="Content" ObjectID="_1468076031" r:id="rId559">
            <o:LockedField>false</o:LockedField>
          </o:OLEObject>
        </w:object>
      </w:r>
      <w:r>
        <w:rPr>
          <w:rFonts w:eastAsia="Calibri"/>
          <w:sz w:val="28"/>
          <w:szCs w:val="28"/>
          <w:lang w:eastAsia="en-US"/>
        </w:rPr>
        <w:t xml:space="preserve"> с вероятностью </w:t>
      </w:r>
      <w:r>
        <w:rPr>
          <w:position w:val="-10"/>
          <w:sz w:val="28"/>
          <w:szCs w:val="28"/>
        </w:rPr>
        <w:object>
          <v:shape id="_x0000_i1325" o:spt="75" type="#_x0000_t75" style="height:18.75pt;width:15.75pt;" o:ole="t" filled="f" o:preferrelative="t" stroked="f" coordsize="21600,21600">
            <v:path/>
            <v:fill on="f" focussize="0,0"/>
            <v:stroke on="f" joinstyle="miter"/>
            <v:imagedata r:id="rId562" o:title=""/>
            <o:lock v:ext="edit" aspectratio="t"/>
            <w10:wrap type="none"/>
            <w10:anchorlock/>
          </v:shape>
          <o:OLEObject Type="Embed" ProgID="Equation.DSMT4" ShapeID="_x0000_i1325" DrawAspect="Content" ObjectID="_1468076032" r:id="rId561">
            <o:LockedField>false</o:LockedField>
          </o:OLEObject>
        </w:object>
      </w:r>
      <w:r>
        <w:rPr>
          <w:rFonts w:eastAsia="Calibri"/>
          <w:sz w:val="28"/>
          <w:szCs w:val="28"/>
          <w:lang w:eastAsia="en-US"/>
        </w:rPr>
        <w:t>, если плохой</w:t>
      </w:r>
      <w:r>
        <w:rPr>
          <w:rFonts w:eastAsia="Calibri"/>
          <w:sz w:val="28"/>
          <w:szCs w:val="28"/>
        </w:rPr>
        <w:t xml:space="preserve"> </w:t>
      </w:r>
      <w:r>
        <w:rPr>
          <w:rFonts w:eastAsia="Calibri"/>
          <w:sz w:val="28"/>
          <w:szCs w:val="28"/>
          <w:lang w:eastAsia="en-US"/>
        </w:rPr>
        <w:t xml:space="preserve">банк </w:t>
      </w:r>
      <w:r>
        <w:rPr>
          <w:rFonts w:eastAsia="Calibri"/>
          <w:position w:val="-6"/>
          <w:sz w:val="28"/>
          <w:szCs w:val="28"/>
          <w:lang w:eastAsia="en-US"/>
        </w:rPr>
        <w:object>
          <v:shape id="_x0000_i1326" o:spt="75" type="#_x0000_t75" style="height:13.5pt;width:9.75pt;" o:ole="t" filled="f" o:preferrelative="t" stroked="f" coordsize="21600,21600">
            <v:path/>
            <v:fill on="f" focussize="0,0"/>
            <v:stroke on="f" joinstyle="miter"/>
            <v:imagedata r:id="rId564" o:title=""/>
            <o:lock v:ext="edit" aspectratio="t"/>
            <w10:wrap type="none"/>
            <w10:anchorlock/>
          </v:shape>
          <o:OLEObject Type="Embed" ProgID="Equation.DSMT4" ShapeID="_x0000_i1326" DrawAspect="Content" ObjectID="_1468076033" r:id="rId563">
            <o:LockedField>false</o:LockedField>
          </o:OLEObject>
        </w:object>
      </w:r>
      <w:r>
        <w:rPr>
          <w:rFonts w:eastAsia="Calibri"/>
          <w:sz w:val="28"/>
          <w:szCs w:val="28"/>
          <w:lang w:eastAsia="en-US"/>
        </w:rPr>
        <w:t xml:space="preserve"> передаст токсичные активы в фонд </w:t>
      </w:r>
      <w:r>
        <w:rPr>
          <w:rFonts w:eastAsia="Calibri"/>
          <w:position w:val="-6"/>
          <w:sz w:val="28"/>
          <w:szCs w:val="28"/>
          <w:lang w:eastAsia="en-US"/>
        </w:rPr>
        <w:object>
          <v:shape id="_x0000_i1327" o:spt="75" type="#_x0000_t75" style="height:13.5pt;width:11.25pt;" o:ole="t" filled="f" o:preferrelative="t" stroked="f" coordsize="21600,21600">
            <v:path/>
            <v:fill on="f" focussize="0,0"/>
            <v:stroke on="f" joinstyle="miter"/>
            <v:imagedata r:id="rId566" o:title=""/>
            <o:lock v:ext="edit" aspectratio="t"/>
            <w10:wrap type="none"/>
            <w10:anchorlock/>
          </v:shape>
          <o:OLEObject Type="Embed" ProgID="Equation.DSMT4" ShapeID="_x0000_i1327" DrawAspect="Content" ObjectID="_1468076034" r:id="rId565">
            <o:LockedField>false</o:LockedField>
          </o:OLEObject>
        </w:object>
      </w:r>
      <w:r>
        <w:rPr>
          <w:rFonts w:eastAsia="Calibri"/>
          <w:sz w:val="28"/>
          <w:szCs w:val="28"/>
          <w:lang w:eastAsia="en-US"/>
        </w:rPr>
        <w:t xml:space="preserve">. Вместе с (26), (28) и (30) это означает, что полезность </w:t>
      </w:r>
      <w:r>
        <w:rPr>
          <w:position w:val="-12"/>
          <w:sz w:val="28"/>
          <w:szCs w:val="28"/>
        </w:rPr>
        <w:object>
          <v:shape id="_x0000_i1328" o:spt="75" type="#_x0000_t75" style="height:19.5pt;width:16.5pt;" o:ole="t" filled="f" o:preferrelative="t" stroked="f" coordsize="21600,21600">
            <v:path/>
            <v:fill on="f" focussize="0,0"/>
            <v:stroke on="f" joinstyle="miter"/>
            <v:imagedata r:id="rId568" o:title=""/>
            <o:lock v:ext="edit" aspectratio="t"/>
            <w10:wrap type="none"/>
            <w10:anchorlock/>
          </v:shape>
          <o:OLEObject Type="Embed" ProgID="Equation.DSMT4" ShapeID="_x0000_i1328" DrawAspect="Content" ObjectID="_1468076035" r:id="rId567">
            <o:LockedField>false</o:LockedField>
          </o:OLEObject>
        </w:object>
      </w:r>
      <w:r>
        <w:rPr>
          <w:rFonts w:eastAsia="Calibri"/>
          <w:sz w:val="28"/>
          <w:szCs w:val="28"/>
          <w:lang w:eastAsia="en-US"/>
        </w:rPr>
        <w:t xml:space="preserve"> участия в схеме 1 для банка </w:t>
      </w:r>
      <w:r>
        <w:rPr>
          <w:rFonts w:eastAsia="Calibri"/>
          <w:position w:val="-6"/>
          <w:sz w:val="28"/>
          <w:szCs w:val="28"/>
          <w:lang w:eastAsia="en-US"/>
        </w:rPr>
        <w:object>
          <v:shape id="_x0000_i1329" o:spt="75" type="#_x0000_t75" style="height:13.5pt;width:9.75pt;" o:ole="t" filled="f" o:preferrelative="t" stroked="f" coordsize="21600,21600">
            <v:path/>
            <v:fill on="f" focussize="0,0"/>
            <v:stroke on="f" joinstyle="miter"/>
            <v:imagedata r:id="rId570" o:title=""/>
            <o:lock v:ext="edit" aspectratio="t"/>
            <w10:wrap type="none"/>
            <w10:anchorlock/>
          </v:shape>
          <o:OLEObject Type="Embed" ProgID="Equation.DSMT4" ShapeID="_x0000_i1329" DrawAspect="Content" ObjectID="_1468076036" r:id="rId569">
            <o:LockedField>false</o:LockedField>
          </o:OLEObject>
        </w:object>
      </w:r>
      <w:r>
        <w:rPr>
          <w:rFonts w:eastAsia="Calibri"/>
          <w:sz w:val="28"/>
          <w:szCs w:val="28"/>
          <w:lang w:eastAsia="en-US"/>
        </w:rPr>
        <w:t xml:space="preserve"> будет  </w:t>
      </w:r>
    </w:p>
    <w:p w14:paraId="4D3DA91A">
      <w:pPr>
        <w:pStyle w:val="37"/>
        <w:rPr>
          <w:rFonts w:eastAsia="Calibri"/>
          <w:sz w:val="28"/>
          <w:szCs w:val="28"/>
          <w:lang w:eastAsia="en-US"/>
        </w:rPr>
      </w:pPr>
    </w:p>
    <w:p w14:paraId="518D313F">
      <w:pPr>
        <w:pStyle w:val="38"/>
        <w:spacing w:before="0" w:after="0"/>
        <w:rPr>
          <w:sz w:val="28"/>
          <w:szCs w:val="28"/>
        </w:rPr>
      </w:pPr>
      <w:r>
        <w:rPr>
          <w:sz w:val="28"/>
          <w:szCs w:val="28"/>
        </w:rPr>
        <w:tab/>
      </w:r>
      <w:r>
        <w:rPr>
          <w:sz w:val="28"/>
          <w:szCs w:val="28"/>
        </w:rPr>
        <w:t xml:space="preserve">                                 </w:t>
      </w:r>
      <w:r>
        <w:rPr>
          <w:position w:val="-18"/>
          <w:sz w:val="28"/>
          <w:szCs w:val="28"/>
        </w:rPr>
        <w:object>
          <v:shape id="_x0000_i1330" o:spt="75" type="#_x0000_t75" style="height:23.25pt;width:213.75pt;" o:ole="t" filled="f" o:preferrelative="t" stroked="f" coordsize="21600,21600">
            <v:path/>
            <v:fill on="f" focussize="0,0"/>
            <v:stroke on="f" joinstyle="miter"/>
            <v:imagedata r:id="rId572" o:title=""/>
            <o:lock v:ext="edit" aspectratio="t"/>
            <w10:wrap type="none"/>
            <w10:anchorlock/>
          </v:shape>
          <o:OLEObject Type="Embed" ProgID="Equation.DSMT4" ShapeID="_x0000_i1330" DrawAspect="Content" ObjectID="_1468076037" r:id="rId571">
            <o:LockedField>false</o:LockedField>
          </o:OLEObject>
        </w:object>
      </w:r>
      <w:r>
        <w:rPr>
          <w:sz w:val="28"/>
          <w:szCs w:val="28"/>
        </w:rPr>
        <w:tab/>
      </w:r>
      <w:r>
        <w:rPr>
          <w:sz w:val="28"/>
          <w:szCs w:val="28"/>
        </w:rPr>
        <w:t xml:space="preserve">                      (32)</w:t>
      </w:r>
    </w:p>
    <w:p w14:paraId="30A71FD2">
      <w:pPr>
        <w:pStyle w:val="37"/>
        <w:rPr>
          <w:rFonts w:eastAsia="Calibri"/>
          <w:sz w:val="28"/>
          <w:szCs w:val="28"/>
          <w:lang w:eastAsia="en-US"/>
        </w:rPr>
      </w:pPr>
    </w:p>
    <w:p w14:paraId="167C7E47">
      <w:pPr>
        <w:pStyle w:val="37"/>
        <w:rPr>
          <w:sz w:val="28"/>
          <w:szCs w:val="28"/>
        </w:rPr>
      </w:pPr>
      <w:r>
        <w:rPr>
          <w:rFonts w:eastAsia="Calibri"/>
          <w:sz w:val="28"/>
          <w:szCs w:val="28"/>
          <w:lang w:eastAsia="en-US"/>
        </w:rPr>
        <w:t xml:space="preserve">Напротив, если коммерческий «плохой» банк </w:t>
      </w:r>
      <w:r>
        <w:rPr>
          <w:rFonts w:eastAsia="Calibri"/>
          <w:position w:val="-6"/>
          <w:sz w:val="28"/>
          <w:szCs w:val="28"/>
          <w:lang w:eastAsia="en-US"/>
        </w:rPr>
        <w:object>
          <v:shape id="_x0000_i1331" o:spt="75" type="#_x0000_t75" style="height:13.5pt;width:9.75pt;" o:ole="t" filled="f" o:preferrelative="t" stroked="f" coordsize="21600,21600">
            <v:path/>
            <v:fill on="f" focussize="0,0"/>
            <v:stroke on="f" joinstyle="miter"/>
            <v:imagedata r:id="rId574" o:title=""/>
            <o:lock v:ext="edit" aspectratio="t"/>
            <w10:wrap type="none"/>
            <w10:anchorlock/>
          </v:shape>
          <o:OLEObject Type="Embed" ProgID="Equation.DSMT4" ShapeID="_x0000_i1331" DrawAspect="Content" ObjectID="_1468076038" r:id="rId573">
            <o:LockedField>false</o:LockedField>
          </o:OLEObject>
        </w:object>
      </w:r>
      <w:r>
        <w:rPr>
          <w:rFonts w:eastAsia="Calibri"/>
          <w:sz w:val="28"/>
          <w:szCs w:val="28"/>
          <w:lang w:eastAsia="en-US"/>
        </w:rPr>
        <w:t xml:space="preserve"> решит отказаться от передачи токсичных активов, из (24) следует, что он будет платежеспособным с вероятностью </w:t>
      </w:r>
      <w:r>
        <w:rPr>
          <w:position w:val="-10"/>
          <w:sz w:val="28"/>
          <w:szCs w:val="28"/>
        </w:rPr>
        <w:object>
          <v:shape id="_x0000_i1332" o:spt="75" type="#_x0000_t75" style="height:13.5pt;width:12pt;" o:ole="t" filled="f" o:preferrelative="t" stroked="f" coordsize="21600,21600">
            <v:path/>
            <v:fill on="f" focussize="0,0"/>
            <v:stroke on="f" joinstyle="miter"/>
            <v:imagedata r:id="rId576" o:title=""/>
            <o:lock v:ext="edit" aspectratio="t"/>
            <w10:wrap type="none"/>
            <w10:anchorlock/>
          </v:shape>
          <o:OLEObject Type="Embed" ProgID="Equation.DSMT4" ShapeID="_x0000_i1332" DrawAspect="Content" ObjectID="_1468076039" r:id="rId575">
            <o:LockedField>false</o:LockedField>
          </o:OLEObject>
        </w:object>
      </w:r>
      <w:r>
        <w:rPr>
          <w:rFonts w:eastAsia="Calibri"/>
          <w:sz w:val="28"/>
          <w:szCs w:val="28"/>
          <w:lang w:eastAsia="en-US"/>
        </w:rPr>
        <w:t xml:space="preserve"> и что его полезность </w:t>
      </w:r>
      <w:r>
        <w:rPr>
          <w:position w:val="-12"/>
          <w:sz w:val="28"/>
          <w:szCs w:val="28"/>
        </w:rPr>
        <w:object>
          <v:shape id="_x0000_i1333" o:spt="75" type="#_x0000_t75" style="height:19.5pt;width:16.5pt;" o:ole="t" filled="f" o:preferrelative="t" stroked="f" coordsize="21600,21600">
            <v:path/>
            <v:fill on="f" focussize="0,0"/>
            <v:stroke on="f" joinstyle="miter"/>
            <v:imagedata r:id="rId578" o:title=""/>
            <o:lock v:ext="edit" aspectratio="t"/>
            <w10:wrap type="none"/>
            <w10:anchorlock/>
          </v:shape>
          <o:OLEObject Type="Embed" ProgID="Equation.DSMT4" ShapeID="_x0000_i1333" DrawAspect="Content" ObjectID="_1468076040" r:id="rId577">
            <o:LockedField>false</o:LockedField>
          </o:OLEObject>
        </w:object>
      </w:r>
      <w:r>
        <w:rPr>
          <w:rFonts w:eastAsia="Calibri"/>
          <w:sz w:val="28"/>
          <w:szCs w:val="28"/>
          <w:lang w:eastAsia="en-US"/>
        </w:rPr>
        <w:t xml:space="preserve"> будет пропорциональна разнице объемов кредитов и депозитов:</w:t>
      </w:r>
    </w:p>
    <w:p w14:paraId="41052C1B">
      <w:pPr>
        <w:pStyle w:val="37"/>
        <w:rPr>
          <w:rFonts w:eastAsia="Calibri"/>
          <w:sz w:val="28"/>
          <w:szCs w:val="28"/>
          <w:lang w:eastAsia="en-US"/>
        </w:rPr>
      </w:pPr>
    </w:p>
    <w:p w14:paraId="7E79D821">
      <w:pPr>
        <w:pStyle w:val="38"/>
        <w:spacing w:before="0" w:after="0"/>
        <w:rPr>
          <w:sz w:val="28"/>
          <w:szCs w:val="28"/>
        </w:rPr>
      </w:pPr>
      <w:r>
        <w:rPr>
          <w:sz w:val="28"/>
          <w:szCs w:val="28"/>
        </w:rPr>
        <w:tab/>
      </w:r>
      <w:r>
        <w:rPr>
          <w:sz w:val="28"/>
          <w:szCs w:val="28"/>
        </w:rPr>
        <w:t xml:space="preserve">                                      </w:t>
      </w:r>
      <w:r>
        <w:rPr>
          <w:position w:val="-16"/>
          <w:sz w:val="28"/>
          <w:szCs w:val="28"/>
        </w:rPr>
        <w:object>
          <v:shape id="_x0000_i1334" o:spt="75" type="#_x0000_t75" style="height:21.75pt;width:119.25pt;" o:ole="t" filled="f" o:preferrelative="t" stroked="f" coordsize="21600,21600">
            <v:path/>
            <v:fill on="f" focussize="0,0"/>
            <v:stroke on="f" joinstyle="miter"/>
            <v:imagedata r:id="rId580" o:title=""/>
            <o:lock v:ext="edit" aspectratio="t"/>
            <w10:wrap type="none"/>
            <w10:anchorlock/>
          </v:shape>
          <o:OLEObject Type="Embed" ProgID="Equation.DSMT4" ShapeID="_x0000_i1334" DrawAspect="Content" ObjectID="_1468076041" r:id="rId579">
            <o:LockedField>false</o:LockedField>
          </o:OLEObject>
        </w:object>
      </w:r>
      <w:r>
        <w:rPr>
          <w:sz w:val="28"/>
          <w:szCs w:val="28"/>
        </w:rPr>
        <w:tab/>
      </w:r>
      <w:r>
        <w:rPr>
          <w:sz w:val="28"/>
          <w:szCs w:val="28"/>
        </w:rPr>
        <w:t xml:space="preserve">                                  (33)</w:t>
      </w:r>
    </w:p>
    <w:p w14:paraId="23655F67">
      <w:pPr>
        <w:pStyle w:val="37"/>
        <w:rPr>
          <w:sz w:val="28"/>
          <w:szCs w:val="28"/>
        </w:rPr>
      </w:pPr>
    </w:p>
    <w:p w14:paraId="0309BE2D">
      <w:pPr>
        <w:pStyle w:val="37"/>
        <w:rPr>
          <w:rFonts w:eastAsia="Calibri"/>
          <w:sz w:val="28"/>
          <w:szCs w:val="28"/>
          <w:lang w:eastAsia="en-US"/>
        </w:rPr>
      </w:pPr>
      <w:r>
        <w:rPr>
          <w:rFonts w:eastAsia="Calibri"/>
          <w:sz w:val="28"/>
          <w:szCs w:val="28"/>
          <w:lang w:eastAsia="en-US"/>
        </w:rPr>
        <w:t xml:space="preserve">Банк </w:t>
      </w:r>
      <w:r>
        <w:rPr>
          <w:rFonts w:eastAsia="Calibri"/>
          <w:position w:val="-6"/>
          <w:sz w:val="28"/>
          <w:szCs w:val="28"/>
          <w:lang w:eastAsia="en-US"/>
        </w:rPr>
        <w:object>
          <v:shape id="_x0000_i1335" o:spt="75" type="#_x0000_t75" style="height:13.5pt;width:9.75pt;" o:ole="t" filled="f" o:preferrelative="t" stroked="f" coordsize="21600,21600">
            <v:path/>
            <v:fill on="f" focussize="0,0"/>
            <v:stroke on="f" joinstyle="miter"/>
            <v:imagedata r:id="rId582" o:title=""/>
            <o:lock v:ext="edit" aspectratio="t"/>
            <w10:wrap type="none"/>
            <w10:anchorlock/>
          </v:shape>
          <o:OLEObject Type="Embed" ProgID="Equation.DSMT4" ShapeID="_x0000_i1335" DrawAspect="Content" ObjectID="_1468076042" r:id="rId581">
            <o:LockedField>false</o:LockedField>
          </o:OLEObject>
        </w:object>
      </w:r>
      <w:r>
        <w:rPr>
          <w:rFonts w:eastAsia="Calibri"/>
          <w:sz w:val="28"/>
          <w:szCs w:val="28"/>
          <w:lang w:eastAsia="en-US"/>
        </w:rPr>
        <w:t xml:space="preserve"> готов перевести актив в фонд </w:t>
      </w:r>
      <w:r>
        <w:rPr>
          <w:rFonts w:eastAsia="Calibri"/>
          <w:position w:val="-6"/>
          <w:sz w:val="28"/>
          <w:szCs w:val="28"/>
          <w:lang w:eastAsia="en-US"/>
        </w:rPr>
        <w:object>
          <v:shape id="_x0000_i1336" o:spt="75" type="#_x0000_t75" style="height:13.5pt;width:11.25pt;" o:ole="t" filled="f" o:preferrelative="t" stroked="f" coordsize="21600,21600">
            <v:path/>
            <v:fill on="f" focussize="0,0"/>
            <v:stroke on="f" joinstyle="miter"/>
            <v:imagedata r:id="rId584" o:title=""/>
            <o:lock v:ext="edit" aspectratio="t"/>
            <w10:wrap type="none"/>
            <w10:anchorlock/>
          </v:shape>
          <o:OLEObject Type="Embed" ProgID="Equation.DSMT4" ShapeID="_x0000_i1336" DrawAspect="Content" ObjectID="_1468076043" r:id="rId583">
            <o:LockedField>false</o:LockedField>
          </o:OLEObject>
        </w:object>
      </w:r>
      <w:r>
        <w:rPr>
          <w:rFonts w:eastAsia="Calibri"/>
          <w:sz w:val="28"/>
          <w:szCs w:val="28"/>
          <w:lang w:eastAsia="en-US"/>
        </w:rPr>
        <w:t xml:space="preserve">в момент времени </w:t>
      </w:r>
      <w:r>
        <w:rPr>
          <w:rFonts w:eastAsia="Calibri"/>
          <w:position w:val="-6"/>
          <w:sz w:val="28"/>
          <w:szCs w:val="28"/>
          <w:lang w:eastAsia="en-US"/>
        </w:rPr>
        <w:object>
          <v:shape id="_x0000_i1337" o:spt="75" type="#_x0000_t75" style="height:12pt;width:7.5pt;" o:ole="t" filled="f" o:preferrelative="t" stroked="f" coordsize="21600,21600">
            <v:path/>
            <v:fill on="f" focussize="0,0"/>
            <v:stroke on="f" joinstyle="miter"/>
            <v:imagedata r:id="rId586" o:title=""/>
            <o:lock v:ext="edit" aspectratio="t"/>
            <w10:wrap type="none"/>
            <w10:anchorlock/>
          </v:shape>
          <o:OLEObject Type="Embed" ProgID="Equation.DSMT4" ShapeID="_x0000_i1337" DrawAspect="Content" ObjectID="_1468076044" r:id="rId585">
            <o:LockedField>false</o:LockedField>
          </o:OLEObject>
        </w:object>
      </w:r>
      <w:r>
        <w:rPr>
          <w:rFonts w:eastAsia="Calibri"/>
          <w:sz w:val="28"/>
          <w:szCs w:val="28"/>
          <w:lang w:eastAsia="en-US"/>
        </w:rPr>
        <w:t xml:space="preserve">, только если </w:t>
      </w:r>
      <w:r>
        <w:rPr>
          <w:position w:val="-14"/>
          <w:sz w:val="28"/>
          <w:szCs w:val="28"/>
        </w:rPr>
        <w:object>
          <v:shape id="_x0000_i1338" o:spt="75" type="#_x0000_t75" style="height:20.25pt;width:106.5pt;" o:ole="t" filled="f" o:preferrelative="t" stroked="f" coordsize="21600,21600">
            <v:path/>
            <v:fill on="f" focussize="0,0"/>
            <v:stroke on="f" joinstyle="miter"/>
            <v:imagedata r:id="rId588" o:title=""/>
            <o:lock v:ext="edit" aspectratio="t"/>
            <w10:wrap type="none"/>
            <w10:anchorlock/>
          </v:shape>
          <o:OLEObject Type="Embed" ProgID="Equation.DSMT4" ShapeID="_x0000_i1338" DrawAspect="Content" ObjectID="_1468076045" r:id="rId587">
            <o:LockedField>false</o:LockedField>
          </o:OLEObject>
        </w:object>
      </w:r>
      <w:r>
        <w:rPr>
          <w:rFonts w:eastAsia="Calibri"/>
          <w:sz w:val="28"/>
          <w:szCs w:val="28"/>
          <w:lang w:eastAsia="en-US"/>
        </w:rPr>
        <w:t>. Подстановка (32) и (33) в это условие и приведение подобных дают:</w:t>
      </w:r>
    </w:p>
    <w:p w14:paraId="27D169F7">
      <w:pPr>
        <w:pStyle w:val="37"/>
        <w:rPr>
          <w:rFonts w:eastAsia="Calibri"/>
          <w:sz w:val="28"/>
          <w:szCs w:val="28"/>
          <w:lang w:eastAsia="en-US"/>
        </w:rPr>
      </w:pPr>
    </w:p>
    <w:p w14:paraId="27DAE341">
      <w:pPr>
        <w:pStyle w:val="38"/>
        <w:spacing w:before="0" w:after="0"/>
        <w:rPr>
          <w:sz w:val="28"/>
          <w:szCs w:val="28"/>
        </w:rPr>
      </w:pPr>
      <w:r>
        <w:rPr>
          <w:sz w:val="28"/>
          <w:szCs w:val="28"/>
        </w:rPr>
        <w:tab/>
      </w:r>
      <w:r>
        <w:rPr>
          <w:sz w:val="28"/>
          <w:szCs w:val="28"/>
        </w:rPr>
        <w:t xml:space="preserve">                         </w:t>
      </w:r>
      <w:r>
        <w:rPr>
          <w:position w:val="-16"/>
          <w:sz w:val="28"/>
          <w:szCs w:val="28"/>
        </w:rPr>
        <w:object>
          <v:shape id="_x0000_i1339" o:spt="75" type="#_x0000_t75" style="height:21.75pt;width:122.25pt;" o:ole="t" filled="f" o:preferrelative="t" stroked="f" coordsize="21600,21600">
            <v:path/>
            <v:fill on="f" focussize="0,0"/>
            <v:stroke on="f" joinstyle="miter"/>
            <v:imagedata r:id="rId590" o:title=""/>
            <o:lock v:ext="edit" aspectratio="t"/>
            <w10:wrap type="none"/>
            <w10:anchorlock/>
          </v:shape>
          <o:OLEObject Type="Embed" ProgID="Equation.DSMT4" ShapeID="_x0000_i1339" DrawAspect="Content" ObjectID="_1468076046" r:id="rId589">
            <o:LockedField>false</o:LockedField>
          </o:OLEObject>
        </w:object>
      </w:r>
      <w:r>
        <w:rPr>
          <w:position w:val="-16"/>
          <w:sz w:val="28"/>
          <w:szCs w:val="28"/>
        </w:rPr>
        <w:object>
          <v:shape id="_x0000_i1340" o:spt="75" type="#_x0000_t75" style="height:21.75pt;width:114pt;" o:ole="t" filled="f" o:preferrelative="t" stroked="f" coordsize="21600,21600">
            <v:path/>
            <v:fill on="f" focussize="0,0"/>
            <v:stroke on="f" joinstyle="miter"/>
            <v:imagedata r:id="rId592" o:title=""/>
            <o:lock v:ext="edit" aspectratio="t"/>
            <w10:wrap type="none"/>
            <w10:anchorlock/>
          </v:shape>
          <o:OLEObject Type="Embed" ProgID="Equation.DSMT4" ShapeID="_x0000_i1340" DrawAspect="Content" ObjectID="_1468076047" r:id="rId591">
            <o:LockedField>false</o:LockedField>
          </o:OLEObject>
        </w:object>
      </w:r>
      <w:r>
        <w:rPr>
          <w:sz w:val="28"/>
          <w:szCs w:val="28"/>
        </w:rPr>
        <w:tab/>
      </w:r>
      <w:r>
        <w:rPr>
          <w:sz w:val="28"/>
          <w:szCs w:val="28"/>
        </w:rPr>
        <w:t xml:space="preserve">                         (34)</w:t>
      </w:r>
    </w:p>
    <w:p w14:paraId="134CF9C6">
      <w:pPr>
        <w:pStyle w:val="37"/>
        <w:rPr>
          <w:sz w:val="28"/>
          <w:szCs w:val="28"/>
        </w:rPr>
      </w:pPr>
    </w:p>
    <w:p w14:paraId="0B16ED83">
      <w:pPr>
        <w:pStyle w:val="37"/>
        <w:rPr>
          <w:rFonts w:eastAsia="Calibri"/>
          <w:sz w:val="28"/>
          <w:szCs w:val="28"/>
          <w:lang w:eastAsia="en-US"/>
        </w:rPr>
      </w:pPr>
      <w:r>
        <w:rPr>
          <w:rFonts w:eastAsia="Calibri"/>
          <w:sz w:val="28"/>
          <w:szCs w:val="28"/>
          <w:lang w:eastAsia="en-US"/>
        </w:rPr>
        <w:t xml:space="preserve">Условие (34) утверждает, что </w:t>
      </w:r>
      <w:bookmarkStart w:id="25" w:name="_Hlk3370147"/>
      <w:r>
        <w:rPr>
          <w:rFonts w:eastAsia="Calibri"/>
          <w:sz w:val="28"/>
          <w:szCs w:val="28"/>
          <w:lang w:eastAsia="en-US"/>
        </w:rPr>
        <w:t xml:space="preserve">банк </w:t>
      </w:r>
      <w:r>
        <w:rPr>
          <w:rFonts w:eastAsia="Calibri"/>
          <w:position w:val="-6"/>
          <w:sz w:val="28"/>
          <w:szCs w:val="28"/>
          <w:lang w:eastAsia="en-US"/>
        </w:rPr>
        <w:object>
          <v:shape id="_x0000_i1341" o:spt="75" type="#_x0000_t75" style="height:13.5pt;width:9.75pt;" o:ole="t" filled="f" o:preferrelative="t" stroked="f" coordsize="21600,21600">
            <v:path/>
            <v:fill on="f" focussize="0,0"/>
            <v:stroke on="f" joinstyle="miter"/>
            <v:imagedata r:id="rId594" o:title=""/>
            <o:lock v:ext="edit" aspectratio="t"/>
            <w10:wrap type="none"/>
            <w10:anchorlock/>
          </v:shape>
          <o:OLEObject Type="Embed" ProgID="Equation.DSMT4" ShapeID="_x0000_i1341" DrawAspect="Content" ObjectID="_1468076048" r:id="rId593">
            <o:LockedField>false</o:LockedField>
          </o:OLEObject>
        </w:object>
      </w:r>
      <w:r>
        <w:rPr>
          <w:rFonts w:eastAsia="Calibri"/>
          <w:sz w:val="28"/>
          <w:szCs w:val="28"/>
          <w:lang w:eastAsia="en-US"/>
        </w:rPr>
        <w:t xml:space="preserve"> </w:t>
      </w:r>
      <w:bookmarkEnd w:id="25"/>
      <w:r>
        <w:rPr>
          <w:rFonts w:eastAsia="Calibri"/>
          <w:sz w:val="28"/>
          <w:szCs w:val="28"/>
          <w:lang w:eastAsia="en-US"/>
        </w:rPr>
        <w:t xml:space="preserve">примет решение в пользу схемы «плохого» банка, если его ожидаемые выгоды будут не ниже ожидаемых затрат. Левая часть (34) отражает ожидаемые выгоды банка </w:t>
      </w:r>
      <w:r>
        <w:rPr>
          <w:rFonts w:eastAsia="Calibri"/>
          <w:position w:val="-6"/>
          <w:sz w:val="28"/>
          <w:szCs w:val="28"/>
          <w:lang w:eastAsia="en-US"/>
        </w:rPr>
        <w:object>
          <v:shape id="_x0000_i1342" o:spt="75" type="#_x0000_t75" style="height:13.5pt;width:9.75pt;" o:ole="t" filled="f" o:preferrelative="t" stroked="f" coordsize="21600,21600">
            <v:path/>
            <v:fill on="f" focussize="0,0"/>
            <v:stroke on="f" joinstyle="miter"/>
            <v:imagedata r:id="rId594" o:title=""/>
            <o:lock v:ext="edit" aspectratio="t"/>
            <w10:wrap type="none"/>
            <w10:anchorlock/>
          </v:shape>
          <o:OLEObject Type="Embed" ProgID="Equation.DSMT4" ShapeID="_x0000_i1342" DrawAspect="Content" ObjectID="_1468076049" r:id="rId595">
            <o:LockedField>false</o:LockedField>
          </o:OLEObject>
        </w:object>
      </w:r>
      <w:r>
        <w:rPr>
          <w:rFonts w:eastAsia="Calibri"/>
          <w:sz w:val="28"/>
          <w:szCs w:val="28"/>
          <w:lang w:eastAsia="en-US"/>
        </w:rPr>
        <w:t xml:space="preserve"> от передачи токсичных активов, а правая часть отражает его ожидаемые затраты.</w:t>
      </w:r>
    </w:p>
    <w:p w14:paraId="09A26022">
      <w:pPr>
        <w:pStyle w:val="37"/>
        <w:rPr>
          <w:rFonts w:eastAsia="Calibri"/>
          <w:sz w:val="28"/>
          <w:szCs w:val="28"/>
          <w:lang w:eastAsia="en-US"/>
        </w:rPr>
      </w:pPr>
      <w:r>
        <w:rPr>
          <w:rFonts w:eastAsia="Calibri"/>
          <w:sz w:val="28"/>
          <w:szCs w:val="28"/>
          <w:lang w:eastAsia="en-US"/>
        </w:rPr>
        <w:t xml:space="preserve">Ожидаемые выгоды основаны на объеме полученных государственных облигаций </w:t>
      </w:r>
      <w:r>
        <w:rPr>
          <w:position w:val="-14"/>
          <w:sz w:val="28"/>
          <w:szCs w:val="28"/>
        </w:rPr>
        <w:object>
          <v:shape id="_x0000_i1343" o:spt="75" type="#_x0000_t75" style="height:20.25pt;width:34.5pt;" o:ole="t" filled="f" o:preferrelative="t" stroked="f" coordsize="21600,21600">
            <v:path/>
            <v:fill on="f" focussize="0,0"/>
            <v:stroke on="f" joinstyle="miter"/>
            <v:imagedata r:id="rId597" o:title=""/>
            <o:lock v:ext="edit" aspectratio="t"/>
            <w10:wrap type="none"/>
            <w10:anchorlock/>
          </v:shape>
          <o:OLEObject Type="Embed" ProgID="Equation.DSMT4" ShapeID="_x0000_i1343" DrawAspect="Content" ObjectID="_1468076050" r:id="rId596">
            <o:LockedField>false</o:LockedField>
          </o:OLEObject>
        </w:object>
      </w:r>
      <w:r>
        <w:rPr>
          <w:rFonts w:eastAsia="Calibri"/>
          <w:sz w:val="28"/>
          <w:szCs w:val="28"/>
          <w:lang w:eastAsia="en-US"/>
        </w:rPr>
        <w:t xml:space="preserve"> и потенциальной доходности </w:t>
      </w:r>
      <w:r>
        <w:rPr>
          <w:position w:val="-14"/>
          <w:sz w:val="28"/>
          <w:szCs w:val="28"/>
        </w:rPr>
        <w:object>
          <v:shape id="_x0000_i1344" o:spt="75" type="#_x0000_t75" style="height:20.25pt;width:47.25pt;" o:ole="t" filled="f" o:preferrelative="t" stroked="f" coordsize="21600,21600">
            <v:path/>
            <v:fill on="f" focussize="0,0"/>
            <v:stroke on="f" joinstyle="miter"/>
            <v:imagedata r:id="rId599" o:title=""/>
            <o:lock v:ext="edit" aspectratio="t"/>
            <w10:wrap type="none"/>
            <w10:anchorlock/>
          </v:shape>
          <o:OLEObject Type="Embed" ProgID="Equation.DSMT4" ShapeID="_x0000_i1344" DrawAspect="Content" ObjectID="_1468076051" r:id="rId598">
            <o:LockedField>false</o:LockedField>
          </o:OLEObject>
        </w:object>
      </w:r>
      <w:r>
        <w:rPr>
          <w:sz w:val="28"/>
          <w:szCs w:val="28"/>
        </w:rPr>
        <w:t xml:space="preserve"> </w:t>
      </w:r>
      <w:r>
        <w:rPr>
          <w:rFonts w:eastAsia="Calibri"/>
          <w:sz w:val="28"/>
          <w:szCs w:val="28"/>
          <w:lang w:eastAsia="en-US"/>
        </w:rPr>
        <w:t xml:space="preserve">от вновь выданных кредитов. Банк </w:t>
      </w:r>
      <w:r>
        <w:rPr>
          <w:rFonts w:eastAsia="Calibri"/>
          <w:position w:val="-6"/>
          <w:sz w:val="28"/>
          <w:szCs w:val="28"/>
          <w:lang w:eastAsia="en-US"/>
        </w:rPr>
        <w:object>
          <v:shape id="_x0000_i1345" o:spt="75" type="#_x0000_t75" style="height:13.5pt;width:9.75pt;" o:ole="t" filled="f" o:preferrelative="t" stroked="f" coordsize="21600,21600">
            <v:path/>
            <v:fill on="f" focussize="0,0"/>
            <v:stroke on="f" joinstyle="miter"/>
            <v:imagedata r:id="rId601" o:title=""/>
            <o:lock v:ext="edit" aspectratio="t"/>
            <w10:wrap type="none"/>
            <w10:anchorlock/>
          </v:shape>
          <o:OLEObject Type="Embed" ProgID="Equation.DSMT4" ShapeID="_x0000_i1345" DrawAspect="Content" ObjectID="_1468076052" r:id="rId600">
            <o:LockedField>false</o:LockedField>
          </o:OLEObject>
        </w:object>
      </w:r>
      <w:r>
        <w:rPr>
          <w:rFonts w:eastAsia="Calibri"/>
          <w:sz w:val="28"/>
          <w:szCs w:val="28"/>
          <w:lang w:eastAsia="en-US"/>
        </w:rPr>
        <w:t xml:space="preserve"> получит выгоду от обеих частей только в случае успеха новых ссуд, в противном случае банк </w:t>
      </w:r>
      <w:r>
        <w:rPr>
          <w:rFonts w:eastAsia="Calibri"/>
          <w:position w:val="-6"/>
          <w:sz w:val="28"/>
          <w:szCs w:val="28"/>
          <w:lang w:eastAsia="en-US"/>
        </w:rPr>
        <w:object>
          <v:shape id="_x0000_i1346" o:spt="75" type="#_x0000_t75" style="height:13.5pt;width:9.75pt;" o:ole="t" filled="f" o:preferrelative="t" stroked="f" coordsize="21600,21600">
            <v:path/>
            <v:fill on="f" focussize="0,0"/>
            <v:stroke on="f" joinstyle="miter"/>
            <v:imagedata r:id="rId601" o:title=""/>
            <o:lock v:ext="edit" aspectratio="t"/>
            <w10:wrap type="none"/>
            <w10:anchorlock/>
          </v:shape>
          <o:OLEObject Type="Embed" ProgID="Equation.DSMT4" ShapeID="_x0000_i1346" DrawAspect="Content" ObjectID="_1468076053" r:id="rId602">
            <o:LockedField>false</o:LockedField>
          </o:OLEObject>
        </w:object>
      </w:r>
      <w:r>
        <w:rPr>
          <w:rFonts w:eastAsia="Calibri"/>
          <w:sz w:val="28"/>
          <w:szCs w:val="28"/>
          <w:lang w:eastAsia="en-US"/>
        </w:rPr>
        <w:t xml:space="preserve"> окажется неплатежеспособным, так что государственные облигации </w:t>
      </w:r>
      <w:r>
        <w:rPr>
          <w:position w:val="-14"/>
          <w:sz w:val="28"/>
          <w:szCs w:val="28"/>
        </w:rPr>
        <w:object>
          <v:shape id="_x0000_i1347" o:spt="75" type="#_x0000_t75" style="height:20.25pt;width:34.5pt;" o:ole="t" filled="f" o:preferrelative="t" stroked="f" coordsize="21600,21600">
            <v:path/>
            <v:fill on="f" focussize="0,0"/>
            <v:stroke on="f" joinstyle="miter"/>
            <v:imagedata r:id="rId604" o:title=""/>
            <o:lock v:ext="edit" aspectratio="t"/>
            <w10:wrap type="none"/>
            <w10:anchorlock/>
          </v:shape>
          <o:OLEObject Type="Embed" ProgID="Equation.DSMT4" ShapeID="_x0000_i1347" DrawAspect="Content" ObjectID="_1468076054" r:id="rId603">
            <o:LockedField>false</o:LockedField>
          </o:OLEObject>
        </w:object>
      </w:r>
      <w:r>
        <w:rPr>
          <w:rFonts w:eastAsia="Calibri"/>
          <w:sz w:val="28"/>
          <w:szCs w:val="28"/>
          <w:lang w:eastAsia="en-US"/>
        </w:rPr>
        <w:t xml:space="preserve"> будут использоваться для выплат вкладчикам, а новые займы ничего не дадут. Поэтому, </w:t>
      </w:r>
      <w:r>
        <w:rPr>
          <w:position w:val="-14"/>
          <w:sz w:val="28"/>
          <w:szCs w:val="28"/>
        </w:rPr>
        <w:object>
          <v:shape id="_x0000_i1348" o:spt="75" type="#_x0000_t75" style="height:20.25pt;width:34.5pt;" o:ole="t" filled="f" o:preferrelative="t" stroked="f" coordsize="21600,21600">
            <v:path/>
            <v:fill on="f" focussize="0,0"/>
            <v:stroke on="f" joinstyle="miter"/>
            <v:imagedata r:id="rId606" o:title=""/>
            <o:lock v:ext="edit" aspectratio="t"/>
            <w10:wrap type="none"/>
            <w10:anchorlock/>
          </v:shape>
          <o:OLEObject Type="Embed" ProgID="Equation.DSMT4" ShapeID="_x0000_i1348" DrawAspect="Content" ObjectID="_1468076055" r:id="rId605">
            <o:LockedField>false</o:LockedField>
          </o:OLEObject>
        </w:object>
      </w:r>
      <w:r>
        <w:rPr>
          <w:rFonts w:eastAsia="Calibri"/>
          <w:sz w:val="28"/>
          <w:szCs w:val="28"/>
          <w:lang w:eastAsia="en-US"/>
        </w:rPr>
        <w:t xml:space="preserve"> и </w:t>
      </w:r>
      <w:r>
        <w:rPr>
          <w:position w:val="-12"/>
          <w:sz w:val="28"/>
          <w:szCs w:val="28"/>
        </w:rPr>
        <w:object>
          <v:shape id="_x0000_i1349" o:spt="75" type="#_x0000_t75" style="height:19.5pt;width:30.75pt;" o:ole="t" filled="f" o:preferrelative="t" stroked="f" coordsize="21600,21600">
            <v:path/>
            <v:fill on="f" focussize="0,0"/>
            <v:stroke on="f" joinstyle="miter"/>
            <v:imagedata r:id="rId608" o:title=""/>
            <o:lock v:ext="edit" aspectratio="t"/>
            <w10:wrap type="none"/>
            <w10:anchorlock/>
          </v:shape>
          <o:OLEObject Type="Embed" ProgID="Equation.DSMT4" ShapeID="_x0000_i1349" DrawAspect="Content" ObjectID="_1468076056" r:id="rId607">
            <o:LockedField>false</o:LockedField>
          </o:OLEObject>
        </w:object>
      </w:r>
      <w:r>
        <w:rPr>
          <w:rFonts w:eastAsia="Calibri"/>
          <w:sz w:val="28"/>
          <w:szCs w:val="28"/>
          <w:lang w:eastAsia="en-US"/>
        </w:rPr>
        <w:t xml:space="preserve"> нужно умножить на вероятность успеха по вновь выданным кредитам </w:t>
      </w:r>
      <w:r>
        <w:rPr>
          <w:position w:val="-10"/>
          <w:sz w:val="28"/>
          <w:szCs w:val="28"/>
        </w:rPr>
        <w:object>
          <v:shape id="_x0000_i1350" o:spt="75" type="#_x0000_t75" style="height:18.75pt;width:15.75pt;" o:ole="t" filled="f" o:preferrelative="t" stroked="f" coordsize="21600,21600">
            <v:path/>
            <v:fill on="f" focussize="0,0"/>
            <v:stroke on="f" joinstyle="miter"/>
            <v:imagedata r:id="rId610" o:title=""/>
            <o:lock v:ext="edit" aspectratio="t"/>
            <w10:wrap type="none"/>
            <w10:anchorlock/>
          </v:shape>
          <o:OLEObject Type="Embed" ProgID="Equation.DSMT4" ShapeID="_x0000_i1350" DrawAspect="Content" ObjectID="_1468076057" r:id="rId609">
            <o:LockedField>false</o:LockedField>
          </o:OLEObject>
        </w:object>
      </w:r>
      <w:r>
        <w:rPr>
          <w:rFonts w:eastAsia="Calibri"/>
          <w:sz w:val="28"/>
          <w:szCs w:val="28"/>
          <w:lang w:eastAsia="en-US"/>
        </w:rPr>
        <w:t xml:space="preserve">. </w:t>
      </w:r>
    </w:p>
    <w:p w14:paraId="354EABE7">
      <w:pPr>
        <w:pStyle w:val="37"/>
        <w:rPr>
          <w:rFonts w:eastAsia="Calibri"/>
          <w:sz w:val="28"/>
          <w:szCs w:val="28"/>
          <w:lang w:eastAsia="en-US"/>
        </w:rPr>
      </w:pPr>
      <w:r>
        <w:rPr>
          <w:rFonts w:eastAsia="Calibri"/>
          <w:sz w:val="28"/>
          <w:szCs w:val="28"/>
          <w:lang w:eastAsia="en-US"/>
        </w:rPr>
        <w:t xml:space="preserve">Ожидаемые затраты состоят из предопределенной ожидаемой (валовой) доходности </w:t>
      </w:r>
      <w:r>
        <w:rPr>
          <w:position w:val="-10"/>
          <w:sz w:val="28"/>
          <w:szCs w:val="28"/>
        </w:rPr>
        <w:object>
          <v:shape id="_x0000_i1351" o:spt="75" type="#_x0000_t75" style="height:18.75pt;width:24.75pt;" o:ole="t" filled="f" o:preferrelative="t" stroked="f" coordsize="21600,21600">
            <v:path/>
            <v:fill on="f" focussize="0,0"/>
            <v:stroke on="f" joinstyle="miter"/>
            <v:imagedata r:id="rId612" o:title=""/>
            <o:lock v:ext="edit" aspectratio="t"/>
            <w10:wrap type="none"/>
            <w10:anchorlock/>
          </v:shape>
          <o:OLEObject Type="Embed" ProgID="Equation.DSMT4" ShapeID="_x0000_i1351" DrawAspect="Content" ObjectID="_1468076058" r:id="rId611">
            <o:LockedField>false</o:LockedField>
          </o:OLEObject>
        </w:object>
      </w:r>
      <w:r>
        <w:rPr>
          <w:rFonts w:eastAsia="Calibri"/>
          <w:sz w:val="28"/>
          <w:szCs w:val="28"/>
          <w:lang w:eastAsia="en-US"/>
        </w:rPr>
        <w:t xml:space="preserve"> проблемного  актива, увеличения ожидаемых старых обязательств </w:t>
      </w:r>
      <w:r>
        <w:rPr>
          <w:position w:val="-16"/>
          <w:sz w:val="28"/>
          <w:szCs w:val="28"/>
        </w:rPr>
        <w:object>
          <v:shape id="_x0000_i1352" o:spt="75" type="#_x0000_t75" style="height:22.5pt;width:58.5pt;" o:ole="t" filled="f" o:preferrelative="t" stroked="f" coordsize="21600,21600">
            <v:path/>
            <v:fill on="f" focussize="0,0"/>
            <v:stroke on="f" joinstyle="miter"/>
            <v:imagedata r:id="rId614" o:title=""/>
            <o:lock v:ext="edit" aspectratio="t"/>
            <w10:wrap type="none"/>
            <w10:anchorlock/>
          </v:shape>
          <o:OLEObject Type="Embed" ProgID="Equation.DSMT4" ShapeID="_x0000_i1352" DrawAspect="Content" ObjectID="_1468076059" r:id="rId613">
            <o:LockedField>false</o:LockedField>
          </o:OLEObject>
        </w:object>
      </w:r>
      <w:r>
        <w:rPr>
          <w:rFonts w:eastAsia="Calibri"/>
          <w:sz w:val="28"/>
          <w:szCs w:val="28"/>
          <w:lang w:eastAsia="en-US"/>
        </w:rPr>
        <w:t xml:space="preserve"> и издержек потери репутации </w:t>
      </w:r>
      <w:r>
        <w:rPr>
          <w:position w:val="-6"/>
          <w:sz w:val="28"/>
          <w:szCs w:val="28"/>
        </w:rPr>
        <w:object>
          <v:shape id="_x0000_i1353" o:spt="75" type="#_x0000_t75" style="height:11.25pt;width:12pt;" o:ole="t" filled="f" o:preferrelative="t" stroked="f" coordsize="21600,21600">
            <v:path/>
            <v:fill on="f" focussize="0,0"/>
            <v:stroke on="f" joinstyle="miter"/>
            <v:imagedata r:id="rId616" o:title=""/>
            <o:lock v:ext="edit" aspectratio="t"/>
            <w10:wrap type="none"/>
            <w10:anchorlock/>
          </v:shape>
          <o:OLEObject Type="Embed" ProgID="Equation.DSMT4" ShapeID="_x0000_i1353" DrawAspect="Content" ObjectID="_1468076060" r:id="rId615">
            <o:LockedField>false</o:LockedField>
          </o:OLEObject>
        </w:object>
      </w:r>
      <w:r>
        <w:rPr>
          <w:rFonts w:eastAsia="Calibri"/>
          <w:sz w:val="28"/>
          <w:szCs w:val="28"/>
          <w:lang w:eastAsia="en-US"/>
        </w:rPr>
        <w:t xml:space="preserve">. </w:t>
      </w:r>
    </w:p>
    <w:p w14:paraId="2625958F">
      <w:pPr>
        <w:pStyle w:val="37"/>
        <w:rPr>
          <w:rFonts w:eastAsia="Calibri"/>
          <w:sz w:val="28"/>
          <w:szCs w:val="28"/>
          <w:lang w:eastAsia="en-US"/>
        </w:rPr>
      </w:pPr>
      <w:r>
        <w:rPr>
          <w:rFonts w:eastAsia="Calibri"/>
          <w:sz w:val="28"/>
          <w:szCs w:val="28"/>
          <w:lang w:eastAsia="en-US"/>
        </w:rPr>
        <w:t xml:space="preserve">Ожидается увеличение старых обязательств на </w:t>
      </w:r>
      <w:r>
        <w:rPr>
          <w:position w:val="-16"/>
          <w:sz w:val="28"/>
          <w:szCs w:val="28"/>
        </w:rPr>
        <w:object>
          <v:shape id="_x0000_i1354" o:spt="75" type="#_x0000_t75" style="height:22.5pt;width:58.5pt;" o:ole="t" filled="f" o:preferrelative="t" stroked="f" coordsize="21600,21600">
            <v:path/>
            <v:fill on="f" focussize="0,0"/>
            <v:stroke on="f" joinstyle="miter"/>
            <v:imagedata r:id="rId618" o:title=""/>
            <o:lock v:ext="edit" aspectratio="t"/>
            <w10:wrap type="none"/>
            <w10:anchorlock/>
          </v:shape>
          <o:OLEObject Type="Embed" ProgID="Equation.DSMT4" ShapeID="_x0000_i1354" DrawAspect="Content" ObjectID="_1468076061" r:id="rId617">
            <o:LockedField>false</o:LockedField>
          </o:OLEObject>
        </w:object>
      </w:r>
      <w:r>
        <w:rPr>
          <w:rFonts w:eastAsia="Calibri"/>
          <w:sz w:val="28"/>
          <w:szCs w:val="28"/>
          <w:lang w:eastAsia="en-US"/>
        </w:rPr>
        <w:t xml:space="preserve">, потому что если банк участвует в схеме 1 (безвозвратной продаже), то вероятность платежеспособности банка увеличится со значения </w:t>
      </w:r>
      <w:r>
        <w:rPr>
          <w:position w:val="-10"/>
          <w:sz w:val="28"/>
          <w:szCs w:val="28"/>
        </w:rPr>
        <w:object>
          <v:shape id="_x0000_i1355" o:spt="75" type="#_x0000_t75" style="height:13.5pt;width:12pt;" o:ole="t" filled="f" o:preferrelative="t" stroked="f" coordsize="21600,21600">
            <v:path/>
            <v:fill on="f" focussize="0,0"/>
            <v:stroke on="f" joinstyle="miter"/>
            <v:imagedata r:id="rId620" o:title=""/>
            <o:lock v:ext="edit" aspectratio="t"/>
            <w10:wrap type="none"/>
            <w10:anchorlock/>
          </v:shape>
          <o:OLEObject Type="Embed" ProgID="Equation.DSMT4" ShapeID="_x0000_i1355" DrawAspect="Content" ObjectID="_1468076062" r:id="rId619">
            <o:LockedField>false</o:LockedField>
          </o:OLEObject>
        </w:object>
      </w:r>
      <w:r>
        <w:rPr>
          <w:rFonts w:eastAsia="Calibri"/>
          <w:sz w:val="28"/>
          <w:szCs w:val="28"/>
          <w:lang w:eastAsia="en-US"/>
        </w:rPr>
        <w:t xml:space="preserve"> до значения </w:t>
      </w:r>
      <w:r>
        <w:rPr>
          <w:position w:val="-10"/>
          <w:sz w:val="28"/>
          <w:szCs w:val="28"/>
        </w:rPr>
        <w:object>
          <v:shape id="_x0000_i1356" o:spt="75" type="#_x0000_t75" style="height:18.75pt;width:15.75pt;" o:ole="t" filled="f" o:preferrelative="t" stroked="f" coordsize="21600,21600">
            <v:path/>
            <v:fill on="f" focussize="0,0"/>
            <v:stroke on="f" joinstyle="miter"/>
            <v:imagedata r:id="rId622" o:title=""/>
            <o:lock v:ext="edit" aspectratio="t"/>
            <w10:wrap type="none"/>
            <w10:anchorlock/>
          </v:shape>
          <o:OLEObject Type="Embed" ProgID="Equation.DSMT4" ShapeID="_x0000_i1356" DrawAspect="Content" ObjectID="_1468076063" r:id="rId621">
            <o:LockedField>false</o:LockedField>
          </o:OLEObject>
        </w:object>
      </w:r>
      <w:r>
        <w:rPr>
          <w:sz w:val="28"/>
          <w:szCs w:val="28"/>
        </w:rPr>
        <w:t xml:space="preserve">. </w:t>
      </w:r>
      <w:r>
        <w:rPr>
          <w:rFonts w:eastAsia="Calibri"/>
          <w:sz w:val="28"/>
          <w:szCs w:val="28"/>
          <w:lang w:eastAsia="en-US"/>
        </w:rPr>
        <w:t>Вставив условие (39) леммы 1 в условие (34) и приведя подобные, получим</w:t>
      </w:r>
    </w:p>
    <w:p w14:paraId="0AE76439">
      <w:pPr>
        <w:pStyle w:val="37"/>
        <w:rPr>
          <w:rFonts w:eastAsia="Calibri"/>
          <w:sz w:val="28"/>
          <w:szCs w:val="28"/>
          <w:lang w:eastAsia="en-US"/>
        </w:rPr>
      </w:pPr>
      <w:r>
        <w:rPr>
          <w:rFonts w:eastAsia="Calibri"/>
          <w:b/>
          <w:sz w:val="28"/>
          <w:szCs w:val="28"/>
          <w:lang w:eastAsia="en-US"/>
        </w:rPr>
        <w:t>Утверждение 2</w:t>
      </w:r>
      <w:r>
        <w:rPr>
          <w:rFonts w:eastAsia="Calibri"/>
          <w:sz w:val="28"/>
          <w:szCs w:val="28"/>
          <w:lang w:eastAsia="en-US"/>
        </w:rPr>
        <w:t xml:space="preserve">: </w:t>
      </w:r>
      <w:r>
        <w:rPr>
          <w:rFonts w:eastAsia="Calibri"/>
          <w:i/>
          <w:sz w:val="28"/>
          <w:szCs w:val="28"/>
          <w:lang w:eastAsia="en-US"/>
        </w:rPr>
        <w:t xml:space="preserve">При использовании схемы 1 с безвозвратной продажей «плохой» банк </w:t>
      </w:r>
      <m:oMath>
        <m:r>
          <m:rPr/>
          <w:rPr>
            <w:rFonts w:ascii="Cambria Math" w:hAnsi="Cambria Math" w:eastAsia="Calibri"/>
            <w:sz w:val="28"/>
            <w:szCs w:val="28"/>
            <w:lang w:eastAsia="en-US"/>
          </w:rPr>
          <m:t>b</m:t>
        </m:r>
      </m:oMath>
      <w:r>
        <w:rPr>
          <w:rFonts w:eastAsia="Calibri"/>
          <w:i/>
          <w:sz w:val="28"/>
          <w:szCs w:val="28"/>
          <w:lang w:eastAsia="en-US"/>
        </w:rPr>
        <w:t xml:space="preserve"> переводит токсичные активы в фонд проблемных активов </w:t>
      </w:r>
      <m:oMath>
        <m:r>
          <m:rPr/>
          <w:rPr>
            <w:rFonts w:ascii="Cambria Math" w:hAnsi="Cambria Math" w:eastAsia="Calibri"/>
            <w:sz w:val="28"/>
            <w:szCs w:val="28"/>
            <w:lang w:eastAsia="en-US"/>
          </w:rPr>
          <m:t>d</m:t>
        </m:r>
      </m:oMath>
      <w:r>
        <w:rPr>
          <w:rFonts w:eastAsia="Calibri"/>
          <w:i/>
          <w:sz w:val="28"/>
          <w:szCs w:val="28"/>
          <w:lang w:eastAsia="en-US"/>
        </w:rPr>
        <w:t xml:space="preserve">, и вероятность платежеспособности банка увеличится с </w:t>
      </w:r>
      <w:r>
        <w:rPr>
          <w:i/>
          <w:position w:val="-10"/>
          <w:sz w:val="28"/>
          <w:szCs w:val="28"/>
        </w:rPr>
        <w:object>
          <v:shape id="_x0000_i1357" o:spt="75" type="#_x0000_t75" style="height:13.5pt;width:12pt;" o:ole="t" filled="f" o:preferrelative="t" stroked="f" coordsize="21600,21600">
            <v:path/>
            <v:fill on="f" focussize="0,0"/>
            <v:stroke on="f" joinstyle="miter"/>
            <v:imagedata r:id="rId620" o:title=""/>
            <o:lock v:ext="edit" aspectratio="t"/>
            <w10:wrap type="none"/>
            <w10:anchorlock/>
          </v:shape>
          <o:OLEObject Type="Embed" ProgID="Equation.DSMT4" ShapeID="_x0000_i1357" DrawAspect="Content" ObjectID="_1468076064" r:id="rId623">
            <o:LockedField>false</o:LockedField>
          </o:OLEObject>
        </w:object>
      </w:r>
      <w:r>
        <w:rPr>
          <w:rFonts w:eastAsia="Calibri"/>
          <w:i/>
          <w:sz w:val="28"/>
          <w:szCs w:val="28"/>
          <w:lang w:eastAsia="en-US"/>
        </w:rPr>
        <w:t xml:space="preserve"> до </w:t>
      </w:r>
      <w:r>
        <w:rPr>
          <w:i/>
          <w:position w:val="-10"/>
          <w:sz w:val="28"/>
          <w:szCs w:val="28"/>
        </w:rPr>
        <w:object>
          <v:shape id="_x0000_i1358" o:spt="75" type="#_x0000_t75" style="height:18.75pt;width:15.75pt;" o:ole="t" filled="f" o:preferrelative="t" stroked="f" coordsize="21600,21600">
            <v:path/>
            <v:fill on="f" focussize="0,0"/>
            <v:stroke on="f" joinstyle="miter"/>
            <v:imagedata r:id="rId625" o:title=""/>
            <o:lock v:ext="edit" aspectratio="t"/>
            <w10:wrap type="none"/>
            <w10:anchorlock/>
          </v:shape>
          <o:OLEObject Type="Embed" ProgID="Equation.DSMT4" ShapeID="_x0000_i1358" DrawAspect="Content" ObjectID="_1468076065" r:id="rId624">
            <o:LockedField>false</o:LockedField>
          </o:OLEObject>
        </w:object>
      </w:r>
      <w:r>
        <w:rPr>
          <w:rFonts w:eastAsia="Calibri"/>
          <w:i/>
          <w:sz w:val="28"/>
          <w:szCs w:val="28"/>
          <w:lang w:eastAsia="en-US"/>
        </w:rPr>
        <w:t>, только в том случае, если</w:t>
      </w:r>
      <w:r>
        <w:rPr>
          <w:rFonts w:eastAsia="Calibri"/>
          <w:sz w:val="28"/>
          <w:szCs w:val="28"/>
          <w:lang w:eastAsia="en-US"/>
        </w:rPr>
        <w:t xml:space="preserve"> </w:t>
      </w:r>
    </w:p>
    <w:p w14:paraId="69FC86F1">
      <w:pPr>
        <w:pStyle w:val="37"/>
        <w:rPr>
          <w:rFonts w:eastAsia="Calibri"/>
          <w:sz w:val="28"/>
          <w:szCs w:val="28"/>
          <w:lang w:eastAsia="en-US"/>
        </w:rPr>
      </w:pPr>
    </w:p>
    <w:p w14:paraId="17D1BA26">
      <w:pPr>
        <w:pStyle w:val="38"/>
        <w:spacing w:before="0" w:after="0"/>
        <w:rPr>
          <w:sz w:val="28"/>
          <w:szCs w:val="28"/>
        </w:rPr>
      </w:pPr>
      <w:r>
        <w:rPr>
          <w:sz w:val="28"/>
          <w:szCs w:val="28"/>
        </w:rPr>
        <w:tab/>
      </w:r>
      <w:r>
        <w:rPr>
          <w:sz w:val="28"/>
          <w:szCs w:val="28"/>
        </w:rPr>
        <w:t xml:space="preserve">            </w:t>
      </w:r>
      <w:r>
        <w:rPr>
          <w:position w:val="-16"/>
          <w:sz w:val="28"/>
          <w:szCs w:val="28"/>
        </w:rPr>
        <w:object>
          <v:shape id="_x0000_i1359" o:spt="75" type="#_x0000_t75" style="height:21.75pt;width:202.5pt;" o:ole="t" filled="f" o:preferrelative="t" stroked="f" coordsize="21600,21600">
            <v:path/>
            <v:fill on="f" focussize="0,0"/>
            <v:stroke on="f" joinstyle="miter"/>
            <v:imagedata r:id="rId627" o:title=""/>
            <o:lock v:ext="edit" aspectratio="t"/>
            <w10:wrap type="none"/>
            <w10:anchorlock/>
          </v:shape>
          <o:OLEObject Type="Embed" ProgID="Equation.DSMT4" ShapeID="_x0000_i1359" DrawAspect="Content" ObjectID="_1468076066" r:id="rId626">
            <o:LockedField>false</o:LockedField>
          </o:OLEObject>
        </w:object>
      </w:r>
      <w:r>
        <w:rPr>
          <w:sz w:val="28"/>
          <w:szCs w:val="28"/>
        </w:rPr>
        <w:t>,</w:t>
      </w:r>
      <w:r>
        <w:rPr>
          <w:sz w:val="28"/>
          <w:szCs w:val="28"/>
        </w:rPr>
        <w:tab/>
      </w:r>
      <w:r>
        <w:rPr>
          <w:sz w:val="28"/>
          <w:szCs w:val="28"/>
        </w:rPr>
        <w:t xml:space="preserve">                                      (35)</w:t>
      </w:r>
    </w:p>
    <w:p w14:paraId="63DEFB2D">
      <w:pPr>
        <w:pStyle w:val="37"/>
        <w:ind w:firstLine="0"/>
        <w:rPr>
          <w:i/>
          <w:sz w:val="28"/>
          <w:szCs w:val="28"/>
        </w:rPr>
      </w:pPr>
      <w:r>
        <w:rPr>
          <w:i/>
          <w:sz w:val="28"/>
          <w:szCs w:val="28"/>
        </w:rPr>
        <w:t>где</w:t>
      </w:r>
    </w:p>
    <w:p w14:paraId="7C56D01A">
      <w:pPr>
        <w:pStyle w:val="38"/>
        <w:spacing w:before="0" w:after="0"/>
        <w:rPr>
          <w:sz w:val="28"/>
          <w:szCs w:val="28"/>
        </w:rPr>
      </w:pPr>
      <w:r>
        <w:rPr>
          <w:sz w:val="28"/>
          <w:szCs w:val="28"/>
        </w:rPr>
        <w:tab/>
      </w:r>
      <w:r>
        <w:rPr>
          <w:sz w:val="28"/>
          <w:szCs w:val="28"/>
        </w:rPr>
        <w:t xml:space="preserve">                    </w:t>
      </w:r>
      <w:r>
        <w:rPr>
          <w:position w:val="-16"/>
          <w:sz w:val="28"/>
          <w:szCs w:val="28"/>
        </w:rPr>
        <w:object>
          <v:shape id="_x0000_i1360" o:spt="75" type="#_x0000_t75" style="height:21.75pt;width:210pt;" o:ole="t" filled="f" o:preferrelative="t" stroked="f" coordsize="21600,21600">
            <v:path/>
            <v:fill on="f" focussize="0,0"/>
            <v:stroke on="f" joinstyle="miter"/>
            <v:imagedata r:id="rId629" o:title=""/>
            <o:lock v:ext="edit" aspectratio="t"/>
            <w10:wrap type="none"/>
            <w10:anchorlock/>
          </v:shape>
          <o:OLEObject Type="Embed" ProgID="Equation.DSMT4" ShapeID="_x0000_i1360" DrawAspect="Content" ObjectID="_1468076067" r:id="rId628">
            <o:LockedField>false</o:LockedField>
          </o:OLEObject>
        </w:object>
      </w:r>
      <w:r>
        <w:rPr>
          <w:sz w:val="28"/>
          <w:szCs w:val="28"/>
        </w:rPr>
        <w:tab/>
      </w:r>
      <w:r>
        <w:rPr>
          <w:sz w:val="28"/>
          <w:szCs w:val="28"/>
        </w:rPr>
        <w:t xml:space="preserve">                                  (36)</w:t>
      </w:r>
    </w:p>
    <w:p w14:paraId="297A5EB9">
      <w:pPr>
        <w:pStyle w:val="37"/>
        <w:ind w:firstLine="0"/>
        <w:rPr>
          <w:i/>
          <w:sz w:val="28"/>
          <w:szCs w:val="28"/>
        </w:rPr>
      </w:pPr>
    </w:p>
    <w:p w14:paraId="56909AA0">
      <w:pPr>
        <w:pStyle w:val="37"/>
        <w:rPr>
          <w:rFonts w:eastAsia="Calibri"/>
          <w:sz w:val="28"/>
          <w:szCs w:val="28"/>
          <w:lang w:eastAsia="en-US"/>
        </w:rPr>
      </w:pPr>
      <w:r>
        <w:rPr>
          <w:rFonts w:eastAsia="Calibri"/>
          <w:sz w:val="28"/>
          <w:szCs w:val="28"/>
          <w:lang w:eastAsia="en-US"/>
        </w:rPr>
        <w:t xml:space="preserve">Утверждение 2 констатирует, что банк </w:t>
      </w:r>
      <m:oMath>
        <m:r>
          <m:rPr/>
          <w:rPr>
            <w:rFonts w:ascii="Cambria Math" w:hAnsi="Cambria Math" w:eastAsia="Calibri"/>
            <w:sz w:val="28"/>
            <w:szCs w:val="28"/>
            <w:lang w:eastAsia="en-US"/>
          </w:rPr>
          <m:t>b</m:t>
        </m:r>
      </m:oMath>
      <w:r>
        <w:rPr>
          <w:rFonts w:eastAsia="Calibri"/>
          <w:sz w:val="28"/>
          <w:szCs w:val="28"/>
          <w:lang w:eastAsia="en-US"/>
        </w:rPr>
        <w:t xml:space="preserve"> будет использовать перевод активов в фонд только в том случае, если он получит достаточно государственных облигаций в обмен на токсичные активы. Трансферный платеж </w:t>
      </w:r>
      <w:r>
        <w:rPr>
          <w:position w:val="-4"/>
          <w:sz w:val="28"/>
          <w:szCs w:val="28"/>
        </w:rPr>
        <w:object>
          <v:shape id="_x0000_i1361" o:spt="75" type="#_x0000_t75" style="height:15.75pt;width:20.25pt;" o:ole="t" filled="f" o:preferrelative="t" stroked="f" coordsize="21600,21600">
            <v:path/>
            <v:fill on="f" focussize="0,0"/>
            <v:stroke on="f" joinstyle="miter"/>
            <v:imagedata r:id="rId631" o:title=""/>
            <o:lock v:ext="edit" aspectratio="t"/>
            <w10:wrap type="none"/>
            <w10:anchorlock/>
          </v:shape>
          <o:OLEObject Type="Embed" ProgID="Equation.DSMT4" ShapeID="_x0000_i1361" DrawAspect="Content" ObjectID="_1468076068" r:id="rId630">
            <o:LockedField>false</o:LockedField>
          </o:OLEObject>
        </w:object>
      </w:r>
      <w:r>
        <w:rPr>
          <w:rFonts w:eastAsia="Calibri"/>
          <w:sz w:val="28"/>
          <w:szCs w:val="28"/>
          <w:lang w:eastAsia="en-US"/>
        </w:rPr>
        <w:t xml:space="preserve"> не может быть меньше указанного в (35) критического уровня </w:t>
      </w:r>
      <w:r>
        <w:rPr>
          <w:position w:val="-12"/>
          <w:sz w:val="28"/>
          <w:szCs w:val="28"/>
        </w:rPr>
        <w:object>
          <v:shape id="_x0000_i1362" o:spt="75" type="#_x0000_t75" style="height:19.5pt;width:20.25pt;" o:ole="t" filled="f" o:preferrelative="t" stroked="f" coordsize="21600,21600">
            <v:path/>
            <v:fill on="f" focussize="0,0"/>
            <v:stroke on="f" joinstyle="miter"/>
            <v:imagedata r:id="rId633" o:title=""/>
            <o:lock v:ext="edit" aspectratio="t"/>
            <w10:wrap type="none"/>
            <w10:anchorlock/>
          </v:shape>
          <o:OLEObject Type="Embed" ProgID="Equation.DSMT4" ShapeID="_x0000_i1362" DrawAspect="Content" ObjectID="_1468076069" r:id="rId632">
            <o:LockedField>false</o:LockedField>
          </o:OLEObject>
        </w:object>
      </w:r>
      <w:r>
        <w:rPr>
          <w:rFonts w:eastAsia="Calibri"/>
          <w:sz w:val="28"/>
          <w:szCs w:val="28"/>
          <w:lang w:eastAsia="en-US"/>
        </w:rPr>
        <w:t xml:space="preserve">, поскольку в противном случае ожидаемые затраты банка на перевод превысят его ожидаемые выгоды. </w:t>
      </w:r>
    </w:p>
    <w:p w14:paraId="0488C78B">
      <w:pPr>
        <w:pStyle w:val="37"/>
        <w:rPr>
          <w:rFonts w:eastAsia="Calibri"/>
          <w:sz w:val="28"/>
          <w:szCs w:val="28"/>
          <w:lang w:eastAsia="en-US"/>
        </w:rPr>
      </w:pPr>
      <w:r>
        <w:rPr>
          <w:rFonts w:eastAsia="Calibri"/>
          <w:sz w:val="28"/>
          <w:szCs w:val="28"/>
          <w:lang w:eastAsia="en-US"/>
        </w:rPr>
        <w:t xml:space="preserve">Согласно (35), порог </w:t>
      </w:r>
      <w:r>
        <w:rPr>
          <w:position w:val="-12"/>
          <w:sz w:val="28"/>
          <w:szCs w:val="28"/>
        </w:rPr>
        <w:object>
          <v:shape id="_x0000_i1363" o:spt="75" type="#_x0000_t75" style="height:19.5pt;width:20.25pt;" o:ole="t" filled="f" o:preferrelative="t" stroked="f" coordsize="21600,21600">
            <v:path/>
            <v:fill on="f" focussize="0,0"/>
            <v:stroke on="f" joinstyle="miter"/>
            <v:imagedata r:id="rId635" o:title=""/>
            <o:lock v:ext="edit" aspectratio="t"/>
            <w10:wrap type="none"/>
            <w10:anchorlock/>
          </v:shape>
          <o:OLEObject Type="Embed" ProgID="Equation.DSMT4" ShapeID="_x0000_i1363" DrawAspect="Content" ObjectID="_1468076070" r:id="rId634">
            <o:LockedField>false</o:LockedField>
          </o:OLEObject>
        </w:object>
      </w:r>
      <w:r>
        <w:rPr>
          <w:rFonts w:eastAsia="Calibri"/>
          <w:sz w:val="28"/>
          <w:szCs w:val="28"/>
          <w:lang w:eastAsia="en-US"/>
        </w:rPr>
        <w:t xml:space="preserve"> линейно увеличивается с ростом издержек потери репутации </w:t>
      </w:r>
      <w:r>
        <w:rPr>
          <w:position w:val="-6"/>
          <w:sz w:val="28"/>
          <w:szCs w:val="28"/>
        </w:rPr>
        <w:object>
          <v:shape id="_x0000_i1364" o:spt="75" type="#_x0000_t75" style="height:11.25pt;width:12pt;" o:ole="t" filled="f" o:preferrelative="t" stroked="f" coordsize="21600,21600">
            <v:path/>
            <v:fill on="f" focussize="0,0"/>
            <v:stroke on="f" joinstyle="miter"/>
            <v:imagedata r:id="rId637" o:title=""/>
            <o:lock v:ext="edit" aspectratio="t"/>
            <w10:wrap type="none"/>
            <w10:anchorlock/>
          </v:shape>
          <o:OLEObject Type="Embed" ProgID="Equation.DSMT4" ShapeID="_x0000_i1364" DrawAspect="Content" ObjectID="_1468076071" r:id="rId636">
            <o:LockedField>false</o:LockedField>
          </o:OLEObject>
        </w:object>
      </w:r>
      <w:r>
        <w:rPr>
          <w:rFonts w:eastAsia="Calibri"/>
          <w:sz w:val="28"/>
          <w:szCs w:val="28"/>
          <w:lang w:eastAsia="en-US"/>
        </w:rPr>
        <w:t xml:space="preserve">. При условии </w:t>
      </w:r>
      <w:r>
        <w:rPr>
          <w:position w:val="-6"/>
          <w:sz w:val="28"/>
          <w:szCs w:val="28"/>
        </w:rPr>
        <w:object>
          <v:shape id="_x0000_i1365" o:spt="75" type="#_x0000_t75" style="height:13.5pt;width:31.5pt;" o:ole="t" filled="f" o:preferrelative="t" stroked="f" coordsize="21600,21600">
            <v:path/>
            <v:fill on="f" focussize="0,0"/>
            <v:stroke on="f" joinstyle="miter"/>
            <v:imagedata r:id="rId639" o:title=""/>
            <o:lock v:ext="edit" aspectratio="t"/>
            <w10:wrap type="none"/>
            <w10:anchorlock/>
          </v:shape>
          <o:OLEObject Type="Embed" ProgID="Equation.DSMT4" ShapeID="_x0000_i1365" DrawAspect="Content" ObjectID="_1468076072" r:id="rId638">
            <o:LockedField>false</o:LockedField>
          </o:OLEObject>
        </w:object>
      </w:r>
      <w:r>
        <w:rPr>
          <w:rFonts w:eastAsia="Calibri"/>
          <w:sz w:val="28"/>
          <w:szCs w:val="28"/>
          <w:lang w:eastAsia="en-US"/>
        </w:rPr>
        <w:t xml:space="preserve"> он равен балансовой стоимости токсичных активов, </w:t>
      </w:r>
      <w:r>
        <w:rPr>
          <w:position w:val="-12"/>
          <w:sz w:val="28"/>
          <w:szCs w:val="28"/>
        </w:rPr>
        <w:object>
          <v:shape id="_x0000_i1366" o:spt="75" type="#_x0000_t75" style="height:19.5pt;width:54.75pt;" o:ole="t" filled="f" o:preferrelative="t" stroked="f" coordsize="21600,21600">
            <v:path/>
            <v:fill on="f" focussize="0,0"/>
            <v:stroke on="f" joinstyle="miter"/>
            <v:imagedata r:id="rId641" o:title=""/>
            <o:lock v:ext="edit" aspectratio="t"/>
            <w10:wrap type="none"/>
            <w10:anchorlock/>
          </v:shape>
          <o:OLEObject Type="Embed" ProgID="Equation.DSMT4" ShapeID="_x0000_i1366" DrawAspect="Content" ObjectID="_1468076073" r:id="rId640">
            <o:LockedField>false</o:LockedField>
          </o:OLEObject>
        </w:object>
      </w:r>
      <w:r>
        <w:rPr>
          <w:sz w:val="28"/>
          <w:szCs w:val="28"/>
        </w:rPr>
        <w:t xml:space="preserve">. </w:t>
      </w:r>
      <w:r>
        <w:rPr>
          <w:rFonts w:eastAsia="Calibri"/>
          <w:sz w:val="28"/>
          <w:szCs w:val="28"/>
          <w:lang w:eastAsia="en-US"/>
        </w:rPr>
        <w:t xml:space="preserve">В этом случае коммерческий «плохой» банк </w:t>
      </w:r>
      <m:oMath>
        <m:r>
          <m:rPr/>
          <w:rPr>
            <w:rFonts w:ascii="Cambria Math" w:hAnsi="Cambria Math" w:eastAsia="Calibri"/>
            <w:sz w:val="28"/>
            <w:szCs w:val="28"/>
            <w:lang w:eastAsia="en-US"/>
          </w:rPr>
          <m:t>b</m:t>
        </m:r>
      </m:oMath>
      <w:r>
        <w:rPr>
          <w:rFonts w:eastAsia="Calibri"/>
          <w:sz w:val="28"/>
          <w:szCs w:val="28"/>
          <w:lang w:eastAsia="en-US"/>
        </w:rPr>
        <w:t xml:space="preserve"> будет участвовать в этой схеме плохого банка, даже если схема имеет только эффект замещения активов без улучшения капитала банка в момент </w:t>
      </w:r>
      <m:oMath>
        <m:r>
          <m:rPr/>
          <w:rPr>
            <w:rFonts w:ascii="Cambria Math" w:hAnsi="Cambria Math" w:eastAsia="Calibri"/>
            <w:sz w:val="28"/>
            <w:szCs w:val="28"/>
            <w:lang w:eastAsia="en-US"/>
          </w:rPr>
          <m:t>t</m:t>
        </m:r>
      </m:oMath>
      <w:r>
        <w:rPr>
          <w:rFonts w:eastAsia="Calibri"/>
          <w:sz w:val="28"/>
          <w:szCs w:val="28"/>
          <w:lang w:eastAsia="en-US"/>
        </w:rPr>
        <w:t xml:space="preserve">. </w:t>
      </w:r>
    </w:p>
    <w:p w14:paraId="0E5BC3B1">
      <w:pPr>
        <w:pStyle w:val="37"/>
        <w:rPr>
          <w:rFonts w:eastAsia="Calibri"/>
          <w:sz w:val="28"/>
          <w:szCs w:val="28"/>
          <w:lang w:eastAsia="en-US"/>
        </w:rPr>
      </w:pPr>
      <w:r>
        <w:rPr>
          <w:rFonts w:eastAsia="Calibri"/>
          <w:sz w:val="28"/>
          <w:szCs w:val="28"/>
          <w:lang w:eastAsia="en-US"/>
        </w:rPr>
        <w:t xml:space="preserve">При условии </w:t>
      </w:r>
      <w:r>
        <w:rPr>
          <w:position w:val="-6"/>
          <w:sz w:val="28"/>
          <w:szCs w:val="28"/>
        </w:rPr>
        <w:object>
          <v:shape id="_x0000_i1367" o:spt="75" type="#_x0000_t75" style="height:13.5pt;width:31.5pt;" o:ole="t" filled="f" o:preferrelative="t" stroked="f" coordsize="21600,21600">
            <v:path/>
            <v:fill on="f" focussize="0,0"/>
            <v:stroke on="f" joinstyle="miter"/>
            <v:imagedata r:id="rId643" o:title=""/>
            <o:lock v:ext="edit" aspectratio="t"/>
            <w10:wrap type="none"/>
            <w10:anchorlock/>
          </v:shape>
          <o:OLEObject Type="Embed" ProgID="Equation.DSMT4" ShapeID="_x0000_i1367" DrawAspect="Content" ObjectID="_1468076074" r:id="rId642">
            <o:LockedField>false</o:LockedField>
          </o:OLEObject>
        </w:object>
      </w:r>
      <w:r>
        <w:rPr>
          <w:sz w:val="28"/>
          <w:szCs w:val="28"/>
        </w:rPr>
        <w:t xml:space="preserve"> </w:t>
      </w:r>
      <w:r>
        <w:rPr>
          <w:rFonts w:eastAsia="Calibri"/>
          <w:sz w:val="28"/>
          <w:szCs w:val="28"/>
          <w:lang w:eastAsia="en-US"/>
        </w:rPr>
        <w:t xml:space="preserve">порог трансферного платежа </w:t>
      </w:r>
      <w:r>
        <w:rPr>
          <w:position w:val="-12"/>
          <w:sz w:val="28"/>
          <w:szCs w:val="28"/>
        </w:rPr>
        <w:object>
          <v:shape id="_x0000_i1368" o:spt="75" type="#_x0000_t75" style="height:19.5pt;width:20.25pt;" o:ole="t" filled="f" o:preferrelative="t" stroked="f" coordsize="21600,21600">
            <v:path/>
            <v:fill on="f" focussize="0,0"/>
            <v:stroke on="f" joinstyle="miter"/>
            <v:imagedata r:id="rId645" o:title=""/>
            <o:lock v:ext="edit" aspectratio="t"/>
            <w10:wrap type="none"/>
            <w10:anchorlock/>
          </v:shape>
          <o:OLEObject Type="Embed" ProgID="Equation.DSMT4" ShapeID="_x0000_i1368" DrawAspect="Content" ObjectID="_1468076075" r:id="rId644">
            <o:LockedField>false</o:LockedField>
          </o:OLEObject>
        </w:object>
      </w:r>
      <w:r>
        <w:rPr>
          <w:rFonts w:eastAsia="Calibri"/>
          <w:sz w:val="28"/>
          <w:szCs w:val="28"/>
          <w:lang w:eastAsia="en-US"/>
        </w:rPr>
        <w:t xml:space="preserve"> больше, чем оценка стоимости токсичных активов</w:t>
      </w:r>
      <w:r>
        <w:rPr>
          <w:position w:val="-10"/>
          <w:sz w:val="28"/>
          <w:szCs w:val="28"/>
        </w:rPr>
        <w:object>
          <v:shape id="_x0000_i1369" o:spt="75" type="#_x0000_t75" style="height:18.75pt;width:24.75pt;" o:ole="t" filled="f" o:preferrelative="t" stroked="f" coordsize="21600,21600">
            <v:path/>
            <v:fill on="f" focussize="0,0"/>
            <v:stroke on="f" joinstyle="miter"/>
            <v:imagedata r:id="rId647" o:title=""/>
            <o:lock v:ext="edit" aspectratio="t"/>
            <w10:wrap type="none"/>
            <w10:anchorlock/>
          </v:shape>
          <o:OLEObject Type="Embed" ProgID="Equation.DSMT4" ShapeID="_x0000_i1369" DrawAspect="Content" ObjectID="_1468076076" r:id="rId646">
            <o:LockedField>false</o:LockedField>
          </o:OLEObject>
        </w:object>
      </w:r>
      <w:r>
        <w:rPr>
          <w:rFonts w:eastAsia="Calibri"/>
          <w:sz w:val="28"/>
          <w:szCs w:val="28"/>
          <w:lang w:eastAsia="en-US"/>
        </w:rPr>
        <w:t xml:space="preserve">. Тогда схема должна не только допускать замещение активов, но и увеличивать капитал банка. Это даст банку </w:t>
      </w:r>
      <m:oMath>
        <m:r>
          <m:rPr/>
          <w:rPr>
            <w:rFonts w:ascii="Cambria Math" w:hAnsi="Cambria Math" w:eastAsia="Calibri"/>
            <w:sz w:val="28"/>
            <w:szCs w:val="28"/>
            <w:lang w:eastAsia="en-US"/>
          </w:rPr>
          <m:t>b</m:t>
        </m:r>
      </m:oMath>
      <w:r>
        <w:rPr>
          <w:rFonts w:eastAsia="Calibri"/>
          <w:sz w:val="28"/>
          <w:szCs w:val="28"/>
          <w:lang w:eastAsia="en-US"/>
        </w:rPr>
        <w:t xml:space="preserve"> возможность выдавать большее количество новых кредитов, которые будут иметь положительный ожидаемый чистый доход и которые будут компенсировать ему более высокие издержки потери репутации. При </w:t>
      </w:r>
      <w:r>
        <w:rPr>
          <w:position w:val="-6"/>
          <w:sz w:val="28"/>
          <w:szCs w:val="28"/>
        </w:rPr>
        <w:object>
          <v:shape id="_x0000_i1370" o:spt="75" type="#_x0000_t75" style="height:13.5pt;width:31.5pt;" o:ole="t" filled="f" o:preferrelative="t" stroked="f" coordsize="21600,21600">
            <v:path/>
            <v:fill on="f" focussize="0,0"/>
            <v:stroke on="f" joinstyle="miter"/>
            <v:imagedata r:id="rId649" o:title=""/>
            <o:lock v:ext="edit" aspectratio="t"/>
            <w10:wrap type="none"/>
            <w10:anchorlock/>
          </v:shape>
          <o:OLEObject Type="Embed" ProgID="Equation.DSMT4" ShapeID="_x0000_i1370" DrawAspect="Content" ObjectID="_1468076077" r:id="rId648">
            <o:LockedField>false</o:LockedField>
          </o:OLEObject>
        </w:object>
      </w:r>
      <w:r>
        <w:rPr>
          <w:sz w:val="28"/>
          <w:szCs w:val="28"/>
        </w:rPr>
        <w:t xml:space="preserve"> </w:t>
      </w:r>
      <w:r>
        <w:rPr>
          <w:rFonts w:eastAsia="Calibri"/>
          <w:sz w:val="28"/>
          <w:szCs w:val="28"/>
          <w:lang w:eastAsia="en-US"/>
        </w:rPr>
        <w:t xml:space="preserve">порог </w:t>
      </w:r>
      <w:r>
        <w:rPr>
          <w:position w:val="-12"/>
          <w:sz w:val="28"/>
          <w:szCs w:val="28"/>
        </w:rPr>
        <w:object>
          <v:shape id="_x0000_i1371" o:spt="75" type="#_x0000_t75" style="height:19.5pt;width:20.25pt;" o:ole="t" filled="f" o:preferrelative="t" stroked="f" coordsize="21600,21600">
            <v:path/>
            <v:fill on="f" focussize="0,0"/>
            <v:stroke on="f" joinstyle="miter"/>
            <v:imagedata r:id="rId651" o:title=""/>
            <o:lock v:ext="edit" aspectratio="t"/>
            <w10:wrap type="none"/>
            <w10:anchorlock/>
          </v:shape>
          <o:OLEObject Type="Embed" ProgID="Equation.DSMT4" ShapeID="_x0000_i1371" DrawAspect="Content" ObjectID="_1468076078" r:id="rId650">
            <o:LockedField>false</o:LockedField>
          </o:OLEObject>
        </w:object>
      </w:r>
      <w:r>
        <w:rPr>
          <w:rFonts w:eastAsia="Calibri"/>
          <w:sz w:val="28"/>
          <w:szCs w:val="28"/>
          <w:lang w:eastAsia="en-US"/>
        </w:rPr>
        <w:t xml:space="preserve"> меньше, чем </w:t>
      </w:r>
      <w:r>
        <w:rPr>
          <w:position w:val="-10"/>
          <w:sz w:val="28"/>
          <w:szCs w:val="28"/>
        </w:rPr>
        <w:object>
          <v:shape id="_x0000_i1372" o:spt="75" type="#_x0000_t75" style="height:18.75pt;width:24.75pt;" o:ole="t" filled="f" o:preferrelative="t" stroked="f" coordsize="21600,21600">
            <v:path/>
            <v:fill on="f" focussize="0,0"/>
            <v:stroke on="f" joinstyle="miter"/>
            <v:imagedata r:id="rId653" o:title=""/>
            <o:lock v:ext="edit" aspectratio="t"/>
            <w10:wrap type="none"/>
            <w10:anchorlock/>
          </v:shape>
          <o:OLEObject Type="Embed" ProgID="Equation.DSMT4" ShapeID="_x0000_i1372" DrawAspect="Content" ObjectID="_1468076079" r:id="rId652">
            <o:LockedField>false</o:LockedField>
          </o:OLEObject>
        </w:object>
      </w:r>
      <w:r>
        <w:rPr>
          <w:rFonts w:eastAsia="Calibri"/>
          <w:sz w:val="28"/>
          <w:szCs w:val="28"/>
          <w:lang w:eastAsia="en-US"/>
        </w:rPr>
        <w:t xml:space="preserve">, так что банк </w:t>
      </w:r>
      <m:oMath>
        <m:r>
          <m:rPr/>
          <w:rPr>
            <w:rFonts w:ascii="Cambria Math" w:hAnsi="Cambria Math" w:eastAsia="Calibri"/>
            <w:sz w:val="28"/>
            <w:szCs w:val="28"/>
            <w:lang w:eastAsia="en-US"/>
          </w:rPr>
          <m:t>b</m:t>
        </m:r>
      </m:oMath>
      <w:r>
        <w:rPr>
          <w:rFonts w:eastAsia="Calibri"/>
          <w:sz w:val="28"/>
          <w:szCs w:val="28"/>
          <w:lang w:eastAsia="en-US"/>
        </w:rPr>
        <w:t xml:space="preserve"> будет участвовать в схеме плохого банка, даже если это нанесет ущерб банковскому капиталу. </w:t>
      </w:r>
    </w:p>
    <w:p w14:paraId="716F0682">
      <w:pPr>
        <w:pStyle w:val="37"/>
        <w:rPr>
          <w:rFonts w:eastAsia="Calibri"/>
          <w:sz w:val="28"/>
          <w:szCs w:val="28"/>
          <w:lang w:eastAsia="en-US"/>
        </w:rPr>
      </w:pPr>
      <w:r>
        <w:rPr>
          <w:rFonts w:eastAsia="Calibri"/>
          <w:sz w:val="28"/>
          <w:szCs w:val="28"/>
          <w:lang w:eastAsia="en-US"/>
        </w:rPr>
        <w:t xml:space="preserve">Пороговое значение </w:t>
      </w:r>
      <w:r>
        <w:rPr>
          <w:position w:val="-12"/>
          <w:sz w:val="28"/>
          <w:szCs w:val="28"/>
        </w:rPr>
        <w:object>
          <v:shape id="_x0000_i1373" o:spt="75" type="#_x0000_t75" style="height:19.5pt;width:20.25pt;" o:ole="t" filled="f" o:preferrelative="t" stroked="f" coordsize="21600,21600">
            <v:path/>
            <v:fill on="f" focussize="0,0"/>
            <v:stroke on="f" joinstyle="miter"/>
            <v:imagedata r:id="rId655" o:title=""/>
            <o:lock v:ext="edit" aspectratio="t"/>
            <w10:wrap type="none"/>
            <w10:anchorlock/>
          </v:shape>
          <o:OLEObject Type="Embed" ProgID="Equation.DSMT4" ShapeID="_x0000_i1373" DrawAspect="Content" ObjectID="_1468076080" r:id="rId654">
            <o:LockedField>false</o:LockedField>
          </o:OLEObject>
        </w:object>
      </w:r>
      <w:r>
        <w:rPr>
          <w:rFonts w:eastAsia="Calibri"/>
          <w:sz w:val="28"/>
          <w:szCs w:val="28"/>
          <w:lang w:eastAsia="en-US"/>
        </w:rPr>
        <w:t>, как определено в (35), увеличивается с ростом издержек на потерю репутации, поскольку более высокие издержки</w:t>
      </w:r>
      <w:r>
        <w:rPr>
          <w:rFonts w:eastAsia="Calibri"/>
          <w:sz w:val="28"/>
          <w:szCs w:val="28"/>
        </w:rPr>
        <w:t xml:space="preserve"> </w:t>
      </w:r>
      <w:r>
        <w:rPr>
          <w:position w:val="-6"/>
          <w:sz w:val="28"/>
          <w:szCs w:val="28"/>
        </w:rPr>
        <w:object>
          <v:shape id="_x0000_i1374" o:spt="75" type="#_x0000_t75" style="height:11.25pt;width:12pt;" o:ole="t" filled="f" o:preferrelative="t" stroked="f" coordsize="21600,21600">
            <v:path/>
            <v:fill on="f" focussize="0,0"/>
            <v:stroke on="f" joinstyle="miter"/>
            <v:imagedata r:id="rId657" o:title=""/>
            <o:lock v:ext="edit" aspectratio="t"/>
            <w10:wrap type="none"/>
            <w10:anchorlock/>
          </v:shape>
          <o:OLEObject Type="Embed" ProgID="Equation.DSMT4" ShapeID="_x0000_i1374" DrawAspect="Content" ObjectID="_1468076081" r:id="rId656">
            <o:LockedField>false</o:LockedField>
          </o:OLEObject>
        </w:object>
      </w:r>
      <w:r>
        <w:rPr>
          <w:sz w:val="28"/>
          <w:szCs w:val="28"/>
        </w:rPr>
        <w:t xml:space="preserve"> </w:t>
      </w:r>
      <w:r>
        <w:rPr>
          <w:rFonts w:eastAsia="Calibri"/>
          <w:sz w:val="28"/>
          <w:szCs w:val="28"/>
          <w:lang w:eastAsia="en-US"/>
        </w:rPr>
        <w:t xml:space="preserve">означают более высокие ожидаемые затраты для банка </w:t>
      </w:r>
      <m:oMath>
        <m:r>
          <m:rPr/>
          <w:rPr>
            <w:rFonts w:ascii="Cambria Math" w:hAnsi="Cambria Math" w:eastAsia="Calibri"/>
            <w:sz w:val="28"/>
            <w:szCs w:val="28"/>
            <w:lang w:eastAsia="en-US"/>
          </w:rPr>
          <m:t>b</m:t>
        </m:r>
      </m:oMath>
      <w:r>
        <w:rPr>
          <w:rFonts w:eastAsia="Calibri"/>
          <w:sz w:val="28"/>
          <w:szCs w:val="28"/>
          <w:lang w:eastAsia="en-US"/>
        </w:rPr>
        <w:t>, которые ему надо компенсировать:</w:t>
      </w:r>
    </w:p>
    <w:p w14:paraId="4B59A5AF">
      <w:pPr>
        <w:pStyle w:val="37"/>
        <w:rPr>
          <w:rFonts w:eastAsia="Calibri"/>
          <w:sz w:val="28"/>
          <w:szCs w:val="28"/>
          <w:lang w:eastAsia="en-US"/>
        </w:rPr>
      </w:pPr>
    </w:p>
    <w:p w14:paraId="4935F92C">
      <w:pPr>
        <w:pStyle w:val="38"/>
        <w:spacing w:before="0" w:after="0"/>
        <w:rPr>
          <w:sz w:val="28"/>
          <w:szCs w:val="28"/>
        </w:rPr>
      </w:pPr>
      <w:r>
        <w:rPr>
          <w:sz w:val="28"/>
          <w:szCs w:val="28"/>
        </w:rPr>
        <w:tab/>
      </w:r>
      <w:r>
        <w:rPr>
          <w:sz w:val="28"/>
          <w:szCs w:val="28"/>
        </w:rPr>
        <w:t xml:space="preserve">                                </w:t>
      </w:r>
      <w:r>
        <w:rPr>
          <w:position w:val="-16"/>
          <w:sz w:val="28"/>
          <w:szCs w:val="28"/>
        </w:rPr>
        <w:object>
          <v:shape id="_x0000_i1375" o:spt="75" type="#_x0000_t75" style="height:21.75pt;width:150pt;" o:ole="t" filled="f" o:preferrelative="t" stroked="f" coordsize="21600,21600">
            <v:path/>
            <v:fill on="f" focussize="0,0"/>
            <v:stroke on="f" joinstyle="miter"/>
            <v:imagedata r:id="rId659" o:title=""/>
            <o:lock v:ext="edit" aspectratio="t"/>
            <w10:wrap type="none"/>
            <w10:anchorlock/>
          </v:shape>
          <o:OLEObject Type="Embed" ProgID="Equation.DSMT4" ShapeID="_x0000_i1375" DrawAspect="Content" ObjectID="_1468076082" r:id="rId658">
            <o:LockedField>false</o:LockedField>
          </o:OLEObject>
        </w:object>
      </w:r>
      <w:r>
        <w:rPr>
          <w:sz w:val="28"/>
          <w:szCs w:val="28"/>
        </w:rPr>
        <w:t>,</w:t>
      </w:r>
      <w:r>
        <w:rPr>
          <w:sz w:val="28"/>
          <w:szCs w:val="28"/>
        </w:rPr>
        <w:tab/>
      </w:r>
      <w:r>
        <w:rPr>
          <w:sz w:val="28"/>
          <w:szCs w:val="28"/>
        </w:rPr>
        <w:t xml:space="preserve">                                  (37)</w:t>
      </w:r>
    </w:p>
    <w:p w14:paraId="36A4FB94">
      <w:pPr>
        <w:pStyle w:val="37"/>
        <w:rPr>
          <w:rFonts w:eastAsia="Calibri"/>
          <w:sz w:val="28"/>
          <w:szCs w:val="28"/>
          <w:lang w:eastAsia="en-US"/>
        </w:rPr>
      </w:pPr>
    </w:p>
    <w:p w14:paraId="72543A80">
      <w:pPr>
        <w:pStyle w:val="3"/>
        <w:ind w:firstLine="709"/>
        <w:rPr>
          <w:rFonts w:ascii="Times New Roman" w:hAnsi="Times New Roman" w:eastAsia="Calibri" w:cs="Times New Roman"/>
          <w:b/>
          <w:bCs/>
          <w:color w:val="auto"/>
        </w:rPr>
      </w:pPr>
      <w:bookmarkStart w:id="26" w:name="_Toc219671669"/>
      <w:r>
        <w:rPr>
          <w:rFonts w:ascii="Times New Roman" w:hAnsi="Times New Roman" w:eastAsia="Calibri" w:cs="Times New Roman"/>
          <w:b/>
          <w:bCs/>
          <w:color w:val="auto"/>
        </w:rPr>
        <w:t>d. Перевыкуп токсичных активов (схема 2)</w:t>
      </w:r>
      <w:bookmarkEnd w:id="26"/>
      <w:r>
        <w:rPr>
          <w:rFonts w:ascii="Times New Roman" w:hAnsi="Times New Roman" w:eastAsia="Calibri" w:cs="Times New Roman"/>
          <w:b/>
          <w:bCs/>
          <w:color w:val="auto"/>
        </w:rPr>
        <w:t xml:space="preserve"> </w:t>
      </w:r>
    </w:p>
    <w:p w14:paraId="24552342">
      <w:pPr>
        <w:pStyle w:val="4"/>
        <w:spacing w:before="0" w:beforeAutospacing="0" w:after="0" w:afterAutospacing="0"/>
        <w:jc w:val="both"/>
        <w:rPr>
          <w:rFonts w:eastAsia="Calibri"/>
          <w:sz w:val="28"/>
          <w:szCs w:val="28"/>
        </w:rPr>
      </w:pPr>
    </w:p>
    <w:p w14:paraId="71365E09">
      <w:pPr>
        <w:pStyle w:val="37"/>
        <w:rPr>
          <w:rFonts w:eastAsia="Calibri"/>
          <w:sz w:val="28"/>
          <w:szCs w:val="28"/>
          <w:lang w:eastAsia="en-US"/>
        </w:rPr>
      </w:pPr>
      <w:r>
        <w:rPr>
          <w:rFonts w:eastAsia="Calibri"/>
          <w:sz w:val="28"/>
          <w:szCs w:val="28"/>
          <w:lang w:eastAsia="en-US"/>
        </w:rPr>
        <w:t xml:space="preserve">Схема 2 «плохого» банка, анализируемая в этом разделе, сопоставима с соглашением об обратном выкупе. В момент времени </w:t>
      </w:r>
      <m:oMath>
        <m:r>
          <m:rPr/>
          <w:rPr>
            <w:rFonts w:ascii="Cambria Math" w:hAnsi="Cambria Math" w:eastAsia="Calibri"/>
            <w:sz w:val="28"/>
            <w:szCs w:val="28"/>
            <w:lang w:eastAsia="en-US"/>
          </w:rPr>
          <m:t>t</m:t>
        </m:r>
      </m:oMath>
      <w:r>
        <w:rPr>
          <w:rFonts w:eastAsia="Calibri"/>
          <w:sz w:val="28"/>
          <w:szCs w:val="28"/>
          <w:lang w:eastAsia="en-US"/>
        </w:rPr>
        <w:t xml:space="preserve"> </w:t>
      </w:r>
      <w:bookmarkStart w:id="27" w:name="_Hlk3449662"/>
      <w:r>
        <w:rPr>
          <w:rFonts w:eastAsia="Calibri"/>
          <w:sz w:val="28"/>
          <w:szCs w:val="28"/>
          <w:lang w:eastAsia="en-US"/>
        </w:rPr>
        <w:t>банк</w:t>
      </w:r>
      <w:bookmarkEnd w:id="27"/>
      <w:r>
        <w:rPr>
          <w:rFonts w:eastAsia="Calibri"/>
          <w:sz w:val="28"/>
          <w:szCs w:val="28"/>
          <w:lang w:eastAsia="en-US"/>
        </w:rPr>
        <w:t xml:space="preserve"> </w:t>
      </w:r>
      <m:oMath>
        <m:r>
          <m:rPr/>
          <w:rPr>
            <w:rFonts w:ascii="Cambria Math" w:hAnsi="Cambria Math" w:eastAsia="Calibri"/>
            <w:sz w:val="28"/>
            <w:szCs w:val="28"/>
            <w:lang w:eastAsia="en-US"/>
          </w:rPr>
          <m:t>b</m:t>
        </m:r>
      </m:oMath>
      <w:r>
        <w:rPr>
          <w:rFonts w:eastAsia="Calibri"/>
          <w:sz w:val="28"/>
          <w:szCs w:val="28"/>
          <w:lang w:eastAsia="en-US"/>
        </w:rPr>
        <w:t xml:space="preserve"> может обменять обесцененный актив на безопасные государственные облигации </w:t>
      </w:r>
      <w:r>
        <w:rPr>
          <w:position w:val="-14"/>
          <w:sz w:val="28"/>
          <w:szCs w:val="28"/>
        </w:rPr>
        <w:object>
          <v:shape id="_x0000_i1376" o:spt="75" type="#_x0000_t75" style="height:20.25pt;width:34.5pt;" o:ole="t" filled="f" o:preferrelative="t" stroked="f" coordsize="21600,21600">
            <v:path/>
            <v:fill on="f" focussize="0,0"/>
            <v:stroke on="f" joinstyle="miter"/>
            <v:imagedata r:id="rId661" o:title=""/>
            <o:lock v:ext="edit" aspectratio="t"/>
            <w10:wrap type="none"/>
            <w10:anchorlock/>
          </v:shape>
          <o:OLEObject Type="Embed" ProgID="Equation.DSMT4" ShapeID="_x0000_i1376" DrawAspect="Content" ObjectID="_1468076083" r:id="rId660">
            <o:LockedField>false</o:LockedField>
          </o:OLEObject>
        </w:object>
      </w:r>
      <w:r>
        <w:rPr>
          <w:rFonts w:eastAsia="Calibri"/>
          <w:sz w:val="28"/>
          <w:szCs w:val="28"/>
          <w:lang w:eastAsia="en-US"/>
        </w:rPr>
        <w:t xml:space="preserve">. Однако в момент времени </w:t>
      </w:r>
      <m:oMath>
        <m:r>
          <m:rPr/>
          <w:rPr>
            <w:rFonts w:ascii="Cambria Math" w:hAnsi="Cambria Math" w:eastAsia="Calibri"/>
            <w:sz w:val="28"/>
            <w:szCs w:val="28"/>
            <w:lang w:eastAsia="en-US"/>
          </w:rPr>
          <m:t>t+τ</m:t>
        </m:r>
      </m:oMath>
      <w:r>
        <w:rPr>
          <w:rFonts w:eastAsia="Calibri"/>
          <w:sz w:val="28"/>
          <w:szCs w:val="28"/>
          <w:lang w:eastAsia="en-US"/>
        </w:rPr>
        <w:t xml:space="preserve">, когда актив созреет, банк </w:t>
      </w:r>
      <m:oMath>
        <m:r>
          <m:rPr/>
          <w:rPr>
            <w:rFonts w:ascii="Cambria Math" w:hAnsi="Cambria Math" w:eastAsia="Calibri"/>
            <w:sz w:val="28"/>
            <w:szCs w:val="28"/>
            <w:lang w:eastAsia="en-US"/>
          </w:rPr>
          <m:t>b</m:t>
        </m:r>
      </m:oMath>
      <w:r>
        <w:rPr>
          <w:rFonts w:eastAsia="Calibri"/>
          <w:sz w:val="28"/>
          <w:szCs w:val="28"/>
          <w:lang w:eastAsia="en-US"/>
        </w:rPr>
        <w:t xml:space="preserve"> вновь его получает и обязан вернуть </w:t>
      </w:r>
      <w:r>
        <w:rPr>
          <w:position w:val="-14"/>
          <w:sz w:val="28"/>
          <w:szCs w:val="28"/>
        </w:rPr>
        <w:object>
          <v:shape id="_x0000_i1377" o:spt="75" type="#_x0000_t75" style="height:20.25pt;width:51.75pt;" o:ole="t" filled="f" o:preferrelative="t" stroked="f" coordsize="21600,21600">
            <v:path/>
            <v:fill on="f" focussize="0,0"/>
            <v:stroke on="f" joinstyle="miter"/>
            <v:imagedata r:id="rId663" o:title=""/>
            <o:lock v:ext="edit" aspectratio="t"/>
            <w10:wrap type="none"/>
            <w10:anchorlock/>
          </v:shape>
          <o:OLEObject Type="Embed" ProgID="Equation.DSMT4" ShapeID="_x0000_i1377" DrawAspect="Content" ObjectID="_1468076084" r:id="rId662">
            <o:LockedField>false</o:LockedField>
          </o:OLEObject>
        </w:object>
      </w:r>
      <w:r>
        <w:rPr>
          <w:rFonts w:eastAsia="Calibri"/>
          <w:sz w:val="28"/>
          <w:szCs w:val="28"/>
          <w:lang w:eastAsia="en-US"/>
        </w:rPr>
        <w:t xml:space="preserve"> государственному фонду проблемных активов </w:t>
      </w:r>
      <m:oMath>
        <m:r>
          <m:rPr/>
          <w:rPr>
            <w:rFonts w:ascii="Cambria Math" w:hAnsi="Cambria Math" w:eastAsia="Calibri"/>
            <w:sz w:val="28"/>
            <w:szCs w:val="28"/>
            <w:lang w:eastAsia="en-US"/>
          </w:rPr>
          <m:t>d</m:t>
        </m:r>
      </m:oMath>
      <w:r>
        <w:rPr>
          <w:rFonts w:eastAsia="Calibri"/>
          <w:sz w:val="28"/>
          <w:szCs w:val="28"/>
          <w:lang w:eastAsia="en-US"/>
        </w:rPr>
        <w:t xml:space="preserve">. Как и первая схема, вторая схема позволяет банку </w:t>
      </w:r>
      <m:oMath>
        <m:r>
          <m:rPr/>
          <w:rPr>
            <w:rFonts w:ascii="Cambria Math" w:hAnsi="Cambria Math" w:eastAsia="Calibri"/>
            <w:sz w:val="28"/>
            <w:szCs w:val="28"/>
            <w:lang w:eastAsia="en-US"/>
          </w:rPr>
          <m:t>b</m:t>
        </m:r>
      </m:oMath>
      <w:r>
        <w:rPr>
          <w:rFonts w:eastAsia="Calibri"/>
          <w:sz w:val="28"/>
          <w:szCs w:val="28"/>
          <w:lang w:eastAsia="en-US"/>
        </w:rPr>
        <w:t xml:space="preserve"> выдавать новые кредиты в момент времени </w:t>
      </w:r>
      <m:oMath>
        <m:r>
          <m:rPr/>
          <w:rPr>
            <w:rFonts w:ascii="Cambria Math" w:hAnsi="Cambria Math" w:eastAsia="Calibri"/>
            <w:sz w:val="28"/>
            <w:szCs w:val="28"/>
            <w:lang w:eastAsia="en-US"/>
          </w:rPr>
          <m:t>t</m:t>
        </m:r>
      </m:oMath>
      <w:r>
        <w:rPr>
          <w:rFonts w:eastAsia="Calibri"/>
          <w:sz w:val="28"/>
          <w:szCs w:val="28"/>
          <w:lang w:eastAsia="en-US"/>
        </w:rPr>
        <w:t xml:space="preserve">, поскольку на государственные облигации не налагаются требования к капиталу. Однако, в отличие от схемы 1 схема 2 гарантирует, что банк </w:t>
      </w:r>
      <m:oMath>
        <m:r>
          <m:rPr/>
          <w:rPr>
            <w:rFonts w:ascii="Cambria Math" w:hAnsi="Cambria Math" w:eastAsia="Calibri"/>
            <w:sz w:val="28"/>
            <w:szCs w:val="28"/>
            <w:lang w:eastAsia="en-US"/>
          </w:rPr>
          <m:t>b</m:t>
        </m:r>
      </m:oMath>
      <w:r>
        <w:rPr>
          <w:rFonts w:eastAsia="Calibri"/>
          <w:sz w:val="28"/>
          <w:szCs w:val="28"/>
          <w:lang w:eastAsia="en-US"/>
        </w:rPr>
        <w:t xml:space="preserve"> по-прежнему участвует в рисках и прибылях от «токсичного» актива. Идея состоит в том, что, если новые займы окажутся успешными в момент времени </w:t>
      </w:r>
      <m:oMath>
        <m:r>
          <m:rPr/>
          <w:rPr>
            <w:rFonts w:ascii="Cambria Math" w:hAnsi="Cambria Math" w:eastAsia="Calibri"/>
            <w:sz w:val="28"/>
            <w:szCs w:val="28"/>
            <w:lang w:eastAsia="en-US"/>
          </w:rPr>
          <m:t>t+τ</m:t>
        </m:r>
      </m:oMath>
      <w:r>
        <w:rPr>
          <w:rFonts w:eastAsia="Calibri"/>
          <w:sz w:val="28"/>
          <w:szCs w:val="28"/>
          <w:lang w:eastAsia="en-US"/>
        </w:rPr>
        <w:t xml:space="preserve">, прибыль может компенсировать возможные убытки от обесцененного актива. Банк </w:t>
      </w:r>
      <m:oMath>
        <m:r>
          <m:rPr/>
          <w:rPr>
            <w:rFonts w:ascii="Cambria Math" w:hAnsi="Cambria Math" w:eastAsia="Calibri"/>
            <w:sz w:val="28"/>
            <w:szCs w:val="28"/>
            <w:lang w:eastAsia="en-US"/>
          </w:rPr>
          <m:t>b</m:t>
        </m:r>
      </m:oMath>
      <w:r>
        <w:rPr>
          <w:rFonts w:eastAsia="Calibri"/>
          <w:sz w:val="28"/>
          <w:szCs w:val="28"/>
          <w:lang w:eastAsia="en-US"/>
        </w:rPr>
        <w:t xml:space="preserve">, передавая по этой схеме 2 эти активы в фонд </w:t>
      </w:r>
      <m:oMath>
        <m:r>
          <m:rPr/>
          <w:rPr>
            <w:rFonts w:ascii="Cambria Math" w:hAnsi="Cambria Math" w:eastAsia="Calibri"/>
            <w:sz w:val="28"/>
            <w:szCs w:val="28"/>
            <w:lang w:eastAsia="en-US"/>
          </w:rPr>
          <m:t>d</m:t>
        </m:r>
      </m:oMath>
      <w:r>
        <w:rPr>
          <w:rFonts w:eastAsia="Calibri"/>
          <w:sz w:val="28"/>
          <w:szCs w:val="28"/>
          <w:lang w:eastAsia="en-US"/>
        </w:rPr>
        <w:t xml:space="preserve">, выигрывает, таким образом, только время. </w:t>
      </w:r>
    </w:p>
    <w:p w14:paraId="4DC26EEA">
      <w:pPr>
        <w:pStyle w:val="37"/>
        <w:rPr>
          <w:rFonts w:eastAsia="Calibri"/>
          <w:bCs/>
          <w:sz w:val="28"/>
          <w:szCs w:val="28"/>
          <w:lang w:eastAsia="en-US"/>
        </w:rPr>
      </w:pPr>
      <w:r>
        <w:rPr>
          <w:rFonts w:eastAsia="Calibri"/>
          <w:bCs/>
          <w:sz w:val="28"/>
          <w:szCs w:val="28"/>
          <w:lang w:eastAsia="en-US"/>
        </w:rPr>
        <w:t xml:space="preserve">Баланс банка </w:t>
      </w:r>
      <m:oMath>
        <m:r>
          <m:rPr/>
          <w:rPr>
            <w:rFonts w:ascii="Cambria Math" w:hAnsi="Cambria Math" w:eastAsia="Calibri"/>
            <w:sz w:val="28"/>
            <w:szCs w:val="28"/>
            <w:lang w:eastAsia="en-US"/>
          </w:rPr>
          <m:t>b</m:t>
        </m:r>
      </m:oMath>
      <w:r>
        <w:rPr>
          <w:rFonts w:eastAsia="Calibri"/>
          <w:bCs/>
          <w:sz w:val="28"/>
          <w:szCs w:val="28"/>
          <w:lang w:eastAsia="en-US"/>
        </w:rPr>
        <w:t xml:space="preserve"> в момент времени </w:t>
      </w:r>
      <m:oMath>
        <m:r>
          <m:rPr>
            <m:sty m:val="p"/>
          </m:rPr>
          <w:rPr>
            <w:rFonts w:ascii="Cambria Math" w:hAnsi="Cambria Math" w:eastAsia="Calibri"/>
            <w:sz w:val="28"/>
            <w:szCs w:val="28"/>
            <w:lang w:eastAsia="en-US"/>
          </w:rPr>
          <m:t>t+τ</m:t>
        </m:r>
      </m:oMath>
      <w:r>
        <w:rPr>
          <w:rFonts w:eastAsia="Calibri"/>
          <w:bCs/>
          <w:sz w:val="28"/>
          <w:szCs w:val="28"/>
          <w:lang w:eastAsia="en-US"/>
        </w:rPr>
        <w:t xml:space="preserve"> и ожидаемая стоимость капитала</w:t>
      </w:r>
    </w:p>
    <w:p w14:paraId="3725D35C">
      <w:pPr>
        <w:pStyle w:val="37"/>
        <w:rPr>
          <w:rFonts w:eastAsia="Calibri"/>
          <w:sz w:val="28"/>
          <w:szCs w:val="28"/>
          <w:lang w:eastAsia="en-US"/>
        </w:rPr>
      </w:pPr>
      <w:r>
        <w:rPr>
          <w:rFonts w:eastAsia="Calibri"/>
          <w:sz w:val="28"/>
          <w:szCs w:val="28"/>
          <w:lang w:eastAsia="en-US"/>
        </w:rPr>
        <w:t xml:space="preserve">Рассмотрим баланс «плохого» банка </w:t>
      </w:r>
      <m:oMath>
        <m:r>
          <m:rPr/>
          <w:rPr>
            <w:rFonts w:ascii="Cambria Math" w:hAnsi="Cambria Math" w:eastAsia="Calibri"/>
            <w:sz w:val="28"/>
            <w:szCs w:val="28"/>
            <w:lang w:eastAsia="en-US"/>
          </w:rPr>
          <m:t>b</m:t>
        </m:r>
      </m:oMath>
      <w:r>
        <w:rPr>
          <w:rFonts w:eastAsia="Calibri"/>
          <w:sz w:val="28"/>
          <w:szCs w:val="28"/>
          <w:lang w:eastAsia="en-US"/>
        </w:rPr>
        <w:t xml:space="preserve"> в момент времени </w:t>
      </w:r>
      <m:oMath>
        <m:r>
          <m:rPr/>
          <w:rPr>
            <w:rFonts w:ascii="Cambria Math" w:hAnsi="Cambria Math" w:eastAsia="Calibri"/>
            <w:sz w:val="28"/>
            <w:szCs w:val="28"/>
            <w:lang w:eastAsia="en-US"/>
          </w:rPr>
          <m:t>t+τ</m:t>
        </m:r>
      </m:oMath>
      <w:r>
        <w:rPr>
          <w:rFonts w:eastAsia="Calibri"/>
          <w:sz w:val="28"/>
          <w:szCs w:val="28"/>
          <w:lang w:eastAsia="en-US"/>
        </w:rPr>
        <w:t xml:space="preserve"> в случае использования схемы 2 (с обратным выкупом). </w:t>
      </w:r>
    </w:p>
    <w:p w14:paraId="412A4DC8">
      <w:pPr>
        <w:pStyle w:val="37"/>
        <w:rPr>
          <w:rFonts w:eastAsia="Calibri"/>
          <w:sz w:val="28"/>
          <w:szCs w:val="28"/>
          <w:lang w:eastAsia="en-US"/>
        </w:rPr>
      </w:pPr>
    </w:p>
    <w:p w14:paraId="0EF6D7F0">
      <w:pPr>
        <w:pStyle w:val="38"/>
        <w:spacing w:before="0" w:after="0"/>
        <w:rPr>
          <w:sz w:val="28"/>
          <w:szCs w:val="28"/>
        </w:rPr>
      </w:pPr>
      <w:r>
        <w:rPr>
          <w:sz w:val="28"/>
          <w:szCs w:val="28"/>
        </w:rPr>
        <w:tab/>
      </w:r>
      <w:r>
        <w:rPr>
          <w:sz w:val="28"/>
          <w:szCs w:val="28"/>
        </w:rPr>
        <w:t xml:space="preserve">                                            </w:t>
      </w:r>
      <w:r>
        <w:rPr>
          <w:position w:val="-6"/>
          <w:sz w:val="28"/>
          <w:szCs w:val="28"/>
        </w:rPr>
        <w:object>
          <v:shape id="_x0000_i1378" o:spt="75" type="#_x0000_t75" style="height:15.75pt;width:181.5pt;" o:ole="t" filled="f" o:preferrelative="t" stroked="f" coordsize="21600,21600">
            <v:path/>
            <v:fill on="f" focussize="0,0"/>
            <v:stroke on="f" joinstyle="miter"/>
            <v:imagedata r:id="rId665" o:title=""/>
            <o:lock v:ext="edit" aspectratio="t"/>
            <w10:wrap type="none"/>
            <w10:anchorlock/>
          </v:shape>
          <o:OLEObject Type="Embed" ProgID="Equation.DSMT4" ShapeID="_x0000_i1378" DrawAspect="Content" ObjectID="_1468076085" r:id="rId664">
            <o:LockedField>false</o:LockedField>
          </o:OLEObject>
        </w:object>
      </w:r>
      <w:r>
        <w:rPr>
          <w:sz w:val="28"/>
          <w:szCs w:val="28"/>
        </w:rPr>
        <w:t xml:space="preserve">,                       </w:t>
      </w:r>
      <w:r>
        <w:rPr>
          <w:sz w:val="28"/>
          <w:szCs w:val="28"/>
        </w:rPr>
        <w:tab/>
      </w:r>
      <w:r>
        <w:rPr>
          <w:sz w:val="28"/>
          <w:szCs w:val="28"/>
        </w:rPr>
        <w:t>(38)</w:t>
      </w:r>
    </w:p>
    <w:p w14:paraId="2EC6C358">
      <w:pPr>
        <w:pStyle w:val="37"/>
        <w:ind w:firstLine="0"/>
        <w:rPr>
          <w:rFonts w:eastAsia="Calibri"/>
          <w:sz w:val="28"/>
          <w:szCs w:val="28"/>
          <w:lang w:eastAsia="en-US"/>
        </w:rPr>
      </w:pPr>
    </w:p>
    <w:p w14:paraId="1A40C071">
      <w:pPr>
        <w:pStyle w:val="37"/>
        <w:ind w:firstLine="0"/>
        <w:rPr>
          <w:rFonts w:eastAsia="Calibri"/>
          <w:sz w:val="28"/>
          <w:szCs w:val="28"/>
          <w:lang w:eastAsia="en-US"/>
        </w:rPr>
      </w:pPr>
      <w:r>
        <w:rPr>
          <w:rFonts w:eastAsia="Calibri"/>
          <w:sz w:val="28"/>
          <w:szCs w:val="28"/>
          <w:lang w:eastAsia="en-US"/>
        </w:rPr>
        <w:t xml:space="preserve">где государственные облигации, поскольку их надо вернуть, записаны и в активы, и в пассивы, </w:t>
      </w:r>
      <w:r>
        <w:rPr>
          <w:position w:val="-14"/>
          <w:sz w:val="28"/>
          <w:szCs w:val="28"/>
        </w:rPr>
        <w:object>
          <v:shape id="_x0000_i1379" o:spt="75" type="#_x0000_t75" style="height:20.25pt;width:112.5pt;" o:ole="t" filled="f" o:preferrelative="t" stroked="f" coordsize="21600,21600">
            <v:path/>
            <v:fill on="f" focussize="0,0"/>
            <v:stroke on="f" joinstyle="miter"/>
            <v:imagedata r:id="rId667" o:title=""/>
            <o:lock v:ext="edit" aspectratio="t"/>
            <w10:wrap type="none"/>
            <w10:anchorlock/>
          </v:shape>
          <o:OLEObject Type="Embed" ProgID="Equation.DSMT4" ShapeID="_x0000_i1379" DrawAspect="Content" ObjectID="_1468076086" r:id="rId666">
            <o:LockedField>false</o:LockedField>
          </o:OLEObject>
        </w:object>
      </w:r>
      <w:r>
        <w:rPr>
          <w:rFonts w:eastAsia="Calibri"/>
          <w:sz w:val="28"/>
          <w:szCs w:val="28"/>
          <w:lang w:eastAsia="en-US"/>
        </w:rPr>
        <w:t>.</w:t>
      </w:r>
    </w:p>
    <w:p w14:paraId="41236EBD">
      <w:pPr>
        <w:pStyle w:val="37"/>
        <w:rPr>
          <w:rFonts w:eastAsia="Calibri"/>
          <w:sz w:val="28"/>
          <w:szCs w:val="28"/>
          <w:lang w:eastAsia="en-US"/>
        </w:rPr>
      </w:pPr>
      <w:r>
        <w:rPr>
          <w:rFonts w:eastAsia="Calibri"/>
          <w:sz w:val="28"/>
          <w:szCs w:val="28"/>
          <w:lang w:eastAsia="en-US"/>
        </w:rPr>
        <w:t xml:space="preserve">Если общая (валовая) доходность </w:t>
      </w:r>
      <w:r>
        <w:rPr>
          <w:position w:val="-14"/>
          <w:sz w:val="28"/>
          <w:szCs w:val="28"/>
        </w:rPr>
        <w:object>
          <v:shape id="_x0000_i1380" o:spt="75" type="#_x0000_t75" style="height:20.25pt;width:109.5pt;" o:ole="t" filled="f" o:preferrelative="t" stroked="f" coordsize="21600,21600">
            <v:path/>
            <v:fill on="f" focussize="0,0"/>
            <v:stroke on="f" joinstyle="miter"/>
            <v:imagedata r:id="rId669" o:title=""/>
            <o:lock v:ext="edit" aspectratio="t"/>
            <w10:wrap type="none"/>
            <w10:anchorlock/>
          </v:shape>
          <o:OLEObject Type="Embed" ProgID="Equation.DSMT4" ShapeID="_x0000_i1380" DrawAspect="Content" ObjectID="_1468076087" r:id="rId668">
            <o:LockedField>false</o:LockedField>
          </o:OLEObject>
        </w:object>
      </w:r>
      <w:r>
        <w:rPr>
          <w:rFonts w:eastAsia="Calibri"/>
          <w:sz w:val="28"/>
          <w:szCs w:val="28"/>
          <w:lang w:eastAsia="en-US"/>
        </w:rPr>
        <w:t xml:space="preserve"> по проблемным активам и новым кредитам достаточна для покрытия требований </w:t>
      </w:r>
      <w:r>
        <w:rPr>
          <w:position w:val="-14"/>
          <w:sz w:val="28"/>
          <w:szCs w:val="28"/>
        </w:rPr>
        <w:object>
          <v:shape id="_x0000_i1381" o:spt="75" type="#_x0000_t75" style="height:20.25pt;width:109.5pt;" o:ole="t" filled="f" o:preferrelative="t" stroked="f" coordsize="21600,21600">
            <v:path/>
            <v:fill on="f" focussize="0,0"/>
            <v:stroke on="f" joinstyle="miter"/>
            <v:imagedata r:id="rId671" o:title=""/>
            <o:lock v:ext="edit" aspectratio="t"/>
            <w10:wrap type="none"/>
            <w10:anchorlock/>
          </v:shape>
          <o:OLEObject Type="Embed" ProgID="Equation.DSMT4" ShapeID="_x0000_i1381" DrawAspect="Content" ObjectID="_1468076088" r:id="rId670">
            <o:LockedField>false</o:LockedField>
          </o:OLEObject>
        </w:object>
      </w:r>
      <w:r>
        <w:rPr>
          <w:rFonts w:eastAsia="Calibri"/>
          <w:sz w:val="28"/>
          <w:szCs w:val="28"/>
          <w:lang w:eastAsia="en-US"/>
        </w:rPr>
        <w:t xml:space="preserve"> вкладчиков, банк может полностью выполнить свои обязательства. В этом случае он платёжеспособен. Поэтому фонду проблемных активов </w:t>
      </w:r>
      <w:r>
        <w:rPr>
          <w:position w:val="-6"/>
          <w:sz w:val="28"/>
          <w:szCs w:val="28"/>
        </w:rPr>
        <w:object>
          <v:shape id="_x0000_i1382" o:spt="75" type="#_x0000_t75" style="height:13.5pt;width:11.25pt;" o:ole="t" filled="f" o:preferrelative="t" stroked="f" coordsize="21600,21600">
            <v:path/>
            <v:fill on="f" focussize="0,0"/>
            <v:stroke on="f" joinstyle="miter"/>
            <v:imagedata r:id="rId673" o:title=""/>
            <o:lock v:ext="edit" aspectratio="t"/>
            <w10:wrap type="none"/>
            <w10:anchorlock/>
          </v:shape>
          <o:OLEObject Type="Embed" ProgID="Equation.DSMT4" ShapeID="_x0000_i1382" DrawAspect="Content" ObjectID="_1468076089" r:id="rId672">
            <o:LockedField>false</o:LockedField>
          </o:OLEObject>
        </w:object>
      </w:r>
      <w:r>
        <w:rPr>
          <w:rFonts w:eastAsia="Calibri"/>
          <w:sz w:val="28"/>
          <w:szCs w:val="28"/>
          <w:lang w:eastAsia="en-US"/>
        </w:rPr>
        <w:t xml:space="preserve">  возвращается трансферный платеж </w:t>
      </w:r>
      <w:r>
        <w:rPr>
          <w:position w:val="-4"/>
          <w:sz w:val="28"/>
          <w:szCs w:val="28"/>
        </w:rPr>
        <w:object>
          <v:shape id="_x0000_i1383" o:spt="75" type="#_x0000_t75" style="height:15.75pt;width:20.25pt;" o:ole="t" filled="f" o:preferrelative="t" stroked="f" coordsize="21600,21600">
            <v:path/>
            <v:fill on="f" focussize="0,0"/>
            <v:stroke on="f" joinstyle="miter"/>
            <v:imagedata r:id="rId675" o:title=""/>
            <o:lock v:ext="edit" aspectratio="t"/>
            <w10:wrap type="none"/>
            <w10:anchorlock/>
          </v:shape>
          <o:OLEObject Type="Embed" ProgID="Equation.DSMT4" ShapeID="_x0000_i1383" DrawAspect="Content" ObjectID="_1468076090" r:id="rId674">
            <o:LockedField>false</o:LockedField>
          </o:OLEObject>
        </w:object>
      </w:r>
      <w:r>
        <w:rPr>
          <w:rFonts w:eastAsia="Calibri"/>
          <w:sz w:val="28"/>
          <w:szCs w:val="28"/>
          <w:lang w:eastAsia="en-US"/>
        </w:rPr>
        <w:t xml:space="preserve">, банк </w:t>
      </w:r>
      <w:r>
        <w:rPr>
          <w:position w:val="-6"/>
          <w:sz w:val="28"/>
          <w:szCs w:val="28"/>
        </w:rPr>
        <w:object>
          <v:shape id="_x0000_i1384" o:spt="75" type="#_x0000_t75" style="height:13.5pt;width:9.75pt;" o:ole="t" filled="f" o:preferrelative="t" stroked="f" coordsize="21600,21600">
            <v:path/>
            <v:fill on="f" focussize="0,0"/>
            <v:stroke on="f" joinstyle="miter"/>
            <v:imagedata r:id="rId677" o:title=""/>
            <o:lock v:ext="edit" aspectratio="t"/>
            <w10:wrap type="none"/>
            <w10:anchorlock/>
          </v:shape>
          <o:OLEObject Type="Embed" ProgID="Equation.DSMT4" ShapeID="_x0000_i1384" DrawAspect="Content" ObjectID="_1468076091" r:id="rId676">
            <o:LockedField>false</o:LockedField>
          </o:OLEObject>
        </w:object>
      </w:r>
      <w:r>
        <w:rPr>
          <w:sz w:val="28"/>
          <w:szCs w:val="28"/>
        </w:rPr>
        <w:t xml:space="preserve"> </w:t>
      </w:r>
      <w:r>
        <w:rPr>
          <w:rFonts w:eastAsia="Calibri"/>
          <w:sz w:val="28"/>
          <w:szCs w:val="28"/>
          <w:lang w:eastAsia="en-US"/>
        </w:rPr>
        <w:t>использует часть своей инвестиционной доходности для погашения</w:t>
      </w:r>
      <w:r>
        <w:rPr>
          <w:rFonts w:eastAsia="Calibri"/>
          <w:sz w:val="28"/>
          <w:szCs w:val="28"/>
        </w:rPr>
        <w:t xml:space="preserve"> </w:t>
      </w:r>
      <w:r>
        <w:rPr>
          <w:rFonts w:eastAsia="Calibri"/>
          <w:sz w:val="28"/>
          <w:szCs w:val="28"/>
          <w:lang w:eastAsia="en-US"/>
        </w:rPr>
        <w:t xml:space="preserve">обязательств перед вкладчиками, а держатели капитала получают остаточную выручку, которая стоит </w:t>
      </w:r>
      <w:r>
        <w:rPr>
          <w:position w:val="-14"/>
          <w:sz w:val="28"/>
          <w:szCs w:val="28"/>
        </w:rPr>
        <w:object>
          <v:shape id="_x0000_i1385" o:spt="75" type="#_x0000_t75" style="height:20.25pt;width:225pt;" o:ole="t" filled="f" o:preferrelative="t" stroked="f" coordsize="21600,21600">
            <v:path/>
            <v:fill on="f" focussize="0,0"/>
            <v:stroke on="f" joinstyle="miter"/>
            <v:imagedata r:id="rId679" o:title=""/>
            <o:lock v:ext="edit" aspectratio="t"/>
            <w10:wrap type="none"/>
            <w10:anchorlock/>
          </v:shape>
          <o:OLEObject Type="Embed" ProgID="Equation.DSMT4" ShapeID="_x0000_i1385" DrawAspect="Content" ObjectID="_1468076092" r:id="rId678">
            <o:LockedField>false</o:LockedField>
          </o:OLEObject>
        </w:object>
      </w:r>
      <w:r>
        <w:rPr>
          <w:rFonts w:eastAsia="Calibri"/>
          <w:sz w:val="28"/>
          <w:szCs w:val="28"/>
          <w:lang w:eastAsia="en-US"/>
        </w:rPr>
        <w:t xml:space="preserve">. </w:t>
      </w:r>
    </w:p>
    <w:p w14:paraId="075C31A3">
      <w:pPr>
        <w:pStyle w:val="37"/>
        <w:rPr>
          <w:rFonts w:eastAsia="Calibri"/>
          <w:sz w:val="28"/>
          <w:szCs w:val="28"/>
          <w:lang w:eastAsia="en-US"/>
        </w:rPr>
      </w:pPr>
      <w:r>
        <w:rPr>
          <w:rFonts w:eastAsia="Calibri"/>
          <w:sz w:val="28"/>
          <w:szCs w:val="28"/>
          <w:lang w:eastAsia="en-US"/>
        </w:rPr>
        <w:t xml:space="preserve">Что произойдет, если общий доход от инвестиций </w:t>
      </w:r>
      <w:r>
        <w:rPr>
          <w:position w:val="-14"/>
          <w:sz w:val="28"/>
          <w:szCs w:val="28"/>
        </w:rPr>
        <w:object>
          <v:shape id="_x0000_i1386" o:spt="75" type="#_x0000_t75" style="height:20.25pt;width:109.5pt;" o:ole="t" filled="f" o:preferrelative="t" stroked="f" coordsize="21600,21600">
            <v:path/>
            <v:fill on="f" focussize="0,0"/>
            <v:stroke on="f" joinstyle="miter"/>
            <v:imagedata r:id="rId681" o:title=""/>
            <o:lock v:ext="edit" aspectratio="t"/>
            <w10:wrap type="none"/>
            <w10:anchorlock/>
          </v:shape>
          <o:OLEObject Type="Embed" ProgID="Equation.DSMT4" ShapeID="_x0000_i1386" DrawAspect="Content" ObjectID="_1468076093" r:id="rId680">
            <o:LockedField>false</o:LockedField>
          </o:OLEObject>
        </w:object>
      </w:r>
      <w:r>
        <w:rPr>
          <w:rFonts w:eastAsia="Calibri"/>
          <w:sz w:val="28"/>
          <w:szCs w:val="28"/>
          <w:lang w:eastAsia="en-US"/>
        </w:rPr>
        <w:t xml:space="preserve"> не дотянет до общих обязательств перед вкладчиками </w:t>
      </w:r>
      <w:r>
        <w:rPr>
          <w:position w:val="-14"/>
          <w:sz w:val="28"/>
          <w:szCs w:val="28"/>
        </w:rPr>
        <w:object>
          <v:shape id="_x0000_i1387" o:spt="75" type="#_x0000_t75" style="height:20.25pt;width:109.5pt;" o:ole="t" filled="f" o:preferrelative="t" stroked="f" coordsize="21600,21600">
            <v:path/>
            <v:fill on="f" focussize="0,0"/>
            <v:stroke on="f" joinstyle="miter"/>
            <v:imagedata r:id="rId683" o:title=""/>
            <o:lock v:ext="edit" aspectratio="t"/>
            <w10:wrap type="none"/>
            <w10:anchorlock/>
          </v:shape>
          <o:OLEObject Type="Embed" ProgID="Equation.DSMT4" ShapeID="_x0000_i1387" DrawAspect="Content" ObjectID="_1468076094" r:id="rId682">
            <o:LockedField>false</o:LockedField>
          </o:OLEObject>
        </w:object>
      </w:r>
      <w:r>
        <w:rPr>
          <w:rFonts w:eastAsia="Calibri"/>
          <w:sz w:val="28"/>
          <w:szCs w:val="28"/>
          <w:lang w:eastAsia="en-US"/>
        </w:rPr>
        <w:t xml:space="preserve">? Тогда банк окажется неплатежеспособным в момент времени </w:t>
      </w:r>
      <m:oMath>
        <m:r>
          <m:rPr/>
          <w:rPr>
            <w:rFonts w:ascii="Cambria Math" w:hAnsi="Cambria Math" w:eastAsia="Calibri"/>
            <w:sz w:val="28"/>
            <w:szCs w:val="28"/>
            <w:lang w:eastAsia="en-US"/>
          </w:rPr>
          <m:t>t+τ</m:t>
        </m:r>
      </m:oMath>
      <w:r>
        <w:rPr>
          <w:rFonts w:eastAsia="Calibri"/>
          <w:sz w:val="28"/>
          <w:szCs w:val="28"/>
          <w:lang w:eastAsia="en-US"/>
        </w:rPr>
        <w:t xml:space="preserve">, потому что его совокупные обязательства </w:t>
      </w:r>
      <w:r>
        <w:rPr>
          <w:position w:val="-6"/>
          <w:sz w:val="28"/>
          <w:szCs w:val="28"/>
        </w:rPr>
        <w:object>
          <v:shape id="_x0000_i1388" o:spt="75" type="#_x0000_t75" style="height:15.75pt;width:73.5pt;" o:ole="t" filled="f" o:preferrelative="t" stroked="f" coordsize="21600,21600">
            <v:path/>
            <v:fill on="f" focussize="0,0"/>
            <v:stroke on="f" joinstyle="miter"/>
            <v:imagedata r:id="rId685" o:title=""/>
            <o:lock v:ext="edit" aspectratio="t"/>
            <w10:wrap type="none"/>
            <w10:anchorlock/>
          </v:shape>
          <o:OLEObject Type="Embed" ProgID="Equation.DSMT4" ShapeID="_x0000_i1388" DrawAspect="Content" ObjectID="_1468076095" r:id="rId684">
            <o:LockedField>false</o:LockedField>
          </o:OLEObject>
        </w:object>
      </w:r>
      <w:r>
        <w:rPr>
          <w:rFonts w:eastAsia="Calibri"/>
          <w:sz w:val="28"/>
          <w:szCs w:val="28"/>
          <w:lang w:eastAsia="en-US"/>
        </w:rPr>
        <w:t xml:space="preserve"> (правая часть баланса (28)) превысят его совокупные активы </w:t>
      </w:r>
      <w:r>
        <w:rPr>
          <w:position w:val="-6"/>
          <w:sz w:val="28"/>
          <w:szCs w:val="28"/>
        </w:rPr>
        <w:object>
          <v:shape id="_x0000_i1389" o:spt="75" type="#_x0000_t75" style="height:15.75pt;width:73.5pt;" o:ole="t" filled="f" o:preferrelative="t" stroked="f" coordsize="21600,21600">
            <v:path/>
            <v:fill on="f" focussize="0,0"/>
            <v:stroke on="f" joinstyle="miter"/>
            <v:imagedata r:id="rId687" o:title=""/>
            <o:lock v:ext="edit" aspectratio="t"/>
            <w10:wrap type="none"/>
            <w10:anchorlock/>
          </v:shape>
          <o:OLEObject Type="Embed" ProgID="Equation.DSMT4" ShapeID="_x0000_i1389" DrawAspect="Content" ObjectID="_1468076096" r:id="rId686">
            <o:LockedField>false</o:LockedField>
          </o:OLEObject>
        </w:object>
      </w:r>
      <w:r>
        <w:rPr>
          <w:rFonts w:eastAsia="Calibri"/>
          <w:sz w:val="28"/>
          <w:szCs w:val="28"/>
          <w:lang w:eastAsia="en-US"/>
        </w:rPr>
        <w:t xml:space="preserve">. Соответственно, капитал обнулится, и порядок, в котором обслуживаются претензии фонда проблемных активов </w:t>
      </w:r>
      <w:r>
        <w:rPr>
          <w:position w:val="-6"/>
          <w:sz w:val="28"/>
          <w:szCs w:val="28"/>
        </w:rPr>
        <w:object>
          <v:shape id="_x0000_i1390" o:spt="75" type="#_x0000_t75" style="height:13.5pt;width:11.25pt;" o:ole="t" filled="f" o:preferrelative="t" stroked="f" coordsize="21600,21600">
            <v:path/>
            <v:fill on="f" focussize="0,0"/>
            <v:stroke on="f" joinstyle="miter"/>
            <v:imagedata r:id="rId689" o:title=""/>
            <o:lock v:ext="edit" aspectratio="t"/>
            <w10:wrap type="none"/>
            <w10:anchorlock/>
          </v:shape>
          <o:OLEObject Type="Embed" ProgID="Equation.DSMT4" ShapeID="_x0000_i1390" DrawAspect="Content" ObjectID="_1468076097" r:id="rId688">
            <o:LockedField>false</o:LockedField>
          </o:OLEObject>
        </w:object>
      </w:r>
      <w:r>
        <w:rPr>
          <w:rFonts w:eastAsia="Calibri"/>
          <w:sz w:val="28"/>
          <w:szCs w:val="28"/>
          <w:lang w:eastAsia="en-US"/>
        </w:rPr>
        <w:t xml:space="preserve"> и вкладчиков, становится актуальным. Предположим сначала, что требования государственного фонда проблемных активов </w:t>
      </w:r>
      <w:r>
        <w:rPr>
          <w:position w:val="-6"/>
          <w:sz w:val="28"/>
          <w:szCs w:val="28"/>
        </w:rPr>
        <w:object>
          <v:shape id="_x0000_i1391" o:spt="75" type="#_x0000_t75" style="height:13.5pt;width:11.25pt;" o:ole="t" filled="f" o:preferrelative="t" stroked="f" coordsize="21600,21600">
            <v:path/>
            <v:fill on="f" focussize="0,0"/>
            <v:stroke on="f" joinstyle="miter"/>
            <v:imagedata r:id="rId689" o:title=""/>
            <o:lock v:ext="edit" aspectratio="t"/>
            <w10:wrap type="none"/>
            <w10:anchorlock/>
          </v:shape>
          <o:OLEObject Type="Embed" ProgID="Equation.DSMT4" ShapeID="_x0000_i1391" DrawAspect="Content" ObjectID="_1468076098" r:id="rId690">
            <o:LockedField>false</o:LockedField>
          </o:OLEObject>
        </w:object>
      </w:r>
      <w:r>
        <w:rPr>
          <w:rFonts w:eastAsia="Calibri"/>
          <w:sz w:val="28"/>
          <w:szCs w:val="28"/>
          <w:lang w:eastAsia="en-US"/>
        </w:rPr>
        <w:t xml:space="preserve"> обслуживается раньше требований по депозитам. Мы будем называть этот вариант схемы соглашения об обратном выкупе схемой 2d. По этой схеме</w:t>
      </w:r>
      <w:r>
        <w:rPr>
          <w:sz w:val="28"/>
          <w:szCs w:val="28"/>
        </w:rPr>
        <w:t xml:space="preserve"> </w:t>
      </w:r>
      <w:r>
        <w:rPr>
          <w:rFonts w:eastAsia="Calibri"/>
          <w:sz w:val="28"/>
          <w:szCs w:val="28"/>
          <w:lang w:eastAsia="en-US"/>
        </w:rPr>
        <w:t xml:space="preserve">фонд проблемных активов </w:t>
      </w:r>
      <w:r>
        <w:rPr>
          <w:position w:val="-6"/>
          <w:sz w:val="28"/>
          <w:szCs w:val="28"/>
        </w:rPr>
        <w:object>
          <v:shape id="_x0000_i1392" o:spt="75" type="#_x0000_t75" style="height:13.5pt;width:11.25pt;" o:ole="t" filled="f" o:preferrelative="t" stroked="f" coordsize="21600,21600">
            <v:path/>
            <v:fill on="f" focussize="0,0"/>
            <v:stroke on="f" joinstyle="miter"/>
            <v:imagedata r:id="rId689" o:title=""/>
            <o:lock v:ext="edit" aspectratio="t"/>
            <w10:wrap type="none"/>
            <w10:anchorlock/>
          </v:shape>
          <o:OLEObject Type="Embed" ProgID="Equation.DSMT4" ShapeID="_x0000_i1392" DrawAspect="Content" ObjectID="_1468076099" r:id="rId691">
            <o:LockedField>false</o:LockedField>
          </o:OLEObject>
        </w:object>
      </w:r>
      <w:r>
        <w:rPr>
          <w:rFonts w:eastAsia="Calibri"/>
          <w:sz w:val="28"/>
          <w:szCs w:val="28"/>
          <w:lang w:eastAsia="en-US"/>
        </w:rPr>
        <w:t xml:space="preserve"> все еще получает </w:t>
      </w:r>
      <w:r>
        <w:rPr>
          <w:position w:val="-10"/>
          <w:sz w:val="28"/>
          <w:szCs w:val="28"/>
        </w:rPr>
        <w:object>
          <v:shape id="_x0000_i1393" o:spt="75" type="#_x0000_t75" style="height:18.75pt;width:22.5pt;" o:ole="t" filled="f" o:preferrelative="t" stroked="f" coordsize="21600,21600">
            <v:path/>
            <v:fill on="f" focussize="0,0"/>
            <v:stroke on="f" joinstyle="miter"/>
            <v:imagedata r:id="rId693" o:title=""/>
            <o:lock v:ext="edit" aspectratio="t"/>
            <w10:wrap type="none"/>
            <w10:anchorlock/>
          </v:shape>
          <o:OLEObject Type="Embed" ProgID="Equation.DSMT4" ShapeID="_x0000_i1393" DrawAspect="Content" ObjectID="_1468076100" r:id="rId692">
            <o:LockedField>false</o:LockedField>
          </o:OLEObject>
        </w:object>
      </w:r>
      <w:r>
        <w:rPr>
          <w:rFonts w:eastAsia="Calibri"/>
          <w:sz w:val="28"/>
          <w:szCs w:val="28"/>
          <w:lang w:eastAsia="en-US"/>
        </w:rPr>
        <w:t xml:space="preserve"> а доходы от инвестиций </w:t>
      </w:r>
      <w:r>
        <w:rPr>
          <w:position w:val="-14"/>
          <w:sz w:val="28"/>
          <w:szCs w:val="28"/>
        </w:rPr>
        <w:object>
          <v:shape id="_x0000_i1394" o:spt="75" type="#_x0000_t75" style="height:20.25pt;width:109.5pt;" o:ole="t" filled="f" o:preferrelative="t" stroked="f" coordsize="21600,21600">
            <v:path/>
            <v:fill on="f" focussize="0,0"/>
            <v:stroke on="f" joinstyle="miter"/>
            <v:imagedata r:id="rId695" o:title=""/>
            <o:lock v:ext="edit" aspectratio="t"/>
            <w10:wrap type="none"/>
            <w10:anchorlock/>
          </v:shape>
          <o:OLEObject Type="Embed" ProgID="Equation.DSMT4" ShapeID="_x0000_i1394" DrawAspect="Content" ObjectID="_1468076101" r:id="rId694">
            <o:LockedField>false</o:LockedField>
          </o:OLEObject>
        </w:object>
      </w:r>
      <w:r>
        <w:rPr>
          <w:rFonts w:eastAsia="Calibri"/>
          <w:sz w:val="28"/>
          <w:szCs w:val="28"/>
          <w:lang w:eastAsia="en-US"/>
        </w:rPr>
        <w:t xml:space="preserve"> остаются для погашения вкладов. Поскольку этих поступлений недостаточно, страховщик вкладов должен внести разницу между требованиями </w:t>
      </w:r>
      <w:r>
        <w:rPr>
          <w:position w:val="-14"/>
          <w:sz w:val="28"/>
          <w:szCs w:val="28"/>
        </w:rPr>
        <w:object>
          <v:shape id="_x0000_i1395" o:spt="75" type="#_x0000_t75" style="height:20.25pt;width:109.5pt;" o:ole="t" filled="f" o:preferrelative="t" stroked="f" coordsize="21600,21600">
            <v:path/>
            <v:fill on="f" focussize="0,0"/>
            <v:stroke on="f" joinstyle="miter"/>
            <v:imagedata r:id="rId697" o:title=""/>
            <o:lock v:ext="edit" aspectratio="t"/>
            <w10:wrap type="none"/>
            <w10:anchorlock/>
          </v:shape>
          <o:OLEObject Type="Embed" ProgID="Equation.DSMT4" ShapeID="_x0000_i1395" DrawAspect="Content" ObjectID="_1468076102" r:id="rId696">
            <o:LockedField>false</o:LockedField>
          </o:OLEObject>
        </w:object>
      </w:r>
      <w:r>
        <w:rPr>
          <w:rFonts w:eastAsia="Calibri"/>
          <w:sz w:val="28"/>
          <w:szCs w:val="28"/>
          <w:lang w:eastAsia="en-US"/>
        </w:rPr>
        <w:t xml:space="preserve"> вкладчиков и доходностью инвестиций. Теперь предположим, что требования фонда проблемных активов </w:t>
      </w:r>
      <w:r>
        <w:rPr>
          <w:position w:val="-6"/>
          <w:sz w:val="28"/>
          <w:szCs w:val="28"/>
        </w:rPr>
        <w:object>
          <v:shape id="_x0000_i1396" o:spt="75" type="#_x0000_t75" style="height:13.5pt;width:11.25pt;" o:ole="t" filled="f" o:preferrelative="t" stroked="f" coordsize="21600,21600">
            <v:path/>
            <v:fill on="f" focussize="0,0"/>
            <v:stroke on="f" joinstyle="miter"/>
            <v:imagedata r:id="rId689" o:title=""/>
            <o:lock v:ext="edit" aspectratio="t"/>
            <w10:wrap type="none"/>
            <w10:anchorlock/>
          </v:shape>
          <o:OLEObject Type="Embed" ProgID="Equation.DSMT4" ShapeID="_x0000_i1396" DrawAspect="Content" ObjectID="_1468076103" r:id="rId698">
            <o:LockedField>false</o:LockedField>
          </o:OLEObject>
        </w:object>
      </w:r>
      <w:r>
        <w:rPr>
          <w:rFonts w:eastAsia="Calibri"/>
          <w:sz w:val="28"/>
          <w:szCs w:val="28"/>
          <w:lang w:eastAsia="en-US"/>
        </w:rPr>
        <w:t xml:space="preserve"> обслуживаются позднее требований по депозитам (схемой 2h). Тогда банковский капитал по-прежнему обесценен, и фонд проблемных активов </w:t>
      </w:r>
      <w:r>
        <w:rPr>
          <w:position w:val="-6"/>
          <w:sz w:val="28"/>
          <w:szCs w:val="28"/>
        </w:rPr>
        <w:object>
          <v:shape id="_x0000_i1397" o:spt="75" type="#_x0000_t75" style="height:13.5pt;width:11.25pt;" o:ole="t" filled="f" o:preferrelative="t" stroked="f" coordsize="21600,21600">
            <v:path/>
            <v:fill on="f" focussize="0,0"/>
            <v:stroke on="f" joinstyle="miter"/>
            <v:imagedata r:id="rId689" o:title=""/>
            <o:lock v:ext="edit" aspectratio="t"/>
            <w10:wrap type="none"/>
            <w10:anchorlock/>
          </v:shape>
          <o:OLEObject Type="Embed" ProgID="Equation.DSMT4" ShapeID="_x0000_i1397" DrawAspect="Content" ObjectID="_1468076104" r:id="rId699">
            <o:LockedField>false</o:LockedField>
          </o:OLEObject>
        </w:object>
      </w:r>
      <w:r>
        <w:rPr>
          <w:rFonts w:eastAsia="Calibri"/>
          <w:sz w:val="28"/>
          <w:szCs w:val="28"/>
          <w:lang w:eastAsia="en-US"/>
        </w:rPr>
        <w:t xml:space="preserve"> становится остаточным заявителем. Если совокупные активы </w:t>
      </w:r>
      <w:r>
        <w:rPr>
          <w:position w:val="-14"/>
          <w:sz w:val="28"/>
          <w:szCs w:val="28"/>
        </w:rPr>
        <w:object>
          <v:shape id="_x0000_i1398" o:spt="75" type="#_x0000_t75" style="height:20.25pt;width:168pt;" o:ole="t" filled="f" o:preferrelative="t" stroked="f" coordsize="21600,21600">
            <v:path/>
            <v:fill on="f" focussize="0,0"/>
            <v:stroke on="f" joinstyle="miter"/>
            <v:imagedata r:id="rId701" o:title=""/>
            <o:lock v:ext="edit" aspectratio="t"/>
            <w10:wrap type="none"/>
            <w10:anchorlock/>
          </v:shape>
          <o:OLEObject Type="Embed" ProgID="Equation.DSMT4" ShapeID="_x0000_i1398" DrawAspect="Content" ObjectID="_1468076105" r:id="rId700">
            <o:LockedField>false</o:LockedField>
          </o:OLEObject>
        </w:object>
      </w:r>
      <w:r>
        <w:rPr>
          <w:rFonts w:eastAsia="Calibri"/>
          <w:sz w:val="28"/>
          <w:szCs w:val="28"/>
          <w:lang w:eastAsia="en-US"/>
        </w:rPr>
        <w:t xml:space="preserve"> покрывают требования </w:t>
      </w:r>
      <w:r>
        <w:rPr>
          <w:position w:val="-14"/>
          <w:sz w:val="28"/>
          <w:szCs w:val="28"/>
        </w:rPr>
        <w:object>
          <v:shape id="_x0000_i1399" o:spt="75" type="#_x0000_t75" style="height:20.25pt;width:109.5pt;" o:ole="t" filled="f" o:preferrelative="t" stroked="f" coordsize="21600,21600">
            <v:path/>
            <v:fill on="f" focussize="0,0"/>
            <v:stroke on="f" joinstyle="miter"/>
            <v:imagedata r:id="rId703" o:title=""/>
            <o:lock v:ext="edit" aspectratio="t"/>
            <w10:wrap type="none"/>
            <w10:anchorlock/>
          </v:shape>
          <o:OLEObject Type="Embed" ProgID="Equation.DSMT4" ShapeID="_x0000_i1399" DrawAspect="Content" ObjectID="_1468076106" r:id="rId702">
            <o:LockedField>false</o:LockedField>
          </o:OLEObject>
        </w:object>
      </w:r>
      <w:r>
        <w:rPr>
          <w:rFonts w:eastAsia="Calibri"/>
          <w:sz w:val="28"/>
          <w:szCs w:val="28"/>
          <w:lang w:eastAsia="en-US"/>
        </w:rPr>
        <w:t xml:space="preserve"> вкладчиков, банк </w:t>
      </w:r>
      <w:r>
        <w:rPr>
          <w:position w:val="-6"/>
          <w:sz w:val="28"/>
          <w:szCs w:val="28"/>
        </w:rPr>
        <w:object>
          <v:shape id="_x0000_i1400" o:spt="75" type="#_x0000_t75" style="height:13.5pt;width:9.75pt;" o:ole="t" filled="f" o:preferrelative="t" stroked="f" coordsize="21600,21600">
            <v:path/>
            <v:fill on="f" focussize="0,0"/>
            <v:stroke on="f" joinstyle="miter"/>
            <v:imagedata r:id="rId705" o:title=""/>
            <o:lock v:ext="edit" aspectratio="t"/>
            <w10:wrap type="none"/>
            <w10:anchorlock/>
          </v:shape>
          <o:OLEObject Type="Embed" ProgID="Equation.DSMT4" ShapeID="_x0000_i1400" DrawAspect="Content" ObjectID="_1468076107" r:id="rId704">
            <o:LockedField>false</o:LockedField>
          </o:OLEObject>
        </w:object>
      </w:r>
      <w:r>
        <w:rPr>
          <w:rFonts w:eastAsia="Calibri"/>
          <w:sz w:val="28"/>
          <w:szCs w:val="28"/>
          <w:lang w:eastAsia="en-US"/>
        </w:rPr>
        <w:t xml:space="preserve"> полностью погасит требования вкладчиков, так что помощь страховщика вкладов не потребуется. В этом случае фонд </w:t>
      </w:r>
      <w:r>
        <w:rPr>
          <w:position w:val="-6"/>
          <w:sz w:val="28"/>
          <w:szCs w:val="28"/>
        </w:rPr>
        <w:object>
          <v:shape id="_x0000_i1401" o:spt="75" type="#_x0000_t75" style="height:13.5pt;width:11.25pt;" o:ole="t" filled="f" o:preferrelative="t" stroked="f" coordsize="21600,21600">
            <v:path/>
            <v:fill on="f" focussize="0,0"/>
            <v:stroke on="f" joinstyle="miter"/>
            <v:imagedata r:id="rId707" o:title=""/>
            <o:lock v:ext="edit" aspectratio="t"/>
            <w10:wrap type="none"/>
            <w10:anchorlock/>
          </v:shape>
          <o:OLEObject Type="Embed" ProgID="Equation.DSMT4" ShapeID="_x0000_i1401" DrawAspect="Content" ObjectID="_1468076108" r:id="rId706">
            <o:LockedField>false</o:LockedField>
          </o:OLEObject>
        </w:object>
      </w:r>
      <w:r>
        <w:rPr>
          <w:rFonts w:eastAsia="Calibri"/>
          <w:sz w:val="28"/>
          <w:szCs w:val="28"/>
          <w:lang w:eastAsia="en-US"/>
        </w:rPr>
        <w:t xml:space="preserve"> получает остаточную выручку </w:t>
      </w:r>
      <w:r>
        <w:rPr>
          <w:position w:val="-14"/>
          <w:sz w:val="28"/>
          <w:szCs w:val="28"/>
        </w:rPr>
        <w:object>
          <v:shape id="_x0000_i1402" o:spt="75" type="#_x0000_t75" style="height:20.25pt;width:284.25pt;" o:ole="t" filled="f" o:preferrelative="t" stroked="f" coordsize="21600,21600">
            <v:path/>
            <v:fill on="f" focussize="0,0"/>
            <v:stroke on="f" joinstyle="miter"/>
            <v:imagedata r:id="rId709" o:title=""/>
            <o:lock v:ext="edit" aspectratio="t"/>
            <w10:wrap type="none"/>
            <w10:anchorlock/>
          </v:shape>
          <o:OLEObject Type="Embed" ProgID="Equation.DSMT4" ShapeID="_x0000_i1402" DrawAspect="Content" ObjectID="_1468076109" r:id="rId708">
            <o:LockedField>false</o:LockedField>
          </o:OLEObject>
        </w:object>
      </w:r>
      <w:r>
        <w:rPr>
          <w:rFonts w:eastAsia="Calibri"/>
          <w:sz w:val="28"/>
          <w:szCs w:val="28"/>
          <w:lang w:eastAsia="en-US"/>
        </w:rPr>
        <w:t xml:space="preserve">. В противном случае, если суммарные активы меньше суммы депозитов, эти активы полностью передаются вкладчикам, а страховщик вкладов урегулирует оставшиеся требования вкладчиков. Фонд проблемных активов </w:t>
      </w:r>
      <w:r>
        <w:rPr>
          <w:position w:val="-6"/>
          <w:sz w:val="28"/>
          <w:szCs w:val="28"/>
        </w:rPr>
        <w:object>
          <v:shape id="_x0000_i1403" o:spt="75" type="#_x0000_t75" style="height:13.5pt;width:11.25pt;" o:ole="t" filled="f" o:preferrelative="t" stroked="f" coordsize="21600,21600">
            <v:path/>
            <v:fill on="f" focussize="0,0"/>
            <v:stroke on="f" joinstyle="miter"/>
            <v:imagedata r:id="rId689" o:title=""/>
            <o:lock v:ext="edit" aspectratio="t"/>
            <w10:wrap type="none"/>
            <w10:anchorlock/>
          </v:shape>
          <o:OLEObject Type="Embed" ProgID="Equation.DSMT4" ShapeID="_x0000_i1403" DrawAspect="Content" ObjectID="_1468076110" r:id="rId710">
            <o:LockedField>false</o:LockedField>
          </o:OLEObject>
        </w:object>
      </w:r>
      <w:r>
        <w:rPr>
          <w:rFonts w:eastAsia="Calibri"/>
          <w:sz w:val="28"/>
          <w:szCs w:val="28"/>
          <w:lang w:eastAsia="en-US"/>
        </w:rPr>
        <w:t xml:space="preserve"> не получает никаких платежей. </w:t>
      </w:r>
    </w:p>
    <w:p w14:paraId="76E9000C">
      <w:pPr>
        <w:pStyle w:val="37"/>
        <w:rPr>
          <w:rFonts w:eastAsia="Calibri"/>
          <w:sz w:val="28"/>
          <w:szCs w:val="28"/>
          <w:lang w:eastAsia="en-US"/>
        </w:rPr>
      </w:pPr>
      <w:r>
        <w:rPr>
          <w:rFonts w:eastAsia="Calibri"/>
          <w:sz w:val="28"/>
          <w:szCs w:val="28"/>
          <w:lang w:eastAsia="en-US"/>
        </w:rPr>
        <w:t xml:space="preserve">Мы увидели, что различие между двумя вариантами соглашения об обратном выкупе (схемы 2d и 2h) не играет роли ни для платежеспособности банка </w:t>
      </w:r>
      <w:r>
        <w:rPr>
          <w:position w:val="-6"/>
          <w:sz w:val="28"/>
          <w:szCs w:val="28"/>
        </w:rPr>
        <w:object>
          <v:shape id="_x0000_i1404" o:spt="75" type="#_x0000_t75" style="height:13.5pt;width:9.75pt;" o:ole="t" filled="f" o:preferrelative="t" stroked="f" coordsize="21600,21600">
            <v:path/>
            <v:fill on="f" focussize="0,0"/>
            <v:stroke on="f" joinstyle="miter"/>
            <v:imagedata r:id="rId705" o:title=""/>
            <o:lock v:ext="edit" aspectratio="t"/>
            <w10:wrap type="none"/>
            <w10:anchorlock/>
          </v:shape>
          <o:OLEObject Type="Embed" ProgID="Equation.DSMT4" ShapeID="_x0000_i1404" DrawAspect="Content" ObjectID="_1468076111" r:id="rId711">
            <o:LockedField>false</o:LockedField>
          </o:OLEObject>
        </w:object>
      </w:r>
      <w:r>
        <w:rPr>
          <w:rFonts w:eastAsia="Calibri"/>
          <w:sz w:val="28"/>
          <w:szCs w:val="28"/>
          <w:lang w:eastAsia="en-US"/>
        </w:rPr>
        <w:t xml:space="preserve">, ни для стоимости банковского капитала в момент времени </w:t>
      </w:r>
      <m:oMath>
        <m:r>
          <m:rPr/>
          <w:rPr>
            <w:rFonts w:ascii="Cambria Math" w:hAnsi="Cambria Math" w:eastAsia="Calibri"/>
            <w:sz w:val="28"/>
            <w:szCs w:val="28"/>
            <w:lang w:eastAsia="en-US"/>
          </w:rPr>
          <m:t>t+τ</m:t>
        </m:r>
      </m:oMath>
      <w:r>
        <w:rPr>
          <w:rFonts w:eastAsia="Calibri"/>
          <w:sz w:val="28"/>
          <w:szCs w:val="28"/>
          <w:lang w:eastAsia="en-US"/>
        </w:rPr>
        <w:t xml:space="preserve">, которая равна значению срезки </w:t>
      </w:r>
      <w:r>
        <w:rPr>
          <w:position w:val="-18"/>
          <w:sz w:val="28"/>
          <w:szCs w:val="28"/>
        </w:rPr>
        <w:object>
          <v:shape id="_x0000_i1405" o:spt="75" type="#_x0000_t75" style="height:22.5pt;width:145.5pt;" o:ole="t" filled="f" o:preferrelative="t" stroked="f" coordsize="21600,21600">
            <v:path/>
            <v:fill on="f" focussize="0,0"/>
            <v:stroke on="f" joinstyle="miter"/>
            <v:imagedata r:id="rId713" o:title=""/>
            <o:lock v:ext="edit" aspectratio="t"/>
            <w10:wrap type="none"/>
            <w10:anchorlock/>
          </v:shape>
          <o:OLEObject Type="Embed" ProgID="Equation.DSMT4" ShapeID="_x0000_i1405" DrawAspect="Content" ObjectID="_1468076112" r:id="rId712">
            <o:LockedField>false</o:LockedField>
          </o:OLEObject>
        </w:object>
      </w:r>
      <w:r>
        <w:rPr>
          <w:rFonts w:eastAsia="Calibri"/>
          <w:sz w:val="28"/>
          <w:szCs w:val="28"/>
          <w:lang w:eastAsia="en-US"/>
        </w:rPr>
        <w:t xml:space="preserve"> в этот момент времени. Поэтому это различие не имеет значения для поведения банка </w:t>
      </w:r>
      <w:r>
        <w:rPr>
          <w:position w:val="-6"/>
          <w:sz w:val="28"/>
          <w:szCs w:val="28"/>
        </w:rPr>
        <w:object>
          <v:shape id="_x0000_i1406" o:spt="75" type="#_x0000_t75" style="height:13.5pt;width:9.75pt;" o:ole="t" filled="f" o:preferrelative="t" stroked="f" coordsize="21600,21600">
            <v:path/>
            <v:fill on="f" focussize="0,0"/>
            <v:stroke on="f" joinstyle="miter"/>
            <v:imagedata r:id="rId715" o:title=""/>
            <o:lock v:ext="edit" aspectratio="t"/>
            <w10:wrap type="none"/>
            <w10:anchorlock/>
          </v:shape>
          <o:OLEObject Type="Embed" ProgID="Equation.DSMT4" ShapeID="_x0000_i1406" DrawAspect="Content" ObjectID="_1468076113" r:id="rId714">
            <o:LockedField>false</o:LockedField>
          </o:OLEObject>
        </w:object>
      </w:r>
      <w:r>
        <w:rPr>
          <w:rFonts w:eastAsia="Calibri"/>
          <w:sz w:val="28"/>
          <w:szCs w:val="28"/>
          <w:lang w:eastAsia="en-US"/>
        </w:rPr>
        <w:t>, поэтому мы просто будем ссылаться на схему 2 в оставшейся части этого</w:t>
      </w:r>
      <w:r>
        <w:rPr>
          <w:rFonts w:eastAsia="Calibri"/>
          <w:sz w:val="28"/>
          <w:szCs w:val="28"/>
        </w:rPr>
        <w:t xml:space="preserve"> </w:t>
      </w:r>
      <w:r>
        <w:rPr>
          <w:rFonts w:eastAsia="Calibri"/>
          <w:sz w:val="28"/>
          <w:szCs w:val="28"/>
          <w:lang w:eastAsia="en-US"/>
        </w:rPr>
        <w:t xml:space="preserve">раздела. Однако проведение различия между этими двумя вариантами будет весьма уместным для обсуждения последствий для политики при описании фонда проблемных активов </w:t>
      </w:r>
      <w:r>
        <w:rPr>
          <w:position w:val="-6"/>
          <w:sz w:val="28"/>
          <w:szCs w:val="28"/>
        </w:rPr>
        <w:object>
          <v:shape id="_x0000_i1407" o:spt="75" type="#_x0000_t75" style="height:13.5pt;width:11.25pt;" o:ole="t" filled="f" o:preferrelative="t" stroked="f" coordsize="21600,21600">
            <v:path/>
            <v:fill on="f" focussize="0,0"/>
            <v:stroke on="f" joinstyle="miter"/>
            <v:imagedata r:id="rId689" o:title=""/>
            <o:lock v:ext="edit" aspectratio="t"/>
            <w10:wrap type="none"/>
            <w10:anchorlock/>
          </v:shape>
          <o:OLEObject Type="Embed" ProgID="Equation.DSMT4" ShapeID="_x0000_i1407" DrawAspect="Content" ObjectID="_1468076114" r:id="rId716">
            <o:LockedField>false</o:LockedField>
          </o:OLEObject>
        </w:object>
      </w:r>
      <w:r>
        <w:rPr>
          <w:sz w:val="28"/>
          <w:szCs w:val="28"/>
        </w:rPr>
        <w:t>.</w:t>
      </w:r>
    </w:p>
    <w:p w14:paraId="63B3B149">
      <w:pPr>
        <w:pStyle w:val="37"/>
        <w:rPr>
          <w:rFonts w:eastAsia="Calibri"/>
          <w:sz w:val="28"/>
          <w:szCs w:val="28"/>
          <w:lang w:eastAsia="en-US"/>
        </w:rPr>
      </w:pPr>
      <w:r>
        <w:rPr>
          <w:rFonts w:eastAsia="Calibri"/>
          <w:sz w:val="28"/>
          <w:szCs w:val="28"/>
          <w:lang w:eastAsia="en-US"/>
        </w:rPr>
        <w:t xml:space="preserve">Теперь давайте подробнее рассмотрим платежеспособность и капитал банка </w:t>
      </w:r>
      <w:r>
        <w:rPr>
          <w:position w:val="-6"/>
          <w:sz w:val="28"/>
          <w:szCs w:val="28"/>
        </w:rPr>
        <w:object>
          <v:shape id="_x0000_i1408" o:spt="75" type="#_x0000_t75" style="height:13.5pt;width:9.75pt;" o:ole="t" filled="f" o:preferrelative="t" stroked="f" coordsize="21600,21600">
            <v:path/>
            <v:fill on="f" focussize="0,0"/>
            <v:stroke on="f" joinstyle="miter"/>
            <v:imagedata r:id="rId718" o:title=""/>
            <o:lock v:ext="edit" aspectratio="t"/>
            <w10:wrap type="none"/>
            <w10:anchorlock/>
          </v:shape>
          <o:OLEObject Type="Embed" ProgID="Equation.DSMT4" ShapeID="_x0000_i1408" DrawAspect="Content" ObjectID="_1468076115" r:id="rId717">
            <o:LockedField>false</o:LockedField>
          </o:OLEObject>
        </w:object>
      </w:r>
      <w:r>
        <w:rPr>
          <w:sz w:val="28"/>
          <w:szCs w:val="28"/>
        </w:rPr>
        <w:t xml:space="preserve"> </w:t>
      </w:r>
      <w:r>
        <w:rPr>
          <w:rFonts w:eastAsia="Calibri"/>
          <w:sz w:val="28"/>
          <w:szCs w:val="28"/>
          <w:lang w:eastAsia="en-US"/>
        </w:rPr>
        <w:t xml:space="preserve">в момент времени </w:t>
      </w:r>
      <m:oMath>
        <m:r>
          <m:rPr/>
          <w:rPr>
            <w:rFonts w:ascii="Cambria Math" w:hAnsi="Cambria Math" w:eastAsia="Calibri"/>
            <w:sz w:val="28"/>
            <w:szCs w:val="28"/>
            <w:lang w:eastAsia="en-US"/>
          </w:rPr>
          <m:t>t+τ</m:t>
        </m:r>
      </m:oMath>
      <w:r>
        <w:rPr>
          <w:rFonts w:eastAsia="Calibri"/>
          <w:sz w:val="28"/>
          <w:szCs w:val="28"/>
          <w:lang w:eastAsia="en-US"/>
        </w:rPr>
        <w:t xml:space="preserve">, а также стоимость банковского капитала на эту дату для схемы 2. Банк </w:t>
      </w:r>
      <w:r>
        <w:rPr>
          <w:position w:val="-6"/>
          <w:sz w:val="28"/>
          <w:szCs w:val="28"/>
        </w:rPr>
        <w:object>
          <v:shape id="_x0000_i1409" o:spt="75" type="#_x0000_t75" style="height:13.5pt;width:9.75pt;" o:ole="t" filled="f" o:preferrelative="t" stroked="f" coordsize="21600,21600">
            <v:path/>
            <v:fill on="f" focussize="0,0"/>
            <v:stroke on="f" joinstyle="miter"/>
            <v:imagedata r:id="rId720" o:title=""/>
            <o:lock v:ext="edit" aspectratio="t"/>
            <w10:wrap type="none"/>
            <w10:anchorlock/>
          </v:shape>
          <o:OLEObject Type="Embed" ProgID="Equation.DSMT4" ShapeID="_x0000_i1409" DrawAspect="Content" ObjectID="_1468076116" r:id="rId719">
            <o:LockedField>false</o:LockedField>
          </o:OLEObject>
        </w:object>
      </w:r>
      <w:r>
        <w:rPr>
          <w:rFonts w:eastAsia="Calibri"/>
          <w:sz w:val="28"/>
          <w:szCs w:val="28"/>
          <w:lang w:eastAsia="en-US"/>
        </w:rPr>
        <w:t xml:space="preserve"> будет платежеспособным, если общая инвестиционная выручка </w:t>
      </w:r>
      <w:r>
        <w:rPr>
          <w:position w:val="-14"/>
          <w:sz w:val="28"/>
          <w:szCs w:val="28"/>
        </w:rPr>
        <w:object>
          <v:shape id="_x0000_i1410" o:spt="75" type="#_x0000_t75" style="height:20.25pt;width:109.5pt;" o:ole="t" filled="f" o:preferrelative="t" stroked="f" coordsize="21600,21600">
            <v:path/>
            <v:fill on="f" focussize="0,0"/>
            <v:stroke on="f" joinstyle="miter"/>
            <v:imagedata r:id="rId722" o:title=""/>
            <o:lock v:ext="edit" aspectratio="t"/>
            <w10:wrap type="none"/>
            <w10:anchorlock/>
          </v:shape>
          <o:OLEObject Type="Embed" ProgID="Equation.DSMT4" ShapeID="_x0000_i1410" DrawAspect="Content" ObjectID="_1468076117" r:id="rId721">
            <o:LockedField>false</o:LockedField>
          </o:OLEObject>
        </w:object>
      </w:r>
      <w:r>
        <w:rPr>
          <w:rFonts w:eastAsia="Calibri"/>
          <w:sz w:val="28"/>
          <w:szCs w:val="28"/>
          <w:lang w:eastAsia="en-US"/>
        </w:rPr>
        <w:t xml:space="preserve"> </w:t>
      </w:r>
      <w:bookmarkStart w:id="28" w:name="_Hlk3449623"/>
      <w:r>
        <w:rPr>
          <w:rFonts w:eastAsia="Calibri"/>
          <w:sz w:val="28"/>
          <w:szCs w:val="28"/>
          <w:lang w:eastAsia="en-US"/>
        </w:rPr>
        <w:t xml:space="preserve">проблемных активов </w:t>
      </w:r>
      <w:bookmarkEnd w:id="28"/>
      <w:r>
        <w:rPr>
          <w:rFonts w:eastAsia="Calibri"/>
          <w:sz w:val="28"/>
          <w:szCs w:val="28"/>
          <w:lang w:eastAsia="en-US"/>
        </w:rPr>
        <w:t xml:space="preserve">и новых кредитов покроют объем депозитов </w:t>
      </w:r>
      <w:r>
        <w:rPr>
          <w:position w:val="-14"/>
          <w:sz w:val="28"/>
          <w:szCs w:val="28"/>
        </w:rPr>
        <w:object>
          <v:shape id="_x0000_i1411" o:spt="75" type="#_x0000_t75" style="height:20.25pt;width:109.5pt;" o:ole="t" filled="f" o:preferrelative="t" stroked="f" coordsize="21600,21600">
            <v:path/>
            <v:fill on="f" focussize="0,0"/>
            <v:stroke on="f" joinstyle="miter"/>
            <v:imagedata r:id="rId724" o:title=""/>
            <o:lock v:ext="edit" aspectratio="t"/>
            <w10:wrap type="none"/>
            <w10:anchorlock/>
          </v:shape>
          <o:OLEObject Type="Embed" ProgID="Equation.DSMT4" ShapeID="_x0000_i1411" DrawAspect="Content" ObjectID="_1468076118" r:id="rId723">
            <o:LockedField>false</o:LockedField>
          </o:OLEObject>
        </w:object>
      </w:r>
      <w:r>
        <w:rPr>
          <w:rFonts w:eastAsia="Calibri"/>
          <w:sz w:val="28"/>
          <w:szCs w:val="28"/>
          <w:lang w:eastAsia="en-US"/>
        </w:rPr>
        <w:t xml:space="preserve">. Проблемный актив дает </w:t>
      </w:r>
      <w:r>
        <w:rPr>
          <w:position w:val="-14"/>
          <w:sz w:val="28"/>
          <w:szCs w:val="28"/>
        </w:rPr>
        <w:object>
          <v:shape id="_x0000_i1412" o:spt="75" type="#_x0000_t75" style="height:20.25pt;width:90.75pt;" o:ole="t" filled="f" o:preferrelative="t" stroked="f" coordsize="21600,21600">
            <v:path/>
            <v:fill on="f" focussize="0,0"/>
            <v:stroke on="f" joinstyle="miter"/>
            <v:imagedata r:id="rId726" o:title=""/>
            <o:lock v:ext="edit" aspectratio="t"/>
            <w10:wrap type="none"/>
            <w10:anchorlock/>
          </v:shape>
          <o:OLEObject Type="Embed" ProgID="Equation.DSMT4" ShapeID="_x0000_i1412" DrawAspect="Content" ObjectID="_1468076119" r:id="rId725">
            <o:LockedField>false</o:LockedField>
          </o:OLEObject>
        </w:object>
      </w:r>
      <w:r>
        <w:rPr>
          <w:rFonts w:eastAsia="Calibri"/>
          <w:sz w:val="28"/>
          <w:szCs w:val="28"/>
          <w:lang w:eastAsia="en-US"/>
        </w:rPr>
        <w:t xml:space="preserve"> в момент времени </w:t>
      </w:r>
      <m:oMath>
        <m:r>
          <m:rPr/>
          <w:rPr>
            <w:rFonts w:ascii="Cambria Math" w:hAnsi="Cambria Math" w:eastAsia="Calibri"/>
            <w:sz w:val="28"/>
            <w:szCs w:val="28"/>
            <w:lang w:eastAsia="en-US"/>
          </w:rPr>
          <m:t>t+τ</m:t>
        </m:r>
      </m:oMath>
      <w:r>
        <w:rPr>
          <w:rFonts w:eastAsia="Calibri"/>
          <w:sz w:val="28"/>
          <w:szCs w:val="28"/>
          <w:lang w:eastAsia="en-US"/>
        </w:rPr>
        <w:t xml:space="preserve"> с вероятностью </w:t>
      </w:r>
      <w:r>
        <w:rPr>
          <w:position w:val="-10"/>
          <w:sz w:val="28"/>
          <w:szCs w:val="28"/>
        </w:rPr>
        <w:object>
          <v:shape id="_x0000_i1413" o:spt="75" type="#_x0000_t75" style="height:13.5pt;width:12pt;" o:ole="t" filled="f" o:preferrelative="t" stroked="f" coordsize="21600,21600">
            <v:path/>
            <v:fill on="f" focussize="0,0"/>
            <v:stroke on="f" joinstyle="miter"/>
            <v:imagedata r:id="rId728" o:title=""/>
            <o:lock v:ext="edit" aspectratio="t"/>
            <w10:wrap type="none"/>
            <w10:anchorlock/>
          </v:shape>
          <o:OLEObject Type="Embed" ProgID="Equation.DSMT4" ShapeID="_x0000_i1413" DrawAspect="Content" ObjectID="_1468076120" r:id="rId727">
            <o:LockedField>false</o:LockedField>
          </o:OLEObject>
        </w:object>
      </w:r>
      <w:r>
        <w:rPr>
          <w:rFonts w:eastAsia="Calibri"/>
          <w:sz w:val="28"/>
          <w:szCs w:val="28"/>
          <w:lang w:eastAsia="en-US"/>
        </w:rPr>
        <w:t xml:space="preserve">. В противном случае он не дает возврата, </w:t>
      </w:r>
      <w:r>
        <w:rPr>
          <w:position w:val="-14"/>
          <w:sz w:val="28"/>
          <w:szCs w:val="28"/>
        </w:rPr>
        <w:object>
          <v:shape id="_x0000_i1414" o:spt="75" type="#_x0000_t75" style="height:20.25pt;width:66.75pt;" o:ole="t" filled="f" o:preferrelative="t" stroked="f" coordsize="21600,21600">
            <v:path/>
            <v:fill on="f" focussize="0,0"/>
            <v:stroke on="f" joinstyle="miter"/>
            <v:imagedata r:id="rId730" o:title=""/>
            <o:lock v:ext="edit" aspectratio="t"/>
            <w10:wrap type="none"/>
            <w10:anchorlock/>
          </v:shape>
          <o:OLEObject Type="Embed" ProgID="Equation.DSMT4" ShapeID="_x0000_i1414" DrawAspect="Content" ObjectID="_1468076121" r:id="rId729">
            <o:LockedField>false</o:LockedField>
          </o:OLEObject>
        </w:object>
      </w:r>
      <w:r>
        <w:rPr>
          <w:rFonts w:eastAsia="Calibri"/>
          <w:sz w:val="28"/>
          <w:szCs w:val="28"/>
          <w:lang w:eastAsia="en-US"/>
        </w:rPr>
        <w:t xml:space="preserve">. Доходность новых кредитов в момент времени </w:t>
      </w:r>
      <m:oMath>
        <m:r>
          <m:rPr/>
          <w:rPr>
            <w:rFonts w:ascii="Cambria Math" w:hAnsi="Cambria Math" w:eastAsia="Calibri"/>
            <w:sz w:val="28"/>
            <w:szCs w:val="28"/>
            <w:lang w:eastAsia="en-US"/>
          </w:rPr>
          <m:t>t+τ</m:t>
        </m:r>
      </m:oMath>
      <w:r>
        <w:rPr>
          <w:rFonts w:eastAsia="Calibri"/>
          <w:sz w:val="28"/>
          <w:szCs w:val="28"/>
          <w:lang w:eastAsia="en-US"/>
        </w:rPr>
        <w:t xml:space="preserve"> равна </w:t>
      </w:r>
      <w:r>
        <w:rPr>
          <w:position w:val="-14"/>
          <w:sz w:val="28"/>
          <w:szCs w:val="28"/>
        </w:rPr>
        <w:object>
          <v:shape id="_x0000_i1415" o:spt="75" type="#_x0000_t75" style="height:20.25pt;width:130.5pt;" o:ole="t" filled="f" o:preferrelative="t" stroked="f" coordsize="21600,21600">
            <v:path/>
            <v:fill on="f" focussize="0,0"/>
            <v:stroke on="f" joinstyle="miter"/>
            <v:imagedata r:id="rId732" o:title=""/>
            <o:lock v:ext="edit" aspectratio="t"/>
            <w10:wrap type="none"/>
            <w10:anchorlock/>
          </v:shape>
          <o:OLEObject Type="Embed" ProgID="Equation.DSMT4" ShapeID="_x0000_i1415" DrawAspect="Content" ObjectID="_1468076122" r:id="rId731">
            <o:LockedField>false</o:LockedField>
          </o:OLEObject>
        </w:object>
      </w:r>
      <w:r>
        <w:rPr>
          <w:rFonts w:eastAsia="Calibri"/>
          <w:sz w:val="28"/>
          <w:szCs w:val="28"/>
          <w:lang w:eastAsia="en-US"/>
        </w:rPr>
        <w:t xml:space="preserve"> с вероятностью </w:t>
      </w:r>
      <w:r>
        <w:rPr>
          <w:position w:val="-10"/>
          <w:sz w:val="28"/>
          <w:szCs w:val="28"/>
        </w:rPr>
        <w:object>
          <v:shape id="_x0000_i1416" o:spt="75" type="#_x0000_t75" style="height:18.75pt;width:15.75pt;" o:ole="t" filled="f" o:preferrelative="t" stroked="f" coordsize="21600,21600">
            <v:path/>
            <v:fill on="f" focussize="0,0"/>
            <v:stroke on="f" joinstyle="miter"/>
            <v:imagedata r:id="rId734" o:title=""/>
            <o:lock v:ext="edit" aspectratio="t"/>
            <w10:wrap type="none"/>
            <w10:anchorlock/>
          </v:shape>
          <o:OLEObject Type="Embed" ProgID="Equation.DSMT4" ShapeID="_x0000_i1416" DrawAspect="Content" ObjectID="_1468076123" r:id="rId733">
            <o:LockedField>false</o:LockedField>
          </o:OLEObject>
        </w:object>
      </w:r>
      <w:r>
        <w:rPr>
          <w:rFonts w:eastAsia="Calibri"/>
          <w:sz w:val="28"/>
          <w:szCs w:val="28"/>
          <w:lang w:eastAsia="en-US"/>
        </w:rPr>
        <w:t xml:space="preserve"> и </w:t>
      </w:r>
      <w:r>
        <w:rPr>
          <w:position w:val="-14"/>
          <w:sz w:val="28"/>
          <w:szCs w:val="28"/>
        </w:rPr>
        <w:object>
          <v:shape id="_x0000_i1417" o:spt="75" type="#_x0000_t75" style="height:20.25pt;width:71.25pt;" o:ole="t" filled="f" o:preferrelative="t" stroked="f" coordsize="21600,21600">
            <v:path/>
            <v:fill on="f" focussize="0,0"/>
            <v:stroke on="f" joinstyle="miter"/>
            <v:imagedata r:id="rId736" o:title=""/>
            <o:lock v:ext="edit" aspectratio="t"/>
            <w10:wrap type="none"/>
            <w10:anchorlock/>
          </v:shape>
          <o:OLEObject Type="Embed" ProgID="Equation.DSMT4" ShapeID="_x0000_i1417" DrawAspect="Content" ObjectID="_1468076124" r:id="rId735">
            <o:LockedField>false</o:LockedField>
          </o:OLEObject>
        </w:object>
      </w:r>
      <w:r>
        <w:rPr>
          <w:sz w:val="28"/>
          <w:szCs w:val="28"/>
        </w:rPr>
        <w:t xml:space="preserve"> </w:t>
      </w:r>
      <w:r>
        <w:rPr>
          <w:rFonts w:eastAsia="Calibri"/>
          <w:sz w:val="28"/>
          <w:szCs w:val="28"/>
          <w:lang w:eastAsia="en-US"/>
        </w:rPr>
        <w:t xml:space="preserve">в противном случае. Эти два инвестиционных проекта (старые и новые кредиты) не связаны между собой. Таким образом, в отношении общего инвестиционного дохода и платежеспособности банка </w:t>
      </w:r>
      <w:r>
        <w:rPr>
          <w:position w:val="-6"/>
          <w:sz w:val="28"/>
          <w:szCs w:val="28"/>
        </w:rPr>
        <w:object>
          <v:shape id="_x0000_i1418" o:spt="75" type="#_x0000_t75" style="height:13.5pt;width:9.75pt;" o:ole="t" filled="f" o:preferrelative="t" stroked="f" coordsize="21600,21600">
            <v:path/>
            <v:fill on="f" focussize="0,0"/>
            <v:stroke on="f" joinstyle="miter"/>
            <v:imagedata r:id="rId738" o:title=""/>
            <o:lock v:ext="edit" aspectratio="t"/>
            <w10:wrap type="none"/>
            <w10:anchorlock/>
          </v:shape>
          <o:OLEObject Type="Embed" ProgID="Equation.DSMT4" ShapeID="_x0000_i1418" DrawAspect="Content" ObjectID="_1468076125" r:id="rId737">
            <o:LockedField>false</o:LockedField>
          </o:OLEObject>
        </w:object>
      </w:r>
      <w:r>
        <w:rPr>
          <w:rFonts w:eastAsia="Calibri"/>
          <w:sz w:val="28"/>
          <w:szCs w:val="28"/>
          <w:lang w:eastAsia="en-US"/>
        </w:rPr>
        <w:t xml:space="preserve"> в момент времени </w:t>
      </w:r>
      <m:oMath>
        <m:r>
          <m:rPr/>
          <w:rPr>
            <w:rFonts w:ascii="Cambria Math" w:hAnsi="Cambria Math" w:eastAsia="Calibri"/>
            <w:sz w:val="28"/>
            <w:szCs w:val="28"/>
            <w:lang w:eastAsia="en-US"/>
          </w:rPr>
          <m:t>t+τ</m:t>
        </m:r>
      </m:oMath>
      <w:r>
        <w:rPr>
          <w:rFonts w:eastAsia="Calibri"/>
          <w:sz w:val="28"/>
          <w:szCs w:val="28"/>
          <w:lang w:eastAsia="en-US"/>
        </w:rPr>
        <w:t xml:space="preserve">, мы должны различать четыре характерных состояния. </w:t>
      </w:r>
    </w:p>
    <w:p w14:paraId="7FA53121">
      <w:pPr>
        <w:pStyle w:val="37"/>
        <w:rPr>
          <w:rFonts w:eastAsia="Calibri"/>
          <w:sz w:val="28"/>
          <w:szCs w:val="28"/>
          <w:lang w:eastAsia="en-US"/>
        </w:rPr>
      </w:pPr>
      <w:r>
        <w:rPr>
          <w:rFonts w:eastAsia="Calibri"/>
          <w:sz w:val="28"/>
          <w:szCs w:val="28"/>
          <w:lang w:eastAsia="en-US"/>
        </w:rPr>
        <w:t xml:space="preserve">(А) С вероятностью </w:t>
      </w:r>
      <w:r>
        <w:rPr>
          <w:position w:val="-10"/>
          <w:sz w:val="28"/>
          <w:szCs w:val="28"/>
        </w:rPr>
        <w:object>
          <v:shape id="_x0000_i1419" o:spt="75" type="#_x0000_t75" style="height:18.75pt;width:22.5pt;" o:ole="t" filled="f" o:preferrelative="t" stroked="f" coordsize="21600,21600">
            <v:path/>
            <v:fill on="f" focussize="0,0"/>
            <v:stroke on="f" joinstyle="miter"/>
            <v:imagedata r:id="rId740" o:title=""/>
            <o:lock v:ext="edit" aspectratio="t"/>
            <w10:wrap type="none"/>
            <w10:anchorlock/>
          </v:shape>
          <o:OLEObject Type="Embed" ProgID="Equation.DSMT4" ShapeID="_x0000_i1419" DrawAspect="Content" ObjectID="_1468076126" r:id="rId739">
            <o:LockedField>false</o:LockedField>
          </o:OLEObject>
        </w:object>
      </w:r>
      <w:r>
        <w:rPr>
          <w:sz w:val="28"/>
          <w:szCs w:val="28"/>
        </w:rPr>
        <w:t xml:space="preserve"> </w:t>
      </w:r>
      <w:r>
        <w:rPr>
          <w:rFonts w:eastAsia="Calibri"/>
          <w:sz w:val="28"/>
          <w:szCs w:val="28"/>
          <w:lang w:eastAsia="en-US"/>
        </w:rPr>
        <w:t xml:space="preserve">оба инвестиционных проекта успешны. Тогда суммарной доходности </w:t>
      </w:r>
      <w:r>
        <w:rPr>
          <w:position w:val="-14"/>
          <w:sz w:val="28"/>
          <w:szCs w:val="28"/>
        </w:rPr>
        <w:object>
          <v:shape id="_x0000_i1420" o:spt="75" type="#_x0000_t75" style="height:20.25pt;width:41.25pt;" o:ole="t" filled="f" o:preferrelative="t" stroked="f" coordsize="21600,21600">
            <v:path/>
            <v:fill on="f" focussize="0,0"/>
            <v:stroke on="f" joinstyle="miter"/>
            <v:imagedata r:id="rId742" o:title=""/>
            <o:lock v:ext="edit" aspectratio="t"/>
            <w10:wrap type="none"/>
            <w10:anchorlock/>
          </v:shape>
          <o:OLEObject Type="Embed" ProgID="Equation.DSMT4" ShapeID="_x0000_i1420" DrawAspect="Content" ObjectID="_1468076127" r:id="rId741">
            <o:LockedField>false</o:LockedField>
          </o:OLEObject>
        </w:object>
      </w:r>
      <w:r>
        <w:rPr>
          <w:position w:val="-14"/>
          <w:sz w:val="28"/>
          <w:szCs w:val="28"/>
        </w:rPr>
        <w:object>
          <v:shape id="_x0000_i1421" o:spt="75" type="#_x0000_t75" style="height:20.25pt;width:67.5pt;" o:ole="t" filled="f" o:preferrelative="t" stroked="f" coordsize="21600,21600">
            <v:path/>
            <v:fill on="f" focussize="0,0"/>
            <v:stroke on="f" joinstyle="miter"/>
            <v:imagedata r:id="rId744" o:title=""/>
            <o:lock v:ext="edit" aspectratio="t"/>
            <w10:wrap type="none"/>
            <w10:anchorlock/>
          </v:shape>
          <o:OLEObject Type="Embed" ProgID="Equation.DSMT4" ShapeID="_x0000_i1421" DrawAspect="Content" ObjectID="_1468076128" r:id="rId743">
            <o:LockedField>false</o:LockedField>
          </o:OLEObject>
        </w:object>
      </w:r>
      <w:r>
        <w:rPr>
          <w:rFonts w:eastAsia="Calibri"/>
          <w:sz w:val="28"/>
          <w:szCs w:val="28"/>
          <w:lang w:eastAsia="en-US"/>
        </w:rPr>
        <w:t xml:space="preserve"> банка </w:t>
      </w:r>
      <w:r>
        <w:rPr>
          <w:position w:val="-6"/>
          <w:sz w:val="28"/>
          <w:szCs w:val="28"/>
        </w:rPr>
        <w:object>
          <v:shape id="_x0000_i1422" o:spt="75" type="#_x0000_t75" style="height:13.5pt;width:9.75pt;" o:ole="t" filled="f" o:preferrelative="t" stroked="f" coordsize="21600,21600">
            <v:path/>
            <v:fill on="f" focussize="0,0"/>
            <v:stroke on="f" joinstyle="miter"/>
            <v:imagedata r:id="rId746" o:title=""/>
            <o:lock v:ext="edit" aspectratio="t"/>
            <w10:wrap type="none"/>
            <w10:anchorlock/>
          </v:shape>
          <o:OLEObject Type="Embed" ProgID="Equation.DSMT4" ShapeID="_x0000_i1422" DrawAspect="Content" ObjectID="_1468076129" r:id="rId745">
            <o:LockedField>false</o:LockedField>
          </o:OLEObject>
        </w:object>
      </w:r>
      <w:r>
        <w:rPr>
          <w:rFonts w:eastAsia="Calibri"/>
          <w:sz w:val="28"/>
          <w:szCs w:val="28"/>
          <w:lang w:eastAsia="en-US"/>
        </w:rPr>
        <w:t xml:space="preserve"> в момент времени </w:t>
      </w:r>
      <m:oMath>
        <m:r>
          <m:rPr/>
          <w:rPr>
            <w:rFonts w:ascii="Cambria Math" w:hAnsi="Cambria Math" w:eastAsia="Calibri"/>
            <w:sz w:val="28"/>
            <w:szCs w:val="28"/>
            <w:lang w:eastAsia="en-US"/>
          </w:rPr>
          <m:t>t+τ</m:t>
        </m:r>
      </m:oMath>
      <w:r>
        <w:rPr>
          <w:rFonts w:eastAsia="Calibri"/>
          <w:sz w:val="28"/>
          <w:szCs w:val="28"/>
          <w:lang w:eastAsia="en-US"/>
        </w:rPr>
        <w:t xml:space="preserve"> достаточно для погашения обязательств </w:t>
      </w:r>
      <w:r>
        <w:rPr>
          <w:position w:val="-14"/>
          <w:sz w:val="28"/>
          <w:szCs w:val="28"/>
        </w:rPr>
        <w:object>
          <v:shape id="_x0000_i1423" o:spt="75" type="#_x0000_t75" style="height:20.25pt;width:109.5pt;" o:ole="t" filled="f" o:preferrelative="t" stroked="f" coordsize="21600,21600">
            <v:path/>
            <v:fill on="f" focussize="0,0"/>
            <v:stroke on="f" joinstyle="miter"/>
            <v:imagedata r:id="rId748" o:title=""/>
            <o:lock v:ext="edit" aspectratio="t"/>
            <w10:wrap type="none"/>
            <w10:anchorlock/>
          </v:shape>
          <o:OLEObject Type="Embed" ProgID="Equation.DSMT4" ShapeID="_x0000_i1423" DrawAspect="Content" ObjectID="_1468076130" r:id="rId747">
            <o:LockedField>false</o:LockedField>
          </o:OLEObject>
        </w:object>
      </w:r>
      <w:r>
        <w:rPr>
          <w:rFonts w:eastAsia="Calibri"/>
          <w:sz w:val="28"/>
          <w:szCs w:val="28"/>
          <w:lang w:eastAsia="en-US"/>
        </w:rPr>
        <w:t xml:space="preserve"> перед его вкладчиками. Банк </w:t>
      </w:r>
      <w:r>
        <w:rPr>
          <w:position w:val="-6"/>
          <w:sz w:val="28"/>
          <w:szCs w:val="28"/>
        </w:rPr>
        <w:object>
          <v:shape id="_x0000_i1424" o:spt="75" type="#_x0000_t75" style="height:13.5pt;width:9.75pt;" o:ole="t" filled="f" o:preferrelative="t" stroked="f" coordsize="21600,21600">
            <v:path/>
            <v:fill on="f" focussize="0,0"/>
            <v:stroke on="f" joinstyle="miter"/>
            <v:imagedata r:id="rId750" o:title=""/>
            <o:lock v:ext="edit" aspectratio="t"/>
            <w10:wrap type="none"/>
            <w10:anchorlock/>
          </v:shape>
          <o:OLEObject Type="Embed" ProgID="Equation.DSMT4" ShapeID="_x0000_i1424" DrawAspect="Content" ObjectID="_1468076131" r:id="rId749">
            <o:LockedField>false</o:LockedField>
          </o:OLEObject>
        </w:object>
      </w:r>
      <w:r>
        <w:rPr>
          <w:sz w:val="28"/>
          <w:szCs w:val="28"/>
        </w:rPr>
        <w:t xml:space="preserve"> </w:t>
      </w:r>
      <w:r>
        <w:rPr>
          <w:rFonts w:eastAsia="Calibri"/>
          <w:sz w:val="28"/>
          <w:szCs w:val="28"/>
          <w:lang w:eastAsia="en-US"/>
        </w:rPr>
        <w:t xml:space="preserve">в этом состоянии платежеспособен. </w:t>
      </w:r>
    </w:p>
    <w:p w14:paraId="7F5AC99A">
      <w:pPr>
        <w:pStyle w:val="37"/>
        <w:rPr>
          <w:rFonts w:eastAsia="Calibri"/>
          <w:sz w:val="28"/>
          <w:szCs w:val="28"/>
          <w:lang w:eastAsia="en-US"/>
        </w:rPr>
      </w:pPr>
      <w:r>
        <w:rPr>
          <w:rFonts w:eastAsia="Calibri"/>
          <w:sz w:val="28"/>
          <w:szCs w:val="28"/>
          <w:lang w:eastAsia="en-US"/>
        </w:rPr>
        <w:t xml:space="preserve">(Б) С вероятностью </w:t>
      </w:r>
      <w:r>
        <w:rPr>
          <w:position w:val="-14"/>
          <w:sz w:val="28"/>
          <w:szCs w:val="28"/>
        </w:rPr>
        <w:object>
          <v:shape id="_x0000_i1425" o:spt="75" type="#_x0000_t75" style="height:20.25pt;width:49.5pt;" o:ole="t" filled="f" o:preferrelative="t" stroked="f" coordsize="21600,21600">
            <v:path/>
            <v:fill on="f" focussize="0,0"/>
            <v:stroke on="f" joinstyle="miter"/>
            <v:imagedata r:id="rId752" o:title=""/>
            <o:lock v:ext="edit" aspectratio="t"/>
            <w10:wrap type="none"/>
            <w10:anchorlock/>
          </v:shape>
          <o:OLEObject Type="Embed" ProgID="Equation.DSMT4" ShapeID="_x0000_i1425" DrawAspect="Content" ObjectID="_1468076132" r:id="rId751">
            <o:LockedField>false</o:LockedField>
          </o:OLEObject>
        </w:object>
      </w:r>
      <w:r>
        <w:rPr>
          <w:rFonts w:eastAsia="Calibri"/>
          <w:sz w:val="28"/>
          <w:szCs w:val="28"/>
          <w:lang w:eastAsia="en-US"/>
        </w:rPr>
        <w:t xml:space="preserve">, только новые ссуды будут успешными. Тогда общий возврат инвестиций равен </w:t>
      </w:r>
      <w:r>
        <w:rPr>
          <w:position w:val="-14"/>
          <w:sz w:val="28"/>
          <w:szCs w:val="28"/>
        </w:rPr>
        <w:object>
          <v:shape id="_x0000_i1426" o:spt="75" type="#_x0000_t75" style="height:20.25pt;width:67.5pt;" o:ole="t" filled="f" o:preferrelative="t" stroked="f" coordsize="21600,21600">
            <v:path/>
            <v:fill on="f" focussize="0,0"/>
            <v:stroke on="f" joinstyle="miter"/>
            <v:imagedata r:id="rId754" o:title=""/>
            <o:lock v:ext="edit" aspectratio="t"/>
            <w10:wrap type="none"/>
            <w10:anchorlock/>
          </v:shape>
          <o:OLEObject Type="Embed" ProgID="Equation.DSMT4" ShapeID="_x0000_i1426" DrawAspect="Content" ObjectID="_1468076133" r:id="rId753">
            <o:LockedField>false</o:LockedField>
          </o:OLEObject>
        </w:object>
      </w:r>
      <w:r>
        <w:rPr>
          <w:rFonts w:eastAsia="Calibri"/>
          <w:sz w:val="28"/>
          <w:szCs w:val="28"/>
          <w:lang w:eastAsia="en-US"/>
        </w:rPr>
        <w:t xml:space="preserve">. В связи с (27) эта сумма покрывает обязательства </w:t>
      </w:r>
      <w:r>
        <w:rPr>
          <w:position w:val="-14"/>
          <w:sz w:val="28"/>
          <w:szCs w:val="28"/>
        </w:rPr>
        <w:object>
          <v:shape id="_x0000_i1427" o:spt="75" type="#_x0000_t75" style="height:20.25pt;width:109.5pt;" o:ole="t" filled="f" o:preferrelative="t" stroked="f" coordsize="21600,21600">
            <v:path/>
            <v:fill on="f" focussize="0,0"/>
            <v:stroke on="f" joinstyle="miter"/>
            <v:imagedata r:id="rId756" o:title=""/>
            <o:lock v:ext="edit" aspectratio="t"/>
            <w10:wrap type="none"/>
            <w10:anchorlock/>
          </v:shape>
          <o:OLEObject Type="Embed" ProgID="Equation.DSMT4" ShapeID="_x0000_i1427" DrawAspect="Content" ObjectID="_1468076134" r:id="rId755">
            <o:LockedField>false</o:LockedField>
          </o:OLEObject>
        </w:object>
      </w:r>
      <w:r>
        <w:rPr>
          <w:rFonts w:eastAsia="Calibri"/>
          <w:sz w:val="28"/>
          <w:szCs w:val="28"/>
          <w:lang w:eastAsia="en-US"/>
        </w:rPr>
        <w:t xml:space="preserve"> перед вкладчиками только в том случае, если</w:t>
      </w:r>
    </w:p>
    <w:p w14:paraId="58F51AA5">
      <w:pPr>
        <w:pStyle w:val="37"/>
        <w:rPr>
          <w:rFonts w:eastAsia="Calibri"/>
          <w:sz w:val="28"/>
          <w:szCs w:val="28"/>
          <w:lang w:eastAsia="en-US"/>
        </w:rPr>
      </w:pPr>
    </w:p>
    <w:p w14:paraId="4E0C15F7">
      <w:pPr>
        <w:pStyle w:val="38"/>
        <w:spacing w:before="0" w:after="0"/>
        <w:jc w:val="center"/>
        <w:rPr>
          <w:sz w:val="28"/>
          <w:szCs w:val="28"/>
        </w:rPr>
      </w:pPr>
      <w:r>
        <w:rPr>
          <w:sz w:val="28"/>
          <w:szCs w:val="28"/>
        </w:rPr>
        <w:t xml:space="preserve">                                             </w:t>
      </w:r>
      <w:r>
        <w:rPr>
          <w:position w:val="-14"/>
          <w:sz w:val="28"/>
          <w:szCs w:val="28"/>
        </w:rPr>
        <w:object>
          <v:shape id="_x0000_i1428" o:spt="75" type="#_x0000_t75" style="height:20.25pt;width:119.25pt;" o:ole="t" filled="f" o:preferrelative="t" stroked="f" coordsize="21600,21600">
            <v:path/>
            <v:fill on="f" focussize="0,0"/>
            <v:stroke on="f" joinstyle="miter"/>
            <v:imagedata r:id="rId758" o:title=""/>
            <o:lock v:ext="edit" aspectratio="t"/>
            <w10:wrap type="none"/>
            <w10:anchorlock/>
          </v:shape>
          <o:OLEObject Type="Embed" ProgID="Equation.DSMT4" ShapeID="_x0000_i1428" DrawAspect="Content" ObjectID="_1468076135" r:id="rId757">
            <o:LockedField>false</o:LockedField>
          </o:OLEObject>
        </w:object>
      </w:r>
      <w:r>
        <w:rPr>
          <w:sz w:val="28"/>
          <w:szCs w:val="28"/>
        </w:rPr>
        <w:t>,</w:t>
      </w:r>
      <w:r>
        <w:rPr>
          <w:sz w:val="28"/>
          <w:szCs w:val="28"/>
        </w:rPr>
        <w:tab/>
      </w:r>
      <w:r>
        <w:rPr>
          <w:sz w:val="28"/>
          <w:szCs w:val="28"/>
        </w:rPr>
        <w:t xml:space="preserve">                                          (39)</w:t>
      </w:r>
    </w:p>
    <w:p w14:paraId="40B37F65">
      <w:pPr>
        <w:pStyle w:val="37"/>
        <w:ind w:firstLine="0"/>
        <w:rPr>
          <w:rFonts w:eastAsia="Calibri"/>
          <w:sz w:val="28"/>
          <w:szCs w:val="28"/>
          <w:lang w:eastAsia="en-US"/>
        </w:rPr>
      </w:pPr>
    </w:p>
    <w:p w14:paraId="412B174A">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Таким образом, объем новых ссуд не может быть слишком малым, поскольку в противном случае поступления от них не удовлетворят обязательствам, поскольку эти поступления должны покрывать как новые, так и старые обязательства банка. </w:t>
      </w:r>
    </w:p>
    <w:p w14:paraId="2D29444E">
      <w:pPr>
        <w:pStyle w:val="37"/>
        <w:rPr>
          <w:rFonts w:eastAsia="Calibri"/>
          <w:sz w:val="28"/>
          <w:szCs w:val="28"/>
          <w:lang w:eastAsia="en-US"/>
        </w:rPr>
      </w:pPr>
      <w:r>
        <w:rPr>
          <w:rFonts w:eastAsia="Calibri"/>
          <w:sz w:val="28"/>
          <w:szCs w:val="28"/>
          <w:lang w:eastAsia="en-US"/>
        </w:rPr>
        <w:t xml:space="preserve">(В) С вероятностью </w:t>
      </w:r>
      <w:r>
        <w:rPr>
          <w:position w:val="-16"/>
          <w:sz w:val="28"/>
          <w:szCs w:val="28"/>
        </w:rPr>
        <w:object>
          <v:shape id="_x0000_i1429" o:spt="75" type="#_x0000_t75" style="height:22.5pt;width:50.25pt;" o:ole="t" filled="f" o:preferrelative="t" stroked="f" coordsize="21600,21600">
            <v:path/>
            <v:fill on="f" focussize="0,0"/>
            <v:stroke on="f" joinstyle="miter"/>
            <v:imagedata r:id="rId760" o:title=""/>
            <o:lock v:ext="edit" aspectratio="t"/>
            <w10:wrap type="none"/>
            <w10:anchorlock/>
          </v:shape>
          <o:OLEObject Type="Embed" ProgID="Equation.DSMT4" ShapeID="_x0000_i1429" DrawAspect="Content" ObjectID="_1468076136" r:id="rId759">
            <o:LockedField>false</o:LockedField>
          </o:OLEObject>
        </w:object>
      </w:r>
      <w:r>
        <w:rPr>
          <w:sz w:val="28"/>
          <w:szCs w:val="28"/>
        </w:rPr>
        <w:t xml:space="preserve"> </w:t>
      </w:r>
      <w:r>
        <w:rPr>
          <w:rFonts w:eastAsia="Calibri"/>
          <w:sz w:val="28"/>
          <w:szCs w:val="28"/>
          <w:lang w:eastAsia="en-US"/>
        </w:rPr>
        <w:t xml:space="preserve">только проблемные активы успешны. В этом случае общая доходность </w:t>
      </w:r>
      <w:r>
        <w:rPr>
          <w:position w:val="-14"/>
          <w:sz w:val="28"/>
          <w:szCs w:val="28"/>
        </w:rPr>
        <w:object>
          <v:shape id="_x0000_i1430" o:spt="75" type="#_x0000_t75" style="height:20.25pt;width:33.75pt;" o:ole="t" filled="f" o:preferrelative="t" stroked="f" coordsize="21600,21600">
            <v:path/>
            <v:fill on="f" focussize="0,0"/>
            <v:stroke on="f" joinstyle="miter"/>
            <v:imagedata r:id="rId762" o:title=""/>
            <o:lock v:ext="edit" aspectratio="t"/>
            <w10:wrap type="none"/>
            <w10:anchorlock/>
          </v:shape>
          <o:OLEObject Type="Embed" ProgID="Equation.DSMT4" ShapeID="_x0000_i1430" DrawAspect="Content" ObjectID="_1468076137" r:id="rId761">
            <o:LockedField>false</o:LockedField>
          </o:OLEObject>
        </w:object>
      </w:r>
      <w:r>
        <w:rPr>
          <w:rFonts w:eastAsia="Calibri"/>
          <w:sz w:val="28"/>
          <w:szCs w:val="28"/>
          <w:lang w:eastAsia="en-US"/>
        </w:rPr>
        <w:t xml:space="preserve"> достаточна, чтобы избежать</w:t>
      </w:r>
      <w:r>
        <w:rPr>
          <w:rFonts w:eastAsia="Calibri"/>
          <w:sz w:val="28"/>
          <w:szCs w:val="28"/>
        </w:rPr>
        <w:t xml:space="preserve"> </w:t>
      </w:r>
      <w:r>
        <w:rPr>
          <w:rFonts w:eastAsia="Calibri"/>
          <w:sz w:val="28"/>
          <w:szCs w:val="28"/>
          <w:lang w:eastAsia="en-US"/>
        </w:rPr>
        <w:t xml:space="preserve">неплатежеспособности, только если </w:t>
      </w:r>
      <w:r>
        <w:rPr>
          <w:position w:val="-14"/>
          <w:sz w:val="28"/>
          <w:szCs w:val="28"/>
        </w:rPr>
        <w:object>
          <v:shape id="_x0000_i1431" o:spt="75" type="#_x0000_t75" style="height:20.25pt;width:42pt;" o:ole="t" filled="f" o:preferrelative="t" stroked="f" coordsize="21600,21600">
            <v:path/>
            <v:fill on="f" focussize="0,0"/>
            <v:stroke on="f" joinstyle="miter"/>
            <v:imagedata r:id="rId764" o:title=""/>
            <o:lock v:ext="edit" aspectratio="t"/>
            <w10:wrap type="none"/>
            <w10:anchorlock/>
          </v:shape>
          <o:OLEObject Type="Embed" ProgID="Equation.DSMT4" ShapeID="_x0000_i1431" DrawAspect="Content" ObjectID="_1468076138" r:id="rId763">
            <o:LockedField>false</o:LockedField>
          </o:OLEObject>
        </w:object>
      </w:r>
      <w:r>
        <w:rPr>
          <w:sz w:val="28"/>
          <w:szCs w:val="28"/>
        </w:rPr>
        <w:t xml:space="preserve"> </w:t>
      </w:r>
      <w:r>
        <w:rPr>
          <w:position w:val="-14"/>
          <w:sz w:val="28"/>
          <w:szCs w:val="28"/>
        </w:rPr>
        <w:object>
          <v:shape id="_x0000_i1432" o:spt="75" type="#_x0000_t75" style="height:20.25pt;width:109.5pt;" o:ole="t" filled="f" o:preferrelative="t" stroked="f" coordsize="21600,21600">
            <v:path/>
            <v:fill on="f" focussize="0,0"/>
            <v:stroke on="f" joinstyle="miter"/>
            <v:imagedata r:id="rId766" o:title=""/>
            <o:lock v:ext="edit" aspectratio="t"/>
            <w10:wrap type="none"/>
            <w10:anchorlock/>
          </v:shape>
          <o:OLEObject Type="Embed" ProgID="Equation.DSMT4" ShapeID="_x0000_i1432" DrawAspect="Content" ObjectID="_1468076139" r:id="rId765">
            <o:LockedField>false</o:LockedField>
          </o:OLEObject>
        </w:object>
      </w:r>
      <w:r>
        <w:rPr>
          <w:rFonts w:eastAsia="Calibri"/>
          <w:sz w:val="28"/>
          <w:szCs w:val="28"/>
          <w:lang w:eastAsia="en-US"/>
        </w:rPr>
        <w:t>. Тогда баланс (38) с учетом (27) приводит к условию платежеспособности</w:t>
      </w:r>
    </w:p>
    <w:p w14:paraId="232E36AF">
      <w:pPr>
        <w:pStyle w:val="37"/>
        <w:ind w:firstLine="0"/>
        <w:rPr>
          <w:rFonts w:eastAsia="Calibri"/>
          <w:sz w:val="28"/>
          <w:szCs w:val="28"/>
          <w:lang w:eastAsia="en-US"/>
        </w:rPr>
      </w:pPr>
    </w:p>
    <w:p w14:paraId="3EF4A2F4">
      <w:pPr>
        <w:pStyle w:val="38"/>
        <w:spacing w:before="0" w:after="0"/>
        <w:rPr>
          <w:sz w:val="28"/>
          <w:szCs w:val="28"/>
        </w:rPr>
      </w:pPr>
      <w:r>
        <w:rPr>
          <w:sz w:val="28"/>
          <w:szCs w:val="28"/>
        </w:rPr>
        <w:tab/>
      </w:r>
      <w:r>
        <w:rPr>
          <w:sz w:val="28"/>
          <w:szCs w:val="28"/>
        </w:rPr>
        <w:t xml:space="preserve">                                         </w:t>
      </w:r>
      <w:r>
        <w:rPr>
          <w:position w:val="-14"/>
          <w:sz w:val="28"/>
          <w:szCs w:val="28"/>
        </w:rPr>
        <w:object>
          <v:shape id="_x0000_i1433" o:spt="75" type="#_x0000_t75" style="height:20.25pt;width:145.5pt;" o:ole="t" filled="f" o:preferrelative="t" stroked="f" coordsize="21600,21600">
            <v:path/>
            <v:fill on="f" focussize="0,0"/>
            <v:stroke on="f" joinstyle="miter"/>
            <v:imagedata r:id="rId768" o:title=""/>
            <o:lock v:ext="edit" aspectratio="t"/>
            <w10:wrap type="none"/>
            <w10:anchorlock/>
          </v:shape>
          <o:OLEObject Type="Embed" ProgID="Equation.DSMT4" ShapeID="_x0000_i1433" DrawAspect="Content" ObjectID="_1468076140" r:id="rId767">
            <o:LockedField>false</o:LockedField>
          </o:OLEObject>
        </w:object>
      </w:r>
      <w:r>
        <w:rPr>
          <w:sz w:val="28"/>
          <w:szCs w:val="28"/>
        </w:rPr>
        <w:t>,</w:t>
      </w:r>
      <w:r>
        <w:rPr>
          <w:sz w:val="28"/>
          <w:szCs w:val="28"/>
        </w:rPr>
        <w:tab/>
      </w:r>
      <w:r>
        <w:rPr>
          <w:sz w:val="28"/>
          <w:szCs w:val="28"/>
        </w:rPr>
        <w:t xml:space="preserve">                                      (40)</w:t>
      </w:r>
    </w:p>
    <w:p w14:paraId="4A1C3A24">
      <w:pPr>
        <w:pStyle w:val="37"/>
        <w:ind w:firstLine="0"/>
        <w:rPr>
          <w:rFonts w:eastAsia="Calibri"/>
          <w:sz w:val="28"/>
          <w:szCs w:val="28"/>
          <w:lang w:eastAsia="en-US"/>
        </w:rPr>
      </w:pPr>
    </w:p>
    <w:p w14:paraId="37EF4634">
      <w:pPr>
        <w:pStyle w:val="37"/>
        <w:ind w:firstLine="0"/>
        <w:rPr>
          <w:rFonts w:eastAsia="Calibri"/>
          <w:sz w:val="28"/>
          <w:szCs w:val="28"/>
          <w:lang w:eastAsia="en-US"/>
        </w:rPr>
      </w:pPr>
      <w:r>
        <w:rPr>
          <w:rFonts w:eastAsia="Calibri"/>
          <w:sz w:val="28"/>
          <w:szCs w:val="28"/>
          <w:lang w:eastAsia="en-US"/>
        </w:rPr>
        <w:t xml:space="preserve">означающее, что новых ссуд, которые в этом состоянии терпят крах, не должно быть много. Это связано с тем, что обязательства банка увеличиваются с ростом объема новых кредитов, и эти обязательства также должны покрываться поступлениями от проблемного актива. </w:t>
      </w:r>
    </w:p>
    <w:p w14:paraId="71650B89">
      <w:pPr>
        <w:pStyle w:val="37"/>
        <w:rPr>
          <w:rFonts w:eastAsia="Calibri"/>
          <w:sz w:val="28"/>
          <w:szCs w:val="28"/>
          <w:lang w:eastAsia="en-US"/>
        </w:rPr>
      </w:pPr>
      <w:r>
        <w:rPr>
          <w:rFonts w:eastAsia="Calibri"/>
          <w:sz w:val="28"/>
          <w:szCs w:val="28"/>
          <w:lang w:eastAsia="en-US"/>
        </w:rPr>
        <w:t xml:space="preserve">(Г) С вероятностью </w:t>
      </w:r>
      <w:r>
        <w:rPr>
          <w:position w:val="-16"/>
          <w:sz w:val="28"/>
          <w:szCs w:val="28"/>
        </w:rPr>
        <w:object>
          <v:shape id="_x0000_i1434" o:spt="75" type="#_x0000_t75" style="height:22.5pt;width:72.75pt;" o:ole="t" filled="f" o:preferrelative="t" stroked="f" coordsize="21600,21600">
            <v:path/>
            <v:fill on="f" focussize="0,0"/>
            <v:stroke on="f" joinstyle="miter"/>
            <v:imagedata r:id="rId770" o:title=""/>
            <o:lock v:ext="edit" aspectratio="t"/>
            <w10:wrap type="none"/>
            <w10:anchorlock/>
          </v:shape>
          <o:OLEObject Type="Embed" ProgID="Equation.DSMT4" ShapeID="_x0000_i1434" DrawAspect="Content" ObjectID="_1468076141" r:id="rId769">
            <o:LockedField>false</o:LockedField>
          </o:OLEObject>
        </w:object>
      </w:r>
      <w:r>
        <w:rPr>
          <w:rFonts w:eastAsia="Calibri"/>
          <w:sz w:val="28"/>
          <w:szCs w:val="28"/>
          <w:lang w:eastAsia="en-US"/>
        </w:rPr>
        <w:t xml:space="preserve">, оба инвестиционных проекта терпят неудачу и не приносят никакой прибыли. Это означает, что банк </w:t>
      </w:r>
      <w:r>
        <w:rPr>
          <w:position w:val="-6"/>
          <w:sz w:val="28"/>
          <w:szCs w:val="28"/>
        </w:rPr>
        <w:object>
          <v:shape id="_x0000_i1435" o:spt="75" type="#_x0000_t75" style="height:13.5pt;width:9.75pt;" o:ole="t" filled="f" o:preferrelative="t" stroked="f" coordsize="21600,21600">
            <v:path/>
            <v:fill on="f" focussize="0,0"/>
            <v:stroke on="f" joinstyle="miter"/>
            <v:imagedata r:id="rId738" o:title=""/>
            <o:lock v:ext="edit" aspectratio="t"/>
            <w10:wrap type="none"/>
            <w10:anchorlock/>
          </v:shape>
          <o:OLEObject Type="Embed" ProgID="Equation.DSMT4" ShapeID="_x0000_i1435" DrawAspect="Content" ObjectID="_1468076142" r:id="rId771">
            <o:LockedField>false</o:LockedField>
          </o:OLEObject>
        </w:object>
      </w:r>
      <w:r>
        <w:rPr>
          <w:sz w:val="28"/>
          <w:szCs w:val="28"/>
        </w:rPr>
        <w:t xml:space="preserve"> </w:t>
      </w:r>
      <w:r>
        <w:rPr>
          <w:rFonts w:eastAsia="Calibri"/>
          <w:sz w:val="28"/>
          <w:szCs w:val="28"/>
          <w:lang w:eastAsia="en-US"/>
        </w:rPr>
        <w:t xml:space="preserve">является неплатежеспособным. </w:t>
      </w:r>
    </w:p>
    <w:p w14:paraId="4C786E05">
      <w:pPr>
        <w:pStyle w:val="37"/>
        <w:rPr>
          <w:rFonts w:eastAsia="Calibri"/>
          <w:sz w:val="28"/>
          <w:szCs w:val="28"/>
          <w:lang w:eastAsia="en-US"/>
        </w:rPr>
      </w:pPr>
      <w:r>
        <w:rPr>
          <w:rFonts w:eastAsia="Calibri"/>
          <w:sz w:val="28"/>
          <w:szCs w:val="28"/>
          <w:lang w:eastAsia="en-US"/>
        </w:rPr>
        <w:t xml:space="preserve">Из анализа четырех состояний с учетом условия (27) можно сделать вывод, что ожидаемая стоимость капитала банка </w:t>
      </w:r>
      <w:r>
        <w:rPr>
          <w:position w:val="-6"/>
          <w:sz w:val="28"/>
          <w:szCs w:val="28"/>
        </w:rPr>
        <w:object>
          <v:shape id="_x0000_i1436" o:spt="75" type="#_x0000_t75" style="height:13.5pt;width:9.75pt;" o:ole="t" filled="f" o:preferrelative="t" stroked="f" coordsize="21600,21600">
            <v:path/>
            <v:fill on="f" focussize="0,0"/>
            <v:stroke on="f" joinstyle="miter"/>
            <v:imagedata r:id="rId773" o:title=""/>
            <o:lock v:ext="edit" aspectratio="t"/>
            <w10:wrap type="none"/>
            <w10:anchorlock/>
          </v:shape>
          <o:OLEObject Type="Embed" ProgID="Equation.DSMT4" ShapeID="_x0000_i1436" DrawAspect="Content" ObjectID="_1468076143" r:id="rId772">
            <o:LockedField>false</o:LockedField>
          </o:OLEObject>
        </w:object>
      </w:r>
      <w:r>
        <w:rPr>
          <w:sz w:val="28"/>
          <w:szCs w:val="28"/>
        </w:rPr>
        <w:t xml:space="preserve"> </w:t>
      </w:r>
      <w:r>
        <w:rPr>
          <w:rFonts w:eastAsia="Calibri"/>
          <w:sz w:val="28"/>
          <w:szCs w:val="28"/>
          <w:lang w:eastAsia="en-US"/>
        </w:rPr>
        <w:t xml:space="preserve">в момент времени </w:t>
      </w:r>
      <m:oMath>
        <m:r>
          <m:rPr/>
          <w:rPr>
            <w:rFonts w:ascii="Cambria Math" w:hAnsi="Cambria Math" w:eastAsia="Calibri"/>
            <w:sz w:val="28"/>
            <w:szCs w:val="28"/>
            <w:lang w:eastAsia="en-US"/>
          </w:rPr>
          <m:t>t+τ</m:t>
        </m:r>
      </m:oMath>
      <w:r>
        <w:rPr>
          <w:rFonts w:eastAsia="Calibri"/>
          <w:sz w:val="28"/>
          <w:szCs w:val="28"/>
          <w:lang w:eastAsia="en-US"/>
        </w:rPr>
        <w:t xml:space="preserve"> в случае участия в схеме 2 (с обратным выкупом) составляет:</w:t>
      </w:r>
    </w:p>
    <w:p w14:paraId="43219B58">
      <w:pPr>
        <w:pStyle w:val="37"/>
        <w:ind w:firstLine="0"/>
        <w:rPr>
          <w:rFonts w:eastAsia="Calibri"/>
          <w:sz w:val="28"/>
          <w:szCs w:val="28"/>
          <w:lang w:eastAsia="en-US"/>
        </w:rPr>
      </w:pPr>
    </w:p>
    <w:p w14:paraId="7B515D86">
      <w:pPr>
        <w:pStyle w:val="38"/>
        <w:spacing w:before="0" w:after="0"/>
        <w:jc w:val="center"/>
        <w:rPr>
          <w:sz w:val="28"/>
          <w:szCs w:val="28"/>
        </w:rPr>
      </w:pPr>
      <w:r>
        <w:rPr>
          <w:sz w:val="28"/>
          <w:szCs w:val="28"/>
        </w:rPr>
        <w:t xml:space="preserve">               </w:t>
      </w:r>
      <w:r>
        <w:rPr>
          <w:position w:val="-88"/>
          <w:sz w:val="28"/>
          <w:szCs w:val="28"/>
        </w:rPr>
        <w:object>
          <v:shape id="_x0000_i1437" o:spt="75" type="#_x0000_t75" style="height:92.25pt;width:240pt;" o:ole="t" filled="f" o:preferrelative="t" stroked="f" coordsize="21600,21600">
            <v:path/>
            <v:fill on="f" focussize="0,0"/>
            <v:stroke on="f" joinstyle="miter"/>
            <v:imagedata r:id="rId775" o:title=""/>
            <o:lock v:ext="edit" aspectratio="t"/>
            <w10:wrap type="none"/>
            <w10:anchorlock/>
          </v:shape>
          <o:OLEObject Type="Embed" ProgID="Equation.DSMT4" ShapeID="_x0000_i1437" DrawAspect="Content" ObjectID="_1468076144" r:id="rId774">
            <o:LockedField>false</o:LockedField>
          </o:OLEObject>
        </w:object>
      </w:r>
      <w:r>
        <w:rPr>
          <w:sz w:val="28"/>
          <w:szCs w:val="28"/>
        </w:rPr>
        <w:t>,</w:t>
      </w:r>
      <w:r>
        <w:rPr>
          <w:sz w:val="28"/>
          <w:szCs w:val="28"/>
        </w:rPr>
        <w:tab/>
      </w:r>
      <w:r>
        <w:rPr>
          <w:sz w:val="28"/>
          <w:szCs w:val="28"/>
        </w:rPr>
        <w:t xml:space="preserve">                                    (41)</w:t>
      </w:r>
    </w:p>
    <w:p w14:paraId="7B7DE6B8">
      <w:pPr>
        <w:pStyle w:val="37"/>
        <w:ind w:firstLine="0"/>
        <w:rPr>
          <w:rFonts w:eastAsia="Calibri"/>
          <w:sz w:val="28"/>
          <w:szCs w:val="28"/>
          <w:lang w:eastAsia="en-US"/>
        </w:rPr>
      </w:pPr>
    </w:p>
    <w:p w14:paraId="28092997">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так что мы получаем, что </w:t>
      </w:r>
      <w:r>
        <w:rPr>
          <w:rFonts w:ascii="Times New Roman" w:hAnsi="Times New Roman" w:cs="Times New Roman"/>
          <w:position w:val="-16"/>
          <w:sz w:val="28"/>
          <w:szCs w:val="28"/>
        </w:rPr>
        <w:object>
          <v:shape id="_x0000_i1438" o:spt="75" type="#_x0000_t75" style="height:22.5pt;width:139.5pt;" o:ole="t" filled="f" o:preferrelative="t" stroked="f" coordsize="21600,21600">
            <v:path/>
            <v:fill on="f" focussize="0,0"/>
            <v:stroke on="f" joinstyle="miter"/>
            <v:imagedata r:id="rId777" o:title=""/>
            <o:lock v:ext="edit" aspectratio="t"/>
            <w10:wrap type="none"/>
            <w10:anchorlock/>
          </v:shape>
          <o:OLEObject Type="Embed" ProgID="Equation.DSMT4" ShapeID="_x0000_i1438" DrawAspect="Content" ObjectID="_1468076145" r:id="rId776">
            <o:LockedField>false</o:LockedField>
          </o:OLEObject>
        </w:object>
      </w:r>
      <w:r>
        <w:rPr>
          <w:rFonts w:ascii="Times New Roman" w:hAnsi="Times New Roman" w:cs="Times New Roman"/>
          <w:sz w:val="28"/>
          <w:szCs w:val="28"/>
        </w:rPr>
        <w:t xml:space="preserve"> </w:t>
      </w:r>
      <w:r>
        <w:rPr>
          <w:rFonts w:ascii="Times New Roman" w:hAnsi="Times New Roman" w:eastAsia="Calibri" w:cs="Times New Roman"/>
          <w:sz w:val="28"/>
          <w:szCs w:val="28"/>
        </w:rPr>
        <w:t xml:space="preserve">Таким образом, ожидаемая стоимость собственного капитала банка </w:t>
      </w:r>
      <w:r>
        <w:rPr>
          <w:rFonts w:ascii="Times New Roman" w:hAnsi="Times New Roman" w:cs="Times New Roman"/>
          <w:position w:val="-6"/>
          <w:sz w:val="28"/>
          <w:szCs w:val="28"/>
        </w:rPr>
        <w:object>
          <v:shape id="_x0000_i1439" o:spt="75" type="#_x0000_t75" style="height:13.5pt;width:9.75pt;" o:ole="t" filled="f" o:preferrelative="t" stroked="f" coordsize="21600,21600">
            <v:path/>
            <v:fill on="f" focussize="0,0"/>
            <v:stroke on="f" joinstyle="miter"/>
            <v:imagedata r:id="rId779" o:title=""/>
            <o:lock v:ext="edit" aspectratio="t"/>
            <w10:wrap type="none"/>
            <w10:anchorlock/>
          </v:shape>
          <o:OLEObject Type="Embed" ProgID="Equation.DSMT4" ShapeID="_x0000_i1439" DrawAspect="Content" ObjectID="_1468076146" r:id="rId778">
            <o:LockedField>false</o:LockedField>
          </o:OLEObject>
        </w:object>
      </w:r>
      <w:r>
        <w:rPr>
          <w:rFonts w:ascii="Times New Roman" w:hAnsi="Times New Roman" w:cs="Times New Roman"/>
          <w:sz w:val="28"/>
          <w:szCs w:val="28"/>
        </w:rPr>
        <w:t xml:space="preserve"> в схеме 2 растет с увеличением новых ссуд </w:t>
      </w:r>
      <w:r>
        <w:rPr>
          <w:rFonts w:ascii="Times New Roman" w:hAnsi="Times New Roman" w:cs="Times New Roman"/>
          <w:position w:val="-14"/>
          <w:sz w:val="28"/>
          <w:szCs w:val="28"/>
        </w:rPr>
        <w:object>
          <v:shape id="_x0000_i1440" o:spt="75" type="#_x0000_t75" style="height:20.25pt;width:37.5pt;" o:ole="t" filled="f" o:preferrelative="t" stroked="f" coordsize="21600,21600">
            <v:path/>
            <v:fill on="f" focussize="0,0"/>
            <v:stroke on="f" joinstyle="miter"/>
            <v:imagedata r:id="rId781" o:title=""/>
            <o:lock v:ext="edit" aspectratio="t"/>
            <w10:wrap type="none"/>
            <w10:anchorlock/>
          </v:shape>
          <o:OLEObject Type="Embed" ProgID="Equation.DSMT4" ShapeID="_x0000_i1440" DrawAspect="Content" ObjectID="_1468076147" r:id="rId780">
            <o:LockedField>false</o:LockedField>
          </o:OLEObject>
        </w:object>
      </w:r>
      <w:r>
        <w:rPr>
          <w:rFonts w:ascii="Times New Roman" w:hAnsi="Times New Roman" w:cs="Times New Roman"/>
          <w:sz w:val="28"/>
          <w:szCs w:val="28"/>
        </w:rPr>
        <w:t>.</w:t>
      </w:r>
    </w:p>
    <w:p w14:paraId="028D4C5E">
      <w:pPr>
        <w:pStyle w:val="37"/>
        <w:rPr>
          <w:rFonts w:eastAsia="Calibri"/>
          <w:b/>
          <w:sz w:val="28"/>
          <w:szCs w:val="28"/>
          <w:lang w:eastAsia="en-US"/>
        </w:rPr>
      </w:pPr>
      <w:r>
        <w:rPr>
          <w:rFonts w:eastAsia="Calibri"/>
          <w:b/>
          <w:sz w:val="28"/>
          <w:szCs w:val="28"/>
          <w:lang w:eastAsia="en-US"/>
        </w:rPr>
        <w:t xml:space="preserve">Оптимальное поведение для плохого банка </w:t>
      </w:r>
      <w:r>
        <w:rPr>
          <w:b/>
          <w:position w:val="-6"/>
          <w:sz w:val="28"/>
          <w:szCs w:val="28"/>
        </w:rPr>
        <w:object>
          <v:shape id="_x0000_i1441" o:spt="75" type="#_x0000_t75" style="height:13.5pt;width:9.75pt;" o:ole="t" filled="f" o:preferrelative="t" stroked="f" coordsize="21600,21600">
            <v:path/>
            <v:fill on="f" focussize="0,0"/>
            <v:stroke on="f" joinstyle="miter"/>
            <v:imagedata r:id="rId783" o:title=""/>
            <o:lock v:ext="edit" aspectratio="t"/>
            <w10:wrap type="none"/>
            <w10:anchorlock/>
          </v:shape>
          <o:OLEObject Type="Embed" ProgID="Equation.DSMT4" ShapeID="_x0000_i1441" DrawAspect="Content" ObjectID="_1468076148" r:id="rId782">
            <o:LockedField>false</o:LockedField>
          </o:OLEObject>
        </w:object>
      </w:r>
      <w:r>
        <w:rPr>
          <w:rFonts w:eastAsia="Calibri"/>
          <w:b/>
          <w:sz w:val="28"/>
          <w:szCs w:val="28"/>
          <w:lang w:eastAsia="en-US"/>
        </w:rPr>
        <w:t xml:space="preserve"> </w:t>
      </w:r>
    </w:p>
    <w:p w14:paraId="01B762B5">
      <w:pPr>
        <w:pStyle w:val="37"/>
        <w:rPr>
          <w:rFonts w:eastAsia="Calibri"/>
          <w:sz w:val="28"/>
          <w:szCs w:val="28"/>
          <w:lang w:eastAsia="en-US"/>
        </w:rPr>
      </w:pPr>
      <w:r>
        <w:rPr>
          <w:rFonts w:eastAsia="Calibri"/>
          <w:sz w:val="28"/>
          <w:szCs w:val="28"/>
          <w:lang w:eastAsia="en-US"/>
        </w:rPr>
        <w:t xml:space="preserve">Для простоты мы ограничим наш последующий анализ поведения банка </w:t>
      </w:r>
      <w:r>
        <w:rPr>
          <w:position w:val="-6"/>
          <w:sz w:val="28"/>
          <w:szCs w:val="28"/>
        </w:rPr>
        <w:object>
          <v:shape id="_x0000_i1442" o:spt="75" type="#_x0000_t75" style="height:13.5pt;width:9.75pt;" o:ole="t" filled="f" o:preferrelative="t" stroked="f" coordsize="21600,21600">
            <v:path/>
            <v:fill on="f" focussize="0,0"/>
            <v:stroke on="f" joinstyle="miter"/>
            <v:imagedata r:id="rId785" o:title=""/>
            <o:lock v:ext="edit" aspectratio="t"/>
            <w10:wrap type="none"/>
            <w10:anchorlock/>
          </v:shape>
          <o:OLEObject Type="Embed" ProgID="Equation.DSMT4" ShapeID="_x0000_i1442" DrawAspect="Content" ObjectID="_1468076149" r:id="rId784">
            <o:LockedField>false</o:LockedField>
          </o:OLEObject>
        </w:object>
      </w:r>
      <w:r>
        <w:rPr>
          <w:sz w:val="28"/>
          <w:szCs w:val="28"/>
        </w:rPr>
        <w:t xml:space="preserve"> </w:t>
      </w:r>
      <w:r>
        <w:rPr>
          <w:rFonts w:eastAsia="Calibri"/>
          <w:sz w:val="28"/>
          <w:szCs w:val="28"/>
          <w:lang w:eastAsia="en-US"/>
        </w:rPr>
        <w:t>правдоподобным случаем</w:t>
      </w:r>
      <w:r>
        <w:rPr>
          <w:rStyle w:val="8"/>
          <w:rFonts w:eastAsia="Calibri"/>
          <w:sz w:val="28"/>
          <w:szCs w:val="28"/>
          <w:lang w:eastAsia="en-US"/>
        </w:rPr>
        <w:footnoteReference w:id="1"/>
      </w:r>
    </w:p>
    <w:p w14:paraId="735261D7">
      <w:pPr>
        <w:pStyle w:val="37"/>
        <w:rPr>
          <w:rFonts w:eastAsia="Calibri"/>
          <w:sz w:val="28"/>
          <w:szCs w:val="28"/>
          <w:lang w:eastAsia="en-US"/>
        </w:rPr>
      </w:pPr>
    </w:p>
    <w:p w14:paraId="3A806CC3">
      <w:pPr>
        <w:pStyle w:val="38"/>
        <w:spacing w:before="0" w:after="0"/>
        <w:jc w:val="center"/>
        <w:rPr>
          <w:sz w:val="28"/>
          <w:szCs w:val="28"/>
        </w:rPr>
      </w:pPr>
      <w:r>
        <w:rPr>
          <w:sz w:val="28"/>
          <w:szCs w:val="28"/>
        </w:rPr>
        <w:t xml:space="preserve">                                                 </w:t>
      </w:r>
      <w:r>
        <w:rPr>
          <w:position w:val="-32"/>
          <w:sz w:val="28"/>
          <w:szCs w:val="28"/>
        </w:rPr>
        <w:object>
          <v:shape id="_x0000_i1450" o:spt="75" type="#_x0000_t75" style="height:34.5pt;width:94.5pt;" o:ole="t" filled="f" o:preferrelative="t" stroked="f" coordsize="21600,21600">
            <v:path/>
            <v:fill on="f" focussize="0,0"/>
            <v:stroke on="f" joinstyle="miter"/>
            <v:imagedata r:id="rId787" o:title=""/>
            <o:lock v:ext="edit" aspectratio="t"/>
            <w10:wrap type="none"/>
            <w10:anchorlock/>
          </v:shape>
          <o:OLEObject Type="Embed" ProgID="Equation.DSMT4" ShapeID="_x0000_i1450" DrawAspect="Content" ObjectID="_1468076150" r:id="rId786">
            <o:LockedField>false</o:LockedField>
          </o:OLEObject>
        </w:object>
      </w:r>
      <w:r>
        <w:rPr>
          <w:sz w:val="28"/>
          <w:szCs w:val="28"/>
        </w:rPr>
        <w:tab/>
      </w:r>
      <w:r>
        <w:rPr>
          <w:sz w:val="28"/>
          <w:szCs w:val="28"/>
        </w:rPr>
        <w:t xml:space="preserve">                                          (42)</w:t>
      </w:r>
    </w:p>
    <w:p w14:paraId="6BD94A2E">
      <w:pPr>
        <w:pStyle w:val="37"/>
        <w:rPr>
          <w:rFonts w:eastAsia="Calibri"/>
          <w:sz w:val="28"/>
          <w:szCs w:val="28"/>
          <w:lang w:eastAsia="en-US"/>
        </w:rPr>
      </w:pPr>
    </w:p>
    <w:p w14:paraId="09FFC2A5">
      <w:pPr>
        <w:pStyle w:val="37"/>
        <w:ind w:firstLine="0"/>
        <w:rPr>
          <w:rFonts w:eastAsia="Calibri"/>
          <w:sz w:val="28"/>
          <w:szCs w:val="28"/>
          <w:lang w:eastAsia="en-US"/>
        </w:rPr>
      </w:pPr>
      <w:r>
        <w:rPr>
          <w:rFonts w:eastAsia="Calibri"/>
          <w:sz w:val="28"/>
          <w:szCs w:val="28"/>
          <w:lang w:eastAsia="en-US"/>
        </w:rPr>
        <w:t xml:space="preserve">что подразумевает </w:t>
      </w:r>
      <w:r>
        <w:rPr>
          <w:position w:val="-14"/>
          <w:sz w:val="28"/>
          <w:szCs w:val="28"/>
        </w:rPr>
        <w:object>
          <v:shape id="_x0000_i1451" o:spt="75" type="#_x0000_t75" style="height:20.25pt;width:81pt;" o:ole="t" filled="f" o:preferrelative="t" stroked="f" coordsize="21600,21600">
            <v:path/>
            <v:fill on="f" focussize="0,0"/>
            <v:stroke on="f" joinstyle="miter"/>
            <v:imagedata r:id="rId789" o:title=""/>
            <o:lock v:ext="edit" aspectratio="t"/>
            <w10:wrap type="none"/>
            <w10:anchorlock/>
          </v:shape>
          <o:OLEObject Type="Embed" ProgID="Equation.DSMT4" ShapeID="_x0000_i1451" DrawAspect="Content" ObjectID="_1468076151" r:id="rId788">
            <o:LockedField>false</o:LockedField>
          </o:OLEObject>
        </w:object>
      </w:r>
      <w:r>
        <w:rPr>
          <w:rFonts w:eastAsia="Calibri"/>
          <w:sz w:val="28"/>
          <w:szCs w:val="28"/>
          <w:lang w:eastAsia="en-US"/>
        </w:rPr>
        <w:t xml:space="preserve">. Напомним из (33), что если банк </w:t>
      </w:r>
      <w:r>
        <w:rPr>
          <w:position w:val="-6"/>
          <w:sz w:val="28"/>
          <w:szCs w:val="28"/>
        </w:rPr>
        <w:object>
          <v:shape id="_x0000_i1452" o:spt="75" type="#_x0000_t75" style="height:13.5pt;width:9.75pt;" o:ole="t" filled="f" o:preferrelative="t" stroked="f" coordsize="21600,21600">
            <v:path/>
            <v:fill on="f" focussize="0,0"/>
            <v:stroke on="f" joinstyle="miter"/>
            <v:imagedata r:id="rId785" o:title=""/>
            <o:lock v:ext="edit" aspectratio="t"/>
            <w10:wrap type="none"/>
            <w10:anchorlock/>
          </v:shape>
          <o:OLEObject Type="Embed" ProgID="Equation.DSMT4" ShapeID="_x0000_i1452" DrawAspect="Content" ObjectID="_1468076152" r:id="rId790">
            <o:LockedField>false</o:LockedField>
          </o:OLEObject>
        </w:object>
      </w:r>
      <w:r>
        <w:rPr>
          <w:sz w:val="28"/>
          <w:szCs w:val="28"/>
        </w:rPr>
        <w:t xml:space="preserve"> </w:t>
      </w:r>
      <w:r>
        <w:rPr>
          <w:rFonts w:eastAsia="Calibri"/>
          <w:sz w:val="28"/>
          <w:szCs w:val="28"/>
          <w:lang w:eastAsia="en-US"/>
        </w:rPr>
        <w:t xml:space="preserve">не переведет токсичные активы в фонд проблемных активов </w:t>
      </w:r>
      <w:r>
        <w:rPr>
          <w:position w:val="-6"/>
          <w:sz w:val="28"/>
          <w:szCs w:val="28"/>
        </w:rPr>
        <w:object>
          <v:shape id="_x0000_i1453" o:spt="75" type="#_x0000_t75" style="height:13.5pt;width:11.25pt;" o:ole="t" filled="f" o:preferrelative="t" stroked="f" coordsize="21600,21600">
            <v:path/>
            <v:fill on="f" focussize="0,0"/>
            <v:stroke on="f" joinstyle="miter"/>
            <v:imagedata r:id="rId792" o:title=""/>
            <o:lock v:ext="edit" aspectratio="t"/>
            <w10:wrap type="none"/>
            <w10:anchorlock/>
          </v:shape>
          <o:OLEObject Type="Embed" ProgID="Equation.DSMT4" ShapeID="_x0000_i1453" DrawAspect="Content" ObjectID="_1468076153" r:id="rId791">
            <o:LockedField>false</o:LockedField>
          </o:OLEObject>
        </w:object>
      </w:r>
      <w:r>
        <w:rPr>
          <w:rFonts w:eastAsia="Calibri"/>
          <w:sz w:val="28"/>
          <w:szCs w:val="28"/>
          <w:lang w:eastAsia="en-US"/>
        </w:rPr>
        <w:t xml:space="preserve">, то вероятность платежеспособности банка будет </w:t>
      </w:r>
      <w:r>
        <w:rPr>
          <w:position w:val="-10"/>
          <w:sz w:val="28"/>
          <w:szCs w:val="28"/>
        </w:rPr>
        <w:object>
          <v:shape id="_x0000_i1454" o:spt="75" type="#_x0000_t75" style="height:13.5pt;width:12pt;" o:ole="t" filled="f" o:preferrelative="t" stroked="f" coordsize="21600,21600">
            <v:path/>
            <v:fill on="f" focussize="0,0"/>
            <v:stroke on="f" joinstyle="miter"/>
            <v:imagedata r:id="rId794" o:title=""/>
            <o:lock v:ext="edit" aspectratio="t"/>
            <w10:wrap type="none"/>
            <w10:anchorlock/>
          </v:shape>
          <o:OLEObject Type="Embed" ProgID="Equation.DSMT4" ShapeID="_x0000_i1454" DrawAspect="Content" ObjectID="_1468076154" r:id="rId793">
            <o:LockedField>false</o:LockedField>
          </o:OLEObject>
        </w:object>
      </w:r>
      <w:r>
        <w:rPr>
          <w:rFonts w:eastAsia="Calibri"/>
          <w:sz w:val="28"/>
          <w:szCs w:val="28"/>
          <w:lang w:eastAsia="en-US"/>
        </w:rPr>
        <w:t xml:space="preserve">, и банк </w:t>
      </w:r>
      <w:r>
        <w:rPr>
          <w:position w:val="-6"/>
          <w:sz w:val="28"/>
          <w:szCs w:val="28"/>
        </w:rPr>
        <w:object>
          <v:shape id="_x0000_i1455" o:spt="75" type="#_x0000_t75" style="height:13.5pt;width:9.75pt;" o:ole="t" filled="f" o:preferrelative="t" stroked="f" coordsize="21600,21600">
            <v:path/>
            <v:fill on="f" focussize="0,0"/>
            <v:stroke on="f" joinstyle="miter"/>
            <v:imagedata r:id="rId796" o:title=""/>
            <o:lock v:ext="edit" aspectratio="t"/>
            <w10:wrap type="none"/>
            <w10:anchorlock/>
          </v:shape>
          <o:OLEObject Type="Embed" ProgID="Equation.DSMT4" ShapeID="_x0000_i1455" DrawAspect="Content" ObjectID="_1468076155" r:id="rId795">
            <o:LockedField>false</o:LockedField>
          </o:OLEObject>
        </w:object>
      </w:r>
      <w:r>
        <w:rPr>
          <w:sz w:val="28"/>
          <w:szCs w:val="28"/>
        </w:rPr>
        <w:t xml:space="preserve"> </w:t>
      </w:r>
      <w:r>
        <w:rPr>
          <w:rFonts w:eastAsia="Calibri"/>
          <w:sz w:val="28"/>
          <w:szCs w:val="28"/>
          <w:lang w:eastAsia="en-US"/>
        </w:rPr>
        <w:t xml:space="preserve">выживет только в том случае, если проблемные активы станут платежеспособными. Если банк </w:t>
      </w:r>
      <w:r>
        <w:rPr>
          <w:position w:val="-6"/>
          <w:sz w:val="28"/>
          <w:szCs w:val="28"/>
        </w:rPr>
        <w:object>
          <v:shape id="_x0000_i1456" o:spt="75" type="#_x0000_t75" style="height:13.5pt;width:9.75pt;" o:ole="t" filled="f" o:preferrelative="t" stroked="f" coordsize="21600,21600">
            <v:path/>
            <v:fill on="f" focussize="0,0"/>
            <v:stroke on="f" joinstyle="miter"/>
            <v:imagedata r:id="rId785" o:title=""/>
            <o:lock v:ext="edit" aspectratio="t"/>
            <w10:wrap type="none"/>
            <w10:anchorlock/>
          </v:shape>
          <o:OLEObject Type="Embed" ProgID="Equation.DSMT4" ShapeID="_x0000_i1456" DrawAspect="Content" ObjectID="_1468076156" r:id="rId797">
            <o:LockedField>false</o:LockedField>
          </o:OLEObject>
        </w:object>
      </w:r>
      <w:r>
        <w:rPr>
          <w:rFonts w:eastAsia="Calibri"/>
          <w:sz w:val="28"/>
          <w:szCs w:val="28"/>
          <w:lang w:eastAsia="en-US"/>
        </w:rPr>
        <w:t xml:space="preserve"> решит перевести токсичные активы, вероятность платежеспособности банка </w:t>
      </w:r>
      <w:r>
        <w:rPr>
          <w:position w:val="-6"/>
          <w:sz w:val="28"/>
          <w:szCs w:val="28"/>
        </w:rPr>
        <w:object>
          <v:shape id="_x0000_i1457" o:spt="75" type="#_x0000_t75" style="height:13.5pt;width:9.75pt;" o:ole="t" filled="f" o:preferrelative="t" stroked="f" coordsize="21600,21600">
            <v:path/>
            <v:fill on="f" focussize="0,0"/>
            <v:stroke on="f" joinstyle="miter"/>
            <v:imagedata r:id="rId785" o:title=""/>
            <o:lock v:ext="edit" aspectratio="t"/>
            <w10:wrap type="none"/>
            <w10:anchorlock/>
          </v:shape>
          <o:OLEObject Type="Embed" ProgID="Equation.DSMT4" ShapeID="_x0000_i1457" DrawAspect="Content" ObjectID="_1468076157" r:id="rId798">
            <o:LockedField>false</o:LockedField>
          </o:OLEObject>
        </w:object>
      </w:r>
      <w:r>
        <w:rPr>
          <w:sz w:val="28"/>
          <w:szCs w:val="28"/>
        </w:rPr>
        <w:t xml:space="preserve"> </w:t>
      </w:r>
      <w:r>
        <w:rPr>
          <w:rFonts w:eastAsia="Calibri"/>
          <w:sz w:val="28"/>
          <w:szCs w:val="28"/>
          <w:lang w:eastAsia="en-US"/>
        </w:rPr>
        <w:t xml:space="preserve">может возрасти. В соответствии с (39) платежеспособность увеличится, если объем новых кредитов </w:t>
      </w:r>
      <w:r>
        <w:rPr>
          <w:position w:val="-14"/>
          <w:sz w:val="28"/>
          <w:szCs w:val="28"/>
        </w:rPr>
        <w:object>
          <v:shape id="_x0000_i1458" o:spt="75" type="#_x0000_t75" style="height:20.25pt;width:81.75pt;" o:ole="t" filled="f" o:preferrelative="t" stroked="f" coordsize="21600,21600">
            <v:path/>
            <v:fill on="f" focussize="0,0"/>
            <v:stroke on="f" joinstyle="miter"/>
            <v:imagedata r:id="rId800" o:title=""/>
            <o:lock v:ext="edit" aspectratio="t"/>
            <w10:wrap type="none"/>
            <w10:anchorlock/>
          </v:shape>
          <o:OLEObject Type="Embed" ProgID="Equation.DSMT4" ShapeID="_x0000_i1458" DrawAspect="Content" ObjectID="_1468076158" r:id="rId799">
            <o:LockedField>false</o:LockedField>
          </o:OLEObject>
        </w:object>
      </w:r>
      <w:r>
        <w:rPr>
          <w:rFonts w:eastAsia="Calibri"/>
          <w:sz w:val="28"/>
          <w:szCs w:val="28"/>
          <w:lang w:eastAsia="en-US"/>
        </w:rPr>
        <w:t xml:space="preserve">. Если новых кредитов </w:t>
      </w:r>
      <w:r>
        <w:rPr>
          <w:position w:val="-14"/>
          <w:sz w:val="28"/>
          <w:szCs w:val="28"/>
        </w:rPr>
        <w:object>
          <v:shape id="_x0000_i1459" o:spt="75" type="#_x0000_t75" style="height:20.25pt;width:81pt;" o:ole="t" filled="f" o:preferrelative="t" stroked="f" coordsize="21600,21600">
            <v:path/>
            <v:fill on="f" focussize="0,0"/>
            <v:stroke on="f" joinstyle="miter"/>
            <v:imagedata r:id="rId802" o:title=""/>
            <o:lock v:ext="edit" aspectratio="t"/>
            <w10:wrap type="none"/>
            <w10:anchorlock/>
          </v:shape>
          <o:OLEObject Type="Embed" ProgID="Equation.DSMT4" ShapeID="_x0000_i1459" DrawAspect="Content" ObjectID="_1468076159" r:id="rId801">
            <o:LockedField>false</o:LockedField>
          </o:OLEObject>
        </w:object>
      </w:r>
      <w:r>
        <w:rPr>
          <w:rFonts w:eastAsia="Calibri"/>
          <w:sz w:val="28"/>
          <w:szCs w:val="28"/>
          <w:lang w:eastAsia="en-US"/>
        </w:rPr>
        <w:t xml:space="preserve">, то вероятность платежеспособности банка </w:t>
      </w:r>
      <w:r>
        <w:rPr>
          <w:position w:val="-6"/>
          <w:sz w:val="28"/>
          <w:szCs w:val="28"/>
        </w:rPr>
        <w:object>
          <v:shape id="_x0000_i1460" o:spt="75" type="#_x0000_t75" style="height:13.5pt;width:9.75pt;" o:ole="t" filled="f" o:preferrelative="t" stroked="f" coordsize="21600,21600">
            <v:path/>
            <v:fill on="f" focussize="0,0"/>
            <v:stroke on="f" joinstyle="miter"/>
            <v:imagedata r:id="rId804" o:title=""/>
            <o:lock v:ext="edit" aspectratio="t"/>
            <w10:wrap type="none"/>
            <w10:anchorlock/>
          </v:shape>
          <o:OLEObject Type="Embed" ProgID="Equation.DSMT4" ShapeID="_x0000_i1460" DrawAspect="Content" ObjectID="_1468076160" r:id="rId803">
            <o:LockedField>false</o:LockedField>
          </o:OLEObject>
        </w:object>
      </w:r>
      <w:r>
        <w:rPr>
          <w:rFonts w:eastAsia="Calibri"/>
          <w:sz w:val="28"/>
          <w:szCs w:val="28"/>
          <w:lang w:eastAsia="en-US"/>
        </w:rPr>
        <w:t xml:space="preserve"> не изменится или даже уменьшится. Поскольку Правительство </w:t>
      </w:r>
      <w:r>
        <w:rPr>
          <w:position w:val="-10"/>
          <w:sz w:val="28"/>
          <w:szCs w:val="28"/>
        </w:rPr>
        <w:object>
          <v:shape id="_x0000_i1461" o:spt="75" type="#_x0000_t75" style="height:13.5pt;width:11.25pt;" o:ole="t" filled="f" o:preferrelative="t" stroked="f" coordsize="21600,21600">
            <v:path/>
            <v:fill on="f" focussize="0,0"/>
            <v:stroke on="f" joinstyle="miter"/>
            <v:imagedata r:id="rId806" o:title=""/>
            <o:lock v:ext="edit" aspectratio="t"/>
            <w10:wrap type="none"/>
            <w10:anchorlock/>
          </v:shape>
          <o:OLEObject Type="Embed" ProgID="Equation.DSMT4" ShapeID="_x0000_i1461" DrawAspect="Content" ObjectID="_1468076161" r:id="rId805">
            <o:LockedField>false</o:LockedField>
          </o:OLEObject>
        </w:object>
      </w:r>
      <w:r>
        <w:rPr>
          <w:rFonts w:eastAsia="Calibri"/>
          <w:sz w:val="28"/>
          <w:szCs w:val="28"/>
          <w:lang w:eastAsia="en-US"/>
        </w:rPr>
        <w:t xml:space="preserve"> стремится повысить вероятность платежеспособности банка </w:t>
      </w:r>
      <w:r>
        <w:rPr>
          <w:position w:val="-6"/>
          <w:sz w:val="28"/>
          <w:szCs w:val="28"/>
        </w:rPr>
        <w:object>
          <v:shape id="_x0000_i1462" o:spt="75" type="#_x0000_t75" style="height:13.5pt;width:9.75pt;" o:ole="t" filled="f" o:preferrelative="t" stroked="f" coordsize="21600,21600">
            <v:path/>
            <v:fill on="f" focussize="0,0"/>
            <v:stroke on="f" joinstyle="miter"/>
            <v:imagedata r:id="rId785" o:title=""/>
            <o:lock v:ext="edit" aspectratio="t"/>
            <w10:wrap type="none"/>
            <w10:anchorlock/>
          </v:shape>
          <o:OLEObject Type="Embed" ProgID="Equation.DSMT4" ShapeID="_x0000_i1462" DrawAspect="Content" ObjectID="_1468076162" r:id="rId807">
            <o:LockedField>false</o:LockedField>
          </o:OLEObject>
        </w:object>
      </w:r>
      <w:r>
        <w:rPr>
          <w:rFonts w:eastAsia="Calibri"/>
          <w:sz w:val="28"/>
          <w:szCs w:val="28"/>
          <w:lang w:eastAsia="en-US"/>
        </w:rPr>
        <w:t xml:space="preserve">, мы предполагаем, что  Правительство предоставляет государственному фонду проблемных активов </w:t>
      </w:r>
      <w:r>
        <w:rPr>
          <w:position w:val="-6"/>
          <w:sz w:val="28"/>
          <w:szCs w:val="28"/>
        </w:rPr>
        <w:object>
          <v:shape id="_x0000_i1463" o:spt="75" type="#_x0000_t75" style="height:13.5pt;width:11.25pt;" o:ole="t" filled="f" o:preferrelative="t" stroked="f" coordsize="21600,21600">
            <v:path/>
            <v:fill on="f" focussize="0,0"/>
            <v:stroke on="f" joinstyle="miter"/>
            <v:imagedata r:id="rId809" o:title=""/>
            <o:lock v:ext="edit" aspectratio="t"/>
            <w10:wrap type="none"/>
            <w10:anchorlock/>
          </v:shape>
          <o:OLEObject Type="Embed" ProgID="Equation.DSMT4" ShapeID="_x0000_i1463" DrawAspect="Content" ObjectID="_1468076163" r:id="rId808">
            <o:LockedField>false</o:LockedField>
          </o:OLEObject>
        </w:object>
      </w:r>
      <w:r>
        <w:rPr>
          <w:rFonts w:eastAsia="Calibri"/>
          <w:sz w:val="28"/>
          <w:szCs w:val="28"/>
          <w:lang w:eastAsia="en-US"/>
        </w:rPr>
        <w:t xml:space="preserve"> возможность осуществить трансферный платеж государственными облигациями объемом </w:t>
      </w:r>
      <w:r>
        <w:rPr>
          <w:position w:val="-14"/>
          <w:sz w:val="28"/>
          <w:szCs w:val="28"/>
        </w:rPr>
        <w:object>
          <v:shape id="_x0000_i1464" o:spt="75" type="#_x0000_t75" style="height:20.25pt;width:34.5pt;" o:ole="t" filled="f" o:preferrelative="t" stroked="f" coordsize="21600,21600">
            <v:path/>
            <v:fill on="f" focussize="0,0"/>
            <v:stroke on="f" joinstyle="miter"/>
            <v:imagedata r:id="rId811" o:title=""/>
            <o:lock v:ext="edit" aspectratio="t"/>
            <w10:wrap type="none"/>
            <w10:anchorlock/>
          </v:shape>
          <o:OLEObject Type="Embed" ProgID="Equation.DSMT4" ShapeID="_x0000_i1464" DrawAspect="Content" ObjectID="_1468076164" r:id="rId810">
            <o:LockedField>false</o:LockedField>
          </o:OLEObject>
        </w:object>
      </w:r>
      <w:r>
        <w:rPr>
          <w:rFonts w:eastAsia="Calibri"/>
          <w:sz w:val="28"/>
          <w:szCs w:val="28"/>
          <w:lang w:eastAsia="en-US"/>
        </w:rPr>
        <w:t xml:space="preserve">, который определяется подстановкой соотношения (29) из леммы 1 в (39) при условии </w:t>
      </w:r>
      <w:r>
        <w:rPr>
          <w:position w:val="-14"/>
          <w:sz w:val="28"/>
          <w:szCs w:val="28"/>
        </w:rPr>
        <w:object>
          <v:shape id="_x0000_i1465" o:spt="75" type="#_x0000_t75" style="height:20.25pt;width:81pt;" o:ole="t" filled="f" o:preferrelative="t" stroked="f" coordsize="21600,21600">
            <v:path/>
            <v:fill on="f" focussize="0,0"/>
            <v:stroke on="f" joinstyle="miter"/>
            <v:imagedata r:id="rId813" o:title=""/>
            <o:lock v:ext="edit" aspectratio="t"/>
            <w10:wrap type="none"/>
            <w10:anchorlock/>
          </v:shape>
          <o:OLEObject Type="Embed" ProgID="Equation.DSMT4" ShapeID="_x0000_i1465" DrawAspect="Content" ObjectID="_1468076165" r:id="rId812">
            <o:LockedField>false</o:LockedField>
          </o:OLEObject>
        </w:object>
      </w:r>
      <w:r>
        <w:rPr>
          <w:sz w:val="28"/>
          <w:szCs w:val="28"/>
        </w:rPr>
        <w:t>:</w:t>
      </w:r>
    </w:p>
    <w:p w14:paraId="33DAF834">
      <w:pPr>
        <w:pStyle w:val="37"/>
        <w:rPr>
          <w:rFonts w:eastAsia="Calibri"/>
          <w:sz w:val="28"/>
          <w:szCs w:val="28"/>
          <w:lang w:eastAsia="en-US"/>
        </w:rPr>
      </w:pPr>
    </w:p>
    <w:p w14:paraId="7270A892">
      <w:pPr>
        <w:pStyle w:val="38"/>
        <w:spacing w:before="0" w:after="0"/>
        <w:jc w:val="left"/>
        <w:rPr>
          <w:sz w:val="28"/>
          <w:szCs w:val="28"/>
        </w:rPr>
      </w:pPr>
      <w:r>
        <w:rPr>
          <w:sz w:val="28"/>
          <w:szCs w:val="28"/>
        </w:rPr>
        <w:tab/>
      </w:r>
      <w:r>
        <w:rPr>
          <w:sz w:val="28"/>
          <w:szCs w:val="28"/>
        </w:rPr>
        <w:t xml:space="preserve">                      </w:t>
      </w:r>
      <w:r>
        <w:rPr>
          <w:position w:val="-14"/>
          <w:sz w:val="28"/>
          <w:szCs w:val="28"/>
        </w:rPr>
        <w:object>
          <v:shape id="_x0000_i1466" o:spt="75" type="#_x0000_t75" style="height:20.25pt;width:178.5pt;" o:ole="t" filled="f" o:preferrelative="t" stroked="f" coordsize="21600,21600">
            <v:path/>
            <v:fill on="f" focussize="0,0"/>
            <v:stroke on="f" joinstyle="miter"/>
            <v:imagedata r:id="rId815" o:title=""/>
            <o:lock v:ext="edit" aspectratio="t"/>
            <w10:wrap type="none"/>
            <w10:anchorlock/>
          </v:shape>
          <o:OLEObject Type="Embed" ProgID="Equation.DSMT4" ShapeID="_x0000_i1466" DrawAspect="Content" ObjectID="_1468076166" r:id="rId814">
            <o:LockedField>false</o:LockedField>
          </o:OLEObject>
        </w:object>
      </w:r>
      <w:r>
        <w:rPr>
          <w:sz w:val="28"/>
          <w:szCs w:val="28"/>
        </w:rPr>
        <w:t>,</w:t>
      </w:r>
      <w:r>
        <w:rPr>
          <w:sz w:val="28"/>
          <w:szCs w:val="28"/>
        </w:rPr>
        <w:tab/>
      </w:r>
      <w:r>
        <w:rPr>
          <w:sz w:val="28"/>
          <w:szCs w:val="28"/>
        </w:rPr>
        <w:t xml:space="preserve">                                 (43)</w:t>
      </w:r>
    </w:p>
    <w:p w14:paraId="66FFE664">
      <w:pPr>
        <w:pStyle w:val="37"/>
        <w:rPr>
          <w:rFonts w:eastAsia="Calibri"/>
          <w:sz w:val="28"/>
          <w:szCs w:val="28"/>
          <w:lang w:eastAsia="en-US"/>
        </w:rPr>
      </w:pPr>
    </w:p>
    <w:p w14:paraId="02368630">
      <w:pPr>
        <w:pStyle w:val="37"/>
        <w:ind w:firstLine="0"/>
        <w:rPr>
          <w:rFonts w:eastAsia="Calibri"/>
          <w:sz w:val="28"/>
          <w:szCs w:val="28"/>
          <w:lang w:eastAsia="en-US"/>
        </w:rPr>
      </w:pPr>
      <w:r>
        <w:rPr>
          <w:rFonts w:eastAsia="Calibri"/>
          <w:sz w:val="28"/>
          <w:szCs w:val="28"/>
          <w:lang w:eastAsia="en-US"/>
        </w:rPr>
        <w:t xml:space="preserve">что подразумевает </w:t>
      </w:r>
      <w:r>
        <w:rPr>
          <w:position w:val="-14"/>
          <w:sz w:val="28"/>
          <w:szCs w:val="28"/>
        </w:rPr>
        <w:object>
          <v:shape id="_x0000_i1467" o:spt="75" type="#_x0000_t75" style="height:20.25pt;width:85.5pt;" o:ole="t" filled="f" o:preferrelative="t" stroked="f" coordsize="21600,21600">
            <v:path/>
            <v:fill on="f" focussize="0,0"/>
            <v:stroke on="f" joinstyle="miter"/>
            <v:imagedata r:id="rId817" o:title=""/>
            <o:lock v:ext="edit" aspectratio="t"/>
            <w10:wrap type="none"/>
            <w10:anchorlock/>
          </v:shape>
          <o:OLEObject Type="Embed" ProgID="Equation.DSMT4" ShapeID="_x0000_i1467" DrawAspect="Content" ObjectID="_1468076167" r:id="rId816">
            <o:LockedField>false</o:LockedField>
          </o:OLEObject>
        </w:object>
      </w:r>
      <w:r>
        <w:rPr>
          <w:sz w:val="28"/>
          <w:szCs w:val="28"/>
        </w:rPr>
        <w:t xml:space="preserve">. </w:t>
      </w:r>
      <w:r>
        <w:rPr>
          <w:rFonts w:eastAsia="Calibri"/>
          <w:sz w:val="28"/>
          <w:szCs w:val="28"/>
          <w:lang w:eastAsia="en-US"/>
        </w:rPr>
        <w:t xml:space="preserve">Только при таком трансфертном платеже схема 2 (соглашение об обратном выкупе) имеет потенциал для повышения платежеспособности банка </w:t>
      </w:r>
      <w:r>
        <w:rPr>
          <w:position w:val="-6"/>
          <w:sz w:val="28"/>
          <w:szCs w:val="28"/>
        </w:rPr>
        <w:object>
          <v:shape id="_x0000_i1468" o:spt="75" type="#_x0000_t75" style="height:13.5pt;width:9.75pt;" o:ole="t" filled="f" o:preferrelative="t" stroked="f" coordsize="21600,21600">
            <v:path/>
            <v:fill on="f" focussize="0,0"/>
            <v:stroke on="f" joinstyle="miter"/>
            <v:imagedata r:id="rId819" o:title=""/>
            <o:lock v:ext="edit" aspectratio="t"/>
            <w10:wrap type="none"/>
            <w10:anchorlock/>
          </v:shape>
          <o:OLEObject Type="Embed" ProgID="Equation.DSMT4" ShapeID="_x0000_i1468" DrawAspect="Content" ObjectID="_1468076168" r:id="rId818">
            <o:LockedField>false</o:LockedField>
          </o:OLEObject>
        </w:object>
      </w:r>
      <w:r>
        <w:rPr>
          <w:rFonts w:eastAsia="Calibri"/>
          <w:sz w:val="28"/>
          <w:szCs w:val="28"/>
          <w:lang w:eastAsia="en-US"/>
        </w:rPr>
        <w:t xml:space="preserve">. </w:t>
      </w:r>
    </w:p>
    <w:p w14:paraId="00C69C95">
      <w:pPr>
        <w:pStyle w:val="37"/>
        <w:rPr>
          <w:rFonts w:eastAsia="Calibri"/>
          <w:sz w:val="28"/>
          <w:szCs w:val="28"/>
          <w:lang w:eastAsia="en-US"/>
        </w:rPr>
      </w:pPr>
      <w:r>
        <w:rPr>
          <w:rFonts w:eastAsia="Calibri"/>
          <w:sz w:val="28"/>
          <w:szCs w:val="28"/>
          <w:lang w:eastAsia="en-US"/>
        </w:rPr>
        <w:t xml:space="preserve">Поскольку полезность </w:t>
      </w:r>
      <w:r>
        <w:rPr>
          <w:position w:val="-6"/>
          <w:sz w:val="28"/>
          <w:szCs w:val="28"/>
        </w:rPr>
        <w:object>
          <v:shape id="_x0000_i1469" o:spt="75" type="#_x0000_t75" style="height:15.75pt;width:16.5pt;" o:ole="t" filled="f" o:preferrelative="t" stroked="f" coordsize="21600,21600">
            <v:path/>
            <v:fill on="f" focussize="0,0"/>
            <v:stroke on="f" joinstyle="miter"/>
            <v:imagedata r:id="rId821" o:title=""/>
            <o:lock v:ext="edit" aspectratio="t"/>
            <w10:wrap type="none"/>
            <w10:anchorlock/>
          </v:shape>
          <o:OLEObject Type="Embed" ProgID="Equation.DSMT4" ShapeID="_x0000_i1469" DrawAspect="Content" ObjectID="_1468076169" r:id="rId820">
            <o:LockedField>false</o:LockedField>
          </o:OLEObject>
        </w:object>
      </w:r>
      <w:r>
        <w:rPr>
          <w:sz w:val="28"/>
          <w:szCs w:val="28"/>
        </w:rPr>
        <w:t xml:space="preserve"> </w:t>
      </w:r>
      <w:r>
        <w:rPr>
          <w:rFonts w:eastAsia="Calibri"/>
          <w:sz w:val="28"/>
          <w:szCs w:val="28"/>
          <w:lang w:eastAsia="en-US"/>
        </w:rPr>
        <w:t xml:space="preserve">коммерческого «плохого» банка </w:t>
      </w:r>
      <w:r>
        <w:rPr>
          <w:position w:val="-6"/>
          <w:sz w:val="28"/>
          <w:szCs w:val="28"/>
        </w:rPr>
        <w:object>
          <v:shape id="_x0000_i1470" o:spt="75" type="#_x0000_t75" style="height:13.5pt;width:9.75pt;" o:ole="t" filled="f" o:preferrelative="t" stroked="f" coordsize="21600,21600">
            <v:path/>
            <v:fill on="f" focussize="0,0"/>
            <v:stroke on="f" joinstyle="miter"/>
            <v:imagedata r:id="rId785" o:title=""/>
            <o:lock v:ext="edit" aspectratio="t"/>
            <w10:wrap type="none"/>
            <w10:anchorlock/>
          </v:shape>
          <o:OLEObject Type="Embed" ProgID="Equation.DSMT4" ShapeID="_x0000_i1470" DrawAspect="Content" ObjectID="_1468076170" r:id="rId822">
            <o:LockedField>false</o:LockedField>
          </o:OLEObject>
        </w:object>
      </w:r>
      <w:r>
        <w:rPr>
          <w:rFonts w:eastAsia="Calibri"/>
          <w:sz w:val="28"/>
          <w:szCs w:val="28"/>
          <w:lang w:eastAsia="en-US"/>
        </w:rPr>
        <w:t xml:space="preserve"> увеличивается с ростом ожидаемой стоимости капитала </w:t>
      </w:r>
      <w:r>
        <w:rPr>
          <w:position w:val="-10"/>
          <w:sz w:val="28"/>
          <w:szCs w:val="28"/>
        </w:rPr>
        <w:object>
          <v:shape id="_x0000_i1471" o:spt="75" type="#_x0000_t75" style="height:18.75pt;width:33.75pt;" o:ole="t" filled="f" o:preferrelative="t" stroked="f" coordsize="21600,21600">
            <v:path/>
            <v:fill on="f" focussize="0,0"/>
            <v:stroke on="f" joinstyle="miter"/>
            <v:imagedata r:id="rId824" o:title=""/>
            <o:lock v:ext="edit" aspectratio="t"/>
            <w10:wrap type="none"/>
            <w10:anchorlock/>
          </v:shape>
          <o:OLEObject Type="Embed" ProgID="Equation.DSMT4" ShapeID="_x0000_i1471" DrawAspect="Content" ObjectID="_1468076171" r:id="rId823">
            <o:LockedField>false</o:LockedField>
          </o:OLEObject>
        </w:object>
      </w:r>
      <w:r>
        <w:rPr>
          <w:rFonts w:eastAsia="Calibri"/>
          <w:sz w:val="28"/>
          <w:szCs w:val="28"/>
          <w:lang w:eastAsia="en-US"/>
        </w:rPr>
        <w:t xml:space="preserve">, которая, в свою очередь, увеличивается с ростом объема новых кредитов </w:t>
      </w:r>
      <w:r>
        <w:rPr>
          <w:position w:val="-14"/>
          <w:sz w:val="28"/>
          <w:szCs w:val="28"/>
        </w:rPr>
        <w:object>
          <v:shape id="_x0000_i1472" o:spt="75" type="#_x0000_t75" style="height:20.25pt;width:37.5pt;" o:ole="t" filled="f" o:preferrelative="t" stroked="f" coordsize="21600,21600">
            <v:path/>
            <v:fill on="f" focussize="0,0"/>
            <v:stroke on="f" joinstyle="miter"/>
            <v:imagedata r:id="rId826" o:title=""/>
            <o:lock v:ext="edit" aspectratio="t"/>
            <w10:wrap type="none"/>
            <w10:anchorlock/>
          </v:shape>
          <o:OLEObject Type="Embed" ProgID="Equation.DSMT4" ShapeID="_x0000_i1472" DrawAspect="Content" ObjectID="_1468076172" r:id="rId825">
            <o:LockedField>false</o:LockedField>
          </o:OLEObject>
        </w:object>
      </w:r>
      <w:r>
        <w:rPr>
          <w:rFonts w:eastAsia="Calibri"/>
          <w:sz w:val="28"/>
          <w:szCs w:val="28"/>
          <w:lang w:eastAsia="en-US"/>
        </w:rPr>
        <w:t xml:space="preserve">, банк </w:t>
      </w:r>
      <w:r>
        <w:rPr>
          <w:position w:val="-6"/>
          <w:sz w:val="28"/>
          <w:szCs w:val="28"/>
        </w:rPr>
        <w:object>
          <v:shape id="_x0000_i1473" o:spt="75" type="#_x0000_t75" style="height:13.5pt;width:9.75pt;" o:ole="t" filled="f" o:preferrelative="t" stroked="f" coordsize="21600,21600">
            <v:path/>
            <v:fill on="f" focussize="0,0"/>
            <v:stroke on="f" joinstyle="miter"/>
            <v:imagedata r:id="rId785" o:title=""/>
            <o:lock v:ext="edit" aspectratio="t"/>
            <w10:wrap type="none"/>
            <w10:anchorlock/>
          </v:shape>
          <o:OLEObject Type="Embed" ProgID="Equation.DSMT4" ShapeID="_x0000_i1473" DrawAspect="Content" ObjectID="_1468076173" r:id="rId827">
            <o:LockedField>false</o:LockedField>
          </o:OLEObject>
        </w:object>
      </w:r>
      <w:r>
        <w:rPr>
          <w:sz w:val="28"/>
          <w:szCs w:val="28"/>
        </w:rPr>
        <w:t xml:space="preserve"> </w:t>
      </w:r>
      <w:r>
        <w:rPr>
          <w:rFonts w:eastAsia="Calibri"/>
          <w:sz w:val="28"/>
          <w:szCs w:val="28"/>
          <w:lang w:eastAsia="en-US"/>
        </w:rPr>
        <w:t xml:space="preserve">предоставит максимальный объем кредита </w:t>
      </w:r>
      <w:r>
        <w:rPr>
          <w:position w:val="-14"/>
          <w:sz w:val="28"/>
          <w:szCs w:val="28"/>
        </w:rPr>
        <w:object>
          <v:shape id="_x0000_i1474" o:spt="75" type="#_x0000_t75" style="height:20.25pt;width:41.25pt;" o:ole="t" filled="f" o:preferrelative="t" stroked="f" coordsize="21600,21600">
            <v:path/>
            <v:fill on="f" focussize="0,0"/>
            <v:stroke on="f" joinstyle="miter"/>
            <v:imagedata r:id="rId829" o:title=""/>
            <o:lock v:ext="edit" aspectratio="t"/>
            <w10:wrap type="none"/>
            <w10:anchorlock/>
          </v:shape>
          <o:OLEObject Type="Embed" ProgID="Equation.DSMT4" ShapeID="_x0000_i1474" DrawAspect="Content" ObjectID="_1468076174" r:id="rId828">
            <o:LockedField>false</o:LockedField>
          </o:OLEObject>
        </w:object>
      </w:r>
      <w:r>
        <w:rPr>
          <w:rFonts w:eastAsia="Calibri"/>
          <w:sz w:val="28"/>
          <w:szCs w:val="28"/>
          <w:lang w:eastAsia="en-US"/>
        </w:rPr>
        <w:t xml:space="preserve"> по схеме 2. Исходя из этого и (41) в сочетании с (28) и условия на объем передаваемых государственных облигаций </w:t>
      </w:r>
      <w:r>
        <w:rPr>
          <w:position w:val="-14"/>
          <w:sz w:val="28"/>
          <w:szCs w:val="28"/>
        </w:rPr>
        <w:object>
          <v:shape id="_x0000_i1475" o:spt="75" type="#_x0000_t75" style="height:20.25pt;width:79.5pt;" o:ole="t" filled="f" o:preferrelative="t" stroked="f" coordsize="21600,21600">
            <v:path/>
            <v:fill on="f" focussize="0,0"/>
            <v:stroke on="f" joinstyle="miter"/>
            <v:imagedata r:id="rId831" o:title=""/>
            <o:lock v:ext="edit" aspectratio="t"/>
            <w10:wrap type="none"/>
            <w10:anchorlock/>
          </v:shape>
          <o:OLEObject Type="Embed" ProgID="Equation.DSMT4" ShapeID="_x0000_i1475" DrawAspect="Content" ObjectID="_1468076175" r:id="rId830">
            <o:LockedField>false</o:LockedField>
          </o:OLEObject>
        </w:object>
      </w:r>
      <w:r>
        <w:rPr>
          <w:sz w:val="28"/>
          <w:szCs w:val="28"/>
        </w:rPr>
        <w:t xml:space="preserve">, </w:t>
      </w:r>
      <w:r>
        <w:rPr>
          <w:rFonts w:eastAsia="Calibri"/>
          <w:sz w:val="28"/>
          <w:szCs w:val="28"/>
          <w:lang w:eastAsia="en-US"/>
        </w:rPr>
        <w:t xml:space="preserve">можно сделать вывод, что полезность участия коммерческого банка </w:t>
      </w:r>
      <w:r>
        <w:rPr>
          <w:position w:val="-6"/>
          <w:sz w:val="28"/>
          <w:szCs w:val="28"/>
        </w:rPr>
        <w:object>
          <v:shape id="_x0000_i1476" o:spt="75" type="#_x0000_t75" style="height:13.5pt;width:9.75pt;" o:ole="t" filled="f" o:preferrelative="t" stroked="f" coordsize="21600,21600">
            <v:path/>
            <v:fill on="f" focussize="0,0"/>
            <v:stroke on="f" joinstyle="miter"/>
            <v:imagedata r:id="rId833" o:title=""/>
            <o:lock v:ext="edit" aspectratio="t"/>
            <w10:wrap type="none"/>
            <w10:anchorlock/>
          </v:shape>
          <o:OLEObject Type="Embed" ProgID="Equation.DSMT4" ShapeID="_x0000_i1476" DrawAspect="Content" ObjectID="_1468076176" r:id="rId832">
            <o:LockedField>false</o:LockedField>
          </o:OLEObject>
        </w:object>
      </w:r>
      <w:r>
        <w:rPr>
          <w:sz w:val="28"/>
          <w:szCs w:val="28"/>
        </w:rPr>
        <w:t xml:space="preserve"> </w:t>
      </w:r>
      <w:r>
        <w:rPr>
          <w:rFonts w:eastAsia="Calibri"/>
          <w:sz w:val="28"/>
          <w:szCs w:val="28"/>
          <w:lang w:eastAsia="en-US"/>
        </w:rPr>
        <w:t>в схеме 2 удовлетворяет соотношению</w:t>
      </w:r>
    </w:p>
    <w:p w14:paraId="5E71BBFF">
      <w:pPr>
        <w:pStyle w:val="37"/>
        <w:ind w:firstLine="0"/>
        <w:rPr>
          <w:rFonts w:eastAsia="Calibri"/>
          <w:sz w:val="28"/>
          <w:szCs w:val="28"/>
          <w:lang w:eastAsia="en-US"/>
        </w:rPr>
      </w:pPr>
      <w:r>
        <w:rPr>
          <w:rFonts w:eastAsia="Calibri"/>
          <w:sz w:val="28"/>
          <w:szCs w:val="28"/>
          <w:lang w:eastAsia="en-US"/>
        </w:rPr>
        <w:t xml:space="preserve"> </w:t>
      </w:r>
    </w:p>
    <w:p w14:paraId="4C461B7E">
      <w:pPr>
        <w:pStyle w:val="38"/>
        <w:spacing w:before="0" w:after="0"/>
        <w:jc w:val="center"/>
        <w:rPr>
          <w:sz w:val="28"/>
          <w:szCs w:val="28"/>
        </w:rPr>
      </w:pPr>
      <w:r>
        <w:rPr>
          <w:sz w:val="28"/>
          <w:szCs w:val="28"/>
        </w:rPr>
        <w:t xml:space="preserve">                 </w:t>
      </w:r>
      <w:r>
        <w:rPr>
          <w:position w:val="-52"/>
          <w:sz w:val="28"/>
          <w:szCs w:val="28"/>
        </w:rPr>
        <w:object>
          <v:shape id="_x0000_i1477" o:spt="75" type="#_x0000_t75" style="height:60pt;width:227.25pt;" o:ole="t" filled="f" o:preferrelative="t" stroked="f" coordsize="21600,21600">
            <v:path/>
            <v:fill on="f" focussize="0,0"/>
            <v:stroke on="f" joinstyle="miter"/>
            <v:imagedata r:id="rId835" o:title=""/>
            <o:lock v:ext="edit" aspectratio="t"/>
            <w10:wrap type="none"/>
            <w10:anchorlock/>
          </v:shape>
          <o:OLEObject Type="Embed" ProgID="Equation.DSMT4" ShapeID="_x0000_i1477" DrawAspect="Content" ObjectID="_1468076177" r:id="rId834">
            <o:LockedField>false</o:LockedField>
          </o:OLEObject>
        </w:object>
      </w:r>
      <w:r>
        <w:rPr>
          <w:sz w:val="28"/>
          <w:szCs w:val="28"/>
        </w:rPr>
        <w:t>,</w:t>
      </w:r>
      <w:r>
        <w:rPr>
          <w:sz w:val="28"/>
          <w:szCs w:val="28"/>
        </w:rPr>
        <w:tab/>
      </w:r>
      <w:r>
        <w:rPr>
          <w:sz w:val="28"/>
          <w:szCs w:val="28"/>
        </w:rPr>
        <w:t xml:space="preserve">                             (44)</w:t>
      </w:r>
    </w:p>
    <w:p w14:paraId="38999328">
      <w:pPr>
        <w:pStyle w:val="37"/>
        <w:ind w:firstLine="0"/>
        <w:rPr>
          <w:rFonts w:eastAsia="Calibri"/>
          <w:sz w:val="28"/>
          <w:szCs w:val="28"/>
          <w:lang w:eastAsia="en-US"/>
        </w:rPr>
      </w:pPr>
    </w:p>
    <w:p w14:paraId="76AF2BF6">
      <w:pPr>
        <w:pStyle w:val="37"/>
        <w:rPr>
          <w:rFonts w:eastAsia="Calibri"/>
          <w:sz w:val="28"/>
          <w:szCs w:val="28"/>
          <w:lang w:eastAsia="en-US"/>
        </w:rPr>
      </w:pPr>
      <w:r>
        <w:rPr>
          <w:rFonts w:eastAsia="Calibri"/>
          <w:sz w:val="28"/>
          <w:szCs w:val="28"/>
          <w:lang w:eastAsia="en-US"/>
        </w:rPr>
        <w:t xml:space="preserve">«Плохой» банк </w:t>
      </w:r>
      <w:r>
        <w:rPr>
          <w:position w:val="-6"/>
          <w:sz w:val="28"/>
          <w:szCs w:val="28"/>
        </w:rPr>
        <w:object>
          <v:shape id="_x0000_i1478" o:spt="75" type="#_x0000_t75" style="height:13.5pt;width:9.75pt;" o:ole="t" filled="f" o:preferrelative="t" stroked="f" coordsize="21600,21600">
            <v:path/>
            <v:fill on="f" focussize="0,0"/>
            <v:stroke on="f" joinstyle="miter"/>
            <v:imagedata r:id="rId785" o:title=""/>
            <o:lock v:ext="edit" aspectratio="t"/>
            <w10:wrap type="none"/>
            <w10:anchorlock/>
          </v:shape>
          <o:OLEObject Type="Embed" ProgID="Equation.DSMT4" ShapeID="_x0000_i1478" DrawAspect="Content" ObjectID="_1468076178" r:id="rId836">
            <o:LockedField>false</o:LockedField>
          </o:OLEObject>
        </w:object>
      </w:r>
      <w:r>
        <w:rPr>
          <w:sz w:val="28"/>
          <w:szCs w:val="28"/>
        </w:rPr>
        <w:t xml:space="preserve"> </w:t>
      </w:r>
      <w:r>
        <w:rPr>
          <w:rFonts w:eastAsia="Calibri"/>
          <w:sz w:val="28"/>
          <w:szCs w:val="28"/>
          <w:lang w:eastAsia="en-US"/>
        </w:rPr>
        <w:t xml:space="preserve">передаст токсичные активы фонду проблемных активов </w:t>
      </w:r>
      <w:r>
        <w:rPr>
          <w:position w:val="-6"/>
          <w:sz w:val="28"/>
          <w:szCs w:val="28"/>
        </w:rPr>
        <w:object>
          <v:shape id="_x0000_i1479" o:spt="75" type="#_x0000_t75" style="height:13.5pt;width:11.25pt;" o:ole="t" filled="f" o:preferrelative="t" stroked="f" coordsize="21600,21600">
            <v:path/>
            <v:fill on="f" focussize="0,0"/>
            <v:stroke on="f" joinstyle="miter"/>
            <v:imagedata r:id="rId838" o:title=""/>
            <o:lock v:ext="edit" aspectratio="t"/>
            <w10:wrap type="none"/>
            <w10:anchorlock/>
          </v:shape>
          <o:OLEObject Type="Embed" ProgID="Equation.DSMT4" ShapeID="_x0000_i1479" DrawAspect="Content" ObjectID="_1468076179" r:id="rId837">
            <o:LockedField>false</o:LockedField>
          </o:OLEObject>
        </w:object>
      </w:r>
      <w:r>
        <w:rPr>
          <w:rFonts w:eastAsia="Calibri"/>
          <w:sz w:val="28"/>
          <w:szCs w:val="28"/>
          <w:lang w:eastAsia="en-US"/>
        </w:rPr>
        <w:t xml:space="preserve"> в момент времени </w:t>
      </w:r>
      <w:r>
        <w:rPr>
          <w:position w:val="-6"/>
          <w:sz w:val="28"/>
          <w:szCs w:val="28"/>
        </w:rPr>
        <w:object>
          <v:shape id="_x0000_i1480" o:spt="75" type="#_x0000_t75" style="height:12pt;width:7.5pt;" o:ole="t" filled="f" o:preferrelative="t" stroked="f" coordsize="21600,21600">
            <v:path/>
            <v:fill on="f" focussize="0,0"/>
            <v:stroke on="f" joinstyle="miter"/>
            <v:imagedata r:id="rId840" o:title=""/>
            <o:lock v:ext="edit" aspectratio="t"/>
            <w10:wrap type="none"/>
            <w10:anchorlock/>
          </v:shape>
          <o:OLEObject Type="Embed" ProgID="Equation.DSMT4" ShapeID="_x0000_i1480" DrawAspect="Content" ObjectID="_1468076180" r:id="rId839">
            <o:LockedField>false</o:LockedField>
          </o:OLEObject>
        </w:object>
      </w:r>
      <w:r>
        <w:rPr>
          <w:rFonts w:eastAsia="Calibri"/>
          <w:sz w:val="28"/>
          <w:szCs w:val="28"/>
          <w:lang w:eastAsia="en-US"/>
        </w:rPr>
        <w:t xml:space="preserve">, только если его полезность участия в схеме 2 превышает полезность неучастия </w:t>
      </w:r>
      <w:r>
        <w:rPr>
          <w:position w:val="-14"/>
          <w:sz w:val="28"/>
          <w:szCs w:val="28"/>
        </w:rPr>
        <w:object>
          <v:shape id="_x0000_i1481" o:spt="75" type="#_x0000_t75" style="height:20.25pt;width:106.5pt;" o:ole="t" filled="f" o:preferrelative="t" stroked="f" coordsize="21600,21600">
            <v:path/>
            <v:fill on="f" focussize="0,0"/>
            <v:stroke on="f" joinstyle="miter"/>
            <v:imagedata r:id="rId842" o:title=""/>
            <o:lock v:ext="edit" aspectratio="t"/>
            <w10:wrap type="none"/>
            <w10:anchorlock/>
          </v:shape>
          <o:OLEObject Type="Embed" ProgID="Equation.DSMT4" ShapeID="_x0000_i1481" DrawAspect="Content" ObjectID="_1468076181" r:id="rId841">
            <o:LockedField>false</o:LockedField>
          </o:OLEObject>
        </w:object>
      </w:r>
      <w:r>
        <w:rPr>
          <w:rFonts w:eastAsia="Calibri"/>
          <w:sz w:val="28"/>
          <w:szCs w:val="28"/>
          <w:lang w:eastAsia="en-US"/>
        </w:rPr>
        <w:t xml:space="preserve">. В силу (33) и (44) это даст </w:t>
      </w:r>
    </w:p>
    <w:p w14:paraId="393672AE">
      <w:pPr>
        <w:pStyle w:val="37"/>
        <w:ind w:firstLine="0"/>
        <w:rPr>
          <w:rFonts w:eastAsia="Calibri"/>
          <w:sz w:val="28"/>
          <w:szCs w:val="28"/>
          <w:lang w:eastAsia="en-US"/>
        </w:rPr>
      </w:pPr>
    </w:p>
    <w:p w14:paraId="78DA4FDB">
      <w:pPr>
        <w:pStyle w:val="38"/>
        <w:spacing w:before="0" w:after="0"/>
        <w:rPr>
          <w:sz w:val="28"/>
          <w:szCs w:val="28"/>
        </w:rPr>
      </w:pPr>
      <w:r>
        <w:rPr>
          <w:sz w:val="28"/>
          <w:szCs w:val="28"/>
        </w:rPr>
        <w:tab/>
      </w:r>
      <w:r>
        <w:rPr>
          <w:sz w:val="28"/>
          <w:szCs w:val="28"/>
        </w:rPr>
        <w:t xml:space="preserve">                </w:t>
      </w:r>
      <w:r>
        <w:rPr>
          <w:position w:val="-16"/>
          <w:sz w:val="28"/>
          <w:szCs w:val="28"/>
        </w:rPr>
        <w:object>
          <v:shape id="_x0000_i1482" o:spt="75" type="#_x0000_t75" style="height:22.5pt;width:258pt;" o:ole="t" filled="f" o:preferrelative="t" stroked="f" coordsize="21600,21600">
            <v:path/>
            <v:fill on="f" focussize="0,0"/>
            <v:stroke on="f" joinstyle="miter"/>
            <v:imagedata r:id="rId844" o:title=""/>
            <o:lock v:ext="edit" aspectratio="t"/>
            <w10:wrap type="none"/>
            <w10:anchorlock/>
          </v:shape>
          <o:OLEObject Type="Embed" ProgID="Equation.DSMT4" ShapeID="_x0000_i1482" DrawAspect="Content" ObjectID="_1468076182" r:id="rId843">
            <o:LockedField>false</o:LockedField>
          </o:OLEObject>
        </w:object>
      </w:r>
      <w:r>
        <w:rPr>
          <w:sz w:val="28"/>
          <w:szCs w:val="28"/>
        </w:rPr>
        <w:tab/>
      </w:r>
      <w:r>
        <w:rPr>
          <w:sz w:val="28"/>
          <w:szCs w:val="28"/>
        </w:rPr>
        <w:t xml:space="preserve">                              (45)</w:t>
      </w:r>
    </w:p>
    <w:p w14:paraId="6A366BCF">
      <w:pPr>
        <w:pStyle w:val="37"/>
        <w:ind w:firstLine="0"/>
        <w:rPr>
          <w:rFonts w:eastAsia="Calibri"/>
          <w:sz w:val="28"/>
          <w:szCs w:val="28"/>
          <w:lang w:eastAsia="en-US"/>
        </w:rPr>
      </w:pPr>
    </w:p>
    <w:p w14:paraId="44D2C9BA">
      <w:pPr>
        <w:pStyle w:val="37"/>
        <w:rPr>
          <w:rFonts w:eastAsia="Calibri"/>
          <w:sz w:val="28"/>
          <w:szCs w:val="28"/>
          <w:lang w:eastAsia="en-US"/>
        </w:rPr>
      </w:pPr>
      <w:r>
        <w:rPr>
          <w:rFonts w:eastAsia="Calibri"/>
          <w:sz w:val="28"/>
          <w:szCs w:val="28"/>
          <w:lang w:eastAsia="en-US"/>
        </w:rPr>
        <w:t xml:space="preserve">Аналогично условию (35) из утверждения 2, условие (45) гласит, что «плохой» банк </w:t>
      </w:r>
      <w:r>
        <w:rPr>
          <w:position w:val="-6"/>
          <w:sz w:val="28"/>
          <w:szCs w:val="28"/>
        </w:rPr>
        <w:object>
          <v:shape id="_x0000_i1483" o:spt="75" type="#_x0000_t75" style="height:13.5pt;width:9.75pt;" o:ole="t" filled="f" o:preferrelative="t" stroked="f" coordsize="21600,21600">
            <v:path/>
            <v:fill on="f" focussize="0,0"/>
            <v:stroke on="f" joinstyle="miter"/>
            <v:imagedata r:id="rId785" o:title=""/>
            <o:lock v:ext="edit" aspectratio="t"/>
            <w10:wrap type="none"/>
            <w10:anchorlock/>
          </v:shape>
          <o:OLEObject Type="Embed" ProgID="Equation.DSMT4" ShapeID="_x0000_i1483" DrawAspect="Content" ObjectID="_1468076183" r:id="rId845">
            <o:LockedField>false</o:LockedField>
          </o:OLEObject>
        </w:object>
      </w:r>
      <w:r>
        <w:rPr>
          <w:rFonts w:eastAsia="Calibri"/>
          <w:sz w:val="28"/>
          <w:szCs w:val="28"/>
          <w:lang w:eastAsia="en-US"/>
        </w:rPr>
        <w:t xml:space="preserve"> выберет схему 2, если ожидаемые выгоды перевешивают ожидаемые затраты. Согласно левой части (45), ожидаемая выгода схемы 2 проистекает из ожидаемой доходности по новым кредитам, как это имеет место в случае схемы 1. Однако, в отличие от схемы 1, схема 2 не позволяет банку </w:t>
      </w:r>
      <w:r>
        <w:rPr>
          <w:position w:val="-6"/>
          <w:sz w:val="28"/>
          <w:szCs w:val="28"/>
        </w:rPr>
        <w:object>
          <v:shape id="_x0000_i1484" o:spt="75" type="#_x0000_t75" style="height:13.5pt;width:9.75pt;" o:ole="t" filled="f" o:preferrelative="t" stroked="f" coordsize="21600,21600">
            <v:path/>
            <v:fill on="f" focussize="0,0"/>
            <v:stroke on="f" joinstyle="miter"/>
            <v:imagedata r:id="rId785" o:title=""/>
            <o:lock v:ext="edit" aspectratio="t"/>
            <w10:wrap type="none"/>
            <w10:anchorlock/>
          </v:shape>
          <o:OLEObject Type="Embed" ProgID="Equation.DSMT4" ShapeID="_x0000_i1484" DrawAspect="Content" ObjectID="_1468076184" r:id="rId846">
            <o:LockedField>false</o:LockedField>
          </o:OLEObject>
        </w:object>
      </w:r>
      <w:r>
        <w:rPr>
          <w:rFonts w:eastAsia="Calibri"/>
          <w:sz w:val="28"/>
          <w:szCs w:val="28"/>
          <w:lang w:eastAsia="en-US"/>
        </w:rPr>
        <w:t xml:space="preserve"> извлекать выгоду из государственных облигаций, поскольку эти облигации либо возвращаются в фонд проблемных кредитов </w:t>
      </w:r>
      <w:r>
        <w:rPr>
          <w:position w:val="-6"/>
          <w:sz w:val="28"/>
          <w:szCs w:val="28"/>
        </w:rPr>
        <w:object>
          <v:shape id="_x0000_i1485" o:spt="75" type="#_x0000_t75" style="height:13.5pt;width:11.25pt;" o:ole="t" filled="f" o:preferrelative="t" stroked="f" coordsize="21600,21600">
            <v:path/>
            <v:fill on="f" focussize="0,0"/>
            <v:stroke on="f" joinstyle="miter"/>
            <v:imagedata r:id="rId848" o:title=""/>
            <o:lock v:ext="edit" aspectratio="t"/>
            <w10:wrap type="none"/>
            <w10:anchorlock/>
          </v:shape>
          <o:OLEObject Type="Embed" ProgID="Equation.DSMT4" ShapeID="_x0000_i1485" DrawAspect="Content" ObjectID="_1468076185" r:id="rId847">
            <o:LockedField>false</o:LockedField>
          </o:OLEObject>
        </w:object>
      </w:r>
      <w:r>
        <w:rPr>
          <w:rFonts w:eastAsia="Calibri"/>
          <w:sz w:val="28"/>
          <w:szCs w:val="28"/>
          <w:lang w:eastAsia="en-US"/>
        </w:rPr>
        <w:t xml:space="preserve"> в момент времени </w:t>
      </w:r>
      <w:r>
        <w:rPr>
          <w:position w:val="-6"/>
          <w:sz w:val="28"/>
          <w:szCs w:val="28"/>
        </w:rPr>
        <w:object>
          <v:shape id="_x0000_i1486" o:spt="75" type="#_x0000_t75" style="height:12pt;width:24pt;" o:ole="t" filled="f" o:preferrelative="t" stroked="f" coordsize="21600,21600">
            <v:path/>
            <v:fill on="f" focussize="0,0"/>
            <v:stroke on="f" joinstyle="miter"/>
            <v:imagedata r:id="rId850" o:title=""/>
            <o:lock v:ext="edit" aspectratio="t"/>
            <w10:wrap type="none"/>
            <w10:anchorlock/>
          </v:shape>
          <o:OLEObject Type="Embed" ProgID="Equation.DSMT4" ShapeID="_x0000_i1486" DrawAspect="Content" ObjectID="_1468076186" r:id="rId849">
            <o:LockedField>false</o:LockedField>
          </o:OLEObject>
        </w:object>
      </w:r>
      <w:r>
        <w:rPr>
          <w:rFonts w:eastAsia="Calibri"/>
          <w:sz w:val="28"/>
          <w:szCs w:val="28"/>
          <w:lang w:eastAsia="en-US"/>
        </w:rPr>
        <w:t xml:space="preserve">, либо используются для погашения депозитов. </w:t>
      </w:r>
    </w:p>
    <w:p w14:paraId="6591C321">
      <w:pPr>
        <w:pStyle w:val="37"/>
        <w:ind w:firstLine="0"/>
        <w:rPr>
          <w:rFonts w:eastAsia="Calibri"/>
          <w:sz w:val="28"/>
          <w:szCs w:val="28"/>
          <w:lang w:eastAsia="en-US"/>
        </w:rPr>
      </w:pPr>
      <w:r>
        <w:rPr>
          <w:rFonts w:eastAsia="Calibri"/>
          <w:sz w:val="28"/>
          <w:szCs w:val="28"/>
          <w:lang w:eastAsia="en-US"/>
        </w:rPr>
        <w:t xml:space="preserve">Правая сторона (45) отражает ожидаемые затраты банка </w:t>
      </w:r>
      <w:r>
        <w:rPr>
          <w:position w:val="-6"/>
          <w:sz w:val="28"/>
          <w:szCs w:val="28"/>
        </w:rPr>
        <w:object>
          <v:shape id="_x0000_i1487" o:spt="75" type="#_x0000_t75" style="height:13.5pt;width:9.75pt;" o:ole="t" filled="f" o:preferrelative="t" stroked="f" coordsize="21600,21600">
            <v:path/>
            <v:fill on="f" focussize="0,0"/>
            <v:stroke on="f" joinstyle="miter"/>
            <v:imagedata r:id="rId785" o:title=""/>
            <o:lock v:ext="edit" aspectratio="t"/>
            <w10:wrap type="none"/>
            <w10:anchorlock/>
          </v:shape>
          <o:OLEObject Type="Embed" ProgID="Equation.DSMT4" ShapeID="_x0000_i1487" DrawAspect="Content" ObjectID="_1468076187" r:id="rId851">
            <o:LockedField>false</o:LockedField>
          </o:OLEObject>
        </w:object>
      </w:r>
      <w:r>
        <w:rPr>
          <w:rFonts w:eastAsia="Calibri"/>
          <w:sz w:val="28"/>
          <w:szCs w:val="28"/>
          <w:lang w:eastAsia="en-US"/>
        </w:rPr>
        <w:t xml:space="preserve">. Как и в случае схемы 1 безвозвратной продажи, схема 2 с обратным выкупом связана с нематериальными издержками потери репутации </w:t>
      </w:r>
      <w:r>
        <w:rPr>
          <w:position w:val="-6"/>
          <w:sz w:val="28"/>
          <w:szCs w:val="28"/>
        </w:rPr>
        <w:object>
          <v:shape id="_x0000_i1488" o:spt="75" type="#_x0000_t75" style="height:11.25pt;width:12pt;" o:ole="t" filled="f" o:preferrelative="t" stroked="f" coordsize="21600,21600">
            <v:path/>
            <v:fill on="f" focussize="0,0"/>
            <v:stroke on="f" joinstyle="miter"/>
            <v:imagedata r:id="rId853" o:title=""/>
            <o:lock v:ext="edit" aspectratio="t"/>
            <w10:wrap type="none"/>
            <w10:anchorlock/>
          </v:shape>
          <o:OLEObject Type="Embed" ProgID="Equation.DSMT4" ShapeID="_x0000_i1488" DrawAspect="Content" ObjectID="_1468076188" r:id="rId852">
            <o:LockedField>false</o:LockedField>
          </o:OLEObject>
        </w:object>
      </w:r>
      <w:r>
        <w:rPr>
          <w:sz w:val="28"/>
          <w:szCs w:val="28"/>
        </w:rPr>
        <w:t xml:space="preserve"> </w:t>
      </w:r>
      <w:r>
        <w:rPr>
          <w:rFonts w:eastAsia="Calibri"/>
          <w:sz w:val="28"/>
          <w:szCs w:val="28"/>
          <w:lang w:eastAsia="en-US"/>
        </w:rPr>
        <w:t xml:space="preserve">и увеличением ожидаемых старых обязательств перед вкладчиками </w:t>
      </w:r>
      <w:r>
        <w:rPr>
          <w:position w:val="-16"/>
          <w:sz w:val="28"/>
          <w:szCs w:val="28"/>
        </w:rPr>
        <w:object>
          <v:shape id="_x0000_i1489" o:spt="75" type="#_x0000_t75" style="height:22.5pt;width:74.25pt;" o:ole="t" filled="f" o:preferrelative="t" stroked="f" coordsize="21600,21600">
            <v:path/>
            <v:fill on="f" focussize="0,0"/>
            <v:stroke on="f" joinstyle="miter"/>
            <v:imagedata r:id="rId855" o:title=""/>
            <o:lock v:ext="edit" aspectratio="t"/>
            <w10:wrap type="none"/>
            <w10:anchorlock/>
          </v:shape>
          <o:OLEObject Type="Embed" ProgID="Equation.DSMT4" ShapeID="_x0000_i1489" DrawAspect="Content" ObjectID="_1468076189" r:id="rId854">
            <o:LockedField>false</o:LockedField>
          </o:OLEObject>
        </w:object>
      </w:r>
      <w:r>
        <w:rPr>
          <w:rFonts w:eastAsia="Calibri"/>
          <w:sz w:val="28"/>
          <w:szCs w:val="28"/>
          <w:lang w:eastAsia="en-US"/>
        </w:rPr>
        <w:t xml:space="preserve">. Кроме того, затраты на схему 2 состоят из, вероятно, известной заранее потенциальной прибыли на проблемные активы </w:t>
      </w:r>
      <w:r>
        <w:rPr>
          <w:position w:val="-16"/>
          <w:sz w:val="28"/>
          <w:szCs w:val="28"/>
        </w:rPr>
        <w:object>
          <v:shape id="_x0000_i1490" o:spt="75" type="#_x0000_t75" style="height:22.5pt;width:79.5pt;" o:ole="t" filled="f" o:preferrelative="t" stroked="f" coordsize="21600,21600">
            <v:path/>
            <v:fill on="f" focussize="0,0"/>
            <v:stroke on="f" joinstyle="miter"/>
            <v:imagedata r:id="rId857" o:title=""/>
            <o:lock v:ext="edit" aspectratio="t"/>
            <w10:wrap type="none"/>
            <w10:anchorlock/>
          </v:shape>
          <o:OLEObject Type="Embed" ProgID="Equation.DSMT4" ShapeID="_x0000_i1490" DrawAspect="Content" ObjectID="_1468076190" r:id="rId856">
            <o:LockedField>false</o:LockedField>
          </o:OLEObject>
        </w:object>
      </w:r>
      <w:r>
        <w:rPr>
          <w:rFonts w:eastAsia="Calibri"/>
          <w:sz w:val="28"/>
          <w:szCs w:val="28"/>
          <w:lang w:eastAsia="en-US"/>
        </w:rPr>
        <w:t xml:space="preserve">. Если в рамках схемы 1 ожидаемая доходность проблемных активов предрешена с вероятностью 1, в рамках схемы 2 она имеет вероятность только </w:t>
      </w:r>
      <w:r>
        <w:rPr>
          <w:position w:val="-16"/>
          <w:sz w:val="28"/>
          <w:szCs w:val="28"/>
        </w:rPr>
        <w:object>
          <v:shape id="_x0000_i1491" o:spt="75" type="#_x0000_t75" style="height:22.5pt;width:40.5pt;" o:ole="t" filled="f" o:preferrelative="t" stroked="f" coordsize="21600,21600">
            <v:path/>
            <v:fill on="f" focussize="0,0"/>
            <v:stroke on="f" joinstyle="miter"/>
            <v:imagedata r:id="rId859" o:title=""/>
            <o:lock v:ext="edit" aspectratio="t"/>
            <w10:wrap type="none"/>
            <w10:anchorlock/>
          </v:shape>
          <o:OLEObject Type="Embed" ProgID="Equation.DSMT4" ShapeID="_x0000_i1491" DrawAspect="Content" ObjectID="_1468076191" r:id="rId858">
            <o:LockedField>false</o:LockedField>
          </o:OLEObject>
        </w:object>
      </w:r>
      <w:r>
        <w:rPr>
          <w:rFonts w:eastAsia="Calibri"/>
          <w:sz w:val="28"/>
          <w:szCs w:val="28"/>
          <w:lang w:eastAsia="en-US"/>
        </w:rPr>
        <w:t xml:space="preserve">. С такой вероятностью новые кредиты проваливаются, и банк </w:t>
      </w:r>
      <w:r>
        <w:rPr>
          <w:position w:val="-6"/>
          <w:sz w:val="28"/>
          <w:szCs w:val="28"/>
        </w:rPr>
        <w:object>
          <v:shape id="_x0000_i1492" o:spt="75" type="#_x0000_t75" style="height:13.5pt;width:9.75pt;" o:ole="t" filled="f" o:preferrelative="t" stroked="f" coordsize="21600,21600">
            <v:path/>
            <v:fill on="f" focussize="0,0"/>
            <v:stroke on="f" joinstyle="miter"/>
            <v:imagedata r:id="rId785" o:title=""/>
            <o:lock v:ext="edit" aspectratio="t"/>
            <w10:wrap type="none"/>
            <w10:anchorlock/>
          </v:shape>
          <o:OLEObject Type="Embed" ProgID="Equation.DSMT4" ShapeID="_x0000_i1492" DrawAspect="Content" ObjectID="_1468076192" r:id="rId860">
            <o:LockedField>false</o:LockedField>
          </o:OLEObject>
        </w:object>
      </w:r>
      <w:r>
        <w:rPr>
          <w:rFonts w:eastAsia="Calibri"/>
          <w:sz w:val="28"/>
          <w:szCs w:val="28"/>
          <w:lang w:eastAsia="en-US"/>
        </w:rPr>
        <w:t xml:space="preserve"> становится неплатежеспособным. В этом случае доход от проблемных активов должен будет использоваться для погашения требований вкладчиков. В сочетании с условием (29) леммы 1 и требованием </w:t>
      </w:r>
      <w:r>
        <w:rPr>
          <w:position w:val="-14"/>
          <w:sz w:val="28"/>
          <w:szCs w:val="28"/>
        </w:rPr>
        <w:object>
          <v:shape id="_x0000_i1493" o:spt="75" type="#_x0000_t75" style="height:20.25pt;width:78pt;" o:ole="t" filled="f" o:preferrelative="t" stroked="f" coordsize="21600,21600">
            <v:path/>
            <v:fill on="f" focussize="0,0"/>
            <v:stroke on="f" joinstyle="miter"/>
            <v:imagedata r:id="rId862" o:title=""/>
            <o:lock v:ext="edit" aspectratio="t"/>
            <w10:wrap type="none"/>
            <w10:anchorlock/>
          </v:shape>
          <o:OLEObject Type="Embed" ProgID="Equation.DSMT4" ShapeID="_x0000_i1493" DrawAspect="Content" ObjectID="_1468076193" r:id="rId861">
            <o:LockedField>false</o:LockedField>
          </o:OLEObject>
        </w:object>
      </w:r>
      <w:r>
        <w:rPr>
          <w:sz w:val="28"/>
          <w:szCs w:val="28"/>
        </w:rPr>
        <w:t xml:space="preserve"> </w:t>
      </w:r>
      <w:r>
        <w:rPr>
          <w:rFonts w:eastAsia="Calibri"/>
          <w:sz w:val="28"/>
          <w:szCs w:val="28"/>
          <w:lang w:eastAsia="en-US"/>
        </w:rPr>
        <w:t xml:space="preserve">(45) непосредственно дает </w:t>
      </w:r>
    </w:p>
    <w:p w14:paraId="23F7ABAC">
      <w:pPr>
        <w:pStyle w:val="37"/>
        <w:ind w:firstLine="0"/>
        <w:rPr>
          <w:rFonts w:eastAsia="Calibri"/>
          <w:sz w:val="28"/>
          <w:szCs w:val="28"/>
          <w:lang w:eastAsia="en-US"/>
        </w:rPr>
      </w:pPr>
    </w:p>
    <w:p w14:paraId="6F81A16D">
      <w:pPr>
        <w:pStyle w:val="37"/>
        <w:ind w:firstLine="708"/>
        <w:rPr>
          <w:rFonts w:eastAsia="Calibri"/>
          <w:i/>
          <w:sz w:val="28"/>
          <w:szCs w:val="28"/>
          <w:lang w:eastAsia="en-US"/>
        </w:rPr>
      </w:pPr>
      <w:r>
        <w:rPr>
          <w:rFonts w:eastAsia="Calibri"/>
          <w:b/>
          <w:sz w:val="28"/>
          <w:szCs w:val="28"/>
          <w:lang w:eastAsia="en-US"/>
        </w:rPr>
        <w:t>Утверждение 3</w:t>
      </w:r>
      <w:r>
        <w:rPr>
          <w:rFonts w:eastAsia="Calibri"/>
          <w:sz w:val="28"/>
          <w:szCs w:val="28"/>
          <w:lang w:eastAsia="en-US"/>
        </w:rPr>
        <w:t xml:space="preserve">: </w:t>
      </w:r>
      <w:r>
        <w:rPr>
          <w:rFonts w:eastAsia="Calibri"/>
          <w:i/>
          <w:sz w:val="28"/>
          <w:szCs w:val="28"/>
          <w:lang w:eastAsia="en-US"/>
        </w:rPr>
        <w:t xml:space="preserve">По схеме 2 с обратным выкупом  «плохой» банк </w:t>
      </w:r>
      <w:r>
        <w:rPr>
          <w:position w:val="-6"/>
          <w:sz w:val="28"/>
          <w:szCs w:val="28"/>
        </w:rPr>
        <w:object>
          <v:shape id="_x0000_i1494" o:spt="75" type="#_x0000_t75" style="height:13.5pt;width:9.75pt;" o:ole="t" filled="f" o:preferrelative="t" stroked="f" coordsize="21600,21600">
            <v:path/>
            <v:fill on="f" focussize="0,0"/>
            <v:stroke on="f" joinstyle="miter"/>
            <v:imagedata r:id="rId785" o:title=""/>
            <o:lock v:ext="edit" aspectratio="t"/>
            <w10:wrap type="none"/>
            <w10:anchorlock/>
          </v:shape>
          <o:OLEObject Type="Embed" ProgID="Equation.DSMT4" ShapeID="_x0000_i1494" DrawAspect="Content" ObjectID="_1468076194" r:id="rId863">
            <o:LockedField>false</o:LockedField>
          </o:OLEObject>
        </w:object>
      </w:r>
      <w:r>
        <w:rPr>
          <w:sz w:val="28"/>
          <w:szCs w:val="28"/>
        </w:rPr>
        <w:t xml:space="preserve"> </w:t>
      </w:r>
      <w:r>
        <w:rPr>
          <w:rFonts w:eastAsia="Calibri"/>
          <w:i/>
          <w:sz w:val="28"/>
          <w:szCs w:val="28"/>
          <w:lang w:eastAsia="en-US"/>
        </w:rPr>
        <w:t xml:space="preserve">переведет токсичные активы  в фонд проблемных активов </w:t>
      </w:r>
      <w:r>
        <w:rPr>
          <w:position w:val="-6"/>
          <w:sz w:val="28"/>
          <w:szCs w:val="28"/>
        </w:rPr>
        <w:object>
          <v:shape id="_x0000_i1495" o:spt="75" type="#_x0000_t75" style="height:13.5pt;width:11.25pt;" o:ole="t" filled="f" o:preferrelative="t" stroked="f" coordsize="21600,21600">
            <v:path/>
            <v:fill on="f" focussize="0,0"/>
            <v:stroke on="f" joinstyle="miter"/>
            <v:imagedata r:id="rId865" o:title=""/>
            <o:lock v:ext="edit" aspectratio="t"/>
            <w10:wrap type="none"/>
            <w10:anchorlock/>
          </v:shape>
          <o:OLEObject Type="Embed" ProgID="Equation.DSMT4" ShapeID="_x0000_i1495" DrawAspect="Content" ObjectID="_1468076195" r:id="rId864">
            <o:LockedField>false</o:LockedField>
          </o:OLEObject>
        </w:object>
      </w:r>
      <w:r>
        <w:rPr>
          <w:rFonts w:eastAsia="Calibri"/>
          <w:i/>
          <w:sz w:val="28"/>
          <w:szCs w:val="28"/>
          <w:lang w:eastAsia="en-US"/>
        </w:rPr>
        <w:t xml:space="preserve">, а вероятность его успеха вырастет с </w:t>
      </w:r>
      <w:r>
        <w:rPr>
          <w:position w:val="-10"/>
          <w:sz w:val="28"/>
          <w:szCs w:val="28"/>
        </w:rPr>
        <w:object>
          <v:shape id="_x0000_i1496" o:spt="75" type="#_x0000_t75" style="height:13.5pt;width:12pt;" o:ole="t" filled="f" o:preferrelative="t" stroked="f" coordsize="21600,21600">
            <v:path/>
            <v:fill on="f" focussize="0,0"/>
            <v:stroke on="f" joinstyle="miter"/>
            <v:imagedata r:id="rId867" o:title=""/>
            <o:lock v:ext="edit" aspectratio="t"/>
            <w10:wrap type="none"/>
            <w10:anchorlock/>
          </v:shape>
          <o:OLEObject Type="Embed" ProgID="Equation.DSMT4" ShapeID="_x0000_i1496" DrawAspect="Content" ObjectID="_1468076196" r:id="rId866">
            <o:LockedField>false</o:LockedField>
          </o:OLEObject>
        </w:object>
      </w:r>
      <w:r>
        <w:rPr>
          <w:rFonts w:eastAsia="Calibri"/>
          <w:i/>
          <w:sz w:val="28"/>
          <w:szCs w:val="28"/>
          <w:lang w:eastAsia="en-US"/>
        </w:rPr>
        <w:t xml:space="preserve"> до </w:t>
      </w:r>
      <w:r>
        <w:rPr>
          <w:position w:val="-10"/>
          <w:sz w:val="28"/>
          <w:szCs w:val="28"/>
        </w:rPr>
        <w:object>
          <v:shape id="_x0000_i1497" o:spt="75" type="#_x0000_t75" style="height:18.75pt;width:15.75pt;" o:ole="t" filled="f" o:preferrelative="t" stroked="f" coordsize="21600,21600">
            <v:path/>
            <v:fill on="f" focussize="0,0"/>
            <v:stroke on="f" joinstyle="miter"/>
            <v:imagedata r:id="rId869" o:title=""/>
            <o:lock v:ext="edit" aspectratio="t"/>
            <w10:wrap type="none"/>
            <w10:anchorlock/>
          </v:shape>
          <o:OLEObject Type="Embed" ProgID="Equation.DSMT4" ShapeID="_x0000_i1497" DrawAspect="Content" ObjectID="_1468076197" r:id="rId868">
            <o:LockedField>false</o:LockedField>
          </o:OLEObject>
        </w:object>
      </w:r>
      <w:r>
        <w:rPr>
          <w:rFonts w:eastAsia="Calibri"/>
          <w:i/>
          <w:sz w:val="28"/>
          <w:szCs w:val="28"/>
          <w:lang w:eastAsia="en-US"/>
        </w:rPr>
        <w:t>, только в том случае, если</w:t>
      </w:r>
    </w:p>
    <w:p w14:paraId="5B1AB86D">
      <w:pPr>
        <w:pStyle w:val="37"/>
        <w:ind w:firstLine="0"/>
        <w:rPr>
          <w:rFonts w:eastAsia="Calibri"/>
          <w:sz w:val="28"/>
          <w:szCs w:val="28"/>
          <w:lang w:eastAsia="en-US"/>
        </w:rPr>
      </w:pPr>
    </w:p>
    <w:p w14:paraId="2B2201BE">
      <w:pPr>
        <w:pStyle w:val="38"/>
        <w:spacing w:before="0" w:after="0"/>
        <w:rPr>
          <w:sz w:val="28"/>
          <w:szCs w:val="28"/>
        </w:rPr>
      </w:pPr>
      <w:r>
        <w:rPr>
          <w:sz w:val="28"/>
          <w:szCs w:val="28"/>
        </w:rPr>
        <w:t xml:space="preserve">                   </w:t>
      </w:r>
      <w:r>
        <w:rPr>
          <w:sz w:val="28"/>
          <w:szCs w:val="28"/>
        </w:rPr>
        <w:tab/>
      </w:r>
      <w:r>
        <w:rPr>
          <w:position w:val="-16"/>
          <w:sz w:val="28"/>
          <w:szCs w:val="28"/>
        </w:rPr>
        <w:object>
          <v:shape id="_x0000_i1498" o:spt="75" type="#_x0000_t75" style="height:22.5pt;width:325.5pt;" o:ole="t" filled="f" o:preferrelative="t" stroked="f" coordsize="21600,21600">
            <v:path/>
            <v:fill on="f" focussize="0,0"/>
            <v:stroke on="f" joinstyle="miter"/>
            <v:imagedata r:id="rId871" o:title=""/>
            <o:lock v:ext="edit" aspectratio="t"/>
            <w10:wrap type="none"/>
            <w10:anchorlock/>
          </v:shape>
          <o:OLEObject Type="Embed" ProgID="Equation.DSMT4" ShapeID="_x0000_i1498" DrawAspect="Content" ObjectID="_1468076198" r:id="rId870">
            <o:LockedField>false</o:LockedField>
          </o:OLEObject>
        </w:object>
      </w:r>
      <w:r>
        <w:rPr>
          <w:sz w:val="28"/>
          <w:szCs w:val="28"/>
        </w:rPr>
        <w:tab/>
      </w:r>
      <w:r>
        <w:rPr>
          <w:sz w:val="28"/>
          <w:szCs w:val="28"/>
        </w:rPr>
        <w:t>(46)</w:t>
      </w:r>
    </w:p>
    <w:p w14:paraId="52A9AF30">
      <w:pPr>
        <w:pStyle w:val="37"/>
        <w:ind w:firstLine="0"/>
        <w:rPr>
          <w:rFonts w:eastAsia="Calibri"/>
          <w:i/>
          <w:sz w:val="28"/>
          <w:szCs w:val="28"/>
          <w:highlight w:val="yellow"/>
          <w:lang w:eastAsia="en-US"/>
        </w:rPr>
      </w:pPr>
    </w:p>
    <w:p w14:paraId="52B2A41F">
      <w:pPr>
        <w:pStyle w:val="37"/>
        <w:rPr>
          <w:rFonts w:eastAsia="Calibri"/>
          <w:sz w:val="28"/>
          <w:szCs w:val="28"/>
          <w:lang w:eastAsia="en-US"/>
        </w:rPr>
      </w:pPr>
      <w:r>
        <w:rPr>
          <w:rFonts w:eastAsia="Calibri"/>
          <w:sz w:val="28"/>
          <w:szCs w:val="28"/>
          <w:lang w:eastAsia="en-US"/>
        </w:rPr>
        <w:t xml:space="preserve">В соответствии с утверждением 3, схема 2 улучшает платежеспособность банка </w:t>
      </w:r>
      <w:r>
        <w:rPr>
          <w:position w:val="-6"/>
          <w:sz w:val="28"/>
          <w:szCs w:val="28"/>
        </w:rPr>
        <w:object>
          <v:shape id="_x0000_i1499" o:spt="75" type="#_x0000_t75" style="height:13.5pt;width:9.75pt;" o:ole="t" filled="f" o:preferrelative="t" stroked="f" coordsize="21600,21600">
            <v:path/>
            <v:fill on="f" focussize="0,0"/>
            <v:stroke on="f" joinstyle="miter"/>
            <v:imagedata r:id="rId785" o:title=""/>
            <o:lock v:ext="edit" aspectratio="t"/>
            <w10:wrap type="none"/>
            <w10:anchorlock/>
          </v:shape>
          <o:OLEObject Type="Embed" ProgID="Equation.DSMT4" ShapeID="_x0000_i1499" DrawAspect="Content" ObjectID="_1468076199" r:id="rId872">
            <o:LockedField>false</o:LockedField>
          </o:OLEObject>
        </w:object>
      </w:r>
      <w:r>
        <w:rPr>
          <w:sz w:val="28"/>
          <w:szCs w:val="28"/>
        </w:rPr>
        <w:t xml:space="preserve"> </w:t>
      </w:r>
      <w:r>
        <w:rPr>
          <w:rFonts w:eastAsia="Calibri"/>
          <w:sz w:val="28"/>
          <w:szCs w:val="28"/>
          <w:lang w:eastAsia="en-US"/>
        </w:rPr>
        <w:t xml:space="preserve">при соблюдении двух предварительных условий. Во-первых, денежный выкуп </w:t>
      </w:r>
      <w:r>
        <w:rPr>
          <w:position w:val="-14"/>
          <w:sz w:val="28"/>
          <w:szCs w:val="28"/>
        </w:rPr>
        <w:object>
          <v:shape id="_x0000_i1500" o:spt="75" type="#_x0000_t75" style="height:20.25pt;width:34.5pt;" o:ole="t" filled="f" o:preferrelative="t" stroked="f" coordsize="21600,21600">
            <v:path/>
            <v:fill on="f" focussize="0,0"/>
            <v:stroke on="f" joinstyle="miter"/>
            <v:imagedata r:id="rId874" o:title=""/>
            <o:lock v:ext="edit" aspectratio="t"/>
            <w10:wrap type="none"/>
            <w10:anchorlock/>
          </v:shape>
          <o:OLEObject Type="Embed" ProgID="Equation.DSMT4" ShapeID="_x0000_i1500" DrawAspect="Content" ObjectID="_1468076200" r:id="rId873">
            <o:LockedField>false</o:LockedField>
          </o:OLEObject>
        </w:object>
      </w:r>
      <w:r>
        <w:rPr>
          <w:rFonts w:eastAsia="Calibri"/>
          <w:sz w:val="28"/>
          <w:szCs w:val="28"/>
          <w:lang w:eastAsia="en-US"/>
        </w:rPr>
        <w:t xml:space="preserve"> и полученный в результате объем новых кредитов должны быть достаточно большими, чтобы банк </w:t>
      </w:r>
      <w:r>
        <w:rPr>
          <w:position w:val="-6"/>
          <w:sz w:val="28"/>
          <w:szCs w:val="28"/>
        </w:rPr>
        <w:object>
          <v:shape id="_x0000_i1501" o:spt="75" type="#_x0000_t75" style="height:13.5pt;width:9.75pt;" o:ole="t" filled="f" o:preferrelative="t" stroked="f" coordsize="21600,21600">
            <v:path/>
            <v:fill on="f" focussize="0,0"/>
            <v:stroke on="f" joinstyle="miter"/>
            <v:imagedata r:id="rId876" o:title=""/>
            <o:lock v:ext="edit" aspectratio="t"/>
            <w10:wrap type="none"/>
            <w10:anchorlock/>
          </v:shape>
          <o:OLEObject Type="Embed" ProgID="Equation.DSMT4" ShapeID="_x0000_i1501" DrawAspect="Content" ObjectID="_1468076201" r:id="rId875">
            <o:LockedField>false</o:LockedField>
          </o:OLEObject>
        </w:object>
      </w:r>
      <w:r>
        <w:rPr>
          <w:rFonts w:eastAsia="Calibri"/>
          <w:sz w:val="28"/>
          <w:szCs w:val="28"/>
          <w:lang w:eastAsia="en-US"/>
        </w:rPr>
        <w:t xml:space="preserve"> выживал всякий раз, когда новые ссуды успешны, </w:t>
      </w:r>
      <w:r>
        <w:rPr>
          <w:position w:val="-14"/>
          <w:sz w:val="28"/>
          <w:szCs w:val="28"/>
        </w:rPr>
        <w:object>
          <v:shape id="_x0000_i1502" o:spt="75" type="#_x0000_t75" style="height:20.25pt;width:79.5pt;" o:ole="t" filled="f" o:preferrelative="t" stroked="f" coordsize="21600,21600">
            <v:path/>
            <v:fill on="f" focussize="0,0"/>
            <v:stroke on="f" joinstyle="miter"/>
            <v:imagedata r:id="rId878" o:title=""/>
            <o:lock v:ext="edit" aspectratio="t"/>
            <w10:wrap type="none"/>
            <w10:anchorlock/>
          </v:shape>
          <o:OLEObject Type="Embed" ProgID="Equation.DSMT4" ShapeID="_x0000_i1502" DrawAspect="Content" ObjectID="_1468076202" r:id="rId877">
            <o:LockedField>false</o:LockedField>
          </o:OLEObject>
        </w:object>
      </w:r>
      <w:r>
        <w:rPr>
          <w:rFonts w:eastAsia="Calibri"/>
          <w:sz w:val="28"/>
          <w:szCs w:val="28"/>
          <w:lang w:eastAsia="en-US"/>
        </w:rPr>
        <w:t xml:space="preserve">. Во-вторых, денежный выкуп </w:t>
      </w:r>
      <w:r>
        <w:rPr>
          <w:position w:val="-14"/>
          <w:sz w:val="28"/>
          <w:szCs w:val="28"/>
        </w:rPr>
        <w:object>
          <v:shape id="_x0000_i1503" o:spt="75" type="#_x0000_t75" style="height:20.25pt;width:34.5pt;" o:ole="t" filled="f" o:preferrelative="t" stroked="f" coordsize="21600,21600">
            <v:path/>
            <v:fill on="f" focussize="0,0"/>
            <v:stroke on="f" joinstyle="miter"/>
            <v:imagedata r:id="rId880" o:title=""/>
            <o:lock v:ext="edit" aspectratio="t"/>
            <w10:wrap type="none"/>
            <w10:anchorlock/>
          </v:shape>
          <o:OLEObject Type="Embed" ProgID="Equation.DSMT4" ShapeID="_x0000_i1503" DrawAspect="Content" ObjectID="_1468076203" r:id="rId879">
            <o:LockedField>false</o:LockedField>
          </o:OLEObject>
        </w:object>
      </w:r>
      <w:r>
        <w:rPr>
          <w:rFonts w:eastAsia="Calibri"/>
          <w:sz w:val="28"/>
          <w:szCs w:val="28"/>
          <w:lang w:eastAsia="en-US"/>
        </w:rPr>
        <w:t xml:space="preserve"> должен быть достаточно большим, чтобы побудить банк </w:t>
      </w:r>
      <w:r>
        <w:rPr>
          <w:position w:val="-6"/>
          <w:sz w:val="28"/>
          <w:szCs w:val="28"/>
        </w:rPr>
        <w:object>
          <v:shape id="_x0000_i1504" o:spt="75" type="#_x0000_t75" style="height:13.5pt;width:9.75pt;" o:ole="t" filled="f" o:preferrelative="t" stroked="f" coordsize="21600,21600">
            <v:path/>
            <v:fill on="f" focussize="0,0"/>
            <v:stroke on="f" joinstyle="miter"/>
            <v:imagedata r:id="rId785" o:title=""/>
            <o:lock v:ext="edit" aspectratio="t"/>
            <w10:wrap type="none"/>
            <w10:anchorlock/>
          </v:shape>
          <o:OLEObject Type="Embed" ProgID="Equation.DSMT4" ShapeID="_x0000_i1504" DrawAspect="Content" ObjectID="_1468076204" r:id="rId881">
            <o:LockedField>false</o:LockedField>
          </o:OLEObject>
        </w:object>
      </w:r>
      <w:r>
        <w:rPr>
          <w:sz w:val="28"/>
          <w:szCs w:val="28"/>
        </w:rPr>
        <w:t xml:space="preserve"> </w:t>
      </w:r>
      <w:r>
        <w:rPr>
          <w:rFonts w:eastAsia="Calibri"/>
          <w:sz w:val="28"/>
          <w:szCs w:val="28"/>
          <w:lang w:eastAsia="en-US"/>
        </w:rPr>
        <w:t xml:space="preserve">передать токсичные активы в фонд проблемных активов </w:t>
      </w:r>
      <w:r>
        <w:rPr>
          <w:position w:val="-6"/>
          <w:sz w:val="28"/>
          <w:szCs w:val="28"/>
        </w:rPr>
        <w:object>
          <v:shape id="_x0000_i1505" o:spt="75" type="#_x0000_t75" style="height:13.5pt;width:11.25pt;" o:ole="t" filled="f" o:preferrelative="t" stroked="f" coordsize="21600,21600">
            <v:path/>
            <v:fill on="f" focussize="0,0"/>
            <v:stroke on="f" joinstyle="miter"/>
            <v:imagedata r:id="rId883" o:title=""/>
            <o:lock v:ext="edit" aspectratio="t"/>
            <w10:wrap type="none"/>
            <w10:anchorlock/>
          </v:shape>
          <o:OLEObject Type="Embed" ProgID="Equation.DSMT4" ShapeID="_x0000_i1505" DrawAspect="Content" ObjectID="_1468076205" r:id="rId882">
            <o:LockedField>false</o:LockedField>
          </o:OLEObject>
        </w:object>
      </w:r>
      <w:r>
        <w:rPr>
          <w:rFonts w:eastAsia="Calibri"/>
          <w:sz w:val="28"/>
          <w:szCs w:val="28"/>
          <w:lang w:eastAsia="en-US"/>
        </w:rPr>
        <w:t xml:space="preserve">, </w:t>
      </w:r>
      <w:r>
        <w:rPr>
          <w:position w:val="-14"/>
          <w:sz w:val="28"/>
          <w:szCs w:val="28"/>
        </w:rPr>
        <w:object>
          <v:shape id="_x0000_i1506" o:spt="75" type="#_x0000_t75" style="height:20.25pt;width:79.5pt;" o:ole="t" filled="f" o:preferrelative="t" stroked="f" coordsize="21600,21600">
            <v:path/>
            <v:fill on="f" focussize="0,0"/>
            <v:stroke on="f" joinstyle="miter"/>
            <v:imagedata r:id="rId885" o:title=""/>
            <o:lock v:ext="edit" aspectratio="t"/>
            <w10:wrap type="none"/>
            <w10:anchorlock/>
          </v:shape>
          <o:OLEObject Type="Embed" ProgID="Equation.DSMT4" ShapeID="_x0000_i1506" DrawAspect="Content" ObjectID="_1468076206" r:id="rId884">
            <o:LockedField>false</o:LockedField>
          </o:OLEObject>
        </w:object>
      </w:r>
      <w:r>
        <w:rPr>
          <w:rFonts w:eastAsia="Calibri"/>
          <w:sz w:val="28"/>
          <w:szCs w:val="28"/>
          <w:lang w:eastAsia="en-US"/>
        </w:rPr>
        <w:t xml:space="preserve">. Как и в случае со схемой 1, пороговое значение </w:t>
      </w:r>
      <w:r>
        <w:rPr>
          <w:position w:val="-14"/>
          <w:sz w:val="28"/>
          <w:szCs w:val="28"/>
        </w:rPr>
        <w:object>
          <v:shape id="_x0000_i1507" o:spt="75" type="#_x0000_t75" style="height:20.25pt;width:34.5pt;" o:ole="t" filled="f" o:preferrelative="t" stroked="f" coordsize="21600,21600">
            <v:path/>
            <v:fill on="f" focussize="0,0"/>
            <v:stroke on="f" joinstyle="miter"/>
            <v:imagedata r:id="rId887" o:title=""/>
            <o:lock v:ext="edit" aspectratio="t"/>
            <w10:wrap type="none"/>
            <w10:anchorlock/>
          </v:shape>
          <o:OLEObject Type="Embed" ProgID="Equation.DSMT4" ShapeID="_x0000_i1507" DrawAspect="Content" ObjectID="_1468076207" r:id="rId886">
            <o:LockedField>false</o:LockedField>
          </o:OLEObject>
        </w:object>
      </w:r>
      <w:r>
        <w:rPr>
          <w:rFonts w:eastAsia="Calibri"/>
          <w:sz w:val="28"/>
          <w:szCs w:val="28"/>
          <w:lang w:eastAsia="en-US"/>
        </w:rPr>
        <w:t xml:space="preserve"> линейно возрастает с ростом нематериальных репутационных издержек </w:t>
      </w:r>
      <w:r>
        <w:rPr>
          <w:position w:val="-6"/>
          <w:sz w:val="28"/>
          <w:szCs w:val="28"/>
        </w:rPr>
        <w:object>
          <v:shape id="_x0000_i1508" o:spt="75" type="#_x0000_t75" style="height:11.25pt;width:12pt;" o:ole="t" filled="f" o:preferrelative="t" stroked="f" coordsize="21600,21600">
            <v:path/>
            <v:fill on="f" focussize="0,0"/>
            <v:stroke on="f" joinstyle="miter"/>
            <v:imagedata r:id="rId889" o:title=""/>
            <o:lock v:ext="edit" aspectratio="t"/>
            <w10:wrap type="none"/>
            <w10:anchorlock/>
          </v:shape>
          <o:OLEObject Type="Embed" ProgID="Equation.DSMT4" ShapeID="_x0000_i1508" DrawAspect="Content" ObjectID="_1468076208" r:id="rId888">
            <o:LockedField>false</o:LockedField>
          </o:OLEObject>
        </w:object>
      </w:r>
      <w:r>
        <w:rPr>
          <w:rFonts w:eastAsia="Calibri"/>
          <w:sz w:val="28"/>
          <w:szCs w:val="28"/>
          <w:lang w:eastAsia="en-US"/>
        </w:rPr>
        <w:t xml:space="preserve"> и равно балансовой стоимости </w:t>
      </w:r>
      <w:r>
        <w:rPr>
          <w:position w:val="-14"/>
          <w:sz w:val="28"/>
          <w:szCs w:val="28"/>
        </w:rPr>
        <w:object>
          <v:shape id="_x0000_i1509" o:spt="75" type="#_x0000_t75" style="height:20.25pt;width:40.5pt;" o:ole="t" filled="f" o:preferrelative="t" stroked="f" coordsize="21600,21600">
            <v:path/>
            <v:fill on="f" focussize="0,0"/>
            <v:stroke on="f" joinstyle="miter"/>
            <v:imagedata r:id="rId891" o:title=""/>
            <o:lock v:ext="edit" aspectratio="t"/>
            <w10:wrap type="none"/>
            <w10:anchorlock/>
          </v:shape>
          <o:OLEObject Type="Embed" ProgID="Equation.DSMT4" ShapeID="_x0000_i1509" DrawAspect="Content" ObjectID="_1468076209" r:id="rId890">
            <o:LockedField>false</o:LockedField>
          </o:OLEObject>
        </w:object>
      </w:r>
      <w:r>
        <w:rPr>
          <w:sz w:val="28"/>
          <w:szCs w:val="28"/>
        </w:rPr>
        <w:t xml:space="preserve"> </w:t>
      </w:r>
      <w:r>
        <w:rPr>
          <w:rFonts w:eastAsia="Calibri"/>
          <w:sz w:val="28"/>
          <w:szCs w:val="28"/>
          <w:lang w:eastAsia="en-US"/>
        </w:rPr>
        <w:t xml:space="preserve">проблемных  активов для </w:t>
      </w:r>
      <w:r>
        <w:rPr>
          <w:position w:val="-6"/>
          <w:sz w:val="28"/>
          <w:szCs w:val="28"/>
        </w:rPr>
        <w:object>
          <v:shape id="_x0000_i1510" o:spt="75" type="#_x0000_t75" style="height:13.5pt;width:31.5pt;" o:ole="t" filled="f" o:preferrelative="t" stroked="f" coordsize="21600,21600">
            <v:path/>
            <v:fill on="f" focussize="0,0"/>
            <v:stroke on="f" joinstyle="miter"/>
            <v:imagedata r:id="rId893" o:title=""/>
            <o:lock v:ext="edit" aspectratio="t"/>
            <w10:wrap type="none"/>
            <w10:anchorlock/>
          </v:shape>
          <o:OLEObject Type="Embed" ProgID="Equation.DSMT4" ShapeID="_x0000_i1510" DrawAspect="Content" ObjectID="_1468076210" r:id="rId892">
            <o:LockedField>false</o:LockedField>
          </o:OLEObject>
        </w:object>
      </w:r>
      <w:r>
        <w:rPr>
          <w:rFonts w:eastAsia="Calibri"/>
          <w:sz w:val="28"/>
          <w:szCs w:val="28"/>
          <w:lang w:eastAsia="en-US"/>
        </w:rPr>
        <w:t>.</w:t>
      </w:r>
    </w:p>
    <w:p w14:paraId="2A4F1161">
      <w:pPr>
        <w:pStyle w:val="37"/>
        <w:rPr>
          <w:rFonts w:eastAsia="Calibri"/>
          <w:sz w:val="28"/>
          <w:szCs w:val="28"/>
          <w:lang w:eastAsia="en-US"/>
        </w:rPr>
      </w:pPr>
      <w:r>
        <w:rPr>
          <w:rFonts w:eastAsia="Calibri"/>
          <w:sz w:val="28"/>
          <w:szCs w:val="28"/>
          <w:lang w:eastAsia="en-US"/>
        </w:rPr>
        <w:t xml:space="preserve">Следовательно, «плохой» банк </w:t>
      </w:r>
      <w:r>
        <w:rPr>
          <w:rFonts w:eastAsia="Calibri"/>
          <w:position w:val="-6"/>
          <w:sz w:val="28"/>
          <w:szCs w:val="28"/>
          <w:lang w:eastAsia="en-US"/>
        </w:rPr>
        <w:object>
          <v:shape id="_x0000_i1511" o:spt="75" type="#_x0000_t75" style="height:13.5pt;width:9.75pt;" o:ole="t" filled="f" o:preferrelative="t" stroked="f" coordsize="21600,21600">
            <v:path/>
            <v:fill on="f" focussize="0,0"/>
            <v:stroke on="f" joinstyle="miter"/>
            <v:imagedata r:id="rId895" o:title=""/>
            <o:lock v:ext="edit" aspectratio="t"/>
            <w10:wrap type="none"/>
            <w10:anchorlock/>
          </v:shape>
          <o:OLEObject Type="Embed" ProgID="Equation.DSMT4" ShapeID="_x0000_i1511" DrawAspect="Content" ObjectID="_1468076211" r:id="rId894">
            <o:LockedField>false</o:LockedField>
          </o:OLEObject>
        </w:object>
      </w:r>
      <w:r>
        <w:rPr>
          <w:rFonts w:eastAsia="Calibri"/>
          <w:sz w:val="28"/>
          <w:szCs w:val="28"/>
          <w:lang w:eastAsia="en-US"/>
        </w:rPr>
        <w:t xml:space="preserve"> снова удовлетворяется чистым замещением активов (без изменения капитала банка), если репутационные издержки </w:t>
      </w:r>
      <w:r>
        <w:rPr>
          <w:position w:val="-6"/>
          <w:sz w:val="28"/>
          <w:szCs w:val="28"/>
        </w:rPr>
        <w:object>
          <v:shape id="_x0000_i1512" o:spt="75" type="#_x0000_t75" style="height:13.5pt;width:31.5pt;" o:ole="t" filled="f" o:preferrelative="t" stroked="f" coordsize="21600,21600">
            <v:path/>
            <v:fill on="f" focussize="0,0"/>
            <v:stroke on="f" joinstyle="miter"/>
            <v:imagedata r:id="rId897" o:title=""/>
            <o:lock v:ext="edit" aspectratio="t"/>
            <w10:wrap type="none"/>
            <w10:anchorlock/>
          </v:shape>
          <o:OLEObject Type="Embed" ProgID="Equation.DSMT4" ShapeID="_x0000_i1512" DrawAspect="Content" ObjectID="_1468076212" r:id="rId896">
            <o:LockedField>false</o:LockedField>
          </o:OLEObject>
        </w:object>
      </w:r>
      <w:r>
        <w:rPr>
          <w:sz w:val="28"/>
          <w:szCs w:val="28"/>
        </w:rPr>
        <w:t xml:space="preserve">. </w:t>
      </w:r>
      <w:r>
        <w:rPr>
          <w:rFonts w:eastAsia="Calibri"/>
          <w:sz w:val="28"/>
          <w:szCs w:val="28"/>
          <w:lang w:eastAsia="en-US"/>
        </w:rPr>
        <w:t xml:space="preserve">Он потребует увеличения капитала, </w:t>
      </w:r>
      <w:r>
        <w:rPr>
          <w:position w:val="-14"/>
          <w:sz w:val="28"/>
          <w:szCs w:val="28"/>
        </w:rPr>
        <w:object>
          <v:shape id="_x0000_i1513" o:spt="75" type="#_x0000_t75" style="height:20.25pt;width:87.75pt;" o:ole="t" filled="f" o:preferrelative="t" stroked="f" coordsize="21600,21600">
            <v:path/>
            <v:fill on="f" focussize="0,0"/>
            <v:stroke on="f" joinstyle="miter"/>
            <v:imagedata r:id="rId899" o:title=""/>
            <o:lock v:ext="edit" aspectratio="t"/>
            <w10:wrap type="none"/>
            <w10:anchorlock/>
          </v:shape>
          <o:OLEObject Type="Embed" ProgID="Equation.DSMT4" ShapeID="_x0000_i1513" DrawAspect="Content" ObjectID="_1468076213" r:id="rId898">
            <o:LockedField>false</o:LockedField>
          </o:OLEObject>
        </w:object>
      </w:r>
      <w:r>
        <w:rPr>
          <w:rFonts w:eastAsia="Calibri"/>
          <w:sz w:val="28"/>
          <w:szCs w:val="28"/>
          <w:lang w:eastAsia="en-US"/>
        </w:rPr>
        <w:t xml:space="preserve"> если </w:t>
      </w:r>
      <w:r>
        <w:rPr>
          <w:position w:val="-6"/>
          <w:sz w:val="28"/>
          <w:szCs w:val="28"/>
        </w:rPr>
        <w:object>
          <v:shape id="_x0000_i1514" o:spt="75" type="#_x0000_t75" style="height:13.5pt;width:31.5pt;" o:ole="t" filled="f" o:preferrelative="t" stroked="f" coordsize="21600,21600">
            <v:path/>
            <v:fill on="f" focussize="0,0"/>
            <v:stroke on="f" joinstyle="miter"/>
            <v:imagedata r:id="rId901" o:title=""/>
            <o:lock v:ext="edit" aspectratio="t"/>
            <w10:wrap type="none"/>
            <w10:anchorlock/>
          </v:shape>
          <o:OLEObject Type="Embed" ProgID="Equation.DSMT4" ShapeID="_x0000_i1514" DrawAspect="Content" ObjectID="_1468076214" r:id="rId900">
            <o:LockedField>false</o:LockedField>
          </o:OLEObject>
        </w:object>
      </w:r>
      <w:r>
        <w:rPr>
          <w:rFonts w:eastAsia="Calibri"/>
          <w:sz w:val="28"/>
          <w:szCs w:val="28"/>
          <w:lang w:eastAsia="en-US"/>
        </w:rPr>
        <w:t xml:space="preserve">, и принимает потерю капитала, </w:t>
      </w:r>
      <w:r>
        <w:rPr>
          <w:position w:val="-14"/>
          <w:sz w:val="28"/>
          <w:szCs w:val="28"/>
        </w:rPr>
        <w:object>
          <v:shape id="_x0000_i1515" o:spt="75" type="#_x0000_t75" style="height:20.25pt;width:87.75pt;" o:ole="t" filled="f" o:preferrelative="t" stroked="f" coordsize="21600,21600">
            <v:path/>
            <v:fill on="f" focussize="0,0"/>
            <v:stroke on="f" joinstyle="miter"/>
            <v:imagedata r:id="rId903" o:title=""/>
            <o:lock v:ext="edit" aspectratio="t"/>
            <w10:wrap type="none"/>
            <w10:anchorlock/>
          </v:shape>
          <o:OLEObject Type="Embed" ProgID="Equation.DSMT4" ShapeID="_x0000_i1515" DrawAspect="Content" ObjectID="_1468076215" r:id="rId902">
            <o:LockedField>false</o:LockedField>
          </o:OLEObject>
        </w:object>
      </w:r>
      <w:r>
        <w:rPr>
          <w:rFonts w:eastAsia="Calibri"/>
          <w:sz w:val="28"/>
          <w:szCs w:val="28"/>
          <w:lang w:eastAsia="en-US"/>
        </w:rPr>
        <w:t xml:space="preserve"> если </w:t>
      </w:r>
      <w:r>
        <w:rPr>
          <w:position w:val="-6"/>
          <w:sz w:val="28"/>
          <w:szCs w:val="28"/>
        </w:rPr>
        <w:object>
          <v:shape id="_x0000_i1516" o:spt="75" type="#_x0000_t75" style="height:13.5pt;width:31.5pt;" o:ole="t" filled="f" o:preferrelative="t" stroked="f" coordsize="21600,21600">
            <v:path/>
            <v:fill on="f" focussize="0,0"/>
            <v:stroke on="f" joinstyle="miter"/>
            <v:imagedata r:id="rId905" o:title=""/>
            <o:lock v:ext="edit" aspectratio="t"/>
            <w10:wrap type="none"/>
            <w10:anchorlock/>
          </v:shape>
          <o:OLEObject Type="Embed" ProgID="Equation.DSMT4" ShapeID="_x0000_i1516" DrawAspect="Content" ObjectID="_1468076216" r:id="rId904">
            <o:LockedField>false</o:LockedField>
          </o:OLEObject>
        </w:object>
      </w:r>
      <w:r>
        <w:rPr>
          <w:rFonts w:eastAsia="Calibri"/>
          <w:sz w:val="28"/>
          <w:szCs w:val="28"/>
          <w:lang w:eastAsia="en-US"/>
        </w:rPr>
        <w:t xml:space="preserve">. </w:t>
      </w:r>
    </w:p>
    <w:p w14:paraId="365A8118">
      <w:pPr>
        <w:pStyle w:val="37"/>
        <w:rPr>
          <w:rFonts w:eastAsia="Calibri"/>
          <w:sz w:val="28"/>
          <w:szCs w:val="28"/>
          <w:lang w:eastAsia="en-US"/>
        </w:rPr>
      </w:pPr>
      <w:r>
        <w:rPr>
          <w:rFonts w:eastAsia="Calibri"/>
          <w:sz w:val="28"/>
          <w:szCs w:val="28"/>
          <w:lang w:eastAsia="en-US"/>
        </w:rPr>
        <w:t xml:space="preserve">Критический уровень издержек потери репутации </w:t>
      </w:r>
      <w:r>
        <w:rPr>
          <w:position w:val="-6"/>
          <w:sz w:val="28"/>
          <w:szCs w:val="28"/>
        </w:rPr>
        <w:object>
          <v:shape id="_x0000_i1517" o:spt="75" type="#_x0000_t75" style="height:13.5pt;width:12pt;" o:ole="t" filled="f" o:preferrelative="t" stroked="f" coordsize="21600,21600">
            <v:path/>
            <v:fill on="f" focussize="0,0"/>
            <v:stroke on="f" joinstyle="miter"/>
            <v:imagedata r:id="rId907" o:title=""/>
            <o:lock v:ext="edit" aspectratio="t"/>
            <w10:wrap type="none"/>
            <w10:anchorlock/>
          </v:shape>
          <o:OLEObject Type="Embed" ProgID="Equation.DSMT4" ShapeID="_x0000_i1517" DrawAspect="Content" ObjectID="_1468076217" r:id="rId906">
            <o:LockedField>false</o:LockedField>
          </o:OLEObject>
        </w:object>
      </w:r>
      <w:r>
        <w:rPr>
          <w:rFonts w:eastAsia="Calibri"/>
          <w:sz w:val="28"/>
          <w:szCs w:val="28"/>
          <w:lang w:eastAsia="en-US"/>
        </w:rPr>
        <w:t xml:space="preserve">, относящийся к схеме 2, идентичны к тем, что относятся к схеме 1. Они снова отражают ожидаемую денежную выгоду банка </w:t>
      </w:r>
      <w:r>
        <w:rPr>
          <w:rFonts w:eastAsia="Calibri"/>
          <w:position w:val="-6"/>
          <w:sz w:val="28"/>
          <w:szCs w:val="28"/>
          <w:lang w:eastAsia="en-US"/>
        </w:rPr>
        <w:object>
          <v:shape id="_x0000_i1518" o:spt="75" type="#_x0000_t75" style="height:13.5pt;width:9.75pt;" o:ole="t" filled="f" o:preferrelative="t" stroked="f" coordsize="21600,21600">
            <v:path/>
            <v:fill on="f" focussize="0,0"/>
            <v:stroke on="f" joinstyle="miter"/>
            <v:imagedata r:id="rId895" o:title=""/>
            <o:lock v:ext="edit" aspectratio="t"/>
            <w10:wrap type="none"/>
            <w10:anchorlock/>
          </v:shape>
          <o:OLEObject Type="Embed" ProgID="Equation.DSMT4" ShapeID="_x0000_i1518" DrawAspect="Content" ObjectID="_1468076218" r:id="rId908">
            <o:LockedField>false</o:LockedField>
          </o:OLEObject>
        </w:object>
      </w:r>
      <w:r>
        <w:rPr>
          <w:rFonts w:eastAsia="Calibri"/>
          <w:sz w:val="28"/>
          <w:szCs w:val="28"/>
          <w:lang w:eastAsia="en-US"/>
        </w:rPr>
        <w:t xml:space="preserve"> за вычетом ожидаемых им денежных затрат на передачу проблемного  актива  фонду проблемных активов </w:t>
      </w:r>
      <w:r>
        <w:rPr>
          <w:rFonts w:eastAsia="Calibri"/>
          <w:position w:val="-6"/>
          <w:sz w:val="28"/>
          <w:szCs w:val="28"/>
          <w:lang w:eastAsia="en-US"/>
        </w:rPr>
        <w:object>
          <v:shape id="_x0000_i1519" o:spt="75" type="#_x0000_t75" style="height:13.5pt;width:11.25pt;" o:ole="t" filled="f" o:preferrelative="t" stroked="f" coordsize="21600,21600">
            <v:path/>
            <v:fill on="f" focussize="0,0"/>
            <v:stroke on="f" joinstyle="miter"/>
            <v:imagedata r:id="rId910" o:title=""/>
            <o:lock v:ext="edit" aspectratio="t"/>
            <w10:wrap type="none"/>
            <w10:anchorlock/>
          </v:shape>
          <o:OLEObject Type="Embed" ProgID="Equation.DSMT4" ShapeID="_x0000_i1519" DrawAspect="Content" ObjectID="_1468076219" r:id="rId909">
            <o:LockedField>false</o:LockedField>
          </o:OLEObject>
        </w:object>
      </w:r>
      <w:r>
        <w:rPr>
          <w:rFonts w:eastAsia="Calibri"/>
          <w:sz w:val="28"/>
          <w:szCs w:val="28"/>
          <w:lang w:eastAsia="en-US"/>
        </w:rPr>
        <w:t xml:space="preserve"> в обмен на денежный выкуп </w:t>
      </w:r>
      <w:r>
        <w:rPr>
          <w:position w:val="-14"/>
          <w:sz w:val="28"/>
          <w:szCs w:val="28"/>
        </w:rPr>
        <w:object>
          <v:shape id="_x0000_i1520" o:spt="75" type="#_x0000_t75" style="height:20.25pt;width:87pt;" o:ole="t" filled="f" o:preferrelative="t" stroked="f" coordsize="21600,21600">
            <v:path/>
            <v:fill on="f" focussize="0,0"/>
            <v:stroke on="f" joinstyle="miter"/>
            <v:imagedata r:id="rId912" o:title=""/>
            <o:lock v:ext="edit" aspectratio="t"/>
            <w10:wrap type="none"/>
            <w10:anchorlock/>
          </v:shape>
          <o:OLEObject Type="Embed" ProgID="Equation.DSMT4" ShapeID="_x0000_i1520" DrawAspect="Content" ObjectID="_1468076220" r:id="rId911">
            <o:LockedField>false</o:LockedField>
          </o:OLEObject>
        </w:object>
      </w:r>
      <w:r>
        <w:rPr>
          <w:sz w:val="28"/>
          <w:szCs w:val="28"/>
        </w:rPr>
        <w:t xml:space="preserve"> </w:t>
      </w:r>
      <w:r>
        <w:rPr>
          <w:rFonts w:eastAsia="Calibri"/>
          <w:sz w:val="28"/>
          <w:szCs w:val="28"/>
          <w:lang w:eastAsia="en-US"/>
        </w:rPr>
        <w:t xml:space="preserve">Однако пороговое значение </w:t>
      </w:r>
      <w:r>
        <w:rPr>
          <w:position w:val="-14"/>
          <w:sz w:val="28"/>
          <w:szCs w:val="28"/>
        </w:rPr>
        <w:object>
          <v:shape id="_x0000_i1521" o:spt="75" type="#_x0000_t75" style="height:20.25pt;width:34.5pt;" o:ole="t" filled="f" o:preferrelative="t" stroked="f" coordsize="21600,21600">
            <v:path/>
            <v:fill on="f" focussize="0,0"/>
            <v:stroke on="f" joinstyle="miter"/>
            <v:imagedata r:id="rId914" o:title=""/>
            <o:lock v:ext="edit" aspectratio="t"/>
            <w10:wrap type="none"/>
            <w10:anchorlock/>
          </v:shape>
          <o:OLEObject Type="Embed" ProgID="Equation.DSMT4" ShapeID="_x0000_i1521" DrawAspect="Content" ObjectID="_1468076221" r:id="rId913">
            <o:LockedField>false</o:LockedField>
          </o:OLEObject>
        </w:object>
      </w:r>
      <w:r>
        <w:rPr>
          <w:rFonts w:eastAsia="Calibri"/>
          <w:sz w:val="28"/>
          <w:szCs w:val="28"/>
          <w:lang w:eastAsia="en-US"/>
        </w:rPr>
        <w:t xml:space="preserve"> увеличивается с ростом </w:t>
      </w:r>
      <w:r>
        <w:rPr>
          <w:position w:val="-6"/>
          <w:sz w:val="28"/>
          <w:szCs w:val="28"/>
        </w:rPr>
        <w:object>
          <v:shape id="_x0000_i1522" o:spt="75" type="#_x0000_t75" style="height:11.25pt;width:12pt;" o:ole="t" filled="f" o:preferrelative="t" stroked="f" coordsize="21600,21600">
            <v:path/>
            <v:fill on="f" focussize="0,0"/>
            <v:stroke on="f" joinstyle="miter"/>
            <v:imagedata r:id="rId916" o:title=""/>
            <o:lock v:ext="edit" aspectratio="t"/>
            <w10:wrap type="none"/>
            <w10:anchorlock/>
          </v:shape>
          <o:OLEObject Type="Embed" ProgID="Equation.DSMT4" ShapeID="_x0000_i1522" DrawAspect="Content" ObjectID="_1468076222" r:id="rId915">
            <o:LockedField>false</o:LockedField>
          </o:OLEObject>
        </w:object>
      </w:r>
      <w:r>
        <w:rPr>
          <w:rFonts w:eastAsia="Calibri"/>
          <w:sz w:val="28"/>
          <w:szCs w:val="28"/>
          <w:lang w:eastAsia="en-US"/>
        </w:rPr>
        <w:t xml:space="preserve"> больше, чем пороговое значение </w:t>
      </w:r>
      <w:r>
        <w:rPr>
          <w:position w:val="-14"/>
          <w:sz w:val="28"/>
          <w:szCs w:val="28"/>
        </w:rPr>
        <w:object>
          <v:shape id="_x0000_i1523" o:spt="75" type="#_x0000_t75" style="height:20.25pt;width:34.5pt;" o:ole="t" filled="f" o:preferrelative="t" stroked="f" coordsize="21600,21600">
            <v:path/>
            <v:fill on="f" focussize="0,0"/>
            <v:stroke on="f" joinstyle="miter"/>
            <v:imagedata r:id="rId918" o:title=""/>
            <o:lock v:ext="edit" aspectratio="t"/>
            <w10:wrap type="none"/>
            <w10:anchorlock/>
          </v:shape>
          <o:OLEObject Type="Embed" ProgID="Equation.DSMT4" ShapeID="_x0000_i1523" DrawAspect="Content" ObjectID="_1468076223" r:id="rId917">
            <o:LockedField>false</o:LockedField>
          </o:OLEObject>
        </w:object>
      </w:r>
    </w:p>
    <w:p w14:paraId="49173ACD">
      <w:pPr>
        <w:pStyle w:val="37"/>
        <w:ind w:firstLine="0"/>
        <w:rPr>
          <w:rFonts w:eastAsia="Calibri"/>
          <w:sz w:val="28"/>
          <w:szCs w:val="28"/>
          <w:lang w:eastAsia="en-US"/>
        </w:rPr>
      </w:pPr>
    </w:p>
    <w:p w14:paraId="1B37B672">
      <w:pPr>
        <w:pStyle w:val="38"/>
        <w:spacing w:before="0" w:after="0"/>
        <w:rPr>
          <w:sz w:val="28"/>
          <w:szCs w:val="28"/>
        </w:rPr>
      </w:pPr>
      <w:r>
        <w:rPr>
          <w:sz w:val="28"/>
          <w:szCs w:val="28"/>
        </w:rPr>
        <w:tab/>
      </w:r>
      <w:r>
        <w:rPr>
          <w:sz w:val="28"/>
          <w:szCs w:val="28"/>
        </w:rPr>
        <w:t xml:space="preserve">                </w:t>
      </w:r>
      <w:r>
        <w:rPr>
          <w:position w:val="-32"/>
          <w:sz w:val="28"/>
          <w:szCs w:val="28"/>
        </w:rPr>
        <w:object>
          <v:shape id="_x0000_i1524" o:spt="75" type="#_x0000_t75" style="height:37.5pt;width:188.25pt;" o:ole="t" filled="f" o:preferrelative="t" stroked="f" coordsize="21600,21600">
            <v:path/>
            <v:fill on="f" focussize="0,0"/>
            <v:stroke on="f" joinstyle="miter"/>
            <v:imagedata r:id="rId920" o:title=""/>
            <o:lock v:ext="edit" aspectratio="t"/>
            <w10:wrap type="none"/>
            <w10:anchorlock/>
          </v:shape>
          <o:OLEObject Type="Embed" ProgID="Equation.DSMT4" ShapeID="_x0000_i1524" DrawAspect="Content" ObjectID="_1468076224" r:id="rId919">
            <o:LockedField>false</o:LockedField>
          </o:OLEObject>
        </w:object>
      </w:r>
      <w:r>
        <w:rPr>
          <w:sz w:val="28"/>
          <w:szCs w:val="28"/>
        </w:rPr>
        <w:tab/>
      </w:r>
      <w:r>
        <w:rPr>
          <w:sz w:val="28"/>
          <w:szCs w:val="28"/>
        </w:rPr>
        <w:t xml:space="preserve">                                   (47)</w:t>
      </w:r>
    </w:p>
    <w:p w14:paraId="435F0370">
      <w:pPr>
        <w:pStyle w:val="37"/>
        <w:ind w:firstLine="0"/>
        <w:rPr>
          <w:rFonts w:eastAsia="Calibri"/>
          <w:i/>
          <w:sz w:val="28"/>
          <w:szCs w:val="28"/>
          <w:highlight w:val="yellow"/>
          <w:lang w:eastAsia="en-US"/>
        </w:rPr>
      </w:pPr>
    </w:p>
    <w:p w14:paraId="2F13B93A">
      <w:pPr>
        <w:pStyle w:val="37"/>
        <w:rPr>
          <w:rFonts w:eastAsia="Calibri"/>
          <w:sz w:val="28"/>
          <w:szCs w:val="28"/>
          <w:lang w:eastAsia="en-US"/>
        </w:rPr>
      </w:pPr>
      <w:r>
        <w:rPr>
          <w:rFonts w:eastAsia="Calibri"/>
          <w:sz w:val="28"/>
          <w:szCs w:val="28"/>
          <w:lang w:eastAsia="en-US"/>
        </w:rPr>
        <w:t>Если издержки потери репутации увеличиваются на одну единицу, то денежный выкуп должен увеличиваться до тех пор, пока ожидаемая доходность коммерческого банка также не увеличится на одну единицу.</w:t>
      </w:r>
    </w:p>
    <w:p w14:paraId="22B5C23C">
      <w:pPr>
        <w:pStyle w:val="37"/>
        <w:rPr>
          <w:rFonts w:eastAsia="Calibri"/>
          <w:sz w:val="28"/>
          <w:szCs w:val="28"/>
          <w:lang w:eastAsia="en-US"/>
        </w:rPr>
      </w:pPr>
      <w:r>
        <w:rPr>
          <w:rFonts w:eastAsia="Calibri"/>
          <w:sz w:val="28"/>
          <w:szCs w:val="28"/>
          <w:lang w:eastAsia="en-US"/>
        </w:rPr>
        <w:t xml:space="preserve">Однако, поскольку в рамках схемы 2 банк </w:t>
      </w:r>
      <w:r>
        <w:rPr>
          <w:position w:val="-6"/>
          <w:sz w:val="28"/>
          <w:szCs w:val="28"/>
        </w:rPr>
        <w:object>
          <v:shape id="_x0000_i1525" o:spt="75" type="#_x0000_t75" style="height:13.5pt;width:9.75pt;" o:ole="t" filled="f" o:preferrelative="t" stroked="f" coordsize="21600,21600">
            <v:path/>
            <v:fill on="f" focussize="0,0"/>
            <v:stroke on="f" joinstyle="miter"/>
            <v:imagedata r:id="rId922" o:title=""/>
            <o:lock v:ext="edit" aspectratio="t"/>
            <w10:wrap type="none"/>
            <w10:anchorlock/>
          </v:shape>
          <o:OLEObject Type="Embed" ProgID="Equation.DSMT4" ShapeID="_x0000_i1525" DrawAspect="Content" ObjectID="_1468076225" r:id="rId921">
            <o:LockedField>false</o:LockedField>
          </o:OLEObject>
        </w:object>
      </w:r>
      <w:r>
        <w:rPr>
          <w:rFonts w:eastAsia="Calibri"/>
          <w:sz w:val="28"/>
          <w:szCs w:val="28"/>
          <w:lang w:eastAsia="en-US"/>
        </w:rPr>
        <w:t xml:space="preserve"> не получает выгоды от работы с государственными облигациями </w:t>
      </w:r>
      <w:r>
        <w:rPr>
          <w:position w:val="-14"/>
          <w:sz w:val="28"/>
          <w:szCs w:val="28"/>
        </w:rPr>
        <w:object>
          <v:shape id="_x0000_i1526" o:spt="75" type="#_x0000_t75" style="height:20.25pt;width:34.5pt;" o:ole="t" filled="f" o:preferrelative="t" stroked="f" coordsize="21600,21600">
            <v:path/>
            <v:fill on="f" focussize="0,0"/>
            <v:stroke on="f" joinstyle="miter"/>
            <v:imagedata r:id="rId924" o:title=""/>
            <o:lock v:ext="edit" aspectratio="t"/>
            <w10:wrap type="none"/>
            <w10:anchorlock/>
          </v:shape>
          <o:OLEObject Type="Embed" ProgID="Equation.DSMT4" ShapeID="_x0000_i1526" DrawAspect="Content" ObjectID="_1468076226" r:id="rId923">
            <o:LockedField>false</o:LockedField>
          </o:OLEObject>
        </w:object>
      </w:r>
      <w:r>
        <w:rPr>
          <w:rFonts w:eastAsia="Calibri"/>
          <w:sz w:val="28"/>
          <w:szCs w:val="28"/>
          <w:lang w:eastAsia="en-US"/>
        </w:rPr>
        <w:t xml:space="preserve">, предельная ожидаемая доходность </w:t>
      </w:r>
      <w:r>
        <w:rPr>
          <w:position w:val="-14"/>
          <w:sz w:val="28"/>
          <w:szCs w:val="28"/>
        </w:rPr>
        <w:object>
          <v:shape id="_x0000_i1527" o:spt="75" type="#_x0000_t75" style="height:20.25pt;width:34.5pt;" o:ole="t" filled="f" o:preferrelative="t" stroked="f" coordsize="21600,21600">
            <v:path/>
            <v:fill on="f" focussize="0,0"/>
            <v:stroke on="f" joinstyle="miter"/>
            <v:imagedata r:id="rId926" o:title=""/>
            <o:lock v:ext="edit" aspectratio="t"/>
            <w10:wrap type="none"/>
            <w10:anchorlock/>
          </v:shape>
          <o:OLEObject Type="Embed" ProgID="Equation.DSMT4" ShapeID="_x0000_i1527" DrawAspect="Content" ObjectID="_1468076227" r:id="rId925">
            <o:LockedField>false</o:LockedField>
          </o:OLEObject>
        </w:object>
      </w:r>
      <w:r>
        <w:rPr>
          <w:rFonts w:eastAsia="Calibri"/>
          <w:sz w:val="28"/>
          <w:szCs w:val="28"/>
          <w:lang w:eastAsia="en-US"/>
        </w:rPr>
        <w:t xml:space="preserve"> ниже, чем в случае схемы 1. Следовательно, увеличение </w:t>
      </w:r>
      <w:r>
        <w:rPr>
          <w:position w:val="-14"/>
          <w:sz w:val="28"/>
          <w:szCs w:val="28"/>
        </w:rPr>
        <w:object>
          <v:shape id="_x0000_i1528" o:spt="75" type="#_x0000_t75" style="height:20.25pt;width:34.5pt;" o:ole="t" filled="f" o:preferrelative="t" stroked="f" coordsize="21600,21600">
            <v:path/>
            <v:fill on="f" focussize="0,0"/>
            <v:stroke on="f" joinstyle="miter"/>
            <v:imagedata r:id="rId928" o:title=""/>
            <o:lock v:ext="edit" aspectratio="t"/>
            <w10:wrap type="none"/>
            <w10:anchorlock/>
          </v:shape>
          <o:OLEObject Type="Embed" ProgID="Equation.DSMT4" ShapeID="_x0000_i1528" DrawAspect="Content" ObjectID="_1468076228" r:id="rId927">
            <o:LockedField>false</o:LockedField>
          </o:OLEObject>
        </w:object>
      </w:r>
      <w:r>
        <w:rPr>
          <w:rFonts w:eastAsia="Calibri"/>
          <w:sz w:val="28"/>
          <w:szCs w:val="28"/>
          <w:lang w:eastAsia="en-US"/>
        </w:rPr>
        <w:t xml:space="preserve"> должно быть выше, чтобы компенсировать коммерческому «плохому» банку </w:t>
      </w:r>
      <w:r>
        <w:rPr>
          <w:position w:val="-6"/>
          <w:sz w:val="28"/>
          <w:szCs w:val="28"/>
        </w:rPr>
        <w:object>
          <v:shape id="_x0000_i1529" o:spt="75" type="#_x0000_t75" style="height:13.5pt;width:9.75pt;" o:ole="t" filled="f" o:preferrelative="t" stroked="f" coordsize="21600,21600">
            <v:path/>
            <v:fill on="f" focussize="0,0"/>
            <v:stroke on="f" joinstyle="miter"/>
            <v:imagedata r:id="rId922" o:title=""/>
            <o:lock v:ext="edit" aspectratio="t"/>
            <w10:wrap type="none"/>
            <w10:anchorlock/>
          </v:shape>
          <o:OLEObject Type="Embed" ProgID="Equation.DSMT4" ShapeID="_x0000_i1529" DrawAspect="Content" ObjectID="_1468076229" r:id="rId929">
            <o:LockedField>false</o:LockedField>
          </o:OLEObject>
        </w:object>
      </w:r>
      <w:r>
        <w:rPr>
          <w:sz w:val="28"/>
          <w:szCs w:val="28"/>
        </w:rPr>
        <w:t xml:space="preserve"> </w:t>
      </w:r>
      <w:r>
        <w:rPr>
          <w:rFonts w:eastAsia="Calibri"/>
          <w:sz w:val="28"/>
          <w:szCs w:val="28"/>
          <w:lang w:eastAsia="en-US"/>
        </w:rPr>
        <w:t>более высокие издержки потери репутации.</w:t>
      </w:r>
    </w:p>
    <w:p w14:paraId="31E93B4F">
      <w:pPr>
        <w:pStyle w:val="2"/>
        <w:spacing w:before="0" w:line="240" w:lineRule="auto"/>
        <w:rPr>
          <w:rFonts w:eastAsia="Calibri"/>
        </w:rPr>
      </w:pPr>
      <w:r>
        <w:rPr>
          <w:rFonts w:eastAsia="Calibri"/>
        </w:rPr>
        <w:t xml:space="preserve"> </w:t>
      </w:r>
    </w:p>
    <w:p w14:paraId="5B95126D">
      <w:pPr>
        <w:spacing w:after="0" w:line="240" w:lineRule="auto"/>
        <w:ind w:firstLine="708"/>
        <w:rPr>
          <w:rFonts w:ascii="Times New Roman" w:hAnsi="Times New Roman" w:eastAsia="Times New Roman" w:cs="Times New Roman"/>
          <w:sz w:val="24"/>
          <w:szCs w:val="24"/>
          <w:lang w:eastAsia="zh-CN"/>
        </w:rPr>
      </w:pPr>
      <w:r>
        <w:rPr>
          <w:rFonts w:ascii="Times New Roman" w:hAnsi="Times New Roman" w:eastAsia="Times New Roman" w:cs="Times New Roman"/>
          <w:sz w:val="28"/>
          <w:szCs w:val="28"/>
          <w:lang w:eastAsia="zh-CN"/>
        </w:rPr>
        <w:t>В модели проектного управления проблемными активами, центральный</w:t>
      </w:r>
      <w:r>
        <w:rPr>
          <w:rFonts w:ascii="Times New Roman" w:hAnsi="Times New Roman" w:eastAsia="Times New Roman" w:cs="Times New Roman"/>
          <w:color w:val="EE0000"/>
          <w:sz w:val="28"/>
          <w:szCs w:val="28"/>
          <w:lang w:eastAsia="zh-CN"/>
        </w:rPr>
        <w:t xml:space="preserve"> </w:t>
      </w:r>
      <w:r>
        <w:rPr>
          <w:rFonts w:ascii="Times New Roman" w:hAnsi="Times New Roman" w:eastAsia="Times New Roman" w:cs="Times New Roman"/>
          <w:sz w:val="28"/>
          <w:szCs w:val="28"/>
          <w:lang w:eastAsia="zh-CN"/>
        </w:rPr>
        <w:t>банк (агент с) будет выполнять следующие роли</w:t>
      </w:r>
      <w:r>
        <w:rPr>
          <w:rFonts w:ascii="Times New Roman" w:hAnsi="Times New Roman" w:eastAsia="Times New Roman" w:cs="Times New Roman"/>
          <w:sz w:val="24"/>
          <w:szCs w:val="24"/>
          <w:lang w:eastAsia="zh-CN"/>
        </w:rPr>
        <w:t>:</w:t>
      </w:r>
    </w:p>
    <w:p w14:paraId="00F0B971">
      <w:pPr>
        <w:spacing w:after="0" w:line="240" w:lineRule="auto"/>
        <w:ind w:firstLine="708"/>
        <w:rPr>
          <w:rFonts w:ascii="Times New Roman" w:hAnsi="Times New Roman" w:eastAsia="Times New Roman" w:cs="Times New Roman"/>
          <w:color w:val="EE0000"/>
          <w:sz w:val="24"/>
          <w:szCs w:val="24"/>
          <w:lang w:eastAsia="zh-CN"/>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2"/>
        <w:gridCol w:w="8292"/>
      </w:tblGrid>
      <w:tr w14:paraId="03106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E06CF5C">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Функция</w:t>
            </w:r>
          </w:p>
        </w:tc>
        <w:tc>
          <w:tcPr>
            <w:tcW w:w="0" w:type="auto"/>
          </w:tcPr>
          <w:p w14:paraId="564DD5D0">
            <w:pPr>
              <w:spacing w:after="0" w:line="240" w:lineRule="auto"/>
              <w:jc w:val="center"/>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Пример действия в управлении NPL</w:t>
            </w:r>
          </w:p>
        </w:tc>
      </w:tr>
      <w:tr w14:paraId="744F1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730FF40">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Регулятор</w:t>
            </w:r>
          </w:p>
        </w:tc>
        <w:tc>
          <w:tcPr>
            <w:tcW w:w="0" w:type="auto"/>
          </w:tcPr>
          <w:p w14:paraId="1DBCEFFA">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Устанавливает требования по резервированию под проблемные кредиты</w:t>
            </w:r>
          </w:p>
        </w:tc>
      </w:tr>
      <w:tr w14:paraId="2ADB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A2666EF">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Контроль</w:t>
            </w:r>
          </w:p>
        </w:tc>
        <w:tc>
          <w:tcPr>
            <w:tcW w:w="0" w:type="auto"/>
          </w:tcPr>
          <w:p w14:paraId="4E4792E6">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Наблюдает за соблюдением банками нормативов по капиталу и ликвидности</w:t>
            </w:r>
          </w:p>
        </w:tc>
      </w:tr>
      <w:tr w14:paraId="31C67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DAF9375">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Методолог</w:t>
            </w:r>
          </w:p>
        </w:tc>
        <w:tc>
          <w:tcPr>
            <w:tcW w:w="0" w:type="auto"/>
          </w:tcPr>
          <w:p w14:paraId="13B8C0BB">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Выдает рекомендации по реструктуризации и проектному управлению проблемными активами</w:t>
            </w:r>
          </w:p>
        </w:tc>
      </w:tr>
      <w:tr w14:paraId="2FF25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597098B">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Поддержка</w:t>
            </w:r>
          </w:p>
        </w:tc>
        <w:tc>
          <w:tcPr>
            <w:tcW w:w="0" w:type="auto"/>
          </w:tcPr>
          <w:p w14:paraId="2E55E301">
            <w:pPr>
              <w:spacing w:after="0" w:line="240" w:lineRule="auto"/>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Предоставляет временные механизмы ликвидности или стимулы для реструктуризации кредитов</w:t>
            </w:r>
          </w:p>
        </w:tc>
      </w:tr>
    </w:tbl>
    <w:p w14:paraId="7F2AED3B">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[76]</w:t>
      </w:r>
    </w:p>
    <w:p w14:paraId="2CDBE014">
      <w:pPr>
        <w:spacing w:after="0" w:line="240" w:lineRule="auto"/>
        <w:rPr>
          <w:highlight w:val="yellow"/>
        </w:rPr>
      </w:pPr>
    </w:p>
    <w:p w14:paraId="0A302B9F">
      <w:pPr>
        <w:pStyle w:val="37"/>
        <w:rPr>
          <w:rFonts w:eastAsia="Calibri"/>
          <w:sz w:val="28"/>
          <w:szCs w:val="28"/>
          <w:lang w:eastAsia="en-US"/>
        </w:rPr>
      </w:pPr>
      <w:r>
        <w:rPr>
          <w:rFonts w:eastAsia="Calibri"/>
          <w:sz w:val="28"/>
          <w:szCs w:val="28"/>
          <w:lang w:eastAsia="en-US"/>
        </w:rPr>
        <w:t xml:space="preserve">В разделе 2.3 мы исследовали стимулы банка </w:t>
      </w:r>
      <w:r>
        <w:rPr>
          <w:position w:val="-6"/>
          <w:sz w:val="28"/>
          <w:szCs w:val="28"/>
        </w:rPr>
        <w:object>
          <v:shape id="_x0000_i1530" o:spt="75" type="#_x0000_t75" style="height:13.5pt;width:9.75pt;" o:ole="t" filled="f" o:preferrelative="t" stroked="f" coordsize="21600,21600">
            <v:path/>
            <v:fill on="f" focussize="0,0"/>
            <v:stroke on="f" joinstyle="miter"/>
            <v:imagedata r:id="rId922" o:title=""/>
            <o:lock v:ext="edit" aspectratio="t"/>
            <w10:wrap type="none"/>
            <w10:anchorlock/>
          </v:shape>
          <o:OLEObject Type="Embed" ProgID="Equation.DSMT4" ShapeID="_x0000_i1530" DrawAspect="Content" ObjectID="_1468076230" r:id="rId930">
            <o:LockedField>false</o:LockedField>
          </o:OLEObject>
        </w:object>
      </w:r>
      <w:r>
        <w:rPr>
          <w:rFonts w:eastAsia="Calibri"/>
          <w:sz w:val="28"/>
          <w:szCs w:val="28"/>
          <w:lang w:eastAsia="en-US"/>
        </w:rPr>
        <w:t xml:space="preserve"> передать токсичные активы фонду проблемных активов</w:t>
      </w:r>
      <w:r>
        <w:rPr>
          <w:sz w:val="28"/>
          <w:szCs w:val="28"/>
        </w:rPr>
        <w:t xml:space="preserve"> </w:t>
      </w:r>
      <w:r>
        <w:rPr>
          <w:position w:val="-6"/>
          <w:sz w:val="28"/>
          <w:szCs w:val="28"/>
        </w:rPr>
        <w:object>
          <v:shape id="_x0000_i1531" o:spt="75" type="#_x0000_t75" style="height:13.5pt;width:11.25pt;" o:ole="t" filled="f" o:preferrelative="t" stroked="f" coordsize="21600,21600">
            <v:path/>
            <v:fill on="f" focussize="0,0"/>
            <v:stroke on="f" joinstyle="miter"/>
            <v:imagedata r:id="rId932" o:title=""/>
            <o:lock v:ext="edit" aspectratio="t"/>
            <w10:wrap type="none"/>
            <w10:anchorlock/>
          </v:shape>
          <o:OLEObject Type="Embed" ProgID="Equation.DSMT4" ShapeID="_x0000_i1531" DrawAspect="Content" ObjectID="_1468076231" r:id="rId931">
            <o:LockedField>false</o:LockedField>
          </o:OLEObject>
        </w:object>
      </w:r>
      <w:r>
        <w:rPr>
          <w:sz w:val="28"/>
          <w:szCs w:val="28"/>
        </w:rPr>
        <w:t xml:space="preserve"> </w:t>
      </w:r>
      <w:r>
        <w:rPr>
          <w:rFonts w:eastAsia="Calibri"/>
          <w:sz w:val="28"/>
          <w:szCs w:val="28"/>
          <w:lang w:eastAsia="en-US"/>
        </w:rPr>
        <w:t xml:space="preserve">по двум возможным схемам [176]. Изучим, какая из этих схем оптимальна с точки зрения лица, принимающего решения (ЛПР). Пусть ЛПР стремится минимизировать ожидаемые расходы налогоплательщиков. Тогда мы, во-первых, выясним стоимость сделок банка </w:t>
      </w:r>
      <w:r>
        <w:rPr>
          <w:position w:val="-6"/>
          <w:sz w:val="28"/>
          <w:szCs w:val="28"/>
        </w:rPr>
        <w:object>
          <v:shape id="_x0000_i1532" o:spt="75" type="#_x0000_t75" style="height:13.5pt;width:9.75pt;" o:ole="t" filled="f" o:preferrelative="t" stroked="f" coordsize="21600,21600">
            <v:path/>
            <v:fill on="f" focussize="0,0"/>
            <v:stroke on="f" joinstyle="miter"/>
            <v:imagedata r:id="rId922" o:title=""/>
            <o:lock v:ext="edit" aspectratio="t"/>
            <w10:wrap type="none"/>
            <w10:anchorlock/>
          </v:shape>
          <o:OLEObject Type="Embed" ProgID="Equation.DSMT4" ShapeID="_x0000_i1532" DrawAspect="Content" ObjectID="_1468076232" r:id="rId933">
            <o:LockedField>false</o:LockedField>
          </o:OLEObject>
        </w:object>
      </w:r>
      <w:r>
        <w:rPr>
          <w:rFonts w:eastAsia="Calibri"/>
          <w:sz w:val="28"/>
          <w:szCs w:val="28"/>
          <w:lang w:eastAsia="en-US"/>
        </w:rPr>
        <w:t xml:space="preserve"> с фондом </w:t>
      </w:r>
      <w:r>
        <w:rPr>
          <w:position w:val="-6"/>
          <w:sz w:val="28"/>
          <w:szCs w:val="28"/>
        </w:rPr>
        <w:object>
          <v:shape id="_x0000_i1533" o:spt="75" type="#_x0000_t75" style="height:13.5pt;width:11.25pt;" o:ole="t" filled="f" o:preferrelative="t" stroked="f" coordsize="21600,21600">
            <v:path/>
            <v:fill on="f" focussize="0,0"/>
            <v:stroke on="f" joinstyle="miter"/>
            <v:imagedata r:id="rId932" o:title=""/>
            <o:lock v:ext="edit" aspectratio="t"/>
            <w10:wrap type="none"/>
            <w10:anchorlock/>
          </v:shape>
          <o:OLEObject Type="Embed" ProgID="Equation.DSMT4" ShapeID="_x0000_i1533" DrawAspect="Content" ObjectID="_1468076233" r:id="rId934">
            <o:LockedField>false</o:LockedField>
          </o:OLEObject>
        </w:object>
      </w:r>
      <w:r>
        <w:rPr>
          <w:rFonts w:eastAsia="Calibri"/>
          <w:sz w:val="28"/>
          <w:szCs w:val="28"/>
          <w:lang w:eastAsia="en-US"/>
        </w:rPr>
        <w:t xml:space="preserve"> по разным схемам. Во-вторых, мы определим способ минимизации затрат для случая, когда ЛПР стремится а) повысить стабильность банковского сектора и b) избежать наступления состояния безнадежности возврата ссуд. </w:t>
      </w:r>
    </w:p>
    <w:p w14:paraId="750629C2">
      <w:pPr>
        <w:pStyle w:val="37"/>
        <w:rPr>
          <w:rFonts w:eastAsia="Calibri"/>
          <w:sz w:val="28"/>
          <w:szCs w:val="28"/>
          <w:lang w:eastAsia="en-US"/>
        </w:rPr>
      </w:pPr>
    </w:p>
    <w:p w14:paraId="39540CB5">
      <w:pPr>
        <w:pStyle w:val="2"/>
        <w:spacing w:before="0" w:line="240" w:lineRule="auto"/>
        <w:ind w:firstLine="709"/>
        <w:rPr>
          <w:rFonts w:ascii="Times New Roman" w:hAnsi="Times New Roman" w:eastAsia="Calibri" w:cs="Times New Roman"/>
          <w:color w:val="auto"/>
        </w:rPr>
      </w:pPr>
      <w:bookmarkStart w:id="29" w:name="_Toc219671672"/>
      <w:r>
        <w:rPr>
          <w:rFonts w:ascii="Times New Roman" w:hAnsi="Times New Roman" w:eastAsia="Calibri" w:cs="Times New Roman"/>
          <w:color w:val="auto"/>
        </w:rPr>
        <w:t>Ожидаемые расходы для налогоплательщиков</w:t>
      </w:r>
      <w:bookmarkEnd w:id="29"/>
    </w:p>
    <w:p w14:paraId="68783C31">
      <w:pPr>
        <w:pStyle w:val="37"/>
        <w:rPr>
          <w:rFonts w:eastAsia="Calibri"/>
          <w:sz w:val="28"/>
          <w:szCs w:val="28"/>
          <w:lang w:eastAsia="en-US"/>
        </w:rPr>
      </w:pPr>
    </w:p>
    <w:p w14:paraId="67AA05BB">
      <w:pPr>
        <w:pStyle w:val="37"/>
        <w:rPr>
          <w:rFonts w:eastAsia="Calibri"/>
          <w:sz w:val="28"/>
          <w:szCs w:val="28"/>
          <w:lang w:eastAsia="en-US"/>
        </w:rPr>
      </w:pPr>
      <w:r>
        <w:rPr>
          <w:rFonts w:eastAsia="Calibri"/>
          <w:sz w:val="28"/>
          <w:szCs w:val="28"/>
          <w:lang w:eastAsia="en-US"/>
        </w:rPr>
        <w:t xml:space="preserve">Если государственный фонд проблемных активов </w:t>
      </w:r>
      <w:r>
        <w:rPr>
          <w:position w:val="-6"/>
          <w:sz w:val="28"/>
          <w:szCs w:val="28"/>
        </w:rPr>
        <w:object>
          <v:shape id="_x0000_i1534" o:spt="75" type="#_x0000_t75" style="height:13.5pt;width:11.25pt;" o:ole="t" filled="f" o:preferrelative="t" stroked="f" coordsize="21600,21600">
            <v:path/>
            <v:fill on="f" focussize="0,0"/>
            <v:stroke on="f" joinstyle="miter"/>
            <v:imagedata r:id="rId932" o:title=""/>
            <o:lock v:ext="edit" aspectratio="t"/>
            <w10:wrap type="none"/>
            <w10:anchorlock/>
          </v:shape>
          <o:OLEObject Type="Embed" ProgID="Equation.DSMT4" ShapeID="_x0000_i1534" DrawAspect="Content" ObjectID="_1468076234" r:id="rId935">
            <o:LockedField>false</o:LockedField>
          </o:OLEObject>
        </w:object>
      </w:r>
      <w:r>
        <w:rPr>
          <w:sz w:val="28"/>
          <w:szCs w:val="28"/>
        </w:rPr>
        <w:t xml:space="preserve"> создан</w:t>
      </w:r>
      <w:r>
        <w:rPr>
          <w:rFonts w:eastAsia="Calibri"/>
          <w:sz w:val="28"/>
          <w:szCs w:val="28"/>
          <w:lang w:eastAsia="en-US"/>
        </w:rPr>
        <w:t xml:space="preserve"> для освобождения банка </w:t>
      </w:r>
      <w:r>
        <w:rPr>
          <w:position w:val="-6"/>
          <w:sz w:val="28"/>
          <w:szCs w:val="28"/>
        </w:rPr>
        <w:object>
          <v:shape id="_x0000_i1535" o:spt="75" type="#_x0000_t75" style="height:13.5pt;width:9.75pt;" o:ole="t" filled="f" o:preferrelative="t" stroked="f" coordsize="21600,21600">
            <v:path/>
            <v:fill on="f" focussize="0,0"/>
            <v:stroke on="f" joinstyle="miter"/>
            <v:imagedata r:id="rId922" o:title=""/>
            <o:lock v:ext="edit" aspectratio="t"/>
            <w10:wrap type="none"/>
            <w10:anchorlock/>
          </v:shape>
          <o:OLEObject Type="Embed" ProgID="Equation.DSMT4" ShapeID="_x0000_i1535" DrawAspect="Content" ObjectID="_1468076235" r:id="rId936">
            <o:LockedField>false</o:LockedField>
          </o:OLEObject>
        </w:object>
      </w:r>
      <w:r>
        <w:rPr>
          <w:rFonts w:eastAsia="Calibri"/>
          <w:sz w:val="28"/>
          <w:szCs w:val="28"/>
          <w:lang w:eastAsia="en-US"/>
        </w:rPr>
        <w:t xml:space="preserve">от его проблемных активов, домашние хозяйства </w:t>
      </w:r>
      <w:r>
        <w:rPr>
          <w:position w:val="-6"/>
          <w:sz w:val="28"/>
          <w:szCs w:val="28"/>
        </w:rPr>
        <w:object>
          <v:shape id="_x0000_i1536" o:spt="75" type="#_x0000_t75" style="height:13.5pt;width:9.75pt;" o:ole="t" filled="f" o:preferrelative="t" stroked="f" coordsize="21600,21600">
            <v:path/>
            <v:fill on="f" focussize="0,0"/>
            <v:stroke on="f" joinstyle="miter"/>
            <v:imagedata r:id="rId938" o:title=""/>
            <o:lock v:ext="edit" aspectratio="t"/>
            <w10:wrap type="none"/>
            <w10:anchorlock/>
          </v:shape>
          <o:OLEObject Type="Embed" ProgID="Equation.DSMT4" ShapeID="_x0000_i1536" DrawAspect="Content" ObjectID="_1468076236" r:id="rId937">
            <o:LockedField>false</o:LockedField>
          </o:OLEObject>
        </w:object>
      </w:r>
      <w:r>
        <w:rPr>
          <w:rFonts w:eastAsia="Calibri"/>
          <w:sz w:val="28"/>
          <w:szCs w:val="28"/>
          <w:lang w:eastAsia="en-US"/>
        </w:rPr>
        <w:t xml:space="preserve"> (налогоплательщики) могут понести возможные убытки или получить выгоду от возможной прибыли. Различные сделки банка </w:t>
      </w:r>
      <w:r>
        <w:rPr>
          <w:position w:val="-6"/>
          <w:sz w:val="28"/>
          <w:szCs w:val="28"/>
        </w:rPr>
        <w:object>
          <v:shape id="_x0000_i1537" o:spt="75" type="#_x0000_t75" style="height:13.5pt;width:9.75pt;" o:ole="t" filled="f" o:preferrelative="t" stroked="f" coordsize="21600,21600">
            <v:path/>
            <v:fill on="f" focussize="0,0"/>
            <v:stroke on="f" joinstyle="miter"/>
            <v:imagedata r:id="rId922" o:title=""/>
            <o:lock v:ext="edit" aspectratio="t"/>
            <w10:wrap type="none"/>
            <w10:anchorlock/>
          </v:shape>
          <o:OLEObject Type="Embed" ProgID="Equation.DSMT4" ShapeID="_x0000_i1537" DrawAspect="Content" ObjectID="_1468076237" r:id="rId939">
            <o:LockedField>false</o:LockedField>
          </o:OLEObject>
        </w:object>
      </w:r>
      <w:r>
        <w:rPr>
          <w:rFonts w:eastAsia="Calibri"/>
          <w:sz w:val="28"/>
          <w:szCs w:val="28"/>
          <w:lang w:eastAsia="en-US"/>
        </w:rPr>
        <w:t xml:space="preserve">с фондом проблемных активов </w:t>
      </w:r>
      <w:r>
        <w:rPr>
          <w:position w:val="-6"/>
          <w:sz w:val="28"/>
          <w:szCs w:val="28"/>
        </w:rPr>
        <w:object>
          <v:shape id="_x0000_i1538" o:spt="75" type="#_x0000_t75" style="height:13.5pt;width:11.25pt;" o:ole="t" filled="f" o:preferrelative="t" stroked="f" coordsize="21600,21600">
            <v:path/>
            <v:fill on="f" focussize="0,0"/>
            <v:stroke on="f" joinstyle="miter"/>
            <v:imagedata r:id="rId932" o:title=""/>
            <o:lock v:ext="edit" aspectratio="t"/>
            <w10:wrap type="none"/>
            <w10:anchorlock/>
          </v:shape>
          <o:OLEObject Type="Embed" ProgID="Equation.DSMT4" ShapeID="_x0000_i1538" DrawAspect="Content" ObjectID="_1468076238" r:id="rId940">
            <o:LockedField>false</o:LockedField>
          </o:OLEObject>
        </w:object>
      </w:r>
      <w:r>
        <w:rPr>
          <w:rFonts w:eastAsia="Calibri"/>
          <w:sz w:val="28"/>
          <w:szCs w:val="28"/>
          <w:lang w:eastAsia="en-US"/>
        </w:rPr>
        <w:t xml:space="preserve"> имеют разные последствия в отношении этих потерь и прибылей. Потенциально возможные выплаты страховщика вкладов не являются частью функции расходов налогоплательщиков, поскольку предполагается, что страхование депозитов финансируется из частных источников. При участии в схемах передачи токсичных активов банк </w:t>
      </w:r>
      <w:r>
        <w:rPr>
          <w:position w:val="-6"/>
          <w:sz w:val="28"/>
          <w:szCs w:val="28"/>
        </w:rPr>
        <w:object>
          <v:shape id="_x0000_i1539" o:spt="75" type="#_x0000_t75" style="height:13.5pt;width:9.75pt;" o:ole="t" filled="f" o:preferrelative="t" stroked="f" coordsize="21600,21600">
            <v:path/>
            <v:fill on="f" focussize="0,0"/>
            <v:stroke on="f" joinstyle="miter"/>
            <v:imagedata r:id="rId922" o:title=""/>
            <o:lock v:ext="edit" aspectratio="t"/>
            <w10:wrap type="none"/>
            <w10:anchorlock/>
          </v:shape>
          <o:OLEObject Type="Embed" ProgID="Equation.DSMT4" ShapeID="_x0000_i1539" DrawAspect="Content" ObjectID="_1468076239" r:id="rId941">
            <o:LockedField>false</o:LockedField>
          </o:OLEObject>
        </w:object>
      </w:r>
      <w:r>
        <w:rPr>
          <w:sz w:val="28"/>
          <w:szCs w:val="28"/>
        </w:rPr>
        <w:t xml:space="preserve"> взамен </w:t>
      </w:r>
      <w:r>
        <w:rPr>
          <w:rFonts w:eastAsia="Calibri"/>
          <w:sz w:val="28"/>
          <w:szCs w:val="28"/>
          <w:lang w:eastAsia="en-US"/>
        </w:rPr>
        <w:t xml:space="preserve">получает безопасные государственные облигации </w:t>
      </w:r>
      <w:r>
        <w:rPr>
          <w:position w:val="-14"/>
          <w:sz w:val="28"/>
          <w:szCs w:val="28"/>
        </w:rPr>
        <w:object>
          <v:shape id="_x0000_i1540" o:spt="75" type="#_x0000_t75" style="height:20.25pt;width:34.5pt;" o:ole="t" filled="f" o:preferrelative="t" stroked="f" coordsize="21600,21600">
            <v:path/>
            <v:fill on="f" focussize="0,0"/>
            <v:stroke on="f" joinstyle="miter"/>
            <v:imagedata r:id="rId943" o:title=""/>
            <o:lock v:ext="edit" aspectratio="t"/>
            <w10:wrap type="none"/>
            <w10:anchorlock/>
          </v:shape>
          <o:OLEObject Type="Embed" ProgID="Equation.DSMT4" ShapeID="_x0000_i1540" DrawAspect="Content" ObjectID="_1468076240" r:id="rId942">
            <o:LockedField>false</o:LockedField>
          </o:OLEObject>
        </w:object>
      </w:r>
      <w:r>
        <w:rPr>
          <w:rFonts w:eastAsia="Calibri"/>
          <w:sz w:val="28"/>
          <w:szCs w:val="28"/>
          <w:lang w:eastAsia="en-US"/>
        </w:rPr>
        <w:t xml:space="preserve"> от фонда проблемных активов. Поскольку между коммерческим банком </w:t>
      </w:r>
      <w:r>
        <w:rPr>
          <w:position w:val="-6"/>
          <w:sz w:val="28"/>
          <w:szCs w:val="28"/>
        </w:rPr>
        <w:object>
          <v:shape id="_x0000_i1541" o:spt="75" type="#_x0000_t75" style="height:13.5pt;width:9.75pt;" o:ole="t" filled="f" o:preferrelative="t" stroked="f" coordsize="21600,21600">
            <v:path/>
            <v:fill on="f" focussize="0,0"/>
            <v:stroke on="f" joinstyle="miter"/>
            <v:imagedata r:id="rId922" o:title=""/>
            <o:lock v:ext="edit" aspectratio="t"/>
            <w10:wrap type="none"/>
            <w10:anchorlock/>
          </v:shape>
          <o:OLEObject Type="Embed" ProgID="Equation.DSMT4" ShapeID="_x0000_i1541" DrawAspect="Content" ObjectID="_1468076241" r:id="rId944">
            <o:LockedField>false</o:LockedField>
          </o:OLEObject>
        </w:object>
      </w:r>
      <w:r>
        <w:rPr>
          <w:sz w:val="28"/>
          <w:szCs w:val="28"/>
        </w:rPr>
        <w:t xml:space="preserve"> </w:t>
      </w:r>
      <w:r>
        <w:rPr>
          <w:rFonts w:eastAsia="Calibri"/>
          <w:sz w:val="28"/>
          <w:szCs w:val="28"/>
          <w:lang w:eastAsia="en-US"/>
        </w:rPr>
        <w:t xml:space="preserve">и  фондом проблемных активов </w:t>
      </w:r>
      <w:r>
        <w:rPr>
          <w:position w:val="-6"/>
          <w:sz w:val="28"/>
          <w:szCs w:val="28"/>
        </w:rPr>
        <w:object>
          <v:shape id="_x0000_i1542" o:spt="75" type="#_x0000_t75" style="height:13.5pt;width:11.25pt;" o:ole="t" filled="f" o:preferrelative="t" stroked="f" coordsize="21600,21600">
            <v:path/>
            <v:fill on="f" focussize="0,0"/>
            <v:stroke on="f" joinstyle="miter"/>
            <v:imagedata r:id="rId946" o:title=""/>
            <o:lock v:ext="edit" aspectratio="t"/>
            <w10:wrap type="none"/>
            <w10:anchorlock/>
          </v:shape>
          <o:OLEObject Type="Embed" ProgID="Equation.DSMT4" ShapeID="_x0000_i1542" DrawAspect="Content" ObjectID="_1468076242" r:id="rId945">
            <o:LockedField>false</o:LockedField>
          </o:OLEObject>
        </w:object>
      </w:r>
      <w:r>
        <w:rPr>
          <w:sz w:val="28"/>
          <w:szCs w:val="28"/>
        </w:rPr>
        <w:t xml:space="preserve"> </w:t>
      </w:r>
      <w:r>
        <w:rPr>
          <w:rFonts w:eastAsia="Calibri"/>
          <w:sz w:val="28"/>
          <w:szCs w:val="28"/>
          <w:lang w:eastAsia="en-US"/>
        </w:rPr>
        <w:t xml:space="preserve">не происходит никаких дальнейших транзакций, ожидаемые расходы домашних хозяйств </w:t>
      </w:r>
      <w:r>
        <w:rPr>
          <w:position w:val="-6"/>
          <w:sz w:val="28"/>
          <w:szCs w:val="28"/>
        </w:rPr>
        <w:object>
          <v:shape id="_x0000_i1543" o:spt="75" type="#_x0000_t75" style="height:13.5pt;width:9.75pt;" o:ole="t" filled="f" o:preferrelative="t" stroked="f" coordsize="21600,21600">
            <v:path/>
            <v:fill on="f" focussize="0,0"/>
            <v:stroke on="f" joinstyle="miter"/>
            <v:imagedata r:id="rId938" o:title=""/>
            <o:lock v:ext="edit" aspectratio="t"/>
            <w10:wrap type="none"/>
            <w10:anchorlock/>
          </v:shape>
          <o:OLEObject Type="Embed" ProgID="Equation.DSMT4" ShapeID="_x0000_i1543" DrawAspect="Content" ObjectID="_1468076243" r:id="rId947">
            <o:LockedField>false</o:LockedField>
          </o:OLEObject>
        </w:object>
      </w:r>
      <w:r>
        <w:rPr>
          <w:rFonts w:eastAsia="Calibri"/>
          <w:sz w:val="28"/>
          <w:szCs w:val="28"/>
          <w:lang w:eastAsia="en-US"/>
        </w:rPr>
        <w:t xml:space="preserve"> (налогоплательщиков) составляют </w:t>
      </w:r>
    </w:p>
    <w:p w14:paraId="00AAC049">
      <w:pPr>
        <w:pStyle w:val="37"/>
        <w:rPr>
          <w:rFonts w:eastAsia="Calibri"/>
          <w:sz w:val="28"/>
          <w:szCs w:val="28"/>
          <w:lang w:eastAsia="en-US"/>
        </w:rPr>
      </w:pPr>
    </w:p>
    <w:p w14:paraId="319F72D5">
      <w:pPr>
        <w:pStyle w:val="38"/>
        <w:spacing w:before="0" w:after="0"/>
        <w:rPr>
          <w:sz w:val="28"/>
          <w:szCs w:val="28"/>
        </w:rPr>
      </w:pPr>
      <w:r>
        <w:rPr>
          <w:sz w:val="28"/>
          <w:szCs w:val="28"/>
        </w:rPr>
        <w:tab/>
      </w:r>
      <w:r>
        <w:rPr>
          <w:sz w:val="28"/>
          <w:szCs w:val="28"/>
        </w:rPr>
        <w:t xml:space="preserve">                                            </w:t>
      </w:r>
      <w:r>
        <w:rPr>
          <w:position w:val="-14"/>
          <w:sz w:val="28"/>
          <w:szCs w:val="28"/>
        </w:rPr>
        <w:object>
          <v:shape id="_x0000_i1544" o:spt="75" type="#_x0000_t75" style="height:20.25pt;width:127.5pt;" o:ole="t" filled="f" o:preferrelative="t" stroked="f" coordsize="21600,21600">
            <v:path/>
            <v:fill on="f" focussize="0,0"/>
            <v:stroke on="f" joinstyle="miter"/>
            <v:imagedata r:id="rId949" o:title=""/>
            <o:lock v:ext="edit" aspectratio="t"/>
            <w10:wrap type="none"/>
            <w10:anchorlock/>
          </v:shape>
          <o:OLEObject Type="Embed" ProgID="Equation.DSMT4" ShapeID="_x0000_i1544" DrawAspect="Content" ObjectID="_1468076244" r:id="rId948">
            <o:LockedField>false</o:LockedField>
          </o:OLEObject>
        </w:object>
      </w:r>
      <w:r>
        <w:rPr>
          <w:sz w:val="28"/>
          <w:szCs w:val="28"/>
        </w:rPr>
        <w:tab/>
      </w:r>
      <w:r>
        <w:rPr>
          <w:sz w:val="28"/>
          <w:szCs w:val="28"/>
        </w:rPr>
        <w:t xml:space="preserve">                                     (48)</w:t>
      </w:r>
    </w:p>
    <w:p w14:paraId="4D0525B4">
      <w:pPr>
        <w:pStyle w:val="37"/>
        <w:rPr>
          <w:rFonts w:eastAsia="Calibri"/>
          <w:sz w:val="28"/>
          <w:szCs w:val="28"/>
          <w:lang w:eastAsia="en-US"/>
        </w:rPr>
      </w:pPr>
    </w:p>
    <w:p w14:paraId="598444F1">
      <w:pPr>
        <w:pStyle w:val="37"/>
        <w:rPr>
          <w:rFonts w:eastAsia="Calibri"/>
          <w:sz w:val="28"/>
          <w:szCs w:val="28"/>
          <w:lang w:eastAsia="en-US"/>
        </w:rPr>
      </w:pPr>
      <w:r>
        <w:rPr>
          <w:rFonts w:eastAsia="Calibri"/>
          <w:sz w:val="28"/>
          <w:szCs w:val="28"/>
          <w:lang w:eastAsia="en-US"/>
        </w:rPr>
        <w:t xml:space="preserve">Они состоят из цены </w:t>
      </w:r>
      <w:r>
        <w:rPr>
          <w:position w:val="-14"/>
          <w:sz w:val="28"/>
          <w:szCs w:val="28"/>
        </w:rPr>
        <w:object>
          <v:shape id="_x0000_i1545" o:spt="75" type="#_x0000_t75" style="height:20.25pt;width:34.5pt;" o:ole="t" filled="f" o:preferrelative="t" stroked="f" coordsize="21600,21600">
            <v:path/>
            <v:fill on="f" focussize="0,0"/>
            <v:stroke on="f" joinstyle="miter"/>
            <v:imagedata r:id="rId951" o:title=""/>
            <o:lock v:ext="edit" aspectratio="t"/>
            <w10:wrap type="none"/>
            <w10:anchorlock/>
          </v:shape>
          <o:OLEObject Type="Embed" ProgID="Equation.DSMT4" ShapeID="_x0000_i1545" DrawAspect="Content" ObjectID="_1468076245" r:id="rId950">
            <o:LockedField>false</o:LockedField>
          </o:OLEObject>
        </w:object>
      </w:r>
      <w:r>
        <w:rPr>
          <w:rFonts w:eastAsia="Calibri"/>
          <w:sz w:val="28"/>
          <w:szCs w:val="28"/>
          <w:lang w:eastAsia="en-US"/>
        </w:rPr>
        <w:t xml:space="preserve">, которую фонд </w:t>
      </w:r>
      <w:r>
        <w:rPr>
          <w:position w:val="-6"/>
          <w:sz w:val="28"/>
          <w:szCs w:val="28"/>
        </w:rPr>
        <w:object>
          <v:shape id="_x0000_i1546" o:spt="75" type="#_x0000_t75" style="height:13.5pt;width:11.25pt;" o:ole="t" filled="f" o:preferrelative="t" stroked="f" coordsize="21600,21600">
            <v:path/>
            <v:fill on="f" focussize="0,0"/>
            <v:stroke on="f" joinstyle="miter"/>
            <v:imagedata r:id="rId953" o:title=""/>
            <o:lock v:ext="edit" aspectratio="t"/>
            <w10:wrap type="none"/>
            <w10:anchorlock/>
          </v:shape>
          <o:OLEObject Type="Embed" ProgID="Equation.DSMT4" ShapeID="_x0000_i1546" DrawAspect="Content" ObjectID="_1468076246" r:id="rId952">
            <o:LockedField>false</o:LockedField>
          </o:OLEObject>
        </w:object>
      </w:r>
      <w:r>
        <w:rPr>
          <w:rFonts w:eastAsia="Calibri"/>
          <w:sz w:val="28"/>
          <w:szCs w:val="28"/>
          <w:lang w:eastAsia="en-US"/>
        </w:rPr>
        <w:t xml:space="preserve"> платит в виде государственных облигаций за проблемные активы за вычетом ожидаемой доходности</w:t>
      </w:r>
      <w:r>
        <w:rPr>
          <w:sz w:val="28"/>
          <w:szCs w:val="28"/>
        </w:rPr>
        <w:t xml:space="preserve"> </w:t>
      </w:r>
      <w:r>
        <w:rPr>
          <w:position w:val="-14"/>
          <w:sz w:val="28"/>
          <w:szCs w:val="28"/>
        </w:rPr>
        <w:object>
          <v:shape id="_x0000_i1547" o:spt="75" type="#_x0000_t75" style="height:20.25pt;width:40.5pt;" o:ole="t" filled="f" o:preferrelative="t" stroked="f" coordsize="21600,21600">
            <v:path/>
            <v:fill on="f" focussize="0,0"/>
            <v:stroke on="f" joinstyle="miter"/>
            <v:imagedata r:id="rId955" o:title=""/>
            <o:lock v:ext="edit" aspectratio="t"/>
            <w10:wrap type="none"/>
            <w10:anchorlock/>
          </v:shape>
          <o:OLEObject Type="Embed" ProgID="Equation.DSMT4" ShapeID="_x0000_i1547" DrawAspect="Content" ObjectID="_1468076247" r:id="rId954">
            <o:LockedField>false</o:LockedField>
          </o:OLEObject>
        </w:object>
      </w:r>
      <w:r>
        <w:rPr>
          <w:rFonts w:eastAsia="Calibri"/>
          <w:sz w:val="28"/>
          <w:szCs w:val="28"/>
          <w:lang w:eastAsia="en-US"/>
        </w:rPr>
        <w:t>. Соответственно, схема 1 (безвозвратная продажа) предполагает возможность в будущем повысить доходы налогоплательщиков.</w:t>
      </w:r>
    </w:p>
    <w:p w14:paraId="4255ABEA">
      <w:pPr>
        <w:pStyle w:val="37"/>
        <w:rPr>
          <w:rFonts w:eastAsia="Calibri"/>
          <w:sz w:val="28"/>
          <w:szCs w:val="28"/>
          <w:lang w:eastAsia="en-US"/>
        </w:rPr>
      </w:pPr>
      <w:r>
        <w:rPr>
          <w:rFonts w:eastAsia="Calibri"/>
          <w:sz w:val="28"/>
          <w:szCs w:val="28"/>
          <w:lang w:eastAsia="en-US"/>
        </w:rPr>
        <w:t xml:space="preserve">Если ЛПР реализует схему 2 (обратный выкуп), банк </w:t>
      </w:r>
      <w:r>
        <w:rPr>
          <w:position w:val="-6"/>
          <w:sz w:val="28"/>
          <w:szCs w:val="28"/>
        </w:rPr>
        <w:object>
          <v:shape id="_x0000_i1548" o:spt="75" type="#_x0000_t75" style="height:13.5pt;width:9.75pt;" o:ole="t" filled="f" o:preferrelative="t" stroked="f" coordsize="21600,21600">
            <v:path/>
            <v:fill on="f" focussize="0,0"/>
            <v:stroke on="f" joinstyle="miter"/>
            <v:imagedata r:id="rId922" o:title=""/>
            <o:lock v:ext="edit" aspectratio="t"/>
            <w10:wrap type="none"/>
            <w10:anchorlock/>
          </v:shape>
          <o:OLEObject Type="Embed" ProgID="Equation.DSMT4" ShapeID="_x0000_i1548" DrawAspect="Content" ObjectID="_1468076248" r:id="rId956">
            <o:LockedField>false</o:LockedField>
          </o:OLEObject>
        </w:object>
      </w:r>
      <w:r>
        <w:rPr>
          <w:sz w:val="28"/>
          <w:szCs w:val="28"/>
        </w:rPr>
        <w:t xml:space="preserve"> </w:t>
      </w:r>
      <w:r>
        <w:rPr>
          <w:rFonts w:eastAsia="Calibri"/>
          <w:sz w:val="28"/>
          <w:szCs w:val="28"/>
          <w:lang w:eastAsia="en-US"/>
        </w:rPr>
        <w:t xml:space="preserve">в момент времени </w:t>
      </w:r>
      <w:r>
        <w:rPr>
          <w:position w:val="-6"/>
          <w:sz w:val="28"/>
          <w:szCs w:val="28"/>
        </w:rPr>
        <w:object>
          <v:shape id="_x0000_i1549" o:spt="75" type="#_x0000_t75" style="height:12pt;width:7.5pt;" o:ole="t" filled="f" o:preferrelative="t" stroked="f" coordsize="21600,21600">
            <v:path/>
            <v:fill on="f" focussize="0,0"/>
            <v:stroke on="f" joinstyle="miter"/>
            <v:imagedata r:id="rId958" o:title=""/>
            <o:lock v:ext="edit" aspectratio="t"/>
            <w10:wrap type="none"/>
            <w10:anchorlock/>
          </v:shape>
          <o:OLEObject Type="Embed" ProgID="Equation.DSMT4" ShapeID="_x0000_i1549" DrawAspect="Content" ObjectID="_1468076249" r:id="rId957">
            <o:LockedField>false</o:LockedField>
          </o:OLEObject>
        </w:object>
      </w:r>
      <w:r>
        <w:rPr>
          <w:sz w:val="28"/>
          <w:szCs w:val="28"/>
        </w:rPr>
        <w:t xml:space="preserve"> </w:t>
      </w:r>
      <w:r>
        <w:rPr>
          <w:rFonts w:eastAsia="Calibri"/>
          <w:sz w:val="28"/>
          <w:szCs w:val="28"/>
          <w:lang w:eastAsia="en-US"/>
        </w:rPr>
        <w:t xml:space="preserve">по-прежнему обменивает проблемные активы на государственные облигации. Однако, в момент времени </w:t>
      </w:r>
      <w:r>
        <w:rPr>
          <w:position w:val="-6"/>
          <w:sz w:val="28"/>
          <w:szCs w:val="28"/>
        </w:rPr>
        <w:object>
          <v:shape id="_x0000_i1550" o:spt="75" type="#_x0000_t75" style="height:12pt;width:24pt;" o:ole="t" filled="f" o:preferrelative="t" stroked="f" coordsize="21600,21600">
            <v:path/>
            <v:fill on="f" focussize="0,0"/>
            <v:stroke on="f" joinstyle="miter"/>
            <v:imagedata r:id="rId960" o:title=""/>
            <o:lock v:ext="edit" aspectratio="t"/>
            <w10:wrap type="none"/>
            <w10:anchorlock/>
          </v:shape>
          <o:OLEObject Type="Embed" ProgID="Equation.DSMT4" ShapeID="_x0000_i1550" DrawAspect="Content" ObjectID="_1468076250" r:id="rId959">
            <o:LockedField>false</o:LockedField>
          </o:OLEObject>
        </w:object>
      </w:r>
      <w:r>
        <w:rPr>
          <w:sz w:val="28"/>
          <w:szCs w:val="28"/>
        </w:rPr>
        <w:t xml:space="preserve"> </w:t>
      </w:r>
      <w:r>
        <w:rPr>
          <w:rFonts w:eastAsia="Calibri"/>
          <w:sz w:val="28"/>
          <w:szCs w:val="28"/>
          <w:lang w:eastAsia="en-US"/>
        </w:rPr>
        <w:t xml:space="preserve">эта транзакция возвращается. Таким образом, риски и выгоды от проблемного актива остаются у банка </w:t>
      </w:r>
      <w:r>
        <w:rPr>
          <w:position w:val="-6"/>
          <w:sz w:val="28"/>
          <w:szCs w:val="28"/>
        </w:rPr>
        <w:object>
          <v:shape id="_x0000_i1551" o:spt="75" type="#_x0000_t75" style="height:13.5pt;width:9.75pt;" o:ole="t" filled="f" o:preferrelative="t" stroked="f" coordsize="21600,21600">
            <v:path/>
            <v:fill on="f" focussize="0,0"/>
            <v:stroke on="f" joinstyle="miter"/>
            <v:imagedata r:id="rId922" o:title=""/>
            <o:lock v:ext="edit" aspectratio="t"/>
            <w10:wrap type="none"/>
            <w10:anchorlock/>
          </v:shape>
          <o:OLEObject Type="Embed" ProgID="Equation.DSMT4" ShapeID="_x0000_i1551" DrawAspect="Content" ObjectID="_1468076251" r:id="rId961">
            <o:LockedField>false</o:LockedField>
          </o:OLEObject>
        </w:object>
      </w:r>
      <w:r>
        <w:rPr>
          <w:rFonts w:eastAsia="Calibri"/>
          <w:sz w:val="28"/>
          <w:szCs w:val="28"/>
          <w:lang w:eastAsia="en-US"/>
        </w:rPr>
        <w:t xml:space="preserve">. Затраты по схеме 2 для домашних хозяйств (налогоплательщиков) зависят от того, является ли претензия фонда </w:t>
      </w:r>
      <w:r>
        <w:rPr>
          <w:position w:val="-6"/>
          <w:sz w:val="28"/>
          <w:szCs w:val="28"/>
        </w:rPr>
        <w:object>
          <v:shape id="_x0000_i1552" o:spt="75" type="#_x0000_t75" style="height:13.5pt;width:11.25pt;" o:ole="t" filled="f" o:preferrelative="t" stroked="f" coordsize="21600,21600">
            <v:path/>
            <v:fill on="f" focussize="0,0"/>
            <v:stroke on="f" joinstyle="miter"/>
            <v:imagedata r:id="rId963" o:title=""/>
            <o:lock v:ext="edit" aspectratio="t"/>
            <w10:wrap type="none"/>
            <w10:anchorlock/>
          </v:shape>
          <o:OLEObject Type="Embed" ProgID="Equation.DSMT4" ShapeID="_x0000_i1552" DrawAspect="Content" ObjectID="_1468076252" r:id="rId962">
            <o:LockedField>false</o:LockedField>
          </o:OLEObject>
        </w:object>
      </w:r>
      <w:r>
        <w:rPr>
          <w:rFonts w:eastAsia="Calibri"/>
          <w:sz w:val="28"/>
          <w:szCs w:val="28"/>
          <w:lang w:eastAsia="en-US"/>
        </w:rPr>
        <w:t xml:space="preserve"> проблемных активов </w:t>
      </w:r>
      <w:r>
        <w:rPr>
          <w:position w:val="-14"/>
          <w:sz w:val="28"/>
          <w:szCs w:val="28"/>
        </w:rPr>
        <w:object>
          <v:shape id="_x0000_i1553" o:spt="75" type="#_x0000_t75" style="height:20.25pt;width:51.75pt;" o:ole="t" filled="f" o:preferrelative="t" stroked="f" coordsize="21600,21600">
            <v:path/>
            <v:fill on="f" focussize="0,0"/>
            <v:stroke on="f" joinstyle="miter"/>
            <v:imagedata r:id="rId965" o:title=""/>
            <o:lock v:ext="edit" aspectratio="t"/>
            <w10:wrap type="none"/>
            <w10:anchorlock/>
          </v:shape>
          <o:OLEObject Type="Embed" ProgID="Equation.DSMT4" ShapeID="_x0000_i1553" DrawAspect="Content" ObjectID="_1468076253" r:id="rId964">
            <o:LockedField>false</o:LockedField>
          </o:OLEObject>
        </w:object>
      </w:r>
      <w:r>
        <w:rPr>
          <w:rFonts w:eastAsia="Calibri"/>
          <w:sz w:val="28"/>
          <w:szCs w:val="28"/>
          <w:lang w:eastAsia="en-US"/>
        </w:rPr>
        <w:t xml:space="preserve"> первоочередной или последней по отношению к депозитам. Если она старше (схема </w:t>
      </w:r>
      <w:r>
        <w:rPr>
          <w:position w:val="-6"/>
          <w:sz w:val="28"/>
          <w:szCs w:val="28"/>
        </w:rPr>
        <w:object>
          <v:shape id="_x0000_i1554" o:spt="75" type="#_x0000_t75" style="height:13.5pt;width:16.5pt;" o:ole="t" filled="f" o:preferrelative="t" stroked="f" coordsize="21600,21600">
            <v:path/>
            <v:fill on="f" focussize="0,0"/>
            <v:stroke on="f" joinstyle="miter"/>
            <v:imagedata r:id="rId967" o:title=""/>
            <o:lock v:ext="edit" aspectratio="t"/>
            <w10:wrap type="none"/>
            <w10:anchorlock/>
          </v:shape>
          <o:OLEObject Type="Embed" ProgID="Equation.DSMT4" ShapeID="_x0000_i1554" DrawAspect="Content" ObjectID="_1468076254" r:id="rId966">
            <o:LockedField>false</o:LockedField>
          </o:OLEObject>
        </w:object>
      </w:r>
      <w:r>
        <w:rPr>
          <w:rFonts w:eastAsia="Calibri"/>
          <w:sz w:val="28"/>
          <w:szCs w:val="28"/>
          <w:lang w:eastAsia="en-US"/>
        </w:rPr>
        <w:t>), ожидаемые затраты будут</w:t>
      </w:r>
    </w:p>
    <w:p w14:paraId="6BB10C18">
      <w:pPr>
        <w:pStyle w:val="37"/>
        <w:rPr>
          <w:rFonts w:eastAsia="Calibri"/>
          <w:sz w:val="28"/>
          <w:szCs w:val="28"/>
          <w:lang w:eastAsia="en-US"/>
        </w:rPr>
      </w:pPr>
    </w:p>
    <w:p w14:paraId="0229D7A1">
      <w:pPr>
        <w:pStyle w:val="38"/>
        <w:spacing w:before="0" w:after="0"/>
        <w:rPr>
          <w:sz w:val="28"/>
          <w:szCs w:val="28"/>
        </w:rPr>
      </w:pPr>
      <w:r>
        <w:rPr>
          <w:sz w:val="28"/>
          <w:szCs w:val="28"/>
        </w:rPr>
        <w:tab/>
      </w:r>
      <w:r>
        <w:rPr>
          <w:sz w:val="28"/>
          <w:szCs w:val="28"/>
        </w:rPr>
        <w:t xml:space="preserve">                                               </w:t>
      </w:r>
      <w:r>
        <w:rPr>
          <w:position w:val="-14"/>
          <w:sz w:val="28"/>
          <w:szCs w:val="28"/>
        </w:rPr>
        <w:object>
          <v:shape id="_x0000_i1555" o:spt="75" type="#_x0000_t75" style="height:20.25pt;width:132.75pt;" o:ole="t" filled="f" o:preferrelative="t" stroked="f" coordsize="21600,21600">
            <v:path/>
            <v:fill on="f" focussize="0,0"/>
            <v:stroke on="f" joinstyle="miter"/>
            <v:imagedata r:id="rId969" o:title=""/>
            <o:lock v:ext="edit" aspectratio="t"/>
            <w10:wrap type="none"/>
            <w10:anchorlock/>
          </v:shape>
          <o:OLEObject Type="Embed" ProgID="Equation.DSMT4" ShapeID="_x0000_i1555" DrawAspect="Content" ObjectID="_1468076255" r:id="rId968">
            <o:LockedField>false</o:LockedField>
          </o:OLEObject>
        </w:object>
      </w:r>
      <w:r>
        <w:rPr>
          <w:sz w:val="28"/>
          <w:szCs w:val="28"/>
        </w:rPr>
        <w:tab/>
      </w:r>
      <w:r>
        <w:rPr>
          <w:sz w:val="28"/>
          <w:szCs w:val="28"/>
        </w:rPr>
        <w:t xml:space="preserve">                                  (49)</w:t>
      </w:r>
    </w:p>
    <w:p w14:paraId="1A41E5FA">
      <w:pPr>
        <w:pStyle w:val="37"/>
        <w:rPr>
          <w:rFonts w:eastAsia="Calibri"/>
          <w:sz w:val="28"/>
          <w:szCs w:val="28"/>
          <w:lang w:eastAsia="en-US"/>
        </w:rPr>
      </w:pPr>
    </w:p>
    <w:p w14:paraId="6D205AEC">
      <w:pPr>
        <w:pStyle w:val="37"/>
        <w:rPr>
          <w:rFonts w:eastAsia="Calibri"/>
          <w:sz w:val="28"/>
          <w:szCs w:val="28"/>
          <w:lang w:eastAsia="en-US"/>
        </w:rPr>
      </w:pPr>
      <w:r>
        <w:rPr>
          <w:rFonts w:eastAsia="Calibri"/>
          <w:sz w:val="28"/>
          <w:szCs w:val="28"/>
          <w:lang w:eastAsia="en-US"/>
        </w:rPr>
        <w:t>Таким образом, схема </w:t>
      </w:r>
      <w:r>
        <w:rPr>
          <w:position w:val="-6"/>
          <w:sz w:val="28"/>
          <w:szCs w:val="28"/>
        </w:rPr>
        <w:object>
          <v:shape id="_x0000_i1556" o:spt="75" type="#_x0000_t75" style="height:13.5pt;width:16.5pt;" o:ole="t" filled="f" o:preferrelative="t" stroked="f" coordsize="21600,21600">
            <v:path/>
            <v:fill on="f" focussize="0,0"/>
            <v:stroke on="f" joinstyle="miter"/>
            <v:imagedata r:id="rId967" o:title=""/>
            <o:lock v:ext="edit" aspectratio="t"/>
            <w10:wrap type="none"/>
            <w10:anchorlock/>
          </v:shape>
          <o:OLEObject Type="Embed" ProgID="Equation.DSMT4" ShapeID="_x0000_i1556" DrawAspect="Content" ObjectID="_1468076256" r:id="rId970">
            <o:LockedField>false</o:LockedField>
          </o:OLEObject>
        </w:object>
      </w:r>
      <w:r>
        <w:rPr>
          <w:rFonts w:eastAsia="Calibri"/>
          <w:sz w:val="28"/>
          <w:szCs w:val="28"/>
          <w:lang w:eastAsia="en-US"/>
        </w:rPr>
        <w:t xml:space="preserve"> не имеет затрат для домашних хозяйств </w:t>
      </w:r>
      <w:r>
        <w:rPr>
          <w:position w:val="-6"/>
          <w:sz w:val="28"/>
          <w:szCs w:val="28"/>
        </w:rPr>
        <w:object>
          <v:shape id="_x0000_i1557" o:spt="75" type="#_x0000_t75" style="height:13.5pt;width:9.75pt;" o:ole="t" filled="f" o:preferrelative="t" stroked="f" coordsize="21600,21600">
            <v:path/>
            <v:fill on="f" focussize="0,0"/>
            <v:stroke on="f" joinstyle="miter"/>
            <v:imagedata r:id="rId972" o:title=""/>
            <o:lock v:ext="edit" aspectratio="t"/>
            <w10:wrap type="none"/>
            <w10:anchorlock/>
          </v:shape>
          <o:OLEObject Type="Embed" ProgID="Equation.DSMT4" ShapeID="_x0000_i1557" DrawAspect="Content" ObjectID="_1468076257" r:id="rId971">
            <o:LockedField>false</o:LockedField>
          </o:OLEObject>
        </w:object>
      </w:r>
      <w:r>
        <w:rPr>
          <w:rFonts w:eastAsia="Calibri"/>
          <w:sz w:val="28"/>
          <w:szCs w:val="28"/>
          <w:lang w:eastAsia="en-US"/>
        </w:rPr>
        <w:t xml:space="preserve"> (налогоплательщиков). Это связано с тем, что по этой схеме фонд проблемных активов </w:t>
      </w:r>
      <w:r>
        <w:rPr>
          <w:position w:val="-6"/>
          <w:sz w:val="28"/>
          <w:szCs w:val="28"/>
        </w:rPr>
        <w:object>
          <v:shape id="_x0000_i1558" o:spt="75" type="#_x0000_t75" style="height:13.5pt;width:11.25pt;" o:ole="t" filled="f" o:preferrelative="t" stroked="f" coordsize="21600,21600">
            <v:path/>
            <v:fill on="f" focussize="0,0"/>
            <v:stroke on="f" joinstyle="miter"/>
            <v:imagedata r:id="rId974" o:title=""/>
            <o:lock v:ext="edit" aspectratio="t"/>
            <w10:wrap type="none"/>
            <w10:anchorlock/>
          </v:shape>
          <o:OLEObject Type="Embed" ProgID="Equation.DSMT4" ShapeID="_x0000_i1558" DrawAspect="Content" ObjectID="_1468076258" r:id="rId973">
            <o:LockedField>false</o:LockedField>
          </o:OLEObject>
        </w:object>
      </w:r>
      <w:r>
        <w:rPr>
          <w:rFonts w:eastAsia="Calibri"/>
          <w:sz w:val="28"/>
          <w:szCs w:val="28"/>
          <w:lang w:eastAsia="en-US"/>
        </w:rPr>
        <w:t xml:space="preserve"> всегда будет получать государственные облигации коммерческого банка в момент времени </w:t>
      </w:r>
      <w:r>
        <w:rPr>
          <w:position w:val="-6"/>
          <w:sz w:val="28"/>
          <w:szCs w:val="28"/>
        </w:rPr>
        <w:object>
          <v:shape id="_x0000_i1559" o:spt="75" type="#_x0000_t75" style="height:12pt;width:24pt;" o:ole="t" filled="f" o:preferrelative="t" stroked="f" coordsize="21600,21600">
            <v:path/>
            <v:fill on="f" focussize="0,0"/>
            <v:stroke on="f" joinstyle="miter"/>
            <v:imagedata r:id="rId976" o:title=""/>
            <o:lock v:ext="edit" aspectratio="t"/>
            <w10:wrap type="none"/>
            <w10:anchorlock/>
          </v:shape>
          <o:OLEObject Type="Embed" ProgID="Equation.DSMT4" ShapeID="_x0000_i1559" DrawAspect="Content" ObjectID="_1468076259" r:id="rId975">
            <o:LockedField>false</o:LockedField>
          </o:OLEObject>
        </w:object>
      </w:r>
      <w:r>
        <w:rPr>
          <w:rFonts w:eastAsia="Calibri"/>
          <w:sz w:val="28"/>
          <w:szCs w:val="28"/>
          <w:lang w:eastAsia="en-US"/>
        </w:rPr>
        <w:t xml:space="preserve"> независимо от того, является ли банк </w:t>
      </w:r>
      <w:r>
        <w:rPr>
          <w:position w:val="-6"/>
          <w:sz w:val="28"/>
          <w:szCs w:val="28"/>
        </w:rPr>
        <w:object>
          <v:shape id="_x0000_i1560" o:spt="75" type="#_x0000_t75" style="height:13.5pt;width:9.75pt;" o:ole="t" filled="f" o:preferrelative="t" stroked="f" coordsize="21600,21600">
            <v:path/>
            <v:fill on="f" focussize="0,0"/>
            <v:stroke on="f" joinstyle="miter"/>
            <v:imagedata r:id="rId978" o:title=""/>
            <o:lock v:ext="edit" aspectratio="t"/>
            <w10:wrap type="none"/>
            <w10:anchorlock/>
          </v:shape>
          <o:OLEObject Type="Embed" ProgID="Equation.DSMT4" ShapeID="_x0000_i1560" DrawAspect="Content" ObjectID="_1468076260" r:id="rId977">
            <o:LockedField>false</o:LockedField>
          </o:OLEObject>
        </w:object>
      </w:r>
      <w:r>
        <w:rPr>
          <w:rFonts w:eastAsia="Calibri"/>
          <w:sz w:val="28"/>
          <w:szCs w:val="28"/>
          <w:lang w:eastAsia="en-US"/>
        </w:rPr>
        <w:t xml:space="preserve"> платежеспособным или нет. Если требование фонда проблемных активов </w:t>
      </w:r>
      <w:r>
        <w:rPr>
          <w:position w:val="-6"/>
          <w:sz w:val="28"/>
          <w:szCs w:val="28"/>
        </w:rPr>
        <w:object>
          <v:shape id="_x0000_i1561" o:spt="75" type="#_x0000_t75" style="height:13.5pt;width:11.25pt;" o:ole="t" filled="f" o:preferrelative="t" stroked="f" coordsize="21600,21600">
            <v:path/>
            <v:fill on="f" focussize="0,0"/>
            <v:stroke on="f" joinstyle="miter"/>
            <v:imagedata r:id="rId974" o:title=""/>
            <o:lock v:ext="edit" aspectratio="t"/>
            <w10:wrap type="none"/>
            <w10:anchorlock/>
          </v:shape>
          <o:OLEObject Type="Embed" ProgID="Equation.DSMT4" ShapeID="_x0000_i1561" DrawAspect="Content" ObjectID="_1468076261" r:id="rId979">
            <o:LockedField>false</o:LockedField>
          </o:OLEObject>
        </w:object>
      </w:r>
      <w:r>
        <w:rPr>
          <w:rFonts w:eastAsia="Calibri"/>
          <w:sz w:val="28"/>
          <w:szCs w:val="28"/>
          <w:lang w:eastAsia="en-US"/>
        </w:rPr>
        <w:t xml:space="preserve"> ниже требований по депозитам, домашние хозяйства </w:t>
      </w:r>
      <w:r>
        <w:rPr>
          <w:position w:val="-6"/>
          <w:sz w:val="28"/>
          <w:szCs w:val="28"/>
        </w:rPr>
        <w:object>
          <v:shape id="_x0000_i1562" o:spt="75" type="#_x0000_t75" style="height:13.5pt;width:9.75pt;" o:ole="t" filled="f" o:preferrelative="t" stroked="f" coordsize="21600,21600">
            <v:path/>
            <v:fill on="f" focussize="0,0"/>
            <v:stroke on="f" joinstyle="miter"/>
            <v:imagedata r:id="rId972" o:title=""/>
            <o:lock v:ext="edit" aspectratio="t"/>
            <w10:wrap type="none"/>
            <w10:anchorlock/>
          </v:shape>
          <o:OLEObject Type="Embed" ProgID="Equation.DSMT4" ShapeID="_x0000_i1562" DrawAspect="Content" ObjectID="_1468076262" r:id="rId980">
            <o:LockedField>false</o:LockedField>
          </o:OLEObject>
        </w:object>
      </w:r>
      <w:r>
        <w:rPr>
          <w:sz w:val="28"/>
          <w:szCs w:val="28"/>
        </w:rPr>
        <w:t xml:space="preserve"> (</w:t>
      </w:r>
      <w:r>
        <w:rPr>
          <w:rFonts w:eastAsia="Calibri"/>
          <w:sz w:val="28"/>
          <w:szCs w:val="28"/>
          <w:lang w:eastAsia="en-US"/>
        </w:rPr>
        <w:t xml:space="preserve">налогоплательщики) не несут никаких расходов только в том случае, если банк </w:t>
      </w:r>
      <w:r>
        <w:rPr>
          <w:position w:val="-6"/>
          <w:sz w:val="28"/>
          <w:szCs w:val="28"/>
        </w:rPr>
        <w:object>
          <v:shape id="_x0000_i1563" o:spt="75" type="#_x0000_t75" style="height:13.5pt;width:9.75pt;" o:ole="t" filled="f" o:preferrelative="t" stroked="f" coordsize="21600,21600">
            <v:path/>
            <v:fill on="f" focussize="0,0"/>
            <v:stroke on="f" joinstyle="miter"/>
            <v:imagedata r:id="rId978" o:title=""/>
            <o:lock v:ext="edit" aspectratio="t"/>
            <w10:wrap type="none"/>
            <w10:anchorlock/>
          </v:shape>
          <o:OLEObject Type="Embed" ProgID="Equation.DSMT4" ShapeID="_x0000_i1563" DrawAspect="Content" ObjectID="_1468076263" r:id="rId981">
            <o:LockedField>false</o:LockedField>
          </o:OLEObject>
        </w:object>
      </w:r>
      <w:r>
        <w:rPr>
          <w:rFonts w:eastAsia="Calibri"/>
          <w:sz w:val="28"/>
          <w:szCs w:val="28"/>
          <w:lang w:eastAsia="en-US"/>
        </w:rPr>
        <w:t xml:space="preserve"> платежеспособен и способен вернуть в фонд проблемных активов </w:t>
      </w:r>
      <w:r>
        <w:rPr>
          <w:position w:val="-6"/>
          <w:sz w:val="28"/>
          <w:szCs w:val="28"/>
        </w:rPr>
        <w:object>
          <v:shape id="_x0000_i1564" o:spt="75" type="#_x0000_t75" style="height:13.5pt;width:11.25pt;" o:ole="t" filled="f" o:preferrelative="t" stroked="f" coordsize="21600,21600">
            <v:path/>
            <v:fill on="f" focussize="0,0"/>
            <v:stroke on="f" joinstyle="miter"/>
            <v:imagedata r:id="rId974" o:title=""/>
            <o:lock v:ext="edit" aspectratio="t"/>
            <w10:wrap type="none"/>
            <w10:anchorlock/>
          </v:shape>
          <o:OLEObject Type="Embed" ProgID="Equation.DSMT4" ShapeID="_x0000_i1564" DrawAspect="Content" ObjectID="_1468076264" r:id="rId982">
            <o:LockedField>false</o:LockedField>
          </o:OLEObject>
        </w:object>
      </w:r>
      <w:r>
        <w:rPr>
          <w:sz w:val="28"/>
          <w:szCs w:val="28"/>
        </w:rPr>
        <w:t xml:space="preserve"> </w:t>
      </w:r>
      <w:r>
        <w:rPr>
          <w:rFonts w:eastAsia="Calibri"/>
          <w:sz w:val="28"/>
          <w:szCs w:val="28"/>
          <w:lang w:eastAsia="en-US"/>
        </w:rPr>
        <w:t xml:space="preserve">государственные облигации </w:t>
      </w:r>
      <w:r>
        <w:rPr>
          <w:position w:val="-4"/>
          <w:sz w:val="28"/>
          <w:szCs w:val="28"/>
        </w:rPr>
        <w:object>
          <v:shape id="_x0000_i1565" o:spt="75" type="#_x0000_t75" style="height:15pt;width:20.25pt;" o:ole="t" filled="f" o:preferrelative="t" stroked="f" coordsize="21600,21600">
            <v:path/>
            <v:fill on="f" focussize="0,0"/>
            <v:stroke on="f" joinstyle="miter"/>
            <v:imagedata r:id="rId984" o:title=""/>
            <o:lock v:ext="edit" aspectratio="t"/>
            <w10:wrap type="none"/>
            <w10:anchorlock/>
          </v:shape>
          <o:OLEObject Type="Embed" ProgID="Equation.DSMT4" ShapeID="_x0000_i1565" DrawAspect="Content" ObjectID="_1468076265" r:id="rId983">
            <o:LockedField>false</o:LockedField>
          </o:OLEObject>
        </w:object>
      </w:r>
      <w:r>
        <w:rPr>
          <w:rFonts w:eastAsia="Calibri"/>
          <w:sz w:val="28"/>
          <w:szCs w:val="28"/>
          <w:lang w:eastAsia="en-US"/>
        </w:rPr>
        <w:t xml:space="preserve"> в момент времени </w:t>
      </w:r>
      <w:r>
        <w:rPr>
          <w:position w:val="-6"/>
          <w:sz w:val="28"/>
          <w:szCs w:val="28"/>
        </w:rPr>
        <w:object>
          <v:shape id="_x0000_i1566" o:spt="75" type="#_x0000_t75" style="height:12pt;width:24pt;" o:ole="t" filled="f" o:preferrelative="t" stroked="f" coordsize="21600,21600">
            <v:path/>
            <v:fill on="f" focussize="0,0"/>
            <v:stroke on="f" joinstyle="miter"/>
            <v:imagedata r:id="rId976" o:title=""/>
            <o:lock v:ext="edit" aspectratio="t"/>
            <w10:wrap type="none"/>
            <w10:anchorlock/>
          </v:shape>
          <o:OLEObject Type="Embed" ProgID="Equation.DSMT4" ShapeID="_x0000_i1566" DrawAspect="Content" ObjectID="_1468076266" r:id="rId985">
            <o:LockedField>false</o:LockedField>
          </o:OLEObject>
        </w:object>
      </w:r>
      <w:r>
        <w:rPr>
          <w:rFonts w:eastAsia="Calibri"/>
          <w:sz w:val="28"/>
          <w:szCs w:val="28"/>
          <w:lang w:eastAsia="en-US"/>
        </w:rPr>
        <w:t xml:space="preserve">.  Из утверждения 2 мы знаем, что банк </w:t>
      </w:r>
      <w:r>
        <w:rPr>
          <w:position w:val="-6"/>
          <w:sz w:val="28"/>
          <w:szCs w:val="28"/>
        </w:rPr>
        <w:object>
          <v:shape id="_x0000_i1567" o:spt="75" type="#_x0000_t75" style="height:13.5pt;width:9.75pt;" o:ole="t" filled="f" o:preferrelative="t" stroked="f" coordsize="21600,21600">
            <v:path/>
            <v:fill on="f" focussize="0,0"/>
            <v:stroke on="f" joinstyle="miter"/>
            <v:imagedata r:id="rId978" o:title=""/>
            <o:lock v:ext="edit" aspectratio="t"/>
            <w10:wrap type="none"/>
            <w10:anchorlock/>
          </v:shape>
          <o:OLEObject Type="Embed" ProgID="Equation.DSMT4" ShapeID="_x0000_i1567" DrawAspect="Content" ObjectID="_1468076267" r:id="rId986">
            <o:LockedField>false</o:LockedField>
          </o:OLEObject>
        </w:object>
      </w:r>
      <w:r>
        <w:rPr>
          <w:rFonts w:eastAsia="Calibri"/>
          <w:sz w:val="28"/>
          <w:szCs w:val="28"/>
          <w:lang w:eastAsia="en-US"/>
        </w:rPr>
        <w:t xml:space="preserve"> будет платежеспособным по схеме 2 всякий раз, когда новые кредиты будут успешными, что происходит с вероятностью </w:t>
      </w:r>
      <w:r>
        <w:rPr>
          <w:position w:val="-10"/>
          <w:sz w:val="28"/>
          <w:szCs w:val="28"/>
        </w:rPr>
        <w:object>
          <v:shape id="_x0000_i1568" o:spt="75" type="#_x0000_t75" style="height:18.75pt;width:15.75pt;" o:ole="t" filled="f" o:preferrelative="t" stroked="f" coordsize="21600,21600">
            <v:path/>
            <v:fill on="f" focussize="0,0"/>
            <v:stroke on="f" joinstyle="miter"/>
            <v:imagedata r:id="rId988" o:title=""/>
            <o:lock v:ext="edit" aspectratio="t"/>
            <w10:wrap type="none"/>
            <w10:anchorlock/>
          </v:shape>
          <o:OLEObject Type="Embed" ProgID="Equation.DSMT4" ShapeID="_x0000_i1568" DrawAspect="Content" ObjectID="_1468076268" r:id="rId987">
            <o:LockedField>false</o:LockedField>
          </o:OLEObject>
        </w:object>
      </w:r>
      <w:r>
        <w:rPr>
          <w:rFonts w:eastAsia="Calibri"/>
          <w:sz w:val="28"/>
          <w:szCs w:val="28"/>
          <w:lang w:eastAsia="en-US"/>
        </w:rPr>
        <w:t xml:space="preserve">. Они терпят неудачу с вероятностью </w:t>
      </w:r>
      <w:r>
        <w:rPr>
          <w:position w:val="-10"/>
          <w:sz w:val="28"/>
          <w:szCs w:val="28"/>
        </w:rPr>
        <w:object>
          <v:shape id="_x0000_i1569" o:spt="75" type="#_x0000_t75" style="height:18.75pt;width:30pt;" o:ole="t" filled="f" o:preferrelative="t" stroked="f" coordsize="21600,21600">
            <v:path/>
            <v:fill on="f" focussize="0,0"/>
            <v:stroke on="f" joinstyle="miter"/>
            <v:imagedata r:id="rId990" o:title=""/>
            <o:lock v:ext="edit" aspectratio="t"/>
            <w10:wrap type="none"/>
            <w10:anchorlock/>
          </v:shape>
          <o:OLEObject Type="Embed" ProgID="Equation.DSMT4" ShapeID="_x0000_i1569" DrawAspect="Content" ObjectID="_1468076269" r:id="rId989">
            <o:LockedField>false</o:LockedField>
          </o:OLEObject>
        </w:object>
      </w:r>
      <w:r>
        <w:rPr>
          <w:rFonts w:eastAsia="Calibri"/>
          <w:sz w:val="28"/>
          <w:szCs w:val="28"/>
          <w:lang w:eastAsia="en-US"/>
        </w:rPr>
        <w:t xml:space="preserve">. Тогда банк </w:t>
      </w:r>
      <w:r>
        <w:rPr>
          <w:position w:val="-6"/>
          <w:sz w:val="28"/>
          <w:szCs w:val="28"/>
        </w:rPr>
        <w:object>
          <v:shape id="_x0000_i1570" o:spt="75" type="#_x0000_t75" style="height:13.5pt;width:9.75pt;" o:ole="t" filled="f" o:preferrelative="t" stroked="f" coordsize="21600,21600">
            <v:path/>
            <v:fill on="f" focussize="0,0"/>
            <v:stroke on="f" joinstyle="miter"/>
            <v:imagedata r:id="rId978" o:title=""/>
            <o:lock v:ext="edit" aspectratio="t"/>
            <w10:wrap type="none"/>
            <w10:anchorlock/>
          </v:shape>
          <o:OLEObject Type="Embed" ProgID="Equation.DSMT4" ShapeID="_x0000_i1570" DrawAspect="Content" ObjectID="_1468076270" r:id="rId991">
            <o:LockedField>false</o:LockedField>
          </o:OLEObject>
        </w:object>
      </w:r>
      <w:r>
        <w:rPr>
          <w:sz w:val="28"/>
          <w:szCs w:val="28"/>
        </w:rPr>
        <w:t xml:space="preserve"> </w:t>
      </w:r>
      <w:r>
        <w:rPr>
          <w:rFonts w:eastAsia="Calibri"/>
          <w:sz w:val="28"/>
          <w:szCs w:val="28"/>
          <w:lang w:eastAsia="en-US"/>
        </w:rPr>
        <w:t xml:space="preserve">является неплатежеспособным, так что у фонда проблемных активов </w:t>
      </w:r>
      <w:r>
        <w:rPr>
          <w:position w:val="-6"/>
          <w:sz w:val="28"/>
          <w:szCs w:val="28"/>
        </w:rPr>
        <w:object>
          <v:shape id="_x0000_i1571" o:spt="75" type="#_x0000_t75" style="height:13.5pt;width:11.25pt;" o:ole="t" filled="f" o:preferrelative="t" stroked="f" coordsize="21600,21600">
            <v:path/>
            <v:fill on="f" focussize="0,0"/>
            <v:stroke on="f" joinstyle="miter"/>
            <v:imagedata r:id="rId974" o:title=""/>
            <o:lock v:ext="edit" aspectratio="t"/>
            <w10:wrap type="none"/>
            <w10:anchorlock/>
          </v:shape>
          <o:OLEObject Type="Embed" ProgID="Equation.DSMT4" ShapeID="_x0000_i1571" DrawAspect="Content" ObjectID="_1468076271" r:id="rId992">
            <o:LockedField>false</o:LockedField>
          </o:OLEObject>
        </w:object>
      </w:r>
      <w:r>
        <w:rPr>
          <w:rFonts w:eastAsia="Calibri"/>
          <w:sz w:val="28"/>
          <w:szCs w:val="28"/>
          <w:lang w:eastAsia="en-US"/>
        </w:rPr>
        <w:t xml:space="preserve"> останутся остаточные требования на активы банка </w:t>
      </w:r>
      <w:r>
        <w:rPr>
          <w:position w:val="-6"/>
          <w:sz w:val="28"/>
          <w:szCs w:val="28"/>
        </w:rPr>
        <w:object>
          <v:shape id="_x0000_i1572" o:spt="75" type="#_x0000_t75" style="height:13.5pt;width:9.75pt;" o:ole="t" filled="f" o:preferrelative="t" stroked="f" coordsize="21600,21600">
            <v:path/>
            <v:fill on="f" focussize="0,0"/>
            <v:stroke on="f" joinstyle="miter"/>
            <v:imagedata r:id="rId978" o:title=""/>
            <o:lock v:ext="edit" aspectratio="t"/>
            <w10:wrap type="none"/>
            <w10:anchorlock/>
          </v:shape>
          <o:OLEObject Type="Embed" ProgID="Equation.DSMT4" ShapeID="_x0000_i1572" DrawAspect="Content" ObjectID="_1468076272" r:id="rId993">
            <o:LockedField>false</o:LockedField>
          </o:OLEObject>
        </w:object>
      </w:r>
      <w:r>
        <w:rPr>
          <w:rFonts w:eastAsia="Calibri"/>
          <w:sz w:val="28"/>
          <w:szCs w:val="28"/>
          <w:lang w:eastAsia="en-US"/>
        </w:rPr>
        <w:t>. Следовательно, ожидаемые расходы налогоплательщиков по схеме </w:t>
      </w:r>
      <w:r>
        <w:rPr>
          <w:position w:val="-6"/>
          <w:sz w:val="28"/>
          <w:szCs w:val="28"/>
        </w:rPr>
        <w:object>
          <v:shape id="_x0000_i1573" o:spt="75" type="#_x0000_t75" style="height:13.5pt;width:15.75pt;" o:ole="t" filled="f" o:preferrelative="t" stroked="f" coordsize="21600,21600">
            <v:path/>
            <v:fill on="f" focussize="0,0"/>
            <v:stroke on="f" joinstyle="miter"/>
            <v:imagedata r:id="rId995" o:title=""/>
            <o:lock v:ext="edit" aspectratio="t"/>
            <w10:wrap type="none"/>
            <w10:anchorlock/>
          </v:shape>
          <o:OLEObject Type="Embed" ProgID="Equation.DSMT4" ShapeID="_x0000_i1573" DrawAspect="Content" ObjectID="_1468076273" r:id="rId994">
            <o:LockedField>false</o:LockedField>
          </o:OLEObject>
        </w:object>
      </w:r>
      <w:r>
        <w:rPr>
          <w:rFonts w:eastAsia="Calibri"/>
          <w:sz w:val="28"/>
          <w:szCs w:val="28"/>
          <w:lang w:eastAsia="en-US"/>
        </w:rPr>
        <w:t xml:space="preserve"> будут определены формулой</w:t>
      </w:r>
    </w:p>
    <w:p w14:paraId="0D4CFBEF">
      <w:pPr>
        <w:pStyle w:val="37"/>
        <w:rPr>
          <w:rFonts w:eastAsia="Calibri"/>
          <w:sz w:val="28"/>
          <w:szCs w:val="28"/>
          <w:lang w:eastAsia="en-US"/>
        </w:rPr>
      </w:pPr>
    </w:p>
    <w:p w14:paraId="5D69BE63">
      <w:pPr>
        <w:pStyle w:val="38"/>
        <w:spacing w:before="0" w:after="0"/>
        <w:rPr>
          <w:sz w:val="28"/>
          <w:szCs w:val="28"/>
        </w:rPr>
      </w:pPr>
      <w:r>
        <w:rPr>
          <w:sz w:val="28"/>
          <w:szCs w:val="28"/>
        </w:rPr>
        <w:tab/>
      </w:r>
      <w:r>
        <w:rPr>
          <w:sz w:val="28"/>
          <w:szCs w:val="28"/>
        </w:rPr>
        <w:t xml:space="preserve">                  </w:t>
      </w:r>
      <w:r>
        <w:rPr>
          <w:position w:val="-34"/>
          <w:sz w:val="28"/>
          <w:szCs w:val="28"/>
        </w:rPr>
        <w:object>
          <v:shape id="_x0000_i1574" o:spt="75" type="#_x0000_t75" style="height:40.5pt;width:217.5pt;" o:ole="t" filled="f" o:preferrelative="t" stroked="f" coordsize="21600,21600">
            <v:path/>
            <v:fill on="f" focussize="0,0"/>
            <v:stroke on="f" joinstyle="miter"/>
            <v:imagedata r:id="rId997" o:title=""/>
            <o:lock v:ext="edit" aspectratio="t"/>
            <w10:wrap type="none"/>
            <w10:anchorlock/>
          </v:shape>
          <o:OLEObject Type="Embed" ProgID="Equation.DSMT4" ShapeID="_x0000_i1574" DrawAspect="Content" ObjectID="_1468076274" r:id="rId996">
            <o:LockedField>false</o:LockedField>
          </o:OLEObject>
        </w:object>
      </w:r>
      <w:r>
        <w:rPr>
          <w:sz w:val="28"/>
          <w:szCs w:val="28"/>
        </w:rPr>
        <w:tab/>
      </w:r>
      <w:r>
        <w:rPr>
          <w:sz w:val="28"/>
          <w:szCs w:val="28"/>
        </w:rPr>
        <w:t xml:space="preserve">                         (50)</w:t>
      </w:r>
    </w:p>
    <w:p w14:paraId="3CB9CF81">
      <w:pPr>
        <w:pStyle w:val="37"/>
        <w:rPr>
          <w:rFonts w:eastAsia="Calibri"/>
          <w:sz w:val="28"/>
          <w:szCs w:val="28"/>
          <w:lang w:eastAsia="en-US"/>
        </w:rPr>
      </w:pPr>
    </w:p>
    <w:p w14:paraId="3F5A6526">
      <w:pPr>
        <w:pStyle w:val="37"/>
        <w:rPr>
          <w:rFonts w:eastAsia="Calibri"/>
          <w:sz w:val="28"/>
          <w:szCs w:val="28"/>
          <w:lang w:eastAsia="en-US"/>
        </w:rPr>
      </w:pPr>
      <w:r>
        <w:rPr>
          <w:rFonts w:eastAsia="Calibri"/>
          <w:sz w:val="28"/>
          <w:szCs w:val="28"/>
          <w:lang w:eastAsia="en-US"/>
        </w:rPr>
        <w:t xml:space="preserve">Первое слагаемое в правой части (50) отражает расходы домашних хозяйств в случае, когда успешен только проблемный актив. Тогда доход </w:t>
      </w:r>
      <w:r>
        <w:rPr>
          <w:position w:val="-4"/>
          <w:sz w:val="28"/>
          <w:szCs w:val="28"/>
        </w:rPr>
        <w:object>
          <v:shape id="_x0000_i1575" o:spt="75" type="#_x0000_t75" style="height:15pt;width:16.5pt;" o:ole="t" filled="f" o:preferrelative="t" stroked="f" coordsize="21600,21600">
            <v:path/>
            <v:fill on="f" focussize="0,0"/>
            <v:stroke on="f" joinstyle="miter"/>
            <v:imagedata r:id="rId999" o:title=""/>
            <o:lock v:ext="edit" aspectratio="t"/>
            <w10:wrap type="none"/>
            <w10:anchorlock/>
          </v:shape>
          <o:OLEObject Type="Embed" ProgID="Equation.DSMT4" ShapeID="_x0000_i1575" DrawAspect="Content" ObjectID="_1468076275" r:id="rId998">
            <o:LockedField>false</o:LockedField>
          </o:OLEObject>
        </w:object>
      </w:r>
      <w:r>
        <w:rPr>
          <w:rFonts w:eastAsia="Calibri"/>
          <w:sz w:val="28"/>
          <w:szCs w:val="28"/>
          <w:lang w:eastAsia="en-US"/>
        </w:rPr>
        <w:t xml:space="preserve"> от проблемного актива будет использован для погашения требований по депозитам. Для урегулирования оставшейся претензии </w:t>
      </w:r>
      <w:r>
        <w:rPr>
          <w:position w:val="-4"/>
          <w:sz w:val="28"/>
          <w:szCs w:val="28"/>
        </w:rPr>
        <w:object>
          <v:shape id="_x0000_i1576" o:spt="75" type="#_x0000_t75" style="height:15pt;width:42pt;" o:ole="t" filled="f" o:preferrelative="t" stroked="f" coordsize="21600,21600">
            <v:path/>
            <v:fill on="f" focussize="0,0"/>
            <v:stroke on="f" joinstyle="miter"/>
            <v:imagedata r:id="rId1001" o:title=""/>
            <o:lock v:ext="edit" aspectratio="t"/>
            <w10:wrap type="none"/>
            <w10:anchorlock/>
          </v:shape>
          <o:OLEObject Type="Embed" ProgID="Equation.DSMT4" ShapeID="_x0000_i1576" DrawAspect="Content" ObjectID="_1468076276" r:id="rId1000">
            <o:LockedField>false</o:LockedField>
          </o:OLEObject>
        </w:object>
      </w:r>
      <w:r>
        <w:rPr>
          <w:rFonts w:eastAsia="Calibri"/>
          <w:sz w:val="28"/>
          <w:szCs w:val="28"/>
          <w:lang w:eastAsia="en-US"/>
        </w:rPr>
        <w:t xml:space="preserve"> вкладчиков будут использованы государственные облигации. Следовательно, фонд проблемных активов либо потеряет государственные облигации на сумму </w:t>
      </w:r>
      <w:r>
        <w:rPr>
          <w:position w:val="-4"/>
          <w:sz w:val="28"/>
          <w:szCs w:val="28"/>
        </w:rPr>
        <w:object>
          <v:shape id="_x0000_i1577" o:spt="75" type="#_x0000_t75" style="height:15pt;width:42pt;" o:ole="t" filled="f" o:preferrelative="t" stroked="f" coordsize="21600,21600">
            <v:path/>
            <v:fill on="f" focussize="0,0"/>
            <v:stroke on="f" joinstyle="miter"/>
            <v:imagedata r:id="rId1001" o:title=""/>
            <o:lock v:ext="edit" aspectratio="t"/>
            <w10:wrap type="none"/>
            <w10:anchorlock/>
          </v:shape>
          <o:OLEObject Type="Embed" ProgID="Equation.DSMT4" ShapeID="_x0000_i1577" DrawAspect="Content" ObjectID="_1468076277" r:id="rId1002">
            <o:LockedField>false</o:LockedField>
          </o:OLEObject>
        </w:object>
      </w:r>
      <w:r>
        <w:rPr>
          <w:rFonts w:eastAsia="Calibri"/>
          <w:sz w:val="28"/>
          <w:szCs w:val="28"/>
          <w:lang w:eastAsia="en-US"/>
        </w:rPr>
        <w:t xml:space="preserve">, либо потеряет все свое требование </w:t>
      </w:r>
      <w:r>
        <w:rPr>
          <w:position w:val="-4"/>
          <w:sz w:val="28"/>
          <w:szCs w:val="28"/>
        </w:rPr>
        <w:object>
          <v:shape id="_x0000_i1578" o:spt="75" type="#_x0000_t75" style="height:15pt;width:20.25pt;" o:ole="t" filled="f" o:preferrelative="t" stroked="f" coordsize="21600,21600">
            <v:path/>
            <v:fill on="f" focussize="0,0"/>
            <v:stroke on="f" joinstyle="miter"/>
            <v:imagedata r:id="rId1004" o:title=""/>
            <o:lock v:ext="edit" aspectratio="t"/>
            <w10:wrap type="none"/>
            <w10:anchorlock/>
          </v:shape>
          <o:OLEObject Type="Embed" ProgID="Equation.DSMT4" ShapeID="_x0000_i1578" DrawAspect="Content" ObjectID="_1468076278" r:id="rId1003">
            <o:LockedField>false</o:LockedField>
          </o:OLEObject>
        </w:object>
      </w:r>
      <w:r>
        <w:rPr>
          <w:rFonts w:eastAsia="Calibri"/>
          <w:sz w:val="28"/>
          <w:szCs w:val="28"/>
          <w:lang w:eastAsia="en-US"/>
        </w:rPr>
        <w:t xml:space="preserve"> к банку </w:t>
      </w:r>
      <w:r>
        <w:rPr>
          <w:position w:val="-6"/>
          <w:sz w:val="28"/>
          <w:szCs w:val="28"/>
        </w:rPr>
        <w:object>
          <v:shape id="_x0000_i1579" o:spt="75" type="#_x0000_t75" style="height:13.5pt;width:9.75pt;" o:ole="t" filled="f" o:preferrelative="t" stroked="f" coordsize="21600,21600">
            <v:path/>
            <v:fill on="f" focussize="0,0"/>
            <v:stroke on="f" joinstyle="miter"/>
            <v:imagedata r:id="rId1006" o:title=""/>
            <o:lock v:ext="edit" aspectratio="t"/>
            <w10:wrap type="none"/>
            <w10:anchorlock/>
          </v:shape>
          <o:OLEObject Type="Embed" ProgID="Equation.DSMT4" ShapeID="_x0000_i1579" DrawAspect="Content" ObjectID="_1468076279" r:id="rId1005">
            <o:LockedField>false</o:LockedField>
          </o:OLEObject>
        </w:object>
      </w:r>
      <w:r>
        <w:rPr>
          <w:rFonts w:eastAsia="Calibri"/>
          <w:sz w:val="28"/>
          <w:szCs w:val="28"/>
          <w:lang w:eastAsia="en-US"/>
        </w:rPr>
        <w:t xml:space="preserve">, в зависимости от того, какая сумма меньше.  Второе слагаемое в правой части (50) отражает затраты в случае, когда неуспешны оба актива. Напомним из раздела 2.2.2, что, если банк </w:t>
      </w:r>
      <w:r>
        <w:rPr>
          <w:position w:val="-6"/>
          <w:sz w:val="28"/>
          <w:szCs w:val="28"/>
        </w:rPr>
        <w:object>
          <v:shape id="_x0000_i1580" o:spt="75" type="#_x0000_t75" style="height:13.5pt;width:9.75pt;" o:ole="t" filled="f" o:preferrelative="t" stroked="f" coordsize="21600,21600">
            <v:path/>
            <v:fill on="f" focussize="0,0"/>
            <v:stroke on="f" joinstyle="miter"/>
            <v:imagedata r:id="rId1006" o:title=""/>
            <o:lock v:ext="edit" aspectratio="t"/>
            <w10:wrap type="none"/>
            <w10:anchorlock/>
          </v:shape>
          <o:OLEObject Type="Embed" ProgID="Equation.DSMT4" ShapeID="_x0000_i1580" DrawAspect="Content" ObjectID="_1468076280" r:id="rId1007">
            <o:LockedField>false</o:LockedField>
          </o:OLEObject>
        </w:object>
      </w:r>
      <w:r>
        <w:rPr>
          <w:rFonts w:eastAsia="Calibri"/>
          <w:sz w:val="28"/>
          <w:szCs w:val="28"/>
          <w:lang w:eastAsia="en-US"/>
        </w:rPr>
        <w:t xml:space="preserve"> передает проблемный актив в фонд </w:t>
      </w:r>
      <w:r>
        <w:rPr>
          <w:position w:val="-6"/>
          <w:sz w:val="28"/>
          <w:szCs w:val="28"/>
        </w:rPr>
        <w:object>
          <v:shape id="_x0000_i1581" o:spt="75" type="#_x0000_t75" style="height:13.5pt;width:11.25pt;" o:ole="t" filled="f" o:preferrelative="t" stroked="f" coordsize="21600,21600">
            <v:path/>
            <v:fill on="f" focussize="0,0"/>
            <v:stroke on="f" joinstyle="miter"/>
            <v:imagedata r:id="rId1009" o:title=""/>
            <o:lock v:ext="edit" aspectratio="t"/>
            <w10:wrap type="none"/>
            <w10:anchorlock/>
          </v:shape>
          <o:OLEObject Type="Embed" ProgID="Equation.DSMT4" ShapeID="_x0000_i1581" DrawAspect="Content" ObjectID="_1468076281" r:id="rId1008">
            <o:LockedField>false</o:LockedField>
          </o:OLEObject>
        </w:object>
      </w:r>
      <w:r>
        <w:rPr>
          <w:rFonts w:eastAsia="Calibri"/>
          <w:sz w:val="28"/>
          <w:szCs w:val="28"/>
          <w:lang w:eastAsia="en-US"/>
        </w:rPr>
        <w:t xml:space="preserve">, он всегда будет предоставлять максимальный объем </w:t>
      </w:r>
      <w:r>
        <w:rPr>
          <w:position w:val="-12"/>
          <w:sz w:val="28"/>
          <w:szCs w:val="28"/>
        </w:rPr>
        <w:object>
          <v:shape id="_x0000_i1582" o:spt="75" type="#_x0000_t75" style="height:19.5pt;width:24.75pt;" o:ole="t" filled="f" o:preferrelative="t" stroked="f" coordsize="21600,21600">
            <v:path/>
            <v:fill on="f" focussize="0,0"/>
            <v:stroke on="f" joinstyle="miter"/>
            <v:imagedata r:id="rId1011" o:title=""/>
            <o:lock v:ext="edit" aspectratio="t"/>
            <w10:wrap type="none"/>
            <w10:anchorlock/>
          </v:shape>
          <o:OLEObject Type="Embed" ProgID="Equation.DSMT4" ShapeID="_x0000_i1582" DrawAspect="Content" ObjectID="_1468076282" r:id="rId1010">
            <o:LockedField>false</o:LockedField>
          </o:OLEObject>
        </w:object>
      </w:r>
      <w:r>
        <w:rPr>
          <w:rFonts w:eastAsia="Calibri"/>
          <w:sz w:val="28"/>
          <w:szCs w:val="28"/>
          <w:lang w:eastAsia="en-US"/>
        </w:rPr>
        <w:t xml:space="preserve"> новых кредитов. Из-за (26) и (29) мы поэтому имеем, что суммарные депозиты </w:t>
      </w:r>
      <w:r>
        <w:rPr>
          <w:position w:val="-12"/>
          <w:sz w:val="28"/>
          <w:szCs w:val="28"/>
        </w:rPr>
        <w:object>
          <v:shape id="_x0000_i1583" o:spt="75" type="#_x0000_t75" style="height:19.5pt;width:79.5pt;" o:ole="t" filled="f" o:preferrelative="t" stroked="f" coordsize="21600,21600">
            <v:path/>
            <v:fill on="f" focussize="0,0"/>
            <v:stroke on="f" joinstyle="miter"/>
            <v:imagedata r:id="rId1013" o:title=""/>
            <o:lock v:ext="edit" aspectratio="t"/>
            <w10:wrap type="none"/>
            <w10:anchorlock/>
          </v:shape>
          <o:OLEObject Type="Embed" ProgID="Equation.DSMT4" ShapeID="_x0000_i1583" DrawAspect="Content" ObjectID="_1468076283" r:id="rId1012">
            <o:LockedField>false</o:LockedField>
          </o:OLEObject>
        </w:object>
      </w:r>
      <w:r>
        <w:rPr>
          <w:rFonts w:eastAsia="Calibri"/>
          <w:sz w:val="28"/>
          <w:szCs w:val="28"/>
          <w:lang w:eastAsia="en-US"/>
        </w:rPr>
        <w:t xml:space="preserve">, так что (50) становится </w:t>
      </w:r>
    </w:p>
    <w:p w14:paraId="09E7421E">
      <w:pPr>
        <w:pStyle w:val="37"/>
        <w:rPr>
          <w:rFonts w:eastAsia="Calibri"/>
          <w:sz w:val="28"/>
          <w:szCs w:val="28"/>
          <w:lang w:eastAsia="en-US"/>
        </w:rPr>
      </w:pPr>
    </w:p>
    <w:p w14:paraId="07E02E2D">
      <w:pPr>
        <w:pStyle w:val="38"/>
        <w:spacing w:before="0" w:after="0"/>
        <w:rPr>
          <w:sz w:val="28"/>
          <w:szCs w:val="28"/>
        </w:rPr>
      </w:pPr>
      <w:r>
        <w:rPr>
          <w:sz w:val="28"/>
          <w:szCs w:val="28"/>
        </w:rPr>
        <w:t xml:space="preserve">               </w:t>
      </w:r>
      <w:r>
        <w:rPr>
          <w:position w:val="-16"/>
          <w:sz w:val="28"/>
          <w:szCs w:val="28"/>
        </w:rPr>
        <w:object>
          <v:shape id="_x0000_i1584" o:spt="75" type="#_x0000_t75" style="height:22.5pt;width:322.5pt;" o:ole="t" filled="f" o:preferrelative="t" stroked="f" coordsize="21600,21600">
            <v:path/>
            <v:fill on="f" focussize="0,0"/>
            <v:stroke on="f" joinstyle="miter"/>
            <v:imagedata r:id="rId1015" o:title=""/>
            <o:lock v:ext="edit" aspectratio="t"/>
            <w10:wrap type="none"/>
            <w10:anchorlock/>
          </v:shape>
          <o:OLEObject Type="Embed" ProgID="Equation.DSMT4" ShapeID="_x0000_i1584" DrawAspect="Content" ObjectID="_1468076284" r:id="rId1014">
            <o:LockedField>false</o:LockedField>
          </o:OLEObject>
        </w:object>
      </w:r>
      <w:r>
        <w:rPr>
          <w:sz w:val="28"/>
          <w:szCs w:val="28"/>
        </w:rPr>
        <w:tab/>
      </w:r>
      <w:r>
        <w:rPr>
          <w:sz w:val="28"/>
          <w:szCs w:val="28"/>
        </w:rPr>
        <w:t xml:space="preserve">    (51)</w:t>
      </w:r>
    </w:p>
    <w:p w14:paraId="3E582D72">
      <w:pPr>
        <w:pStyle w:val="37"/>
        <w:rPr>
          <w:rFonts w:eastAsia="Calibri"/>
          <w:sz w:val="28"/>
          <w:szCs w:val="28"/>
          <w:lang w:eastAsia="en-US"/>
        </w:rPr>
      </w:pPr>
    </w:p>
    <w:p w14:paraId="57D431A0">
      <w:pPr>
        <w:pStyle w:val="2"/>
        <w:spacing w:before="0" w:line="240" w:lineRule="auto"/>
        <w:ind w:firstLine="709"/>
        <w:rPr>
          <w:rFonts w:ascii="Times New Roman" w:hAnsi="Times New Roman" w:eastAsia="Calibri" w:cs="Times New Roman"/>
          <w:color w:val="auto"/>
        </w:rPr>
      </w:pPr>
      <w:bookmarkStart w:id="30" w:name="_Toc219671673"/>
      <w:r>
        <w:rPr>
          <w:rFonts w:ascii="Times New Roman" w:hAnsi="Times New Roman" w:eastAsia="Calibri" w:cs="Times New Roman"/>
          <w:color w:val="auto"/>
        </w:rPr>
        <w:t>Восстановление стабильности банковского сектора</w:t>
      </w:r>
      <w:bookmarkEnd w:id="30"/>
    </w:p>
    <w:p w14:paraId="02809E58">
      <w:pPr>
        <w:pStyle w:val="4"/>
        <w:spacing w:before="0" w:beforeAutospacing="0" w:after="0" w:afterAutospacing="0"/>
        <w:jc w:val="both"/>
        <w:rPr>
          <w:rFonts w:eastAsia="Calibri"/>
          <w:sz w:val="28"/>
          <w:szCs w:val="28"/>
        </w:rPr>
      </w:pPr>
    </w:p>
    <w:p w14:paraId="1B4759EE">
      <w:pPr>
        <w:pStyle w:val="37"/>
        <w:rPr>
          <w:rFonts w:eastAsia="Calibri"/>
          <w:sz w:val="28"/>
          <w:szCs w:val="28"/>
          <w:lang w:eastAsia="en-US"/>
        </w:rPr>
      </w:pPr>
      <w:r>
        <w:rPr>
          <w:rFonts w:eastAsia="Calibri"/>
          <w:sz w:val="28"/>
          <w:szCs w:val="28"/>
          <w:lang w:eastAsia="en-US"/>
        </w:rPr>
        <w:t xml:space="preserve">Основная проблема последствий финансового кризиса заключается в том, что банкротство крупных системно значимых банков может распространиться на всю финансовую систему, что приведет к значительной неустойчивости в банковском секторе. Поэтому ЛПР, желающее снизить риск такой нестабильности банковского сектора во время кризиса, должен принять меры для повышения платежеспособности этих системно значимых банков. Модель предполагает, что сделки с фондом проблемных активов могут быть полезны в этом отношении. В данном разделе рассматривается вопрос, какую схему нужно применять ЛПР, если оно хочет повысить платежеспособность крупного банка </w:t>
      </w:r>
      <w:r>
        <w:rPr>
          <w:position w:val="-6"/>
          <w:sz w:val="28"/>
          <w:szCs w:val="28"/>
        </w:rPr>
        <w:object>
          <v:shape id="_x0000_i1585" o:spt="75" type="#_x0000_t75" style="height:13.5pt;width:9.75pt;" o:ole="t" filled="f" o:preferrelative="t" stroked="f" coordsize="21600,21600">
            <v:path/>
            <v:fill on="f" focussize="0,0"/>
            <v:stroke on="f" joinstyle="miter"/>
            <v:imagedata r:id="rId1017" o:title=""/>
            <o:lock v:ext="edit" aspectratio="t"/>
            <w10:wrap type="none"/>
            <w10:anchorlock/>
          </v:shape>
          <o:OLEObject Type="Embed" ProgID="Equation.DSMT4" ShapeID="_x0000_i1585" DrawAspect="Content" ObjectID="_1468076285" r:id="rId1016">
            <o:LockedField>false</o:LockedField>
          </o:OLEObject>
        </w:object>
      </w:r>
      <w:r>
        <w:rPr>
          <w:rFonts w:eastAsia="Calibri"/>
          <w:sz w:val="28"/>
          <w:szCs w:val="28"/>
          <w:lang w:eastAsia="en-US"/>
        </w:rPr>
        <w:t xml:space="preserve"> при минимальных затратах для домашних хозяйств </w:t>
      </w:r>
      <w:r>
        <w:rPr>
          <w:position w:val="-6"/>
          <w:sz w:val="28"/>
          <w:szCs w:val="28"/>
        </w:rPr>
        <w:object>
          <v:shape id="_x0000_i1586" o:spt="75" type="#_x0000_t75" style="height:13.5pt;width:9.75pt;" o:ole="t" filled="f" o:preferrelative="t" stroked="f" coordsize="21600,21600">
            <v:path/>
            <v:fill on="f" focussize="0,0"/>
            <v:stroke on="f" joinstyle="miter"/>
            <v:imagedata r:id="rId1019" o:title=""/>
            <o:lock v:ext="edit" aspectratio="t"/>
            <w10:wrap type="none"/>
            <w10:anchorlock/>
          </v:shape>
          <o:OLEObject Type="Embed" ProgID="Equation.DSMT4" ShapeID="_x0000_i1586" DrawAspect="Content" ObjectID="_1468076286" r:id="rId1018">
            <o:LockedField>false</o:LockedField>
          </o:OLEObject>
        </w:object>
      </w:r>
      <w:r>
        <w:rPr>
          <w:rFonts w:eastAsia="Calibri"/>
          <w:sz w:val="28"/>
          <w:szCs w:val="28"/>
          <w:lang w:eastAsia="en-US"/>
        </w:rPr>
        <w:t xml:space="preserve">. </w:t>
      </w:r>
    </w:p>
    <w:p w14:paraId="1B51CFA4">
      <w:pPr>
        <w:pStyle w:val="37"/>
        <w:rPr>
          <w:rFonts w:eastAsia="Calibri"/>
          <w:sz w:val="28"/>
          <w:szCs w:val="28"/>
          <w:lang w:eastAsia="en-US"/>
        </w:rPr>
      </w:pPr>
      <w:r>
        <w:rPr>
          <w:rFonts w:eastAsia="Calibri"/>
          <w:sz w:val="28"/>
          <w:szCs w:val="28"/>
          <w:lang w:eastAsia="en-US"/>
        </w:rPr>
        <w:t xml:space="preserve">Из утверждений 1 и 2 мы знаем, что ЛПР может повысить платежеспособность банка </w:t>
      </w:r>
      <w:r>
        <w:rPr>
          <w:position w:val="-6"/>
          <w:sz w:val="28"/>
          <w:szCs w:val="28"/>
        </w:rPr>
        <w:object>
          <v:shape id="_x0000_i1587" o:spt="75" type="#_x0000_t75" style="height:13.5pt;width:9.75pt;" o:ole="t" filled="f" o:preferrelative="t" stroked="f" coordsize="21600,21600">
            <v:path/>
            <v:fill on="f" focussize="0,0"/>
            <v:stroke on="f" joinstyle="miter"/>
            <v:imagedata r:id="rId1017" o:title=""/>
            <o:lock v:ext="edit" aspectratio="t"/>
            <w10:wrap type="none"/>
            <w10:anchorlock/>
          </v:shape>
          <o:OLEObject Type="Embed" ProgID="Equation.DSMT4" ShapeID="_x0000_i1587" DrawAspect="Content" ObjectID="_1468076287" r:id="rId1020">
            <o:LockedField>false</o:LockedField>
          </o:OLEObject>
        </w:object>
      </w:r>
      <w:r>
        <w:rPr>
          <w:rFonts w:eastAsia="Calibri"/>
          <w:sz w:val="28"/>
          <w:szCs w:val="28"/>
          <w:lang w:eastAsia="en-US"/>
        </w:rPr>
        <w:t xml:space="preserve">, предложив сделку с фондом проблемных активов, достаточно выгодную для банка </w:t>
      </w:r>
      <w:r>
        <w:rPr>
          <w:position w:val="-6"/>
          <w:sz w:val="28"/>
          <w:szCs w:val="28"/>
        </w:rPr>
        <w:object>
          <v:shape id="_x0000_i1588" o:spt="75" type="#_x0000_t75" style="height:13.5pt;width:9.75pt;" o:ole="t" filled="f" o:preferrelative="t" stroked="f" coordsize="21600,21600">
            <v:path/>
            <v:fill on="f" focussize="0,0"/>
            <v:stroke on="f" joinstyle="miter"/>
            <v:imagedata r:id="rId1017" o:title=""/>
            <o:lock v:ext="edit" aspectratio="t"/>
            <w10:wrap type="none"/>
            <w10:anchorlock/>
          </v:shape>
          <o:OLEObject Type="Embed" ProgID="Equation.DSMT4" ShapeID="_x0000_i1588" DrawAspect="Content" ObjectID="_1468076288" r:id="rId1021">
            <o:LockedField>false</o:LockedField>
          </o:OLEObject>
        </w:object>
      </w:r>
      <w:r>
        <w:rPr>
          <w:rFonts w:eastAsia="Calibri"/>
          <w:sz w:val="28"/>
          <w:szCs w:val="28"/>
          <w:lang w:eastAsia="en-US"/>
        </w:rPr>
        <w:t xml:space="preserve">. То есть ЛПР должно предложить достаточное количество государственных облигаций </w:t>
      </w:r>
      <w:r>
        <w:rPr>
          <w:position w:val="-14"/>
          <w:sz w:val="28"/>
          <w:szCs w:val="28"/>
        </w:rPr>
        <w:object>
          <v:shape id="_x0000_i1589" o:spt="75" type="#_x0000_t75" style="height:20.25pt;width:34.5pt;" o:ole="t" filled="f" o:preferrelative="t" stroked="f" coordsize="21600,21600">
            <v:path/>
            <v:fill on="f" focussize="0,0"/>
            <v:stroke on="f" joinstyle="miter"/>
            <v:imagedata r:id="rId1023" o:title=""/>
            <o:lock v:ext="edit" aspectratio="t"/>
            <w10:wrap type="none"/>
            <w10:anchorlock/>
          </v:shape>
          <o:OLEObject Type="Embed" ProgID="Equation.DSMT4" ShapeID="_x0000_i1589" DrawAspect="Content" ObjectID="_1468076289" r:id="rId1022">
            <o:LockedField>false</o:LockedField>
          </o:OLEObject>
        </w:object>
      </w:r>
      <w:r>
        <w:rPr>
          <w:rFonts w:eastAsia="Calibri"/>
          <w:sz w:val="28"/>
          <w:szCs w:val="28"/>
          <w:lang w:eastAsia="en-US"/>
        </w:rPr>
        <w:t xml:space="preserve"> в обмен на проблемные активы, чтобы банк </w:t>
      </w:r>
      <w:r>
        <w:rPr>
          <w:position w:val="-6"/>
          <w:sz w:val="28"/>
          <w:szCs w:val="28"/>
        </w:rPr>
        <w:object>
          <v:shape id="_x0000_i1590" o:spt="75" type="#_x0000_t75" style="height:13.5pt;width:9.75pt;" o:ole="t" filled="f" o:preferrelative="t" stroked="f" coordsize="21600,21600">
            <v:path/>
            <v:fill on="f" focussize="0,0"/>
            <v:stroke on="f" joinstyle="miter"/>
            <v:imagedata r:id="rId1017" o:title=""/>
            <o:lock v:ext="edit" aspectratio="t"/>
            <w10:wrap type="none"/>
            <w10:anchorlock/>
          </v:shape>
          <o:OLEObject Type="Embed" ProgID="Equation.DSMT4" ShapeID="_x0000_i1590" DrawAspect="Content" ObjectID="_1468076290" r:id="rId1024">
            <o:LockedField>false</o:LockedField>
          </o:OLEObject>
        </w:object>
      </w:r>
      <w:r>
        <w:rPr>
          <w:rFonts w:eastAsia="Calibri"/>
          <w:sz w:val="28"/>
          <w:szCs w:val="28"/>
          <w:lang w:eastAsia="en-US"/>
        </w:rPr>
        <w:t xml:space="preserve"> воспользовался предложением </w:t>
      </w:r>
      <w:r>
        <w:rPr>
          <w:position w:val="-12"/>
          <w:sz w:val="28"/>
          <w:szCs w:val="28"/>
        </w:rPr>
        <w:object>
          <v:shape id="_x0000_i1591" o:spt="75" type="#_x0000_t75" style="height:19.5pt;width:70.5pt;" o:ole="t" filled="f" o:preferrelative="t" stroked="f" coordsize="21600,21600">
            <v:path/>
            <v:fill on="f" focussize="0,0"/>
            <v:stroke on="f" joinstyle="miter"/>
            <v:imagedata r:id="rId1026" o:title=""/>
            <o:lock v:ext="edit" aspectratio="t"/>
            <w10:wrap type="none"/>
            <w10:anchorlock/>
          </v:shape>
          <o:OLEObject Type="Embed" ProgID="Equation.DSMT4" ShapeID="_x0000_i1591" DrawAspect="Content" ObjectID="_1468076291" r:id="rId1025">
            <o:LockedField>false</o:LockedField>
          </o:OLEObject>
        </w:object>
      </w:r>
      <w:r>
        <w:rPr>
          <w:rFonts w:eastAsia="Calibri"/>
          <w:sz w:val="28"/>
          <w:szCs w:val="28"/>
          <w:lang w:eastAsia="en-US"/>
        </w:rPr>
        <w:t xml:space="preserve">. Более того, в случае сделки по схеме 2 (соглашения об обратном выкупе) объем новых кредитов должен быть достаточно большим, </w:t>
      </w:r>
      <w:r>
        <w:rPr>
          <w:position w:val="-14"/>
          <w:sz w:val="28"/>
          <w:szCs w:val="28"/>
        </w:rPr>
        <w:object>
          <v:shape id="_x0000_i1592" o:spt="75" type="#_x0000_t75" style="height:20.25pt;width:85.5pt;" o:ole="t" filled="f" o:preferrelative="t" stroked="f" coordsize="21600,21600">
            <v:path/>
            <v:fill on="f" focussize="0,0"/>
            <v:stroke on="f" joinstyle="miter"/>
            <v:imagedata r:id="rId817" o:title=""/>
            <o:lock v:ext="edit" aspectratio="t"/>
            <w10:wrap type="none"/>
            <w10:anchorlock/>
          </v:shape>
          <o:OLEObject Type="Embed" ProgID="Equation.DSMT4" ShapeID="_x0000_i1592" DrawAspect="Content" ObjectID="_1468076292" r:id="rId1027">
            <o:LockedField>false</o:LockedField>
          </o:OLEObject>
        </w:object>
      </w:r>
      <w:r>
        <w:rPr>
          <w:rFonts w:eastAsia="Calibri"/>
          <w:sz w:val="28"/>
          <w:szCs w:val="28"/>
          <w:lang w:eastAsia="en-US"/>
        </w:rPr>
        <w:t xml:space="preserve">, чтобы избежать неплатежеспособности, когда успешны только новые кредиты, что подразумевает </w:t>
      </w:r>
      <w:r>
        <w:rPr>
          <w:position w:val="-14"/>
          <w:sz w:val="28"/>
          <w:szCs w:val="28"/>
        </w:rPr>
        <w:object>
          <v:shape id="_x0000_i1593" o:spt="75" type="#_x0000_t75" style="height:20.25pt;width:79.5pt;" o:ole="t" filled="f" o:preferrelative="t" stroked="f" coordsize="21600,21600">
            <v:path/>
            <v:fill on="f" focussize="0,0"/>
            <v:stroke on="f" joinstyle="miter"/>
            <v:imagedata r:id="rId1029" o:title=""/>
            <o:lock v:ext="edit" aspectratio="t"/>
            <w10:wrap type="none"/>
            <w10:anchorlock/>
          </v:shape>
          <o:OLEObject Type="Embed" ProgID="Equation.DSMT4" ShapeID="_x0000_i1593" DrawAspect="Content" ObjectID="_1468076293" r:id="rId1028">
            <o:LockedField>false</o:LockedField>
          </o:OLEObject>
        </w:object>
      </w:r>
      <w:r>
        <w:rPr>
          <w:rFonts w:eastAsia="Calibri"/>
          <w:sz w:val="28"/>
          <w:szCs w:val="28"/>
          <w:lang w:eastAsia="en-US"/>
        </w:rPr>
        <w:t xml:space="preserve">. При соблюдении этих условий вероятность платежеспособности банка возрастает от </w:t>
      </w:r>
      <w:r>
        <w:rPr>
          <w:position w:val="-10"/>
          <w:sz w:val="28"/>
          <w:szCs w:val="28"/>
        </w:rPr>
        <w:object>
          <v:shape id="_x0000_i1594" o:spt="75" type="#_x0000_t75" style="height:13.5pt;width:12pt;" o:ole="t" filled="f" o:preferrelative="t" stroked="f" coordsize="21600,21600">
            <v:path/>
            <v:fill on="f" focussize="0,0"/>
            <v:stroke on="f" joinstyle="miter"/>
            <v:imagedata r:id="rId1031" o:title=""/>
            <o:lock v:ext="edit" aspectratio="t"/>
            <w10:wrap type="none"/>
            <w10:anchorlock/>
          </v:shape>
          <o:OLEObject Type="Embed" ProgID="Equation.DSMT4" ShapeID="_x0000_i1594" DrawAspect="Content" ObjectID="_1468076294" r:id="rId1030">
            <o:LockedField>false</o:LockedField>
          </o:OLEObject>
        </w:object>
      </w:r>
      <w:r>
        <w:rPr>
          <w:rFonts w:eastAsia="Calibri"/>
          <w:sz w:val="28"/>
          <w:szCs w:val="28"/>
          <w:lang w:eastAsia="en-US"/>
        </w:rPr>
        <w:t xml:space="preserve"> до </w:t>
      </w:r>
      <w:r>
        <w:rPr>
          <w:position w:val="-10"/>
          <w:sz w:val="28"/>
          <w:szCs w:val="28"/>
        </w:rPr>
        <w:object>
          <v:shape id="_x0000_i1595" o:spt="75" type="#_x0000_t75" style="height:18.75pt;width:15.75pt;" o:ole="t" filled="f" o:preferrelative="t" stroked="f" coordsize="21600,21600">
            <v:path/>
            <v:fill on="f" focussize="0,0"/>
            <v:stroke on="f" joinstyle="miter"/>
            <v:imagedata r:id="rId1033" o:title=""/>
            <o:lock v:ext="edit" aspectratio="t"/>
            <w10:wrap type="none"/>
            <w10:anchorlock/>
          </v:shape>
          <o:OLEObject Type="Embed" ProgID="Equation.DSMT4" ShapeID="_x0000_i1595" DrawAspect="Content" ObjectID="_1468076295" r:id="rId1032">
            <o:LockedField>false</o:LockedField>
          </o:OLEObject>
        </w:object>
      </w:r>
      <w:r>
        <w:rPr>
          <w:rFonts w:eastAsia="Calibri"/>
          <w:sz w:val="28"/>
          <w:szCs w:val="28"/>
          <w:lang w:eastAsia="en-US"/>
        </w:rPr>
        <w:t xml:space="preserve"> при сделке как по схеме 1, так и по схеме 2. Кроме того, как только эти условия выполнены, любое дальнейшее увеличение предложенного денежного выкупа </w:t>
      </w:r>
      <w:r>
        <w:rPr>
          <w:position w:val="-14"/>
          <w:sz w:val="28"/>
          <w:szCs w:val="28"/>
        </w:rPr>
        <w:object>
          <v:shape id="_x0000_i1596" o:spt="75" type="#_x0000_t75" style="height:20.25pt;width:34.5pt;" o:ole="t" filled="f" o:preferrelative="t" stroked="f" coordsize="21600,21600">
            <v:path/>
            <v:fill on="f" focussize="0,0"/>
            <v:stroke on="f" joinstyle="miter"/>
            <v:imagedata r:id="rId1035" o:title=""/>
            <o:lock v:ext="edit" aspectratio="t"/>
            <w10:wrap type="none"/>
            <w10:anchorlock/>
          </v:shape>
          <o:OLEObject Type="Embed" ProgID="Equation.DSMT4" ShapeID="_x0000_i1596" DrawAspect="Content" ObjectID="_1468076296" r:id="rId1034">
            <o:LockedField>false</o:LockedField>
          </o:OLEObject>
        </w:object>
      </w:r>
      <w:r>
        <w:rPr>
          <w:rFonts w:eastAsia="Calibri"/>
          <w:sz w:val="28"/>
          <w:szCs w:val="28"/>
          <w:lang w:eastAsia="en-US"/>
        </w:rPr>
        <w:t xml:space="preserve"> не влияет на вероятность платежеспособности банка </w:t>
      </w:r>
      <w:r>
        <w:rPr>
          <w:position w:val="-6"/>
          <w:sz w:val="28"/>
          <w:szCs w:val="28"/>
        </w:rPr>
        <w:object>
          <v:shape id="_x0000_i1597" o:spt="75" type="#_x0000_t75" style="height:13.5pt;width:9.75pt;" o:ole="t" filled="f" o:preferrelative="t" stroked="f" coordsize="21600,21600">
            <v:path/>
            <v:fill on="f" focussize="0,0"/>
            <v:stroke on="f" joinstyle="miter"/>
            <v:imagedata r:id="rId1037" o:title=""/>
            <o:lock v:ext="edit" aspectratio="t"/>
            <w10:wrap type="none"/>
            <w10:anchorlock/>
          </v:shape>
          <o:OLEObject Type="Embed" ProgID="Equation.DSMT4" ShapeID="_x0000_i1597" DrawAspect="Content" ObjectID="_1468076297" r:id="rId1036">
            <o:LockedField>false</o:LockedField>
          </o:OLEObject>
        </w:object>
      </w:r>
      <w:r>
        <w:rPr>
          <w:rFonts w:eastAsia="Calibri"/>
          <w:sz w:val="28"/>
          <w:szCs w:val="28"/>
          <w:lang w:eastAsia="en-US"/>
        </w:rPr>
        <w:t xml:space="preserve">. Поэтому, поскольку ожидаемые затраты для домашних хозяйств (слабо) возрастают по </w:t>
      </w:r>
      <w:r>
        <w:rPr>
          <w:position w:val="-14"/>
          <w:sz w:val="28"/>
          <w:szCs w:val="28"/>
        </w:rPr>
        <w:object>
          <v:shape id="_x0000_i1598" o:spt="75" type="#_x0000_t75" style="height:20.25pt;width:34.5pt;" o:ole="t" filled="f" o:preferrelative="t" stroked="f" coordsize="21600,21600">
            <v:path/>
            <v:fill on="f" focussize="0,0"/>
            <v:stroke on="f" joinstyle="miter"/>
            <v:imagedata r:id="rId1039" o:title=""/>
            <o:lock v:ext="edit" aspectratio="t"/>
            <w10:wrap type="none"/>
            <w10:anchorlock/>
          </v:shape>
          <o:OLEObject Type="Embed" ProgID="Equation.DSMT4" ShapeID="_x0000_i1598" DrawAspect="Content" ObjectID="_1468076298" r:id="rId1038">
            <o:LockedField>false</o:LockedField>
          </o:OLEObject>
        </w:object>
      </w:r>
      <w:r>
        <w:rPr>
          <w:rFonts w:eastAsia="Calibri"/>
          <w:sz w:val="28"/>
          <w:szCs w:val="28"/>
          <w:lang w:eastAsia="en-US"/>
        </w:rPr>
        <w:t xml:space="preserve">, ЛПР всегда будет предлагать наименьший из возможных объемов выкупа </w:t>
      </w:r>
      <w:r>
        <w:rPr>
          <w:position w:val="-14"/>
          <w:sz w:val="28"/>
          <w:szCs w:val="28"/>
        </w:rPr>
        <w:object>
          <v:shape id="_x0000_i1599" o:spt="75" type="#_x0000_t75" style="height:20.25pt;width:34.5pt;" o:ole="t" filled="f" o:preferrelative="t" stroked="f" coordsize="21600,21600">
            <v:path/>
            <v:fill on="f" focussize="0,0"/>
            <v:stroke on="f" joinstyle="miter"/>
            <v:imagedata r:id="rId1041" o:title=""/>
            <o:lock v:ext="edit" aspectratio="t"/>
            <w10:wrap type="none"/>
            <w10:anchorlock/>
          </v:shape>
          <o:OLEObject Type="Embed" ProgID="Equation.DSMT4" ShapeID="_x0000_i1599" DrawAspect="Content" ObjectID="_1468076299" r:id="rId1040">
            <o:LockedField>false</o:LockedField>
          </o:OLEObject>
        </w:object>
      </w:r>
      <w:r>
        <w:rPr>
          <w:rFonts w:eastAsia="Calibri"/>
          <w:sz w:val="28"/>
          <w:szCs w:val="28"/>
          <w:lang w:eastAsia="en-US"/>
        </w:rPr>
        <w:t xml:space="preserve"> в соответствии с применяемой сделкой с фондом проблемных активов </w:t>
      </w:r>
      <w:r>
        <w:rPr>
          <w:position w:val="-6"/>
          <w:sz w:val="28"/>
          <w:szCs w:val="28"/>
        </w:rPr>
        <w:object>
          <v:shape id="_x0000_i1600" o:spt="75" type="#_x0000_t75" style="height:13.5pt;width:11.25pt;" o:ole="t" filled="f" o:preferrelative="t" stroked="f" coordsize="21600,21600">
            <v:path/>
            <v:fill on="f" focussize="0,0"/>
            <v:stroke on="f" joinstyle="miter"/>
            <v:imagedata r:id="rId1043" o:title=""/>
            <o:lock v:ext="edit" aspectratio="t"/>
            <w10:wrap type="none"/>
            <w10:anchorlock/>
          </v:shape>
          <o:OLEObject Type="Embed" ProgID="Equation.DSMT4" ShapeID="_x0000_i1600" DrawAspect="Content" ObjectID="_1468076300" r:id="rId1042">
            <o:LockedField>false</o:LockedField>
          </o:OLEObject>
        </w:object>
      </w:r>
      <w:r>
        <w:rPr>
          <w:rFonts w:eastAsia="Calibri"/>
          <w:sz w:val="28"/>
          <w:szCs w:val="28"/>
          <w:lang w:eastAsia="en-US"/>
        </w:rPr>
        <w:t xml:space="preserve">. Обозначая слабое (строгое) отношение предпочтения через </w:t>
      </w:r>
      <w:r>
        <w:rPr>
          <w:position w:val="-10"/>
          <w:sz w:val="28"/>
          <w:szCs w:val="28"/>
        </w:rPr>
        <w:object>
          <v:shape id="_x0000_i1601" o:spt="75" type="#_x0000_t75" style="height:13.5pt;width:11.25pt;" o:ole="t" filled="f" o:preferrelative="t" stroked="f" coordsize="21600,21600">
            <v:path/>
            <v:fill on="f" focussize="0,0"/>
            <v:stroke on="f" joinstyle="miter"/>
            <v:imagedata r:id="rId1045" o:title=""/>
            <o:lock v:ext="edit" aspectratio="t"/>
            <w10:wrap type="none"/>
            <w10:anchorlock/>
          </v:shape>
          <o:OLEObject Type="Embed" ProgID="Equation.DSMT4" ShapeID="_x0000_i1601" DrawAspect="Content" ObjectID="_1468076301" r:id="rId1044">
            <o:LockedField>false</o:LockedField>
          </o:OLEObject>
        </w:object>
      </w:r>
      <w:r>
        <w:rPr>
          <w:rFonts w:eastAsia="Calibri"/>
          <w:sz w:val="28"/>
          <w:szCs w:val="28"/>
          <w:lang w:eastAsia="en-US"/>
        </w:rPr>
        <w:t xml:space="preserve"> (</w:t>
      </w:r>
      <w:r>
        <w:rPr>
          <w:position w:val="-4"/>
          <w:sz w:val="28"/>
          <w:szCs w:val="28"/>
        </w:rPr>
        <w:object>
          <v:shape id="_x0000_i1602" o:spt="75" type="#_x0000_t75" style="height:11.25pt;width:11.25pt;" o:ole="t" filled="f" o:preferrelative="t" stroked="f" coordsize="21600,21600">
            <v:path/>
            <v:fill on="f" focussize="0,0"/>
            <v:stroke on="f" joinstyle="miter"/>
            <v:imagedata r:id="rId1047" o:title=""/>
            <o:lock v:ext="edit" aspectratio="t"/>
            <w10:wrap type="none"/>
            <w10:anchorlock/>
          </v:shape>
          <o:OLEObject Type="Embed" ProgID="Equation.DSMT4" ShapeID="_x0000_i1602" DrawAspect="Content" ObjectID="_1468076302" r:id="rId1046">
            <o:LockedField>false</o:LockedField>
          </o:OLEObject>
        </w:object>
      </w:r>
      <w:r>
        <w:rPr>
          <w:rFonts w:eastAsia="Calibri"/>
          <w:sz w:val="28"/>
          <w:szCs w:val="28"/>
          <w:lang w:eastAsia="en-US"/>
        </w:rPr>
        <w:t xml:space="preserve">), получим </w:t>
      </w:r>
    </w:p>
    <w:p w14:paraId="2C977855">
      <w:pPr>
        <w:pStyle w:val="37"/>
        <w:ind w:firstLine="0"/>
        <w:rPr>
          <w:rFonts w:eastAsia="Calibri"/>
          <w:b/>
          <w:sz w:val="28"/>
          <w:szCs w:val="28"/>
          <w:lang w:eastAsia="en-US"/>
        </w:rPr>
      </w:pPr>
    </w:p>
    <w:p w14:paraId="49F01FBB">
      <w:pPr>
        <w:pStyle w:val="37"/>
        <w:rPr>
          <w:rFonts w:eastAsia="Calibri"/>
          <w:i/>
          <w:sz w:val="28"/>
          <w:szCs w:val="28"/>
          <w:lang w:eastAsia="en-US"/>
        </w:rPr>
      </w:pPr>
      <w:r>
        <w:rPr>
          <w:rFonts w:eastAsia="Calibri"/>
          <w:b/>
          <w:sz w:val="28"/>
          <w:szCs w:val="28"/>
          <w:lang w:eastAsia="en-US"/>
        </w:rPr>
        <w:t>Утверждение 4</w:t>
      </w:r>
      <w:r>
        <w:rPr>
          <w:rFonts w:eastAsia="Calibri"/>
          <w:sz w:val="28"/>
          <w:szCs w:val="28"/>
          <w:lang w:eastAsia="en-US"/>
        </w:rPr>
        <w:t xml:space="preserve">: </w:t>
      </w:r>
      <w:r>
        <w:rPr>
          <w:rFonts w:eastAsia="Calibri"/>
          <w:i/>
          <w:sz w:val="28"/>
          <w:szCs w:val="28"/>
          <w:lang w:eastAsia="en-US"/>
        </w:rPr>
        <w:t xml:space="preserve">Если ЛПР стремится повысить вероятность платежеспособности «плохого» банка </w:t>
      </w:r>
      <w:r>
        <w:rPr>
          <w:position w:val="-6"/>
          <w:sz w:val="28"/>
          <w:szCs w:val="28"/>
        </w:rPr>
        <w:object>
          <v:shape id="_x0000_i1603" o:spt="75" type="#_x0000_t75" style="height:13.5pt;width:9.75pt;" o:ole="t" filled="f" o:preferrelative="t" stroked="f" coordsize="21600,21600">
            <v:path/>
            <v:fill on="f" focussize="0,0"/>
            <v:stroke on="f" joinstyle="miter"/>
            <v:imagedata r:id="rId1037" o:title=""/>
            <o:lock v:ext="edit" aspectratio="t"/>
            <w10:wrap type="none"/>
            <w10:anchorlock/>
          </v:shape>
          <o:OLEObject Type="Embed" ProgID="Equation.DSMT4" ShapeID="_x0000_i1603" DrawAspect="Content" ObjectID="_1468076303" r:id="rId1048">
            <o:LockedField>false</o:LockedField>
          </o:OLEObject>
        </w:object>
      </w:r>
      <w:r>
        <w:rPr>
          <w:rFonts w:eastAsia="Calibri"/>
          <w:i/>
          <w:sz w:val="28"/>
          <w:szCs w:val="28"/>
          <w:lang w:eastAsia="en-US"/>
        </w:rPr>
        <w:t>, его упорядочение схем по предпочтению будет удовлетворять</w:t>
      </w:r>
    </w:p>
    <w:p w14:paraId="1BFE3462">
      <w:pPr>
        <w:pStyle w:val="37"/>
        <w:rPr>
          <w:rFonts w:eastAsia="Calibri"/>
          <w:sz w:val="28"/>
          <w:szCs w:val="28"/>
          <w:lang w:eastAsia="en-US"/>
        </w:rPr>
      </w:pPr>
    </w:p>
    <w:p w14:paraId="022C5937">
      <w:pPr>
        <w:pStyle w:val="38"/>
        <w:spacing w:before="0" w:after="0"/>
        <w:rPr>
          <w:sz w:val="28"/>
          <w:szCs w:val="28"/>
        </w:rPr>
      </w:pPr>
      <w:r>
        <w:rPr>
          <w:sz w:val="28"/>
          <w:szCs w:val="28"/>
        </w:rPr>
        <w:tab/>
      </w:r>
      <w:r>
        <w:rPr>
          <w:sz w:val="28"/>
          <w:szCs w:val="28"/>
        </w:rPr>
        <w:t xml:space="preserve">                    </w:t>
      </w:r>
      <w:r>
        <w:rPr>
          <w:position w:val="-36"/>
          <w:sz w:val="28"/>
          <w:szCs w:val="28"/>
        </w:rPr>
        <w:object>
          <v:shape id="_x0000_i1604" o:spt="75" type="#_x0000_t75" style="height:42pt;width:151.5pt;" o:ole="t" filled="f" o:preferrelative="t" stroked="f" coordsize="21600,21600">
            <v:path/>
            <v:fill on="f" focussize="0,0"/>
            <v:stroke on="f" joinstyle="miter"/>
            <v:imagedata r:id="rId1050" o:title=""/>
            <o:lock v:ext="edit" aspectratio="t"/>
            <w10:wrap type="none"/>
            <w10:anchorlock/>
          </v:shape>
          <o:OLEObject Type="Embed" ProgID="Equation.DSMT4" ShapeID="_x0000_i1604" DrawAspect="Content" ObjectID="_1468076304" r:id="rId1049">
            <o:LockedField>false</o:LockedField>
          </o:OLEObject>
        </w:object>
      </w:r>
      <w:r>
        <w:rPr>
          <w:sz w:val="28"/>
          <w:szCs w:val="28"/>
        </w:rPr>
        <w:tab/>
      </w:r>
      <w:r>
        <w:rPr>
          <w:sz w:val="28"/>
          <w:szCs w:val="28"/>
        </w:rPr>
        <w:t xml:space="preserve">                                        (52)</w:t>
      </w:r>
    </w:p>
    <w:p w14:paraId="7A673CA3">
      <w:pPr>
        <w:pStyle w:val="37"/>
        <w:rPr>
          <w:rFonts w:eastAsia="Calibri"/>
          <w:sz w:val="28"/>
          <w:szCs w:val="28"/>
          <w:lang w:eastAsia="en-US"/>
        </w:rPr>
      </w:pPr>
    </w:p>
    <w:p w14:paraId="658E391E">
      <w:pPr>
        <w:pStyle w:val="37"/>
        <w:ind w:firstLine="0"/>
        <w:rPr>
          <w:rFonts w:eastAsia="Calibri"/>
          <w:i/>
          <w:sz w:val="28"/>
          <w:szCs w:val="28"/>
          <w:lang w:eastAsia="en-US"/>
        </w:rPr>
      </w:pPr>
      <w:r>
        <w:rPr>
          <w:rFonts w:eastAsia="Calibri"/>
          <w:i/>
          <w:sz w:val="28"/>
          <w:szCs w:val="28"/>
          <w:lang w:eastAsia="en-US"/>
        </w:rPr>
        <w:t xml:space="preserve">где репутационный порог </w:t>
      </w:r>
      <w:r>
        <w:rPr>
          <w:position w:val="-6"/>
          <w:sz w:val="28"/>
          <w:szCs w:val="28"/>
        </w:rPr>
        <w:object>
          <v:shape id="_x0000_i1605" o:spt="75" type="#_x0000_t75" style="height:13.5pt;width:12pt;" o:ole="t" filled="f" o:preferrelative="t" stroked="f" coordsize="21600,21600">
            <v:path/>
            <v:fill on="f" focussize="0,0"/>
            <v:stroke on="f" joinstyle="miter"/>
            <v:imagedata r:id="rId1052" o:title=""/>
            <o:lock v:ext="edit" aspectratio="t"/>
            <w10:wrap type="none"/>
            <w10:anchorlock/>
          </v:shape>
          <o:OLEObject Type="Embed" ProgID="Equation.DSMT4" ShapeID="_x0000_i1605" DrawAspect="Content" ObjectID="_1468076305" r:id="rId1051">
            <o:LockedField>false</o:LockedField>
          </o:OLEObject>
        </w:object>
      </w:r>
      <w:r>
        <w:rPr>
          <w:rFonts w:eastAsia="Calibri"/>
          <w:i/>
          <w:sz w:val="28"/>
          <w:szCs w:val="28"/>
          <w:lang w:eastAsia="en-US"/>
        </w:rPr>
        <w:t xml:space="preserve"> определен в (26), а порог </w:t>
      </w:r>
      <w:r>
        <w:rPr>
          <w:position w:val="-6"/>
          <w:sz w:val="28"/>
          <w:szCs w:val="28"/>
        </w:rPr>
        <w:object>
          <v:shape id="_x0000_i1606" o:spt="75" type="#_x0000_t75" style="height:13.5pt;width:31.5pt;" o:ole="t" filled="f" o:preferrelative="t" stroked="f" coordsize="21600,21600">
            <v:path/>
            <v:fill on="f" focussize="0,0"/>
            <v:stroke on="f" joinstyle="miter"/>
            <v:imagedata r:id="rId1054" o:title=""/>
            <o:lock v:ext="edit" aspectratio="t"/>
            <w10:wrap type="none"/>
            <w10:anchorlock/>
          </v:shape>
          <o:OLEObject Type="Embed" ProgID="Equation.DSMT4" ShapeID="_x0000_i1606" DrawAspect="Content" ObjectID="_1468076306" r:id="rId1053">
            <o:LockedField>false</o:LockedField>
          </o:OLEObject>
        </w:object>
      </w:r>
      <w:r>
        <w:rPr>
          <w:sz w:val="28"/>
          <w:szCs w:val="28"/>
        </w:rPr>
        <w:t xml:space="preserve"> </w:t>
      </w:r>
      <w:r>
        <w:rPr>
          <w:rFonts w:eastAsia="Calibri"/>
          <w:i/>
          <w:sz w:val="28"/>
          <w:szCs w:val="28"/>
          <w:lang w:eastAsia="en-US"/>
        </w:rPr>
        <w:t xml:space="preserve">обозначает критический уровень нематериальных издержек потери репутации, для которых  </w:t>
      </w:r>
      <w:r>
        <w:rPr>
          <w:position w:val="-20"/>
          <w:sz w:val="28"/>
          <w:szCs w:val="28"/>
        </w:rPr>
        <w:object>
          <v:shape id="_x0000_i1607" o:spt="75" type="#_x0000_t75" style="height:26.25pt;width:194.25pt;" o:ole="t" filled="f" o:preferrelative="t" stroked="f" coordsize="21600,21600">
            <v:path/>
            <v:fill on="f" focussize="0,0"/>
            <v:stroke on="f" joinstyle="miter"/>
            <v:imagedata r:id="rId1056" o:title=""/>
            <o:lock v:ext="edit" aspectratio="t"/>
            <w10:wrap type="none"/>
            <w10:anchorlock/>
          </v:shape>
          <o:OLEObject Type="Embed" ProgID="Equation.DSMT4" ShapeID="_x0000_i1607" DrawAspect="Content" ObjectID="_1468076307" r:id="rId1055">
            <o:LockedField>false</o:LockedField>
          </o:OLEObject>
        </w:object>
      </w:r>
      <w:r>
        <w:rPr>
          <w:rFonts w:eastAsia="Calibri"/>
          <w:i/>
          <w:sz w:val="28"/>
          <w:szCs w:val="28"/>
          <w:lang w:eastAsia="en-US"/>
        </w:rPr>
        <w:t xml:space="preserve">. </w:t>
      </w:r>
    </w:p>
    <w:p w14:paraId="1C322711">
      <w:pPr>
        <w:pStyle w:val="37"/>
        <w:ind w:firstLine="0"/>
        <w:rPr>
          <w:rFonts w:eastAsia="Calibri"/>
          <w:sz w:val="28"/>
          <w:szCs w:val="28"/>
          <w:lang w:eastAsia="en-US"/>
        </w:rPr>
      </w:pPr>
    </w:p>
    <w:p w14:paraId="4B11719F">
      <w:pPr>
        <w:pStyle w:val="37"/>
        <w:rPr>
          <w:rFonts w:eastAsia="Calibri"/>
          <w:sz w:val="28"/>
          <w:szCs w:val="28"/>
          <w:lang w:eastAsia="en-US"/>
        </w:rPr>
      </w:pPr>
      <w:r>
        <w:rPr>
          <w:rFonts w:eastAsia="Calibri"/>
          <w:b/>
          <w:sz w:val="28"/>
          <w:szCs w:val="28"/>
          <w:lang w:eastAsia="en-US"/>
        </w:rPr>
        <w:t>Доказательство</w:t>
      </w:r>
      <w:r>
        <w:rPr>
          <w:rFonts w:eastAsia="Calibri"/>
          <w:sz w:val="28"/>
          <w:szCs w:val="28"/>
          <w:lang w:eastAsia="en-US"/>
        </w:rPr>
        <w:t xml:space="preserve"> изложено в приложении </w:t>
      </w:r>
      <w:r>
        <w:rPr>
          <w:sz w:val="28"/>
          <w:szCs w:val="28"/>
        </w:rPr>
        <w:t xml:space="preserve">[Hauck et al. 2015], нужно только учесть смену обозначений. </w:t>
      </w:r>
    </w:p>
    <w:p w14:paraId="7740AE4F">
      <w:pPr>
        <w:pStyle w:val="37"/>
        <w:rPr>
          <w:rFonts w:eastAsia="Calibri"/>
          <w:sz w:val="28"/>
          <w:szCs w:val="28"/>
          <w:lang w:eastAsia="en-US"/>
        </w:rPr>
      </w:pPr>
      <w:r>
        <w:rPr>
          <w:rFonts w:eastAsia="Calibri"/>
          <w:sz w:val="28"/>
          <w:szCs w:val="28"/>
          <w:lang w:eastAsia="en-US"/>
        </w:rPr>
        <w:t xml:space="preserve">Утверждение 4 показывает порядок предпочтений ЛПР в отношении различных схем для сделок «плохого» банка </w:t>
      </w:r>
      <w:r>
        <w:rPr>
          <w:position w:val="-6"/>
          <w:sz w:val="28"/>
          <w:szCs w:val="28"/>
        </w:rPr>
        <w:object>
          <v:shape id="_x0000_i1608" o:spt="75" type="#_x0000_t75" style="height:13.5pt;width:9.75pt;" o:ole="t" filled="f" o:preferrelative="t" stroked="f" coordsize="21600,21600">
            <v:path/>
            <v:fill on="f" focussize="0,0"/>
            <v:stroke on="f" joinstyle="miter"/>
            <v:imagedata r:id="rId1058" o:title=""/>
            <o:lock v:ext="edit" aspectratio="t"/>
            <w10:wrap type="none"/>
            <w10:anchorlock/>
          </v:shape>
          <o:OLEObject Type="Embed" ProgID="Equation.DSMT4" ShapeID="_x0000_i1608" DrawAspect="Content" ObjectID="_1468076308" r:id="rId1057">
            <o:LockedField>false</o:LockedField>
          </o:OLEObject>
        </w:object>
      </w:r>
      <w:r>
        <w:rPr>
          <w:rFonts w:eastAsia="Calibri"/>
          <w:sz w:val="28"/>
          <w:szCs w:val="28"/>
          <w:lang w:eastAsia="en-US"/>
        </w:rPr>
        <w:t xml:space="preserve"> с фондом проблемных активов </w:t>
      </w:r>
      <w:r>
        <w:rPr>
          <w:position w:val="-6"/>
          <w:sz w:val="28"/>
          <w:szCs w:val="28"/>
        </w:rPr>
        <w:object>
          <v:shape id="_x0000_i1609" o:spt="75" type="#_x0000_t75" style="height:13.5pt;width:11.25pt;" o:ole="t" filled="f" o:preferrelative="t" stroked="f" coordsize="21600,21600">
            <v:path/>
            <v:fill on="f" focussize="0,0"/>
            <v:stroke on="f" joinstyle="miter"/>
            <v:imagedata r:id="rId1060" o:title=""/>
            <o:lock v:ext="edit" aspectratio="t"/>
            <w10:wrap type="none"/>
            <w10:anchorlock/>
          </v:shape>
          <o:OLEObject Type="Embed" ProgID="Equation.DSMT4" ShapeID="_x0000_i1609" DrawAspect="Content" ObjectID="_1468076309" r:id="rId1059">
            <o:LockedField>false</o:LockedField>
          </o:OLEObject>
        </w:object>
      </w:r>
      <w:r>
        <w:rPr>
          <w:rFonts w:eastAsia="Calibri"/>
          <w:sz w:val="28"/>
          <w:szCs w:val="28"/>
          <w:lang w:eastAsia="en-US"/>
        </w:rPr>
        <w:t xml:space="preserve">. Дадим теперь комментарий к такому упорядочению предпочтений. </w:t>
      </w:r>
    </w:p>
    <w:p w14:paraId="076C0CD5">
      <w:pPr>
        <w:pStyle w:val="37"/>
        <w:rPr>
          <w:rFonts w:eastAsia="Calibri"/>
          <w:sz w:val="28"/>
          <w:szCs w:val="28"/>
          <w:lang w:eastAsia="en-US"/>
        </w:rPr>
      </w:pPr>
      <w:r>
        <w:rPr>
          <w:rFonts w:eastAsia="Calibri"/>
          <w:sz w:val="28"/>
          <w:szCs w:val="28"/>
          <w:lang w:eastAsia="en-US"/>
        </w:rPr>
        <w:t xml:space="preserve">a) С точки зрения ЛПР соглашение об обратном выкупе, в котором требования фонда проблемных активов </w:t>
      </w:r>
      <w:r>
        <w:rPr>
          <w:position w:val="-6"/>
          <w:sz w:val="28"/>
          <w:szCs w:val="28"/>
        </w:rPr>
        <w:object>
          <v:shape id="_x0000_i1610" o:spt="75" type="#_x0000_t75" style="height:13.5pt;width:11.25pt;" o:ole="t" filled="f" o:preferrelative="t" stroked="f" coordsize="21600,21600">
            <v:path/>
            <v:fill on="f" focussize="0,0"/>
            <v:stroke on="f" joinstyle="miter"/>
            <v:imagedata r:id="rId1060" o:title=""/>
            <o:lock v:ext="edit" aspectratio="t"/>
            <w10:wrap type="none"/>
            <w10:anchorlock/>
          </v:shape>
          <o:OLEObject Type="Embed" ProgID="Equation.DSMT4" ShapeID="_x0000_i1610" DrawAspect="Content" ObjectID="_1468076310" r:id="rId1061">
            <o:LockedField>false</o:LockedField>
          </o:OLEObject>
        </w:object>
      </w:r>
      <w:r>
        <w:rPr>
          <w:rFonts w:eastAsia="Calibri"/>
          <w:sz w:val="28"/>
          <w:szCs w:val="28"/>
          <w:lang w:eastAsia="en-US"/>
        </w:rPr>
        <w:t xml:space="preserve"> имеют приоритет перед требованиями по депозитам (схема </w:t>
      </w:r>
      <w:r>
        <w:rPr>
          <w:position w:val="-6"/>
          <w:sz w:val="28"/>
          <w:szCs w:val="28"/>
        </w:rPr>
        <w:object>
          <v:shape id="_x0000_i1611" o:spt="75" type="#_x0000_t75" style="height:13.5pt;width:16.5pt;" o:ole="t" filled="f" o:preferrelative="t" stroked="f" coordsize="21600,21600">
            <v:path/>
            <v:fill on="f" focussize="0,0"/>
            <v:stroke on="f" joinstyle="miter"/>
            <v:imagedata r:id="rId1063" o:title=""/>
            <o:lock v:ext="edit" aspectratio="t"/>
            <w10:wrap type="none"/>
            <w10:anchorlock/>
          </v:shape>
          <o:OLEObject Type="Embed" ProgID="Equation.DSMT4" ShapeID="_x0000_i1611" DrawAspect="Content" ObjectID="_1468076311" r:id="rId1062">
            <o:LockedField>false</o:LockedField>
          </o:OLEObject>
        </w:object>
      </w:r>
      <w:r>
        <w:rPr>
          <w:rFonts w:eastAsia="Calibri"/>
          <w:sz w:val="28"/>
          <w:szCs w:val="28"/>
          <w:lang w:eastAsia="en-US"/>
        </w:rPr>
        <w:t>), всегда превосходит соглашение, в котором оно уступает требованиям по депозитам (схема </w:t>
      </w:r>
      <w:r>
        <w:rPr>
          <w:position w:val="-6"/>
          <w:sz w:val="28"/>
          <w:szCs w:val="28"/>
        </w:rPr>
        <w:object>
          <v:shape id="_x0000_i1612" o:spt="75" type="#_x0000_t75" style="height:13.5pt;width:15.75pt;" o:ole="t" filled="f" o:preferrelative="t" stroked="f" coordsize="21600,21600">
            <v:path/>
            <v:fill on="f" focussize="0,0"/>
            <v:stroke on="f" joinstyle="miter"/>
            <v:imagedata r:id="rId1065" o:title=""/>
            <o:lock v:ext="edit" aspectratio="t"/>
            <w10:wrap type="none"/>
            <w10:anchorlock/>
          </v:shape>
          <o:OLEObject Type="Embed" ProgID="Equation.DSMT4" ShapeID="_x0000_i1612" DrawAspect="Content" ObjectID="_1468076312" r:id="rId1064">
            <o:LockedField>false</o:LockedField>
          </o:OLEObject>
        </w:object>
      </w:r>
      <w:r>
        <w:rPr>
          <w:rFonts w:eastAsia="Calibri"/>
          <w:sz w:val="28"/>
          <w:szCs w:val="28"/>
          <w:lang w:eastAsia="en-US"/>
        </w:rPr>
        <w:t xml:space="preserve">), независимо от издержек потери репутации </w:t>
      </w:r>
      <w:r>
        <w:rPr>
          <w:position w:val="-6"/>
          <w:sz w:val="28"/>
          <w:szCs w:val="28"/>
        </w:rPr>
        <w:object>
          <v:shape id="_x0000_i1613" o:spt="75" type="#_x0000_t75" style="height:11.25pt;width:12pt;" o:ole="t" filled="f" o:preferrelative="t" stroked="f" coordsize="21600,21600">
            <v:path/>
            <v:fill on="f" focussize="0,0"/>
            <v:stroke on="f" joinstyle="miter"/>
            <v:imagedata r:id="rId1067" o:title=""/>
            <o:lock v:ext="edit" aspectratio="t"/>
            <w10:wrap type="none"/>
            <w10:anchorlock/>
          </v:shape>
          <o:OLEObject Type="Embed" ProgID="Equation.DSMT4" ShapeID="_x0000_i1613" DrawAspect="Content" ObjectID="_1468076313" r:id="rId1066">
            <o:LockedField>false</o:LockedField>
          </o:OLEObject>
        </w:object>
      </w:r>
      <w:r>
        <w:rPr>
          <w:rFonts w:eastAsia="Calibri"/>
          <w:sz w:val="28"/>
          <w:szCs w:val="28"/>
          <w:lang w:eastAsia="en-US"/>
        </w:rPr>
        <w:t xml:space="preserve">. Это не удивительно. До тех пор, пока требования фонда проблемных активов </w:t>
      </w:r>
      <w:r>
        <w:rPr>
          <w:position w:val="-6"/>
          <w:sz w:val="28"/>
          <w:szCs w:val="28"/>
        </w:rPr>
        <w:object>
          <v:shape id="_x0000_i1614" o:spt="75" type="#_x0000_t75" style="height:13.5pt;width:11.25pt;" o:ole="t" filled="f" o:preferrelative="t" stroked="f" coordsize="21600,21600">
            <v:path/>
            <v:fill on="f" focussize="0,0"/>
            <v:stroke on="f" joinstyle="miter"/>
            <v:imagedata r:id="rId1060" o:title=""/>
            <o:lock v:ext="edit" aspectratio="t"/>
            <w10:wrap type="none"/>
            <w10:anchorlock/>
          </v:shape>
          <o:OLEObject Type="Embed" ProgID="Equation.DSMT4" ShapeID="_x0000_i1614" DrawAspect="Content" ObjectID="_1468076314" r:id="rId1068">
            <o:LockedField>false</o:LockedField>
          </o:OLEObject>
        </w:object>
      </w:r>
      <w:r>
        <w:rPr>
          <w:sz w:val="28"/>
          <w:szCs w:val="28"/>
        </w:rPr>
        <w:t xml:space="preserve"> </w:t>
      </w:r>
      <w:r>
        <w:rPr>
          <w:rFonts w:eastAsia="Calibri"/>
          <w:sz w:val="28"/>
          <w:szCs w:val="28"/>
          <w:lang w:eastAsia="en-US"/>
        </w:rPr>
        <w:t xml:space="preserve">имеют приоритет над требованиями по депозитам домашних хозяйств </w:t>
      </w:r>
      <w:r>
        <w:rPr>
          <w:position w:val="-6"/>
          <w:sz w:val="28"/>
          <w:szCs w:val="28"/>
        </w:rPr>
        <w:object>
          <v:shape id="_x0000_i1615" o:spt="75" type="#_x0000_t75" style="height:13.5pt;width:9.75pt;" o:ole="t" filled="f" o:preferrelative="t" stroked="f" coordsize="21600,21600">
            <v:path/>
            <v:fill on="f" focussize="0,0"/>
            <v:stroke on="f" joinstyle="miter"/>
            <v:imagedata r:id="rId1070" o:title=""/>
            <o:lock v:ext="edit" aspectratio="t"/>
            <w10:wrap type="none"/>
            <w10:anchorlock/>
          </v:shape>
          <o:OLEObject Type="Embed" ProgID="Equation.DSMT4" ShapeID="_x0000_i1615" DrawAspect="Content" ObjectID="_1468076315" r:id="rId1069">
            <o:LockedField>false</o:LockedField>
          </o:OLEObject>
        </w:object>
      </w:r>
      <w:r>
        <w:rPr>
          <w:rFonts w:eastAsia="Calibri"/>
          <w:sz w:val="28"/>
          <w:szCs w:val="28"/>
          <w:lang w:eastAsia="en-US"/>
        </w:rPr>
        <w:t xml:space="preserve">, фонд проблемных активов </w:t>
      </w:r>
      <w:r>
        <w:rPr>
          <w:position w:val="-6"/>
          <w:sz w:val="28"/>
          <w:szCs w:val="28"/>
        </w:rPr>
        <w:object>
          <v:shape id="_x0000_i1616" o:spt="75" type="#_x0000_t75" style="height:13.5pt;width:11.25pt;" o:ole="t" filled="f" o:preferrelative="t" stroked="f" coordsize="21600,21600">
            <v:path/>
            <v:fill on="f" focussize="0,0"/>
            <v:stroke on="f" joinstyle="miter"/>
            <v:imagedata r:id="rId1060" o:title=""/>
            <o:lock v:ext="edit" aspectratio="t"/>
            <w10:wrap type="none"/>
            <w10:anchorlock/>
          </v:shape>
          <o:OLEObject Type="Embed" ProgID="Equation.DSMT4" ShapeID="_x0000_i1616" DrawAspect="Content" ObjectID="_1468076316" r:id="rId1071">
            <o:LockedField>false</o:LockedField>
          </o:OLEObject>
        </w:object>
      </w:r>
      <w:r>
        <w:rPr>
          <w:rFonts w:eastAsia="Calibri"/>
          <w:sz w:val="28"/>
          <w:szCs w:val="28"/>
          <w:lang w:eastAsia="en-US"/>
        </w:rPr>
        <w:t xml:space="preserve"> вернет государственные облигации </w:t>
      </w:r>
      <w:r>
        <w:rPr>
          <w:position w:val="-4"/>
          <w:sz w:val="28"/>
          <w:szCs w:val="28"/>
        </w:rPr>
        <w:object>
          <v:shape id="_x0000_i1617" o:spt="75" type="#_x0000_t75" style="height:15pt;width:20.25pt;" o:ole="t" filled="f" o:preferrelative="t" stroked="f" coordsize="21600,21600">
            <v:path/>
            <v:fill on="f" focussize="0,0"/>
            <v:stroke on="f" joinstyle="miter"/>
            <v:imagedata r:id="rId1073" o:title=""/>
            <o:lock v:ext="edit" aspectratio="t"/>
            <w10:wrap type="none"/>
            <w10:anchorlock/>
          </v:shape>
          <o:OLEObject Type="Embed" ProgID="Equation.DSMT4" ShapeID="_x0000_i1617" DrawAspect="Content" ObjectID="_1468076317" r:id="rId1072">
            <o:LockedField>false</o:LockedField>
          </o:OLEObject>
        </w:object>
      </w:r>
      <w:r>
        <w:rPr>
          <w:rFonts w:eastAsia="Calibri"/>
          <w:sz w:val="28"/>
          <w:szCs w:val="28"/>
          <w:lang w:eastAsia="en-US"/>
        </w:rPr>
        <w:t xml:space="preserve"> в момент времени </w:t>
      </w:r>
      <w:r>
        <w:rPr>
          <w:position w:val="-6"/>
          <w:sz w:val="28"/>
          <w:szCs w:val="28"/>
        </w:rPr>
        <w:object>
          <v:shape id="_x0000_i1618" o:spt="75" type="#_x0000_t75" style="height:12pt;width:24pt;" o:ole="t" filled="f" o:preferrelative="t" stroked="f" coordsize="21600,21600">
            <v:path/>
            <v:fill on="f" focussize="0,0"/>
            <v:stroke on="f" joinstyle="miter"/>
            <v:imagedata r:id="rId1075" o:title=""/>
            <o:lock v:ext="edit" aspectratio="t"/>
            <w10:wrap type="none"/>
            <w10:anchorlock/>
          </v:shape>
          <o:OLEObject Type="Embed" ProgID="Equation.DSMT4" ShapeID="_x0000_i1618" DrawAspect="Content" ObjectID="_1468076318" r:id="rId1074">
            <o:LockedField>false</o:LockedField>
          </o:OLEObject>
        </w:object>
      </w:r>
      <w:r>
        <w:rPr>
          <w:rFonts w:eastAsia="Calibri"/>
          <w:sz w:val="28"/>
          <w:szCs w:val="28"/>
          <w:lang w:eastAsia="en-US"/>
        </w:rPr>
        <w:t xml:space="preserve">, даже если банк </w:t>
      </w:r>
      <w:r>
        <w:rPr>
          <w:position w:val="-6"/>
          <w:sz w:val="28"/>
          <w:szCs w:val="28"/>
        </w:rPr>
        <w:object>
          <v:shape id="_x0000_i1619" o:spt="75" type="#_x0000_t75" style="height:13.5pt;width:9.75pt;" o:ole="t" filled="f" o:preferrelative="t" stroked="f" coordsize="21600,21600">
            <v:path/>
            <v:fill on="f" focussize="0,0"/>
            <v:stroke on="f" joinstyle="miter"/>
            <v:imagedata r:id="rId1058" o:title=""/>
            <o:lock v:ext="edit" aspectratio="t"/>
            <w10:wrap type="none"/>
            <w10:anchorlock/>
          </v:shape>
          <o:OLEObject Type="Embed" ProgID="Equation.DSMT4" ShapeID="_x0000_i1619" DrawAspect="Content" ObjectID="_1468076319" r:id="rId1076">
            <o:LockedField>false</o:LockedField>
          </o:OLEObject>
        </w:object>
      </w:r>
      <w:r>
        <w:rPr>
          <w:sz w:val="28"/>
          <w:szCs w:val="28"/>
        </w:rPr>
        <w:t xml:space="preserve"> </w:t>
      </w:r>
      <w:r>
        <w:rPr>
          <w:rFonts w:eastAsia="Calibri"/>
          <w:sz w:val="28"/>
          <w:szCs w:val="28"/>
          <w:lang w:eastAsia="en-US"/>
        </w:rPr>
        <w:t xml:space="preserve">потерпит неудачу. Соответственно, фонд проблемных активов </w:t>
      </w:r>
      <w:r>
        <w:rPr>
          <w:position w:val="-6"/>
          <w:sz w:val="28"/>
          <w:szCs w:val="28"/>
        </w:rPr>
        <w:object>
          <v:shape id="_x0000_i1620" o:spt="75" type="#_x0000_t75" style="height:13.5pt;width:11.25pt;" o:ole="t" filled="f" o:preferrelative="t" stroked="f" coordsize="21600,21600">
            <v:path/>
            <v:fill on="f" focussize="0,0"/>
            <v:stroke on="f" joinstyle="miter"/>
            <v:imagedata r:id="rId1060" o:title=""/>
            <o:lock v:ext="edit" aspectratio="t"/>
            <w10:wrap type="none"/>
            <w10:anchorlock/>
          </v:shape>
          <o:OLEObject Type="Embed" ProgID="Equation.DSMT4" ShapeID="_x0000_i1620" DrawAspect="Content" ObjectID="_1468076320" r:id="rId1077">
            <o:LockedField>false</o:LockedField>
          </o:OLEObject>
        </w:object>
      </w:r>
      <w:r>
        <w:rPr>
          <w:rFonts w:eastAsia="Calibri"/>
          <w:sz w:val="28"/>
          <w:szCs w:val="28"/>
          <w:lang w:eastAsia="en-US"/>
        </w:rPr>
        <w:t xml:space="preserve"> восстанавливает </w:t>
      </w:r>
      <w:r>
        <w:rPr>
          <w:position w:val="-4"/>
          <w:sz w:val="28"/>
          <w:szCs w:val="28"/>
        </w:rPr>
        <w:object>
          <v:shape id="_x0000_i1621" o:spt="75" type="#_x0000_t75" style="height:15pt;width:20.25pt;" o:ole="t" filled="f" o:preferrelative="t" stroked="f" coordsize="21600,21600">
            <v:path/>
            <v:fill on="f" focussize="0,0"/>
            <v:stroke on="f" joinstyle="miter"/>
            <v:imagedata r:id="rId1073" o:title=""/>
            <o:lock v:ext="edit" aspectratio="t"/>
            <w10:wrap type="none"/>
            <w10:anchorlock/>
          </v:shape>
          <o:OLEObject Type="Embed" ProgID="Equation.DSMT4" ShapeID="_x0000_i1621" DrawAspect="Content" ObjectID="_1468076321" r:id="rId1078">
            <o:LockedField>false</o:LockedField>
          </o:OLEObject>
        </w:object>
      </w:r>
      <w:r>
        <w:rPr>
          <w:rFonts w:eastAsia="Calibri"/>
          <w:sz w:val="28"/>
          <w:szCs w:val="28"/>
          <w:lang w:eastAsia="en-US"/>
        </w:rPr>
        <w:t xml:space="preserve">. Напротив, погашение </w:t>
      </w:r>
      <w:r>
        <w:rPr>
          <w:position w:val="-4"/>
          <w:sz w:val="28"/>
          <w:szCs w:val="28"/>
        </w:rPr>
        <w:object>
          <v:shape id="_x0000_i1622" o:spt="75" type="#_x0000_t75" style="height:15pt;width:20.25pt;" o:ole="t" filled="f" o:preferrelative="t" stroked="f" coordsize="21600,21600">
            <v:path/>
            <v:fill on="f" focussize="0,0"/>
            <v:stroke on="f" joinstyle="miter"/>
            <v:imagedata r:id="rId1073" o:title=""/>
            <o:lock v:ext="edit" aspectratio="t"/>
            <w10:wrap type="none"/>
            <w10:anchorlock/>
          </v:shape>
          <o:OLEObject Type="Embed" ProgID="Equation.DSMT4" ShapeID="_x0000_i1622" DrawAspect="Content" ObjectID="_1468076322" r:id="rId1079">
            <o:LockedField>false</o:LockedField>
          </o:OLEObject>
        </w:object>
      </w:r>
      <w:r>
        <w:rPr>
          <w:rFonts w:eastAsia="Calibri"/>
          <w:sz w:val="28"/>
          <w:szCs w:val="28"/>
          <w:lang w:eastAsia="en-US"/>
        </w:rPr>
        <w:t xml:space="preserve"> является неопределенным при сделке по схеме </w:t>
      </w:r>
      <w:r>
        <w:rPr>
          <w:position w:val="-6"/>
          <w:sz w:val="28"/>
          <w:szCs w:val="28"/>
        </w:rPr>
        <w:object>
          <v:shape id="_x0000_i1623" o:spt="75" type="#_x0000_t75" style="height:13.5pt;width:15.75pt;" o:ole="t" filled="f" o:preferrelative="t" stroked="f" coordsize="21600,21600">
            <v:path/>
            <v:fill on="f" focussize="0,0"/>
            <v:stroke on="f" joinstyle="miter"/>
            <v:imagedata r:id="rId1065" o:title=""/>
            <o:lock v:ext="edit" aspectratio="t"/>
            <w10:wrap type="none"/>
            <w10:anchorlock/>
          </v:shape>
          <o:OLEObject Type="Embed" ProgID="Equation.DSMT4" ShapeID="_x0000_i1623" DrawAspect="Content" ObjectID="_1468076323" r:id="rId1080">
            <o:LockedField>false</o:LockedField>
          </o:OLEObject>
        </w:object>
      </w:r>
      <w:r>
        <w:rPr>
          <w:rFonts w:eastAsia="Calibri"/>
          <w:sz w:val="28"/>
          <w:szCs w:val="28"/>
          <w:lang w:eastAsia="en-US"/>
        </w:rPr>
        <w:t xml:space="preserve">. Если же требования фонда проблемных активов </w:t>
      </w:r>
      <w:r>
        <w:rPr>
          <w:position w:val="-6"/>
          <w:sz w:val="28"/>
          <w:szCs w:val="28"/>
        </w:rPr>
        <w:object>
          <v:shape id="_x0000_i1624" o:spt="75" type="#_x0000_t75" style="height:13.5pt;width:11.25pt;" o:ole="t" filled="f" o:preferrelative="t" stroked="f" coordsize="21600,21600">
            <v:path/>
            <v:fill on="f" focussize="0,0"/>
            <v:stroke on="f" joinstyle="miter"/>
            <v:imagedata r:id="rId1060" o:title=""/>
            <o:lock v:ext="edit" aspectratio="t"/>
            <w10:wrap type="none"/>
            <w10:anchorlock/>
          </v:shape>
          <o:OLEObject Type="Embed" ProgID="Equation.DSMT4" ShapeID="_x0000_i1624" DrawAspect="Content" ObjectID="_1468076324" r:id="rId1081">
            <o:LockedField>false</o:LockedField>
          </o:OLEObject>
        </w:object>
      </w:r>
      <w:r>
        <w:rPr>
          <w:rFonts w:eastAsia="Calibri"/>
          <w:sz w:val="28"/>
          <w:szCs w:val="28"/>
          <w:lang w:eastAsia="en-US"/>
        </w:rPr>
        <w:t xml:space="preserve"> следует за требованиями по депозитам, фонд проблемных активов </w:t>
      </w:r>
      <w:r>
        <w:rPr>
          <w:position w:val="-6"/>
          <w:sz w:val="28"/>
          <w:szCs w:val="28"/>
        </w:rPr>
        <w:object>
          <v:shape id="_x0000_i1625" o:spt="75" type="#_x0000_t75" style="height:13.5pt;width:11.25pt;" o:ole="t" filled="f" o:preferrelative="t" stroked="f" coordsize="21600,21600">
            <v:path/>
            <v:fill on="f" focussize="0,0"/>
            <v:stroke on="f" joinstyle="miter"/>
            <v:imagedata r:id="rId1060" o:title=""/>
            <o:lock v:ext="edit" aspectratio="t"/>
            <w10:wrap type="none"/>
            <w10:anchorlock/>
          </v:shape>
          <o:OLEObject Type="Embed" ProgID="Equation.DSMT4" ShapeID="_x0000_i1625" DrawAspect="Content" ObjectID="_1468076325" r:id="rId1082">
            <o:LockedField>false</o:LockedField>
          </o:OLEObject>
        </w:object>
      </w:r>
      <w:r>
        <w:rPr>
          <w:sz w:val="28"/>
          <w:szCs w:val="28"/>
        </w:rPr>
        <w:t xml:space="preserve"> </w:t>
      </w:r>
      <w:r>
        <w:rPr>
          <w:rFonts w:eastAsia="Calibri"/>
          <w:sz w:val="28"/>
          <w:szCs w:val="28"/>
          <w:lang w:eastAsia="en-US"/>
        </w:rPr>
        <w:t xml:space="preserve">вернет меньше </w:t>
      </w:r>
      <w:r>
        <w:rPr>
          <w:position w:val="-4"/>
          <w:sz w:val="28"/>
          <w:szCs w:val="28"/>
        </w:rPr>
        <w:object>
          <v:shape id="_x0000_i1626" o:spt="75" type="#_x0000_t75" style="height:15pt;width:20.25pt;" o:ole="t" filled="f" o:preferrelative="t" stroked="f" coordsize="21600,21600">
            <v:path/>
            <v:fill on="f" focussize="0,0"/>
            <v:stroke on="f" joinstyle="miter"/>
            <v:imagedata r:id="rId1073" o:title=""/>
            <o:lock v:ext="edit" aspectratio="t"/>
            <w10:wrap type="none"/>
            <w10:anchorlock/>
          </v:shape>
          <o:OLEObject Type="Embed" ProgID="Equation.DSMT4" ShapeID="_x0000_i1626" DrawAspect="Content" ObjectID="_1468076326" r:id="rId1083">
            <o:LockedField>false</o:LockedField>
          </o:OLEObject>
        </w:object>
      </w:r>
      <w:r>
        <w:rPr>
          <w:rFonts w:eastAsia="Calibri"/>
          <w:sz w:val="28"/>
          <w:szCs w:val="28"/>
          <w:lang w:eastAsia="en-US"/>
        </w:rPr>
        <w:t xml:space="preserve"> (возможно, даже ничего не вернет), если плохой банк </w:t>
      </w:r>
      <w:r>
        <w:rPr>
          <w:position w:val="-6"/>
          <w:sz w:val="28"/>
          <w:szCs w:val="28"/>
        </w:rPr>
        <w:object>
          <v:shape id="_x0000_i1627" o:spt="75" type="#_x0000_t75" style="height:13.5pt;width:9.75pt;" o:ole="t" filled="f" o:preferrelative="t" stroked="f" coordsize="21600,21600">
            <v:path/>
            <v:fill on="f" focussize="0,0"/>
            <v:stroke on="f" joinstyle="miter"/>
            <v:imagedata r:id="rId1085" o:title=""/>
            <o:lock v:ext="edit" aspectratio="t"/>
            <w10:wrap type="none"/>
            <w10:anchorlock/>
          </v:shape>
          <o:OLEObject Type="Embed" ProgID="Equation.DSMT4" ShapeID="_x0000_i1627" DrawAspect="Content" ObjectID="_1468076327" r:id="rId1084">
            <o:LockedField>false</o:LockedField>
          </o:OLEObject>
        </w:object>
      </w:r>
      <w:r>
        <w:rPr>
          <w:rFonts w:eastAsia="Calibri"/>
          <w:sz w:val="28"/>
          <w:szCs w:val="28"/>
          <w:lang w:eastAsia="en-US"/>
        </w:rPr>
        <w:t xml:space="preserve"> окажется неплатежеспособным. Следовательно, схема </w:t>
      </w:r>
      <w:r>
        <w:rPr>
          <w:position w:val="-6"/>
          <w:sz w:val="28"/>
          <w:szCs w:val="28"/>
        </w:rPr>
        <w:object>
          <v:shape id="_x0000_i1628" o:spt="75" type="#_x0000_t75" style="height:13.5pt;width:42pt;" o:ole="t" filled="f" o:preferrelative="t" stroked="f" coordsize="21600,21600">
            <v:path/>
            <v:fill on="f" focussize="0,0"/>
            <v:stroke on="f" joinstyle="miter"/>
            <v:imagedata r:id="rId1087" o:title=""/>
            <o:lock v:ext="edit" aspectratio="t"/>
            <w10:wrap type="none"/>
            <w10:anchorlock/>
          </v:shape>
          <o:OLEObject Type="Embed" ProgID="Equation.DSMT4" ShapeID="_x0000_i1628" DrawAspect="Content" ObjectID="_1468076328" r:id="rId1086">
            <o:LockedField>false</o:LockedField>
          </o:OLEObject>
        </w:object>
      </w:r>
      <w:r>
        <w:rPr>
          <w:rFonts w:eastAsia="Calibri"/>
          <w:sz w:val="28"/>
          <w:szCs w:val="28"/>
          <w:lang w:eastAsia="en-US"/>
        </w:rPr>
        <w:t xml:space="preserve"> для всех </w:t>
      </w:r>
      <w:r>
        <w:rPr>
          <w:position w:val="-6"/>
          <w:sz w:val="28"/>
          <w:szCs w:val="28"/>
        </w:rPr>
        <w:object>
          <v:shape id="_x0000_i1629" o:spt="75" type="#_x0000_t75" style="height:11.25pt;width:12pt;" o:ole="t" filled="f" o:preferrelative="t" stroked="f" coordsize="21600,21600">
            <v:path/>
            <v:fill on="f" focussize="0,0"/>
            <v:stroke on="f" joinstyle="miter"/>
            <v:imagedata r:id="rId1067" o:title=""/>
            <o:lock v:ext="edit" aspectratio="t"/>
            <w10:wrap type="none"/>
            <w10:anchorlock/>
          </v:shape>
          <o:OLEObject Type="Embed" ProgID="Equation.DSMT4" ShapeID="_x0000_i1629" DrawAspect="Content" ObjectID="_1468076329" r:id="rId1088">
            <o:LockedField>false</o:LockedField>
          </o:OLEObject>
        </w:object>
      </w:r>
      <w:r>
        <w:rPr>
          <w:rFonts w:eastAsia="Calibri"/>
          <w:sz w:val="28"/>
          <w:szCs w:val="28"/>
          <w:lang w:eastAsia="en-US"/>
        </w:rPr>
        <w:t xml:space="preserve">. </w:t>
      </w:r>
    </w:p>
    <w:p w14:paraId="5734EBDE">
      <w:pPr>
        <w:pStyle w:val="37"/>
        <w:ind w:firstLine="709"/>
        <w:rPr>
          <w:sz w:val="28"/>
          <w:szCs w:val="28"/>
        </w:rPr>
      </w:pPr>
      <w:r>
        <w:rPr>
          <w:rFonts w:eastAsia="Calibri"/>
          <w:sz w:val="28"/>
          <w:szCs w:val="28"/>
          <w:lang w:eastAsia="en-US"/>
        </w:rPr>
        <w:t xml:space="preserve">б) Издержки потери репутации </w:t>
      </w:r>
      <w:r>
        <w:rPr>
          <w:position w:val="-6"/>
          <w:sz w:val="28"/>
          <w:szCs w:val="28"/>
        </w:rPr>
        <w:object>
          <v:shape id="_x0000_i1630" o:spt="75" type="#_x0000_t75" style="height:11.25pt;width:12pt;" o:ole="t" filled="f" o:preferrelative="t" stroked="f" coordsize="21600,21600">
            <v:path/>
            <v:fill on="f" focussize="0,0"/>
            <v:stroke on="f" joinstyle="miter"/>
            <v:imagedata r:id="rId1067" o:title=""/>
            <o:lock v:ext="edit" aspectratio="t"/>
            <w10:wrap type="none"/>
            <w10:anchorlock/>
          </v:shape>
          <o:OLEObject Type="Embed" ProgID="Equation.DSMT4" ShapeID="_x0000_i1630" DrawAspect="Content" ObjectID="_1468076330" r:id="rId1089">
            <o:LockedField>false</o:LockedField>
          </o:OLEObject>
        </w:object>
      </w:r>
      <w:r>
        <w:rPr>
          <w:sz w:val="28"/>
          <w:szCs w:val="28"/>
        </w:rPr>
        <w:t xml:space="preserve"> </w:t>
      </w:r>
      <w:r>
        <w:rPr>
          <w:rFonts w:eastAsia="Calibri"/>
          <w:sz w:val="28"/>
          <w:szCs w:val="28"/>
          <w:lang w:eastAsia="en-US"/>
        </w:rPr>
        <w:t>становятся решающими для порядка предпочтений при учете безвозвратной продажи (схема 1). При низких издержках потери репутации (</w:t>
      </w:r>
      <w:r>
        <w:rPr>
          <w:position w:val="-6"/>
          <w:sz w:val="28"/>
          <w:szCs w:val="28"/>
        </w:rPr>
        <w:object>
          <v:shape id="_x0000_i1631" o:spt="75" type="#_x0000_t75" style="height:13.5pt;width:31.5pt;" o:ole="t" filled="f" o:preferrelative="t" stroked="f" coordsize="21600,21600">
            <v:path/>
            <v:fill on="f" focussize="0,0"/>
            <v:stroke on="f" joinstyle="miter"/>
            <v:imagedata r:id="rId1091" o:title=""/>
            <o:lock v:ext="edit" aspectratio="t"/>
            <w10:wrap type="none"/>
            <w10:anchorlock/>
          </v:shape>
          <o:OLEObject Type="Embed" ProgID="Equation.DSMT4" ShapeID="_x0000_i1631" DrawAspect="Content" ObjectID="_1468076331" r:id="rId1090">
            <o:LockedField>false</o:LockedField>
          </o:OLEObject>
        </w:object>
      </w:r>
      <w:r>
        <w:rPr>
          <w:sz w:val="28"/>
          <w:szCs w:val="28"/>
        </w:rPr>
        <w:t xml:space="preserve">) </w:t>
      </w:r>
      <w:r>
        <w:rPr>
          <w:rFonts w:eastAsia="Calibri"/>
          <w:sz w:val="28"/>
          <w:szCs w:val="28"/>
          <w:lang w:eastAsia="en-US"/>
        </w:rPr>
        <w:t xml:space="preserve">ЛПР предпочитает безвозвратную продажу проблемных активов (схему 1) обоим вариантам соглашения об обратном выкупе (схемы 2). Относительно низкие издержки потери репутации </w:t>
      </w:r>
      <w:r>
        <w:rPr>
          <w:position w:val="-6"/>
          <w:sz w:val="28"/>
          <w:szCs w:val="28"/>
        </w:rPr>
        <w:object>
          <v:shape id="_x0000_i1632" o:spt="75" type="#_x0000_t75" style="height:11.25pt;width:12pt;" o:ole="t" filled="f" o:preferrelative="t" stroked="f" coordsize="21600,21600">
            <v:path/>
            <v:fill on="f" focussize="0,0"/>
            <v:stroke on="f" joinstyle="miter"/>
            <v:imagedata r:id="rId1067" o:title=""/>
            <o:lock v:ext="edit" aspectratio="t"/>
            <w10:wrap type="none"/>
            <w10:anchorlock/>
          </v:shape>
          <o:OLEObject Type="Embed" ProgID="Equation.DSMT4" ShapeID="_x0000_i1632" DrawAspect="Content" ObjectID="_1468076332" r:id="rId1092">
            <o:LockedField>false</o:LockedField>
          </o:OLEObject>
        </w:object>
      </w:r>
      <w:r>
        <w:rPr>
          <w:sz w:val="28"/>
          <w:szCs w:val="28"/>
        </w:rPr>
        <w:t xml:space="preserve"> </w:t>
      </w:r>
      <w:r>
        <w:rPr>
          <w:rFonts w:eastAsia="Calibri"/>
          <w:sz w:val="28"/>
          <w:szCs w:val="28"/>
          <w:lang w:eastAsia="en-US"/>
        </w:rPr>
        <w:t xml:space="preserve">подразумевают, что денежный выкуп </w:t>
      </w:r>
      <w:r>
        <w:rPr>
          <w:position w:val="-4"/>
          <w:sz w:val="28"/>
          <w:szCs w:val="28"/>
        </w:rPr>
        <w:object>
          <v:shape id="_x0000_i1633" o:spt="75" type="#_x0000_t75" style="height:15pt;width:20.25pt;" o:ole="t" filled="f" o:preferrelative="t" stroked="f" coordsize="21600,21600">
            <v:path/>
            <v:fill on="f" focussize="0,0"/>
            <v:stroke on="f" joinstyle="miter"/>
            <v:imagedata r:id="rId1073" o:title=""/>
            <o:lock v:ext="edit" aspectratio="t"/>
            <w10:wrap type="none"/>
            <w10:anchorlock/>
          </v:shape>
          <o:OLEObject Type="Embed" ProgID="Equation.DSMT4" ShapeID="_x0000_i1633" DrawAspect="Content" ObjectID="_1468076333" r:id="rId1093">
            <o:LockedField>false</o:LockedField>
          </o:OLEObject>
        </w:object>
      </w:r>
      <w:r>
        <w:rPr>
          <w:rFonts w:eastAsia="Calibri"/>
          <w:sz w:val="28"/>
          <w:szCs w:val="28"/>
          <w:lang w:eastAsia="en-US"/>
        </w:rPr>
        <w:t xml:space="preserve"> также является относительно низким. Это означает, что при сделке по схеме 1 перевод связан с ожидаемой прибылью домашних хозяйств </w:t>
      </w:r>
      <w:r>
        <w:rPr>
          <w:position w:val="-6"/>
          <w:sz w:val="28"/>
          <w:szCs w:val="28"/>
        </w:rPr>
        <w:object>
          <v:shape id="_x0000_i1634" o:spt="75" type="#_x0000_t75" style="height:13.5pt;width:9.75pt;" o:ole="t" filled="f" o:preferrelative="t" stroked="f" coordsize="21600,21600">
            <v:path/>
            <v:fill on="f" focussize="0,0"/>
            <v:stroke on="f" joinstyle="miter"/>
            <v:imagedata r:id="rId1095" o:title=""/>
            <o:lock v:ext="edit" aspectratio="t"/>
            <w10:wrap type="none"/>
            <w10:anchorlock/>
          </v:shape>
          <o:OLEObject Type="Embed" ProgID="Equation.DSMT4" ShapeID="_x0000_i1634" DrawAspect="Content" ObjectID="_1468076334" r:id="rId1094">
            <o:LockedField>false</o:LockedField>
          </o:OLEObject>
        </w:object>
      </w:r>
      <w:r>
        <w:rPr>
          <w:rFonts w:eastAsia="Calibri"/>
          <w:sz w:val="28"/>
          <w:szCs w:val="28"/>
          <w:lang w:eastAsia="en-US"/>
        </w:rPr>
        <w:t xml:space="preserve"> (</w:t>
      </w:r>
      <w:r>
        <w:rPr>
          <w:position w:val="-10"/>
          <w:sz w:val="28"/>
          <w:szCs w:val="28"/>
        </w:rPr>
        <w:object>
          <v:shape id="_x0000_i1635" o:spt="75" type="#_x0000_t75" style="height:18.75pt;width:54.75pt;" o:ole="t" filled="f" o:preferrelative="t" stroked="f" coordsize="21600,21600">
            <v:path/>
            <v:fill on="f" focussize="0,0"/>
            <v:stroke on="f" joinstyle="miter"/>
            <v:imagedata r:id="rId1097" o:title=""/>
            <o:lock v:ext="edit" aspectratio="t"/>
            <w10:wrap type="none"/>
            <w10:anchorlock/>
          </v:shape>
          <o:OLEObject Type="Embed" ProgID="Equation.DSMT4" ShapeID="_x0000_i1635" DrawAspect="Content" ObjectID="_1468076335" r:id="rId1096">
            <o:LockedField>false</o:LockedField>
          </o:OLEObject>
        </w:object>
      </w:r>
      <w:r>
        <w:rPr>
          <w:rFonts w:eastAsia="Calibri"/>
          <w:sz w:val="28"/>
          <w:szCs w:val="28"/>
          <w:lang w:eastAsia="en-US"/>
        </w:rPr>
        <w:t xml:space="preserve">). Эта прибыль недоступна при сделках по обеим схемам 2, поскольку в них возможные доходы от проблемных активов остаются у банка </w:t>
      </w:r>
      <w:r>
        <w:rPr>
          <w:position w:val="-6"/>
          <w:sz w:val="28"/>
          <w:szCs w:val="28"/>
        </w:rPr>
        <w:object>
          <v:shape id="_x0000_i1636" o:spt="75" type="#_x0000_t75" style="height:13.5pt;width:9.75pt;" o:ole="t" filled="f" o:preferrelative="t" stroked="f" coordsize="21600,21600">
            <v:path/>
            <v:fill on="f" focussize="0,0"/>
            <v:stroke on="f" joinstyle="miter"/>
            <v:imagedata r:id="rId1099" o:title=""/>
            <o:lock v:ext="edit" aspectratio="t"/>
            <w10:wrap type="none"/>
            <w10:anchorlock/>
          </v:shape>
          <o:OLEObject Type="Embed" ProgID="Equation.DSMT4" ShapeID="_x0000_i1636" DrawAspect="Content" ObjectID="_1468076336" r:id="rId1098">
            <o:LockedField>false</o:LockedField>
          </o:OLEObject>
        </w:object>
      </w:r>
      <w:r>
        <w:rPr>
          <w:rFonts w:eastAsia="Calibri"/>
          <w:sz w:val="28"/>
          <w:szCs w:val="28"/>
          <w:lang w:eastAsia="en-US"/>
        </w:rPr>
        <w:t xml:space="preserve">. Следовательно, схема 1 </w:t>
      </w:r>
      <w:r>
        <w:rPr>
          <w:sz w:val="28"/>
          <w:szCs w:val="28"/>
        </w:rPr>
        <w:t>предпочтительнее схемы </w:t>
      </w:r>
      <w:r>
        <w:rPr>
          <w:position w:val="-6"/>
          <w:sz w:val="28"/>
          <w:szCs w:val="28"/>
        </w:rPr>
        <w:object>
          <v:shape id="_x0000_i1637" o:spt="75" type="#_x0000_t75" style="height:13.5pt;width:16.5pt;" o:ole="t" filled="f" o:preferrelative="t" stroked="f" coordsize="21600,21600">
            <v:path/>
            <v:fill on="f" focussize="0,0"/>
            <v:stroke on="f" joinstyle="miter"/>
            <v:imagedata r:id="rId1101" o:title=""/>
            <o:lock v:ext="edit" aspectratio="t"/>
            <w10:wrap type="none"/>
            <w10:anchorlock/>
          </v:shape>
          <o:OLEObject Type="Embed" ProgID="Equation.DSMT4" ShapeID="_x0000_i1637" DrawAspect="Content" ObjectID="_1468076337" r:id="rId1100">
            <o:LockedField>false</o:LockedField>
          </o:OLEObject>
        </w:object>
      </w:r>
      <w:r>
        <w:rPr>
          <w:sz w:val="28"/>
          <w:szCs w:val="28"/>
        </w:rPr>
        <w:t xml:space="preserve"> (</w:t>
      </w:r>
      <w:r>
        <w:rPr>
          <w:position w:val="-10"/>
          <w:sz w:val="28"/>
          <w:szCs w:val="28"/>
        </w:rPr>
        <w:object>
          <v:shape id="_x0000_i1638" o:spt="75" type="#_x0000_t75" style="height:15.75pt;width:34.5pt;" o:ole="t" filled="f" o:preferrelative="t" stroked="f" coordsize="21600,21600">
            <v:path/>
            <v:fill on="f" focussize="0,0"/>
            <v:stroke on="f" joinstyle="miter"/>
            <v:imagedata r:id="rId1103" o:title=""/>
            <o:lock v:ext="edit" aspectratio="t"/>
            <w10:wrap type="none"/>
            <w10:anchorlock/>
          </v:shape>
          <o:OLEObject Type="Embed" ProgID="Equation.DSMT4" ShapeID="_x0000_i1638" DrawAspect="Content" ObjectID="_1468076338" r:id="rId1102">
            <o:LockedField>false</o:LockedField>
          </o:OLEObject>
        </w:object>
      </w:r>
      <w:r>
        <w:rPr>
          <w:sz w:val="28"/>
          <w:szCs w:val="28"/>
        </w:rPr>
        <w:t xml:space="preserve">) для </w:t>
      </w:r>
      <w:r>
        <w:rPr>
          <w:position w:val="-6"/>
          <w:sz w:val="28"/>
          <w:szCs w:val="28"/>
        </w:rPr>
        <w:object>
          <v:shape id="_x0000_i1639" o:spt="75" type="#_x0000_t75" style="height:13.5pt;width:31.5pt;" o:ole="t" filled="f" o:preferrelative="t" stroked="f" coordsize="21600,21600">
            <v:path/>
            <v:fill on="f" focussize="0,0"/>
            <v:stroke on="f" joinstyle="miter"/>
            <v:imagedata r:id="rId1091" o:title=""/>
            <o:lock v:ext="edit" aspectratio="t"/>
            <w10:wrap type="none"/>
            <w10:anchorlock/>
          </v:shape>
          <o:OLEObject Type="Embed" ProgID="Equation.DSMT4" ShapeID="_x0000_i1639" DrawAspect="Content" ObjectID="_1468076339" r:id="rId1104">
            <o:LockedField>false</o:LockedField>
          </o:OLEObject>
        </w:object>
      </w:r>
      <w:r>
        <w:rPr>
          <w:sz w:val="28"/>
          <w:szCs w:val="28"/>
        </w:rPr>
        <w:t xml:space="preserve"> </w:t>
      </w:r>
    </w:p>
    <w:p w14:paraId="24498F19">
      <w:pPr>
        <w:pStyle w:val="37"/>
        <w:ind w:firstLine="709"/>
        <w:rPr>
          <w:rFonts w:eastAsia="Calibri"/>
          <w:sz w:val="28"/>
          <w:szCs w:val="28"/>
          <w:lang w:eastAsia="en-US"/>
        </w:rPr>
      </w:pPr>
      <w:r>
        <w:rPr>
          <w:sz w:val="28"/>
          <w:szCs w:val="28"/>
        </w:rPr>
        <w:t xml:space="preserve">  </w:t>
      </w:r>
      <w:r>
        <w:rPr>
          <w:rFonts w:eastAsia="Calibri"/>
          <w:sz w:val="28"/>
          <w:szCs w:val="28"/>
          <w:lang w:eastAsia="en-US"/>
        </w:rPr>
        <w:t xml:space="preserve"> в) Для издержек потери репутации </w:t>
      </w:r>
      <w:r>
        <w:rPr>
          <w:position w:val="-6"/>
          <w:sz w:val="28"/>
          <w:szCs w:val="28"/>
        </w:rPr>
        <w:object>
          <v:shape id="_x0000_i1640" o:spt="75" type="#_x0000_t75" style="height:11.25pt;width:12pt;" o:ole="t" filled="f" o:preferrelative="t" stroked="f" coordsize="21600,21600">
            <v:path/>
            <v:fill on="f" focussize="0,0"/>
            <v:stroke on="f" joinstyle="miter"/>
            <v:imagedata r:id="rId1067" o:title=""/>
            <o:lock v:ext="edit" aspectratio="t"/>
            <w10:wrap type="none"/>
            <w10:anchorlock/>
          </v:shape>
          <o:OLEObject Type="Embed" ProgID="Equation.DSMT4" ShapeID="_x0000_i1640" DrawAspect="Content" ObjectID="_1468076340" r:id="rId1105">
            <o:LockedField>false</o:LockedField>
          </o:OLEObject>
        </w:object>
      </w:r>
      <w:r>
        <w:rPr>
          <w:rFonts w:eastAsia="Calibri"/>
          <w:sz w:val="28"/>
          <w:szCs w:val="28"/>
          <w:lang w:eastAsia="en-US"/>
        </w:rPr>
        <w:t xml:space="preserve">, превышающих пороговый уровень </w:t>
      </w:r>
      <w:r>
        <w:rPr>
          <w:position w:val="-6"/>
          <w:sz w:val="28"/>
          <w:szCs w:val="28"/>
        </w:rPr>
        <w:object>
          <v:shape id="_x0000_i1641" o:spt="75" type="#_x0000_t75" style="height:13.5pt;width:12pt;" o:ole="t" filled="f" o:preferrelative="t" stroked="f" coordsize="21600,21600">
            <v:path/>
            <v:fill on="f" focussize="0,0"/>
            <v:stroke on="f" joinstyle="miter"/>
            <v:imagedata r:id="rId1107" o:title=""/>
            <o:lock v:ext="edit" aspectratio="t"/>
            <w10:wrap type="none"/>
            <w10:anchorlock/>
          </v:shape>
          <o:OLEObject Type="Embed" ProgID="Equation.DSMT4" ShapeID="_x0000_i1641" DrawAspect="Content" ObjectID="_1468076341" r:id="rId1106">
            <o:LockedField>false</o:LockedField>
          </o:OLEObject>
        </w:object>
      </w:r>
      <w:r>
        <w:rPr>
          <w:sz w:val="28"/>
          <w:szCs w:val="28"/>
        </w:rPr>
        <w:t xml:space="preserve"> (определенный в (26))</w:t>
      </w:r>
      <w:r>
        <w:rPr>
          <w:rFonts w:eastAsia="Calibri"/>
          <w:sz w:val="28"/>
          <w:szCs w:val="28"/>
          <w:lang w:eastAsia="en-US"/>
        </w:rPr>
        <w:t xml:space="preserve">, денежный выкуп (трансферный платеж) </w:t>
      </w:r>
      <w:r>
        <w:rPr>
          <w:position w:val="-12"/>
          <w:sz w:val="28"/>
          <w:szCs w:val="28"/>
        </w:rPr>
        <w:object>
          <v:shape id="_x0000_i1642" o:spt="75" type="#_x0000_t75" style="height:19.5pt;width:20.25pt;" o:ole="t" filled="f" o:preferrelative="t" stroked="f" coordsize="21600,21600">
            <v:path/>
            <v:fill on="f" focussize="0,0"/>
            <v:stroke on="f" joinstyle="miter"/>
            <v:imagedata r:id="rId1109" o:title=""/>
            <o:lock v:ext="edit" aspectratio="t"/>
            <w10:wrap type="none"/>
            <w10:anchorlock/>
          </v:shape>
          <o:OLEObject Type="Embed" ProgID="Equation.DSMT4" ShapeID="_x0000_i1642" DrawAspect="Content" ObjectID="_1468076342" r:id="rId1108">
            <o:LockedField>false</o:LockedField>
          </o:OLEObject>
        </w:object>
      </w:r>
      <w:r>
        <w:rPr>
          <w:sz w:val="28"/>
          <w:szCs w:val="28"/>
        </w:rPr>
        <w:t>(</w:t>
      </w:r>
      <w:r>
        <w:rPr>
          <w:position w:val="-10"/>
          <w:sz w:val="28"/>
          <w:szCs w:val="28"/>
        </w:rPr>
        <w:object>
          <v:shape id="_x0000_i1643" o:spt="75" type="#_x0000_t75" style="height:15.75pt;width:33.75pt;" o:ole="t" filled="f" o:preferrelative="t" stroked="f" coordsize="21600,21600">
            <v:path/>
            <v:fill on="f" focussize="0,0"/>
            <v:stroke on="f" joinstyle="miter"/>
            <v:imagedata r:id="rId1111" o:title=""/>
            <o:lock v:ext="edit" aspectratio="t"/>
            <w10:wrap type="none"/>
            <w10:anchorlock/>
          </v:shape>
          <o:OLEObject Type="Embed" ProgID="Equation.DSMT4" ShapeID="_x0000_i1643" DrawAspect="Content" ObjectID="_1468076343" r:id="rId1110">
            <o:LockedField>false</o:LockedField>
          </o:OLEObject>
        </w:object>
      </w:r>
      <w:r>
        <w:rPr>
          <w:sz w:val="28"/>
          <w:szCs w:val="28"/>
        </w:rPr>
        <w:t>)</w:t>
      </w:r>
      <w:r>
        <w:rPr>
          <w:rFonts w:eastAsia="Calibri"/>
          <w:sz w:val="28"/>
          <w:szCs w:val="28"/>
          <w:lang w:eastAsia="en-US"/>
        </w:rPr>
        <w:t xml:space="preserve"> должен быть выше, чем </w:t>
      </w:r>
      <w:r>
        <w:rPr>
          <w:position w:val="-10"/>
          <w:sz w:val="28"/>
          <w:szCs w:val="28"/>
        </w:rPr>
        <w:object>
          <v:shape id="_x0000_i1644" o:spt="75" type="#_x0000_t75" style="height:18.75pt;width:24.75pt;" o:ole="t" filled="f" o:preferrelative="t" stroked="f" coordsize="21600,21600">
            <v:path/>
            <v:fill on="f" focussize="0,0"/>
            <v:stroke on="f" joinstyle="miter"/>
            <v:imagedata r:id="rId1113" o:title=""/>
            <o:lock v:ext="edit" aspectratio="t"/>
            <w10:wrap type="none"/>
            <w10:anchorlock/>
          </v:shape>
          <o:OLEObject Type="Embed" ProgID="Equation.DSMT4" ShapeID="_x0000_i1644" DrawAspect="Content" ObjectID="_1468076344" r:id="rId1112">
            <o:LockedField>false</o:LockedField>
          </o:OLEObject>
        </w:object>
      </w:r>
      <w:r>
        <w:rPr>
          <w:rFonts w:eastAsia="Calibri"/>
          <w:sz w:val="28"/>
          <w:szCs w:val="28"/>
          <w:lang w:eastAsia="en-US"/>
        </w:rPr>
        <w:t xml:space="preserve">. В этом случае безвозвратная продажа проблемного актива фонду проблемных активов </w:t>
      </w:r>
      <w:r>
        <w:rPr>
          <w:position w:val="-6"/>
          <w:sz w:val="28"/>
          <w:szCs w:val="28"/>
        </w:rPr>
        <w:object>
          <v:shape id="_x0000_i1645" o:spt="75" type="#_x0000_t75" style="height:13.5pt;width:11.25pt;" o:ole="t" filled="f" o:preferrelative="t" stroked="f" coordsize="21600,21600">
            <v:path/>
            <v:fill on="f" focussize="0,0"/>
            <v:stroke on="f" joinstyle="miter"/>
            <v:imagedata r:id="rId1115" o:title=""/>
            <o:lock v:ext="edit" aspectratio="t"/>
            <w10:wrap type="none"/>
            <w10:anchorlock/>
          </v:shape>
          <o:OLEObject Type="Embed" ProgID="Equation.DSMT4" ShapeID="_x0000_i1645" DrawAspect="Content" ObjectID="_1468076345" r:id="rId1114">
            <o:LockedField>false</o:LockedField>
          </o:OLEObject>
        </w:object>
      </w:r>
      <w:r>
        <w:rPr>
          <w:rFonts w:eastAsia="Calibri"/>
          <w:sz w:val="28"/>
          <w:szCs w:val="28"/>
          <w:lang w:eastAsia="en-US"/>
        </w:rPr>
        <w:t xml:space="preserve"> приводит к ожидаемым убыткам для домашних хозяйств </w:t>
      </w:r>
      <w:r>
        <w:rPr>
          <w:position w:val="-6"/>
          <w:sz w:val="28"/>
          <w:szCs w:val="28"/>
        </w:rPr>
        <w:object>
          <v:shape id="_x0000_i1646" o:spt="75" type="#_x0000_t75" style="height:13.5pt;width:9.75pt;" o:ole="t" filled="f" o:preferrelative="t" stroked="f" coordsize="21600,21600">
            <v:path/>
            <v:fill on="f" focussize="0,0"/>
            <v:stroke on="f" joinstyle="miter"/>
            <v:imagedata r:id="rId1117" o:title=""/>
            <o:lock v:ext="edit" aspectratio="t"/>
            <w10:wrap type="none"/>
            <w10:anchorlock/>
          </v:shape>
          <o:OLEObject Type="Embed" ProgID="Equation.DSMT4" ShapeID="_x0000_i1646" DrawAspect="Content" ObjectID="_1468076346" r:id="rId1116">
            <o:LockedField>false</o:LockedField>
          </o:OLEObject>
        </w:object>
      </w:r>
      <w:r>
        <w:rPr>
          <w:sz w:val="28"/>
          <w:szCs w:val="28"/>
        </w:rPr>
        <w:t xml:space="preserve"> (</w:t>
      </w:r>
      <w:r>
        <w:rPr>
          <w:rFonts w:eastAsia="Calibri"/>
          <w:sz w:val="28"/>
          <w:szCs w:val="28"/>
          <w:lang w:eastAsia="en-US"/>
        </w:rPr>
        <w:t>как налогоплательщиков). Поскольку сделка по схеме </w:t>
      </w:r>
      <w:r>
        <w:rPr>
          <w:position w:val="-6"/>
          <w:sz w:val="28"/>
          <w:szCs w:val="28"/>
        </w:rPr>
        <w:object>
          <v:shape id="_x0000_i1647" o:spt="75" type="#_x0000_t75" style="height:13.5pt;width:16.5pt;" o:ole="t" filled="f" o:preferrelative="t" stroked="f" coordsize="21600,21600">
            <v:path/>
            <v:fill on="f" focussize="0,0"/>
            <v:stroke on="f" joinstyle="miter"/>
            <v:imagedata r:id="rId1119" o:title=""/>
            <o:lock v:ext="edit" aspectratio="t"/>
            <w10:wrap type="none"/>
            <w10:anchorlock/>
          </v:shape>
          <o:OLEObject Type="Embed" ProgID="Equation.DSMT4" ShapeID="_x0000_i1647" DrawAspect="Content" ObjectID="_1468076347" r:id="rId1118">
            <o:LockedField>false</o:LockedField>
          </o:OLEObject>
        </w:object>
      </w:r>
      <w:r>
        <w:rPr>
          <w:rFonts w:eastAsia="Calibri"/>
          <w:sz w:val="28"/>
          <w:szCs w:val="28"/>
          <w:lang w:eastAsia="en-US"/>
        </w:rPr>
        <w:t xml:space="preserve"> бесплатна для домашних хозяйств </w:t>
      </w:r>
      <w:r>
        <w:rPr>
          <w:position w:val="-6"/>
          <w:sz w:val="28"/>
          <w:szCs w:val="28"/>
        </w:rPr>
        <w:object>
          <v:shape id="_x0000_i1648" o:spt="75" type="#_x0000_t75" style="height:13.5pt;width:9.75pt;" o:ole="t" filled="f" o:preferrelative="t" stroked="f" coordsize="21600,21600">
            <v:path/>
            <v:fill on="f" focussize="0,0"/>
            <v:stroke on="f" joinstyle="miter"/>
            <v:imagedata r:id="rId1117" o:title=""/>
            <o:lock v:ext="edit" aspectratio="t"/>
            <w10:wrap type="none"/>
            <w10:anchorlock/>
          </v:shape>
          <o:OLEObject Type="Embed" ProgID="Equation.DSMT4" ShapeID="_x0000_i1648" DrawAspect="Content" ObjectID="_1468076348" r:id="rId1120">
            <o:LockedField>false</o:LockedField>
          </o:OLEObject>
        </w:object>
      </w:r>
      <w:r>
        <w:rPr>
          <w:sz w:val="28"/>
          <w:szCs w:val="28"/>
        </w:rPr>
        <w:t xml:space="preserve"> </w:t>
      </w:r>
      <w:r>
        <w:rPr>
          <w:rFonts w:eastAsia="Calibri"/>
          <w:sz w:val="28"/>
          <w:szCs w:val="28"/>
          <w:lang w:eastAsia="en-US"/>
        </w:rPr>
        <w:t xml:space="preserve">(они с уверенностью возвращают денежный выкуп </w:t>
      </w:r>
      <w:r>
        <w:rPr>
          <w:position w:val="-4"/>
          <w:sz w:val="28"/>
          <w:szCs w:val="28"/>
        </w:rPr>
        <w:object>
          <v:shape id="_x0000_i1649" o:spt="75" type="#_x0000_t75" style="height:15pt;width:20.25pt;" o:ole="t" filled="f" o:preferrelative="t" stroked="f" coordsize="21600,21600">
            <v:path/>
            <v:fill on="f" focussize="0,0"/>
            <v:stroke on="f" joinstyle="miter"/>
            <v:imagedata r:id="rId1073" o:title=""/>
            <o:lock v:ext="edit" aspectratio="t"/>
            <w10:wrap type="none"/>
            <w10:anchorlock/>
          </v:shape>
          <o:OLEObject Type="Embed" ProgID="Equation.DSMT4" ShapeID="_x0000_i1649" DrawAspect="Content" ObjectID="_1468076349" r:id="rId1121">
            <o:LockedField>false</o:LockedField>
          </o:OLEObject>
        </w:object>
      </w:r>
      <w:r>
        <w:rPr>
          <w:rFonts w:eastAsia="Calibri"/>
          <w:sz w:val="28"/>
          <w:szCs w:val="28"/>
          <w:lang w:eastAsia="en-US"/>
        </w:rPr>
        <w:t xml:space="preserve">), </w:t>
      </w:r>
      <w:r>
        <w:rPr>
          <w:position w:val="-6"/>
          <w:sz w:val="28"/>
          <w:szCs w:val="28"/>
        </w:rPr>
        <w:object>
          <v:shape id="_x0000_i1650" o:spt="75" type="#_x0000_t75" style="height:13.5pt;width:34.5pt;" o:ole="t" filled="f" o:preferrelative="t" stroked="f" coordsize="21600,21600">
            <v:path/>
            <v:fill on="f" focussize="0,0"/>
            <v:stroke on="f" joinstyle="miter"/>
            <v:imagedata r:id="rId1123" o:title=""/>
            <o:lock v:ext="edit" aspectratio="t"/>
            <w10:wrap type="none"/>
            <w10:anchorlock/>
          </v:shape>
          <o:OLEObject Type="Embed" ProgID="Equation.DSMT4" ShapeID="_x0000_i1650" DrawAspect="Content" ObjectID="_1468076350" r:id="rId1122">
            <o:LockedField>false</o:LockedField>
          </o:OLEObject>
        </w:object>
      </w:r>
      <w:r>
        <w:rPr>
          <w:sz w:val="28"/>
          <w:szCs w:val="28"/>
        </w:rPr>
        <w:t xml:space="preserve"> </w:t>
      </w:r>
      <w:r>
        <w:rPr>
          <w:rFonts w:eastAsia="Calibri"/>
          <w:sz w:val="28"/>
          <w:szCs w:val="28"/>
          <w:lang w:eastAsia="en-US"/>
        </w:rPr>
        <w:t xml:space="preserve">для всех </w:t>
      </w:r>
      <w:r>
        <w:rPr>
          <w:position w:val="-6"/>
          <w:sz w:val="28"/>
          <w:szCs w:val="28"/>
        </w:rPr>
        <w:object>
          <v:shape id="_x0000_i1651" o:spt="75" type="#_x0000_t75" style="height:13.5pt;width:31.5pt;" o:ole="t" filled="f" o:preferrelative="t" stroked="f" coordsize="21600,21600">
            <v:path/>
            <v:fill on="f" focussize="0,0"/>
            <v:stroke on="f" joinstyle="miter"/>
            <v:imagedata r:id="rId1125" o:title=""/>
            <o:lock v:ext="edit" aspectratio="t"/>
            <w10:wrap type="none"/>
            <w10:anchorlock/>
          </v:shape>
          <o:OLEObject Type="Embed" ProgID="Equation.DSMT4" ShapeID="_x0000_i1651" DrawAspect="Content" ObjectID="_1468076351" r:id="rId1124">
            <o:LockedField>false</o:LockedField>
          </o:OLEObject>
        </w:object>
      </w:r>
      <w:r>
        <w:rPr>
          <w:rFonts w:eastAsia="Calibri"/>
          <w:sz w:val="28"/>
          <w:szCs w:val="28"/>
          <w:lang w:eastAsia="en-US"/>
        </w:rPr>
        <w:t>.</w:t>
      </w:r>
    </w:p>
    <w:p w14:paraId="350377B1">
      <w:pPr>
        <w:pStyle w:val="37"/>
        <w:rPr>
          <w:rFonts w:eastAsia="Calibri"/>
          <w:sz w:val="28"/>
          <w:szCs w:val="28"/>
          <w:lang w:eastAsia="en-US"/>
        </w:rPr>
      </w:pPr>
      <w:r>
        <w:rPr>
          <w:rFonts w:eastAsia="Calibri"/>
          <w:sz w:val="28"/>
          <w:szCs w:val="28"/>
          <w:lang w:eastAsia="en-US"/>
        </w:rPr>
        <w:t xml:space="preserve">г) Для издержек потери репутации </w:t>
      </w:r>
      <w:r>
        <w:rPr>
          <w:position w:val="-6"/>
          <w:sz w:val="28"/>
          <w:szCs w:val="28"/>
        </w:rPr>
        <w:object>
          <v:shape id="_x0000_i1652" o:spt="75" type="#_x0000_t75" style="height:11.25pt;width:12pt;" o:ole="t" filled="f" o:preferrelative="t" stroked="f" coordsize="21600,21600">
            <v:path/>
            <v:fill on="f" focussize="0,0"/>
            <v:stroke on="f" joinstyle="miter"/>
            <v:imagedata r:id="rId1067" o:title=""/>
            <o:lock v:ext="edit" aspectratio="t"/>
            <w10:wrap type="none"/>
            <w10:anchorlock/>
          </v:shape>
          <o:OLEObject Type="Embed" ProgID="Equation.DSMT4" ShapeID="_x0000_i1652" DrawAspect="Content" ObjectID="_1468076352" r:id="rId1126">
            <o:LockedField>false</o:LockedField>
          </o:OLEObject>
        </w:object>
      </w:r>
      <w:r>
        <w:rPr>
          <w:rFonts w:eastAsia="Calibri"/>
          <w:sz w:val="28"/>
          <w:szCs w:val="28"/>
          <w:lang w:eastAsia="en-US"/>
        </w:rPr>
        <w:t xml:space="preserve">, превышающих пороговый уровень </w:t>
      </w:r>
      <w:r>
        <w:rPr>
          <w:position w:val="-6"/>
          <w:sz w:val="28"/>
          <w:szCs w:val="28"/>
        </w:rPr>
        <w:object>
          <v:shape id="_x0000_i1653" o:spt="75" type="#_x0000_t75" style="height:13.5pt;width:12pt;" o:ole="t" filled="f" o:preferrelative="t" stroked="f" coordsize="21600,21600">
            <v:path/>
            <v:fill on="f" focussize="0,0"/>
            <v:stroke on="f" joinstyle="miter"/>
            <v:imagedata r:id="rId1107" o:title=""/>
            <o:lock v:ext="edit" aspectratio="t"/>
            <w10:wrap type="none"/>
            <w10:anchorlock/>
          </v:shape>
          <o:OLEObject Type="Embed" ProgID="Equation.DSMT4" ShapeID="_x0000_i1653" DrawAspect="Content" ObjectID="_1468076353" r:id="rId1127">
            <o:LockedField>false</o:LockedField>
          </o:OLEObject>
        </w:object>
      </w:r>
      <w:r>
        <w:rPr>
          <w:rFonts w:eastAsia="Calibri"/>
          <w:sz w:val="28"/>
          <w:szCs w:val="28"/>
          <w:lang w:eastAsia="en-US"/>
        </w:rPr>
        <w:t xml:space="preserve">, но меньших, чем порог </w:t>
      </w:r>
      <w:r>
        <w:rPr>
          <w:position w:val="-6"/>
          <w:sz w:val="28"/>
          <w:szCs w:val="28"/>
        </w:rPr>
        <w:object>
          <v:shape id="_x0000_i1654" o:spt="75" type="#_x0000_t75" style="height:13.5pt;width:12pt;" o:ole="t" filled="f" o:preferrelative="t" stroked="f" coordsize="21600,21600">
            <v:path/>
            <v:fill on="f" focussize="0,0"/>
            <v:stroke on="f" joinstyle="miter"/>
            <v:imagedata r:id="rId1129" o:title=""/>
            <o:lock v:ext="edit" aspectratio="t"/>
            <w10:wrap type="none"/>
            <w10:anchorlock/>
          </v:shape>
          <o:OLEObject Type="Embed" ProgID="Equation.DSMT4" ShapeID="_x0000_i1654" DrawAspect="Content" ObjectID="_1468076354" r:id="rId1128">
            <o:LockedField>false</o:LockedField>
          </o:OLEObject>
        </w:object>
      </w:r>
      <w:r>
        <w:rPr>
          <w:rFonts w:eastAsia="Calibri"/>
          <w:sz w:val="28"/>
          <w:szCs w:val="28"/>
          <w:lang w:eastAsia="en-US"/>
        </w:rPr>
        <w:t>, сделка по схеме 1 превосходит сделку по схеме </w:t>
      </w:r>
      <w:r>
        <w:rPr>
          <w:position w:val="-6"/>
          <w:sz w:val="28"/>
          <w:szCs w:val="28"/>
        </w:rPr>
        <w:object>
          <v:shape id="_x0000_i1655" o:spt="75" type="#_x0000_t75" style="height:13.5pt;width:15.75pt;" o:ole="t" filled="f" o:preferrelative="t" stroked="f" coordsize="21600,21600">
            <v:path/>
            <v:fill on="f" focussize="0,0"/>
            <v:stroke on="f" joinstyle="miter"/>
            <v:imagedata r:id="rId1131" o:title=""/>
            <o:lock v:ext="edit" aspectratio="t"/>
            <w10:wrap type="none"/>
            <w10:anchorlock/>
          </v:shape>
          <o:OLEObject Type="Embed" ProgID="Equation.DSMT4" ShapeID="_x0000_i1655" DrawAspect="Content" ObjectID="_1468076355" r:id="rId1130">
            <o:LockedField>false</o:LockedField>
          </o:OLEObject>
        </w:object>
      </w:r>
      <w:r>
        <w:rPr>
          <w:rFonts w:eastAsia="Calibri"/>
          <w:sz w:val="28"/>
          <w:szCs w:val="28"/>
          <w:lang w:eastAsia="en-US"/>
        </w:rPr>
        <w:t xml:space="preserve">, в то время как для издержек потери репутации превышающих </w:t>
      </w:r>
      <w:r>
        <w:rPr>
          <w:position w:val="-6"/>
          <w:sz w:val="28"/>
          <w:szCs w:val="28"/>
        </w:rPr>
        <w:object>
          <v:shape id="_x0000_i1656" o:spt="75" type="#_x0000_t75" style="height:13.5pt;width:12pt;" o:ole="t" filled="f" o:preferrelative="t" stroked="f" coordsize="21600,21600">
            <v:path/>
            <v:fill on="f" focussize="0,0"/>
            <v:stroke on="f" joinstyle="miter"/>
            <v:imagedata r:id="rId1129" o:title=""/>
            <o:lock v:ext="edit" aspectratio="t"/>
            <w10:wrap type="none"/>
            <w10:anchorlock/>
          </v:shape>
          <o:OLEObject Type="Embed" ProgID="Equation.DSMT4" ShapeID="_x0000_i1656" DrawAspect="Content" ObjectID="_1468076356" r:id="rId1132">
            <o:LockedField>false</o:LockedField>
          </o:OLEObject>
        </w:object>
      </w:r>
      <w:r>
        <w:rPr>
          <w:rFonts w:eastAsia="Calibri"/>
          <w:sz w:val="28"/>
          <w:szCs w:val="28"/>
          <w:lang w:eastAsia="en-US"/>
        </w:rPr>
        <w:t xml:space="preserve"> ЛПР предпочитает сделку по схеме </w:t>
      </w:r>
      <w:r>
        <w:rPr>
          <w:position w:val="-6"/>
          <w:sz w:val="28"/>
          <w:szCs w:val="28"/>
        </w:rPr>
        <w:object>
          <v:shape id="_x0000_i1657" o:spt="75" type="#_x0000_t75" style="height:13.5pt;width:15.75pt;" o:ole="t" filled="f" o:preferrelative="t" stroked="f" coordsize="21600,21600">
            <v:path/>
            <v:fill on="f" focussize="0,0"/>
            <v:stroke on="f" joinstyle="miter"/>
            <v:imagedata r:id="rId1131" o:title=""/>
            <o:lock v:ext="edit" aspectratio="t"/>
            <w10:wrap type="none"/>
            <w10:anchorlock/>
          </v:shape>
          <o:OLEObject Type="Embed" ProgID="Equation.DSMT4" ShapeID="_x0000_i1657" DrawAspect="Content" ObjectID="_1468076357" r:id="rId1133">
            <o:LockedField>false</o:LockedField>
          </o:OLEObject>
        </w:object>
      </w:r>
      <w:r>
        <w:rPr>
          <w:rFonts w:eastAsia="Calibri"/>
          <w:sz w:val="28"/>
          <w:szCs w:val="28"/>
          <w:lang w:eastAsia="en-US"/>
        </w:rPr>
        <w:t xml:space="preserve">, а не сделку по схеме 1. Этот результат объясняется следующим образом. С точки зрения ЛПР преимущество схемы 1 состоит в том, что домашние хозяйства могут получить прибыль с потенциальных доходов от проблемного актива. Однако недостатком является то, что денежный выкуп </w:t>
      </w:r>
      <w:r>
        <w:rPr>
          <w:position w:val="-4"/>
          <w:sz w:val="28"/>
          <w:szCs w:val="28"/>
        </w:rPr>
        <w:object>
          <v:shape id="_x0000_i1658" o:spt="75" type="#_x0000_t75" style="height:15pt;width:20.25pt;" o:ole="t" filled="f" o:preferrelative="t" stroked="f" coordsize="21600,21600">
            <v:path/>
            <v:fill on="f" focussize="0,0"/>
            <v:stroke on="f" joinstyle="miter"/>
            <v:imagedata r:id="rId1073" o:title=""/>
            <o:lock v:ext="edit" aspectratio="t"/>
            <w10:wrap type="none"/>
            <w10:anchorlock/>
          </v:shape>
          <o:OLEObject Type="Embed" ProgID="Equation.DSMT4" ShapeID="_x0000_i1658" DrawAspect="Content" ObjectID="_1468076358" r:id="rId1134">
            <o:LockedField>false</o:LockedField>
          </o:OLEObject>
        </w:object>
      </w:r>
      <w:r>
        <w:rPr>
          <w:rFonts w:eastAsia="Calibri"/>
          <w:sz w:val="28"/>
          <w:szCs w:val="28"/>
          <w:lang w:eastAsia="en-US"/>
        </w:rPr>
        <w:t xml:space="preserve"> теряется независимо от результата проблемного актива. Напротив, фонд проблемных активов </w:t>
      </w:r>
      <w:r>
        <w:rPr>
          <w:position w:val="-6"/>
          <w:sz w:val="28"/>
          <w:szCs w:val="28"/>
        </w:rPr>
        <w:object>
          <v:shape id="_x0000_i1659" o:spt="75" type="#_x0000_t75" style="height:13.5pt;width:11.25pt;" o:ole="t" filled="f" o:preferrelative="t" stroked="f" coordsize="21600,21600">
            <v:path/>
            <v:fill on="f" focussize="0,0"/>
            <v:stroke on="f" joinstyle="miter"/>
            <v:imagedata r:id="rId1136" o:title=""/>
            <o:lock v:ext="edit" aspectratio="t"/>
            <w10:wrap type="none"/>
            <w10:anchorlock/>
          </v:shape>
          <o:OLEObject Type="Embed" ProgID="Equation.DSMT4" ShapeID="_x0000_i1659" DrawAspect="Content" ObjectID="_1468076359" r:id="rId1135">
            <o:LockedField>false</o:LockedField>
          </o:OLEObject>
        </w:object>
      </w:r>
      <w:r>
        <w:rPr>
          <w:rFonts w:eastAsia="Calibri"/>
          <w:sz w:val="28"/>
          <w:szCs w:val="28"/>
          <w:lang w:eastAsia="en-US"/>
        </w:rPr>
        <w:t xml:space="preserve"> не участвует в потенциальных поступлениях от проблемного актива при сделке по схеме </w:t>
      </w:r>
      <w:r>
        <w:rPr>
          <w:position w:val="-6"/>
          <w:sz w:val="28"/>
          <w:szCs w:val="28"/>
        </w:rPr>
        <w:object>
          <v:shape id="_x0000_i1660" o:spt="75" type="#_x0000_t75" style="height:13.5pt;width:15.75pt;" o:ole="t" filled="f" o:preferrelative="t" stroked="f" coordsize="21600,21600">
            <v:path/>
            <v:fill on="f" focussize="0,0"/>
            <v:stroke on="f" joinstyle="miter"/>
            <v:imagedata r:id="rId1131" o:title=""/>
            <o:lock v:ext="edit" aspectratio="t"/>
            <w10:wrap type="none"/>
            <w10:anchorlock/>
          </v:shape>
          <o:OLEObject Type="Embed" ProgID="Equation.DSMT4" ShapeID="_x0000_i1660" DrawAspect="Content" ObjectID="_1468076360" r:id="rId1137">
            <o:LockedField>false</o:LockedField>
          </o:OLEObject>
        </w:object>
      </w:r>
      <w:r>
        <w:rPr>
          <w:rFonts w:eastAsia="Calibri"/>
          <w:sz w:val="28"/>
          <w:szCs w:val="28"/>
          <w:lang w:eastAsia="en-US"/>
        </w:rPr>
        <w:t xml:space="preserve">, , но, возможно, возвращает </w:t>
      </w:r>
      <w:r>
        <w:rPr>
          <w:position w:val="-4"/>
          <w:sz w:val="28"/>
          <w:szCs w:val="28"/>
        </w:rPr>
        <w:object>
          <v:shape id="_x0000_i1661" o:spt="75" type="#_x0000_t75" style="height:15pt;width:20.25pt;" o:ole="t" filled="f" o:preferrelative="t" stroked="f" coordsize="21600,21600">
            <v:path/>
            <v:fill on="f" focussize="0,0"/>
            <v:stroke on="f" joinstyle="miter"/>
            <v:imagedata r:id="rId1073" o:title=""/>
            <o:lock v:ext="edit" aspectratio="t"/>
            <w10:wrap type="none"/>
            <w10:anchorlock/>
          </v:shape>
          <o:OLEObject Type="Embed" ProgID="Equation.DSMT4" ShapeID="_x0000_i1661" DrawAspect="Content" ObjectID="_1468076361" r:id="rId1138">
            <o:LockedField>false</o:LockedField>
          </o:OLEObject>
        </w:object>
      </w:r>
      <w:r>
        <w:rPr>
          <w:rFonts w:eastAsia="Calibri"/>
          <w:sz w:val="28"/>
          <w:szCs w:val="28"/>
          <w:lang w:eastAsia="en-US"/>
        </w:rPr>
        <w:t xml:space="preserve">. Для относительно небольших издержек потери репутации </w:t>
      </w:r>
      <w:r>
        <w:rPr>
          <w:position w:val="-6"/>
          <w:sz w:val="28"/>
          <w:szCs w:val="28"/>
        </w:rPr>
        <w:object>
          <v:shape id="_x0000_i1662" o:spt="75" type="#_x0000_t75" style="height:13.5pt;width:31.5pt;" o:ole="t" filled="f" o:preferrelative="t" stroked="f" coordsize="21600,21600">
            <v:path/>
            <v:fill on="f" focussize="0,0"/>
            <v:stroke on="f" joinstyle="miter"/>
            <v:imagedata r:id="rId1140" o:title=""/>
            <o:lock v:ext="edit" aspectratio="t"/>
            <w10:wrap type="none"/>
            <w10:anchorlock/>
          </v:shape>
          <o:OLEObject Type="Embed" ProgID="Equation.DSMT4" ShapeID="_x0000_i1662" DrawAspect="Content" ObjectID="_1468076362" r:id="rId1139">
            <o:LockedField>false</o:LockedField>
          </o:OLEObject>
        </w:object>
      </w:r>
      <w:r>
        <w:rPr>
          <w:rFonts w:eastAsia="Calibri"/>
          <w:sz w:val="28"/>
          <w:szCs w:val="28"/>
          <w:lang w:eastAsia="en-US"/>
        </w:rPr>
        <w:t xml:space="preserve">, </w:t>
      </w:r>
      <w:r>
        <w:rPr>
          <w:position w:val="-12"/>
          <w:sz w:val="28"/>
          <w:szCs w:val="28"/>
        </w:rPr>
        <w:object>
          <v:shape id="_x0000_i1663" o:spt="75" type="#_x0000_t75" style="height:19.5pt;width:20.25pt;" o:ole="t" filled="f" o:preferrelative="t" stroked="f" coordsize="21600,21600">
            <v:path/>
            <v:fill on="f" focussize="0,0"/>
            <v:stroke on="f" joinstyle="miter"/>
            <v:imagedata r:id="rId1109" o:title=""/>
            <o:lock v:ext="edit" aspectratio="t"/>
            <w10:wrap type="none"/>
            <w10:anchorlock/>
          </v:shape>
          <o:OLEObject Type="Embed" ProgID="Equation.DSMT4" ShapeID="_x0000_i1663" DrawAspect="Content" ObjectID="_1468076363" r:id="rId1141">
            <o:LockedField>false</o:LockedField>
          </o:OLEObject>
        </w:object>
      </w:r>
      <w:r>
        <w:rPr>
          <w:sz w:val="28"/>
          <w:szCs w:val="28"/>
        </w:rPr>
        <w:t>(</w:t>
      </w:r>
      <w:r>
        <w:rPr>
          <w:position w:val="-10"/>
          <w:sz w:val="28"/>
          <w:szCs w:val="28"/>
        </w:rPr>
        <w:object>
          <v:shape id="_x0000_i1664" o:spt="75" type="#_x0000_t75" style="height:15.75pt;width:33.75pt;" o:ole="t" filled="f" o:preferrelative="t" stroked="f" coordsize="21600,21600">
            <v:path/>
            <v:fill on="f" focussize="0,0"/>
            <v:stroke on="f" joinstyle="miter"/>
            <v:imagedata r:id="rId1111" o:title=""/>
            <o:lock v:ext="edit" aspectratio="t"/>
            <w10:wrap type="none"/>
            <w10:anchorlock/>
          </v:shape>
          <o:OLEObject Type="Embed" ProgID="Equation.DSMT4" ShapeID="_x0000_i1664" DrawAspect="Content" ObjectID="_1468076364" r:id="rId1142">
            <o:LockedField>false</o:LockedField>
          </o:OLEObject>
        </w:object>
      </w:r>
      <w:r>
        <w:rPr>
          <w:sz w:val="28"/>
          <w:szCs w:val="28"/>
        </w:rPr>
        <w:t>)</w:t>
      </w:r>
      <w:r>
        <w:rPr>
          <w:rFonts w:eastAsia="Calibri"/>
          <w:sz w:val="28"/>
          <w:szCs w:val="28"/>
          <w:lang w:eastAsia="en-US"/>
        </w:rPr>
        <w:t xml:space="preserve"> является настолько малым, что преимущество сделки по схеме 1 от участия в возможных поступлениях с проблемного актива перевешивает преимущество сделки по схеме </w:t>
      </w:r>
      <w:r>
        <w:rPr>
          <w:position w:val="-6"/>
          <w:sz w:val="28"/>
          <w:szCs w:val="28"/>
        </w:rPr>
        <w:object>
          <v:shape id="_x0000_i1665" o:spt="75" type="#_x0000_t75" style="height:13.5pt;width:15.75pt;" o:ole="t" filled="f" o:preferrelative="t" stroked="f" coordsize="21600,21600">
            <v:path/>
            <v:fill on="f" focussize="0,0"/>
            <v:stroke on="f" joinstyle="miter"/>
            <v:imagedata r:id="rId1131" o:title=""/>
            <o:lock v:ext="edit" aspectratio="t"/>
            <w10:wrap type="none"/>
            <w10:anchorlock/>
          </v:shape>
          <o:OLEObject Type="Embed" ProgID="Equation.DSMT4" ShapeID="_x0000_i1665" DrawAspect="Content" ObjectID="_1468076365" r:id="rId1143">
            <o:LockedField>false</o:LockedField>
          </o:OLEObject>
        </w:object>
      </w:r>
      <w:r>
        <w:rPr>
          <w:rFonts w:eastAsia="Calibri"/>
          <w:sz w:val="28"/>
          <w:szCs w:val="28"/>
          <w:lang w:eastAsia="en-US"/>
        </w:rPr>
        <w:t xml:space="preserve"> с возможным восстановлением </w:t>
      </w:r>
      <w:r>
        <w:rPr>
          <w:position w:val="-12"/>
          <w:sz w:val="28"/>
          <w:szCs w:val="28"/>
        </w:rPr>
        <w:object>
          <v:shape id="_x0000_i1666" o:spt="75" type="#_x0000_t75" style="height:19.5pt;width:20.25pt;" o:ole="t" filled="f" o:preferrelative="t" stroked="f" coordsize="21600,21600">
            <v:path/>
            <v:fill on="f" focussize="0,0"/>
            <v:stroke on="f" joinstyle="miter"/>
            <v:imagedata r:id="rId1109" o:title=""/>
            <o:lock v:ext="edit" aspectratio="t"/>
            <w10:wrap type="none"/>
            <w10:anchorlock/>
          </v:shape>
          <o:OLEObject Type="Embed" ProgID="Equation.DSMT4" ShapeID="_x0000_i1666" DrawAspect="Content" ObjectID="_1468076366" r:id="rId1144">
            <o:LockedField>false</o:LockedField>
          </o:OLEObject>
        </w:object>
      </w:r>
      <w:r>
        <w:rPr>
          <w:rFonts w:eastAsia="Calibri"/>
          <w:sz w:val="28"/>
          <w:szCs w:val="28"/>
          <w:lang w:eastAsia="en-US"/>
        </w:rPr>
        <w:t xml:space="preserve">. Напротив, для </w:t>
      </w:r>
      <w:r>
        <w:rPr>
          <w:position w:val="-6"/>
          <w:sz w:val="28"/>
          <w:szCs w:val="28"/>
        </w:rPr>
        <w:object>
          <v:shape id="_x0000_i1667" o:spt="75" type="#_x0000_t75" style="height:13.5pt;width:31.5pt;" o:ole="t" filled="f" o:preferrelative="t" stroked="f" coordsize="21600,21600">
            <v:path/>
            <v:fill on="f" focussize="0,0"/>
            <v:stroke on="f" joinstyle="miter"/>
            <v:imagedata r:id="rId1146" o:title=""/>
            <o:lock v:ext="edit" aspectratio="t"/>
            <w10:wrap type="none"/>
            <w10:anchorlock/>
          </v:shape>
          <o:OLEObject Type="Embed" ProgID="Equation.DSMT4" ShapeID="_x0000_i1667" DrawAspect="Content" ObjectID="_1468076367" r:id="rId1145">
            <o:LockedField>false</o:LockedField>
          </o:OLEObject>
        </w:object>
      </w:r>
      <w:r>
        <w:rPr>
          <w:sz w:val="28"/>
          <w:szCs w:val="28"/>
        </w:rPr>
        <w:t xml:space="preserve"> </w:t>
      </w:r>
      <w:r>
        <w:rPr>
          <w:rFonts w:eastAsia="Calibri"/>
          <w:sz w:val="28"/>
          <w:szCs w:val="28"/>
          <w:lang w:eastAsia="en-US"/>
        </w:rPr>
        <w:t xml:space="preserve">денежный выкуп </w:t>
      </w:r>
      <w:r>
        <w:rPr>
          <w:position w:val="-12"/>
          <w:sz w:val="28"/>
          <w:szCs w:val="28"/>
        </w:rPr>
        <w:object>
          <v:shape id="_x0000_i1668" o:spt="75" type="#_x0000_t75" style="height:19.5pt;width:20.25pt;" o:ole="t" filled="f" o:preferrelative="t" stroked="f" coordsize="21600,21600">
            <v:path/>
            <v:fill on="f" focussize="0,0"/>
            <v:stroke on="f" joinstyle="miter"/>
            <v:imagedata r:id="rId1109" o:title=""/>
            <o:lock v:ext="edit" aspectratio="t"/>
            <w10:wrap type="none"/>
            <w10:anchorlock/>
          </v:shape>
          <o:OLEObject Type="Embed" ProgID="Equation.DSMT4" ShapeID="_x0000_i1668" DrawAspect="Content" ObjectID="_1468076368" r:id="rId1147">
            <o:LockedField>false</o:LockedField>
          </o:OLEObject>
        </w:object>
      </w:r>
      <w:r>
        <w:rPr>
          <w:rFonts w:eastAsia="Calibri"/>
          <w:sz w:val="28"/>
          <w:szCs w:val="28"/>
          <w:lang w:eastAsia="en-US"/>
        </w:rPr>
        <w:t xml:space="preserve"> становится настолько высоким, что восстановление </w:t>
      </w:r>
      <w:r>
        <w:rPr>
          <w:position w:val="-12"/>
          <w:sz w:val="28"/>
          <w:szCs w:val="28"/>
        </w:rPr>
        <w:object>
          <v:shape id="_x0000_i1669" o:spt="75" type="#_x0000_t75" style="height:19.5pt;width:20.25pt;" o:ole="t" filled="f" o:preferrelative="t" stroked="f" coordsize="21600,21600">
            <v:path/>
            <v:fill on="f" focussize="0,0"/>
            <v:stroke on="f" joinstyle="miter"/>
            <v:imagedata r:id="rId1109" o:title=""/>
            <o:lock v:ext="edit" aspectratio="t"/>
            <w10:wrap type="none"/>
            <w10:anchorlock/>
          </v:shape>
          <o:OLEObject Type="Embed" ProgID="Equation.DSMT4" ShapeID="_x0000_i1669" DrawAspect="Content" ObjectID="_1468076369" r:id="rId1148">
            <o:LockedField>false</o:LockedField>
          </o:OLEObject>
        </w:object>
      </w:r>
      <w:r>
        <w:rPr>
          <w:rFonts w:eastAsia="Calibri"/>
          <w:sz w:val="28"/>
          <w:szCs w:val="28"/>
          <w:lang w:eastAsia="en-US"/>
        </w:rPr>
        <w:t xml:space="preserve"> является более важным, так что преимущество сделки по схеме </w:t>
      </w:r>
      <w:r>
        <w:rPr>
          <w:position w:val="-6"/>
          <w:sz w:val="28"/>
          <w:szCs w:val="28"/>
        </w:rPr>
        <w:object>
          <v:shape id="_x0000_i1670" o:spt="75" type="#_x0000_t75" style="height:13.5pt;width:15.75pt;" o:ole="t" filled="f" o:preferrelative="t" stroked="f" coordsize="21600,21600">
            <v:path/>
            <v:fill on="f" focussize="0,0"/>
            <v:stroke on="f" joinstyle="miter"/>
            <v:imagedata r:id="rId1131" o:title=""/>
            <o:lock v:ext="edit" aspectratio="t"/>
            <w10:wrap type="none"/>
            <w10:anchorlock/>
          </v:shape>
          <o:OLEObject Type="Embed" ProgID="Equation.DSMT4" ShapeID="_x0000_i1670" DrawAspect="Content" ObjectID="_1468076370" r:id="rId1149">
            <o:LockedField>false</o:LockedField>
          </o:OLEObject>
        </w:object>
      </w:r>
      <w:r>
        <w:rPr>
          <w:rFonts w:eastAsia="Calibri"/>
          <w:sz w:val="28"/>
          <w:szCs w:val="28"/>
          <w:lang w:eastAsia="en-US"/>
        </w:rPr>
        <w:t xml:space="preserve"> перевешивает преимущество сделки по схеме 1. Следовательно, </w:t>
      </w:r>
      <w:r>
        <w:rPr>
          <w:position w:val="-6"/>
          <w:sz w:val="28"/>
          <w:szCs w:val="28"/>
        </w:rPr>
        <w:object>
          <v:shape id="_x0000_i1671" o:spt="75" type="#_x0000_t75" style="height:13.5pt;width:33.75pt;" o:ole="t" filled="f" o:preferrelative="t" stroked="f" coordsize="21600,21600">
            <v:path/>
            <v:fill on="f" focussize="0,0"/>
            <v:stroke on="f" joinstyle="miter"/>
            <v:imagedata r:id="rId1151" o:title=""/>
            <o:lock v:ext="edit" aspectratio="t"/>
            <w10:wrap type="none"/>
            <w10:anchorlock/>
          </v:shape>
          <o:OLEObject Type="Embed" ProgID="Equation.DSMT4" ShapeID="_x0000_i1671" DrawAspect="Content" ObjectID="_1468076371" r:id="rId1150">
            <o:LockedField>false</o:LockedField>
          </o:OLEObject>
        </w:object>
      </w:r>
      <w:r>
        <w:rPr>
          <w:sz w:val="28"/>
          <w:szCs w:val="28"/>
        </w:rPr>
        <w:t xml:space="preserve"> </w:t>
      </w:r>
      <w:r>
        <w:rPr>
          <w:rFonts w:eastAsia="Calibri"/>
          <w:sz w:val="28"/>
          <w:szCs w:val="28"/>
          <w:lang w:eastAsia="en-US"/>
        </w:rPr>
        <w:t xml:space="preserve">для </w:t>
      </w:r>
      <w:r>
        <w:rPr>
          <w:position w:val="-6"/>
          <w:sz w:val="28"/>
          <w:szCs w:val="28"/>
        </w:rPr>
        <w:object>
          <v:shape id="_x0000_i1672" o:spt="75" type="#_x0000_t75" style="height:13.5pt;width:31.5pt;" o:ole="t" filled="f" o:preferrelative="t" stroked="f" coordsize="21600,21600">
            <v:path/>
            <v:fill on="f" focussize="0,0"/>
            <v:stroke on="f" joinstyle="miter"/>
            <v:imagedata r:id="rId1140" o:title=""/>
            <o:lock v:ext="edit" aspectratio="t"/>
            <w10:wrap type="none"/>
            <w10:anchorlock/>
          </v:shape>
          <o:OLEObject Type="Embed" ProgID="Equation.DSMT4" ShapeID="_x0000_i1672" DrawAspect="Content" ObjectID="_1468076372" r:id="rId1152">
            <o:LockedField>false</o:LockedField>
          </o:OLEObject>
        </w:object>
      </w:r>
      <w:r>
        <w:rPr>
          <w:rFonts w:eastAsia="Calibri"/>
          <w:sz w:val="28"/>
          <w:szCs w:val="28"/>
          <w:lang w:eastAsia="en-US"/>
        </w:rPr>
        <w:t xml:space="preserve"> и </w:t>
      </w:r>
      <w:r>
        <w:rPr>
          <w:position w:val="-10"/>
          <w:sz w:val="28"/>
          <w:szCs w:val="28"/>
        </w:rPr>
        <w:object>
          <v:shape id="_x0000_i1673" o:spt="75" type="#_x0000_t75" style="height:15.75pt;width:33.75pt;" o:ole="t" filled="f" o:preferrelative="t" stroked="f" coordsize="21600,21600">
            <v:path/>
            <v:fill on="f" focussize="0,0"/>
            <v:stroke on="f" joinstyle="miter"/>
            <v:imagedata r:id="rId1154" o:title=""/>
            <o:lock v:ext="edit" aspectratio="t"/>
            <w10:wrap type="none"/>
            <w10:anchorlock/>
          </v:shape>
          <o:OLEObject Type="Embed" ProgID="Equation.DSMT4" ShapeID="_x0000_i1673" DrawAspect="Content" ObjectID="_1468076373" r:id="rId1153">
            <o:LockedField>false</o:LockedField>
          </o:OLEObject>
        </w:object>
      </w:r>
      <w:r>
        <w:rPr>
          <w:sz w:val="28"/>
          <w:szCs w:val="28"/>
        </w:rPr>
        <w:t xml:space="preserve"> </w:t>
      </w:r>
      <w:r>
        <w:rPr>
          <w:rFonts w:eastAsia="Calibri"/>
          <w:sz w:val="28"/>
          <w:szCs w:val="28"/>
          <w:lang w:eastAsia="en-US"/>
        </w:rPr>
        <w:t xml:space="preserve">для </w:t>
      </w:r>
      <w:r>
        <w:rPr>
          <w:position w:val="-6"/>
          <w:sz w:val="28"/>
          <w:szCs w:val="28"/>
        </w:rPr>
        <w:object>
          <v:shape id="_x0000_i1674" o:spt="75" type="#_x0000_t75" style="height:13.5pt;width:31.5pt;" o:ole="t" filled="f" o:preferrelative="t" stroked="f" coordsize="21600,21600">
            <v:path/>
            <v:fill on="f" focussize="0,0"/>
            <v:stroke on="f" joinstyle="miter"/>
            <v:imagedata r:id="rId1146" o:title=""/>
            <o:lock v:ext="edit" aspectratio="t"/>
            <w10:wrap type="none"/>
            <w10:anchorlock/>
          </v:shape>
          <o:OLEObject Type="Embed" ProgID="Equation.DSMT4" ShapeID="_x0000_i1674" DrawAspect="Content" ObjectID="_1468076374" r:id="rId1155">
            <o:LockedField>false</o:LockedField>
          </o:OLEObject>
        </w:object>
      </w:r>
      <w:r>
        <w:rPr>
          <w:rFonts w:eastAsia="Calibri"/>
          <w:sz w:val="28"/>
          <w:szCs w:val="28"/>
          <w:lang w:eastAsia="en-US"/>
        </w:rPr>
        <w:t xml:space="preserve">. </w:t>
      </w:r>
    </w:p>
    <w:p w14:paraId="61139153">
      <w:pPr>
        <w:pStyle w:val="37"/>
        <w:rPr>
          <w:rFonts w:eastAsia="Calibri"/>
          <w:sz w:val="28"/>
          <w:szCs w:val="28"/>
          <w:lang w:eastAsia="en-US"/>
        </w:rPr>
      </w:pPr>
    </w:p>
    <w:p w14:paraId="46BAF6B1">
      <w:pPr>
        <w:pStyle w:val="37"/>
        <w:rPr>
          <w:rFonts w:eastAsia="Calibri"/>
          <w:sz w:val="28"/>
          <w:szCs w:val="28"/>
          <w:lang w:eastAsia="en-US"/>
        </w:rPr>
      </w:pPr>
      <w:r>
        <w:rPr>
          <w:rFonts w:eastAsia="Calibri"/>
          <w:sz w:val="28"/>
          <w:szCs w:val="28"/>
          <w:lang w:eastAsia="en-US"/>
        </w:rPr>
        <w:t xml:space="preserve">В результате финансового кризиса может возникнуть кризис кредитования. В разделе 2 показано, что сделка банка </w:t>
      </w:r>
      <w:r>
        <w:rPr>
          <w:position w:val="-6"/>
          <w:sz w:val="28"/>
          <w:szCs w:val="28"/>
        </w:rPr>
        <w:object>
          <v:shape id="_x0000_i1675" o:spt="75" type="#_x0000_t75" style="height:13.5pt;width:9.75pt;" o:ole="t" filled="f" o:preferrelative="t" stroked="f" coordsize="21600,21600">
            <v:path/>
            <v:fill on="f" focussize="0,0"/>
            <v:stroke on="f" joinstyle="miter"/>
            <v:imagedata r:id="rId1157" o:title=""/>
            <o:lock v:ext="edit" aspectratio="t"/>
            <w10:wrap type="none"/>
            <w10:anchorlock/>
          </v:shape>
          <o:OLEObject Type="Embed" ProgID="Equation.DSMT4" ShapeID="_x0000_i1675" DrawAspect="Content" ObjectID="_1468076375" r:id="rId1156">
            <o:LockedField>false</o:LockedField>
          </o:OLEObject>
        </w:object>
      </w:r>
      <w:r>
        <w:rPr>
          <w:rFonts w:eastAsia="Calibri"/>
          <w:sz w:val="28"/>
          <w:szCs w:val="28"/>
          <w:lang w:eastAsia="en-US"/>
        </w:rPr>
        <w:t xml:space="preserve"> с фондом проблемных активов </w:t>
      </w:r>
      <w:r>
        <w:rPr>
          <w:position w:val="-6"/>
          <w:sz w:val="28"/>
          <w:szCs w:val="28"/>
        </w:rPr>
        <w:object>
          <v:shape id="_x0000_i1676" o:spt="75" type="#_x0000_t75" style="height:13.5pt;width:11.25pt;" o:ole="t" filled="f" o:preferrelative="t" stroked="f" coordsize="21600,21600">
            <v:path/>
            <v:fill on="f" focussize="0,0"/>
            <v:stroke on="f" joinstyle="miter"/>
            <v:imagedata r:id="rId1159" o:title=""/>
            <o:lock v:ext="edit" aspectratio="t"/>
            <w10:wrap type="none"/>
            <w10:anchorlock/>
          </v:shape>
          <o:OLEObject Type="Embed" ProgID="Equation.DSMT4" ShapeID="_x0000_i1676" DrawAspect="Content" ObjectID="_1468076376" r:id="rId1158">
            <o:LockedField>false</o:LockedField>
          </o:OLEObject>
        </w:object>
      </w:r>
      <w:r>
        <w:rPr>
          <w:sz w:val="28"/>
          <w:szCs w:val="28"/>
        </w:rPr>
        <w:t xml:space="preserve"> </w:t>
      </w:r>
      <w:r>
        <w:rPr>
          <w:rFonts w:eastAsia="Calibri"/>
          <w:sz w:val="28"/>
          <w:szCs w:val="28"/>
          <w:lang w:eastAsia="en-US"/>
        </w:rPr>
        <w:t xml:space="preserve">может способствовать новому кредитованию. При этом эта сделка может служить мерой, позволяющей избежать кризиса кредитования. В этом разделе мы спрашиваем, какую сделку с фондом проблемных активов </w:t>
      </w:r>
      <w:r>
        <w:rPr>
          <w:position w:val="-6"/>
          <w:sz w:val="28"/>
          <w:szCs w:val="28"/>
        </w:rPr>
        <w:object>
          <v:shape id="_x0000_i1677" o:spt="75" type="#_x0000_t75" style="height:13.5pt;width:11.25pt;" o:ole="t" filled="f" o:preferrelative="t" stroked="f" coordsize="21600,21600">
            <v:path/>
            <v:fill on="f" focussize="0,0"/>
            <v:stroke on="f" joinstyle="miter"/>
            <v:imagedata r:id="rId1159" o:title=""/>
            <o:lock v:ext="edit" aspectratio="t"/>
            <w10:wrap type="none"/>
            <w10:anchorlock/>
          </v:shape>
          <o:OLEObject Type="Embed" ProgID="Equation.DSMT4" ShapeID="_x0000_i1677" DrawAspect="Content" ObjectID="_1468076377" r:id="rId1160">
            <o:LockedField>false</o:LockedField>
          </o:OLEObject>
        </w:object>
      </w:r>
      <w:r>
        <w:rPr>
          <w:rFonts w:eastAsia="Calibri"/>
          <w:sz w:val="28"/>
          <w:szCs w:val="28"/>
          <w:lang w:eastAsia="en-US"/>
        </w:rPr>
        <w:t xml:space="preserve"> применит ЛПР, если требуется повысить платежеспособность единственного коммерческого банка, а также простимулировать новое кредитование, чтобы предотвратить кредитный кризис при минимальных ожидаемых затратах. </w:t>
      </w:r>
    </w:p>
    <w:p w14:paraId="0D96C077">
      <w:pPr>
        <w:pStyle w:val="37"/>
        <w:rPr>
          <w:rFonts w:eastAsia="Calibri"/>
          <w:sz w:val="28"/>
          <w:szCs w:val="28"/>
          <w:lang w:eastAsia="en-US"/>
        </w:rPr>
      </w:pPr>
      <w:r>
        <w:rPr>
          <w:rFonts w:eastAsia="Calibri"/>
          <w:sz w:val="28"/>
          <w:szCs w:val="28"/>
          <w:lang w:eastAsia="en-US"/>
        </w:rPr>
        <w:t xml:space="preserve">Использование некой схемы фонда проблемных активов </w:t>
      </w:r>
      <w:r>
        <w:rPr>
          <w:position w:val="-6"/>
          <w:sz w:val="28"/>
          <w:szCs w:val="28"/>
        </w:rPr>
        <w:object>
          <v:shape id="_x0000_i1678" o:spt="75" type="#_x0000_t75" style="height:13.5pt;width:11.25pt;" o:ole="t" filled="f" o:preferrelative="t" stroked="f" coordsize="21600,21600">
            <v:path/>
            <v:fill on="f" focussize="0,0"/>
            <v:stroke on="f" joinstyle="miter"/>
            <v:imagedata r:id="rId1159" o:title=""/>
            <o:lock v:ext="edit" aspectratio="t"/>
            <w10:wrap type="none"/>
            <w10:anchorlock/>
          </v:shape>
          <o:OLEObject Type="Embed" ProgID="Equation.DSMT4" ShapeID="_x0000_i1678" DrawAspect="Content" ObjectID="_1468076378" r:id="rId1161">
            <o:LockedField>false</o:LockedField>
          </o:OLEObject>
        </w:object>
      </w:r>
      <w:r>
        <w:rPr>
          <w:sz w:val="28"/>
          <w:szCs w:val="28"/>
        </w:rPr>
        <w:t xml:space="preserve"> </w:t>
      </w:r>
      <w:r>
        <w:rPr>
          <w:rFonts w:eastAsia="Calibri"/>
          <w:sz w:val="28"/>
          <w:szCs w:val="28"/>
          <w:lang w:eastAsia="en-US"/>
        </w:rPr>
        <w:t xml:space="preserve">освобождает коммерческий банк </w:t>
      </w:r>
      <w:r>
        <w:rPr>
          <w:position w:val="-6"/>
          <w:sz w:val="28"/>
          <w:szCs w:val="28"/>
        </w:rPr>
        <w:object>
          <v:shape id="_x0000_i1679" o:spt="75" type="#_x0000_t75" style="height:13.5pt;width:9.75pt;" o:ole="t" filled="f" o:preferrelative="t" stroked="f" coordsize="21600,21600">
            <v:path/>
            <v:fill on="f" focussize="0,0"/>
            <v:stroke on="f" joinstyle="miter"/>
            <v:imagedata r:id="rId1157" o:title=""/>
            <o:lock v:ext="edit" aspectratio="t"/>
            <w10:wrap type="none"/>
            <w10:anchorlock/>
          </v:shape>
          <o:OLEObject Type="Embed" ProgID="Equation.DSMT4" ShapeID="_x0000_i1679" DrawAspect="Content" ObjectID="_1468076379" r:id="rId1162">
            <o:LockedField>false</o:LockedField>
          </o:OLEObject>
        </w:object>
      </w:r>
      <w:r>
        <w:rPr>
          <w:sz w:val="28"/>
          <w:szCs w:val="28"/>
        </w:rPr>
        <w:t xml:space="preserve"> </w:t>
      </w:r>
      <w:r>
        <w:rPr>
          <w:rFonts w:eastAsia="Calibri"/>
          <w:sz w:val="28"/>
          <w:szCs w:val="28"/>
          <w:lang w:eastAsia="en-US"/>
        </w:rPr>
        <w:t xml:space="preserve">от его токсичных активов, по крайней мере, временно. Коммерческий банк получает безопасные государственные облигации </w:t>
      </w:r>
      <w:r>
        <w:rPr>
          <w:position w:val="-4"/>
          <w:sz w:val="28"/>
          <w:szCs w:val="28"/>
        </w:rPr>
        <w:object>
          <v:shape id="_x0000_i1680" o:spt="75" type="#_x0000_t75" style="height:15pt;width:20.25pt;" o:ole="t" filled="f" o:preferrelative="t" stroked="f" coordsize="21600,21600">
            <v:path/>
            <v:fill on="f" focussize="0,0"/>
            <v:stroke on="f" joinstyle="miter"/>
            <v:imagedata r:id="rId1164" o:title=""/>
            <o:lock v:ext="edit" aspectratio="t"/>
            <w10:wrap type="none"/>
            <w10:anchorlock/>
          </v:shape>
          <o:OLEObject Type="Embed" ProgID="Equation.DSMT4" ShapeID="_x0000_i1680" DrawAspect="Content" ObjectID="_1468076380" r:id="rId1163">
            <o:LockedField>false</o:LockedField>
          </o:OLEObject>
        </w:object>
      </w:r>
      <w:r>
        <w:rPr>
          <w:rFonts w:eastAsia="Calibri"/>
          <w:sz w:val="28"/>
          <w:szCs w:val="28"/>
          <w:lang w:eastAsia="en-US"/>
        </w:rPr>
        <w:t xml:space="preserve"> в обмен на свои проблемные активы. В отличие от этих проблемных активов, нет требований по обеспечению государственных облигаций капиталом. Таким образом, сделка с фондом проблемных активов </w:t>
      </w:r>
      <w:r>
        <w:rPr>
          <w:position w:val="-6"/>
          <w:sz w:val="28"/>
          <w:szCs w:val="28"/>
        </w:rPr>
        <w:object>
          <v:shape id="_x0000_i1681" o:spt="75" type="#_x0000_t75" style="height:13.5pt;width:11.25pt;" o:ole="t" filled="f" o:preferrelative="t" stroked="f" coordsize="21600,21600">
            <v:path/>
            <v:fill on="f" focussize="0,0"/>
            <v:stroke on="f" joinstyle="miter"/>
            <v:imagedata r:id="rId1159" o:title=""/>
            <o:lock v:ext="edit" aspectratio="t"/>
            <w10:wrap type="none"/>
            <w10:anchorlock/>
          </v:shape>
          <o:OLEObject Type="Embed" ProgID="Equation.DSMT4" ShapeID="_x0000_i1681" DrawAspect="Content" ObjectID="_1468076381" r:id="rId1165">
            <o:LockedField>false</o:LockedField>
          </o:OLEObject>
        </w:object>
      </w:r>
      <w:r>
        <w:rPr>
          <w:sz w:val="28"/>
          <w:szCs w:val="28"/>
        </w:rPr>
        <w:t xml:space="preserve"> </w:t>
      </w:r>
      <w:r>
        <w:rPr>
          <w:rFonts w:eastAsia="Calibri"/>
          <w:sz w:val="28"/>
          <w:szCs w:val="28"/>
          <w:lang w:eastAsia="en-US"/>
        </w:rPr>
        <w:t xml:space="preserve">позволяет коммерческому банку </w:t>
      </w:r>
      <w:r>
        <w:rPr>
          <w:position w:val="-6"/>
          <w:sz w:val="28"/>
          <w:szCs w:val="28"/>
        </w:rPr>
        <w:object>
          <v:shape id="_x0000_i1682" o:spt="75" type="#_x0000_t75" style="height:13.5pt;width:9.75pt;" o:ole="t" filled="f" o:preferrelative="t" stroked="f" coordsize="21600,21600">
            <v:path/>
            <v:fill on="f" focussize="0,0"/>
            <v:stroke on="f" joinstyle="miter"/>
            <v:imagedata r:id="rId1157" o:title=""/>
            <o:lock v:ext="edit" aspectratio="t"/>
            <w10:wrap type="none"/>
            <w10:anchorlock/>
          </v:shape>
          <o:OLEObject Type="Embed" ProgID="Equation.DSMT4" ShapeID="_x0000_i1682" DrawAspect="Content" ObjectID="_1468076382" r:id="rId1166">
            <o:LockedField>false</o:LockedField>
          </o:OLEObject>
        </w:object>
      </w:r>
      <w:r>
        <w:rPr>
          <w:sz w:val="28"/>
          <w:szCs w:val="28"/>
        </w:rPr>
        <w:t xml:space="preserve"> </w:t>
      </w:r>
      <w:r>
        <w:rPr>
          <w:rFonts w:eastAsia="Calibri"/>
          <w:sz w:val="28"/>
          <w:szCs w:val="28"/>
          <w:lang w:eastAsia="en-US"/>
        </w:rPr>
        <w:t xml:space="preserve">выдавать новые кредиты с максимальным объемом новых кредитов </w:t>
      </w:r>
      <w:r>
        <w:rPr>
          <w:position w:val="-6"/>
          <w:sz w:val="28"/>
          <w:szCs w:val="28"/>
        </w:rPr>
        <w:object>
          <v:shape id="_x0000_i1683" o:spt="75" type="#_x0000_t75" style="height:15.75pt;width:21pt;" o:ole="t" filled="f" o:preferrelative="t" stroked="f" coordsize="21600,21600">
            <v:path/>
            <v:fill on="f" focussize="0,0"/>
            <v:stroke on="f" joinstyle="miter"/>
            <v:imagedata r:id="rId1168" o:title=""/>
            <o:lock v:ext="edit" aspectratio="t"/>
            <w10:wrap type="none"/>
            <w10:anchorlock/>
          </v:shape>
          <o:OLEObject Type="Embed" ProgID="Equation.DSMT4" ShapeID="_x0000_i1683" DrawAspect="Content" ObjectID="_1468076383" r:id="rId1167">
            <o:LockedField>false</o:LockedField>
          </o:OLEObject>
        </w:object>
      </w:r>
      <w:r>
        <w:rPr>
          <w:rFonts w:eastAsia="Calibri"/>
          <w:sz w:val="28"/>
          <w:szCs w:val="28"/>
          <w:lang w:eastAsia="en-US"/>
        </w:rPr>
        <w:t xml:space="preserve">, увеличивающимся по </w:t>
      </w:r>
      <w:r>
        <w:rPr>
          <w:position w:val="-4"/>
          <w:sz w:val="28"/>
          <w:szCs w:val="28"/>
        </w:rPr>
        <w:object>
          <v:shape id="_x0000_i1684" o:spt="75" type="#_x0000_t75" style="height:15pt;width:20.25pt;" o:ole="t" filled="f" o:preferrelative="t" stroked="f" coordsize="21600,21600">
            <v:path/>
            <v:fill on="f" focussize="0,0"/>
            <v:stroke on="f" joinstyle="miter"/>
            <v:imagedata r:id="rId1164" o:title=""/>
            <o:lock v:ext="edit" aspectratio="t"/>
            <w10:wrap type="none"/>
            <w10:anchorlock/>
          </v:shape>
          <o:OLEObject Type="Embed" ProgID="Equation.DSMT4" ShapeID="_x0000_i1684" DrawAspect="Content" ObjectID="_1468076384" r:id="rId1169">
            <o:LockedField>false</o:LockedField>
          </o:OLEObject>
        </w:object>
      </w:r>
      <w:r>
        <w:rPr>
          <w:rFonts w:eastAsia="Calibri"/>
          <w:sz w:val="28"/>
          <w:szCs w:val="28"/>
          <w:lang w:eastAsia="en-US"/>
        </w:rPr>
        <w:t xml:space="preserve">. Мы уже говорили выше о том, что как при сделке по схеме 1 (безвозвратной передачи), так и при сделке по схеме 2 коммерческий банк </w:t>
      </w:r>
      <w:r>
        <w:rPr>
          <w:position w:val="-6"/>
          <w:sz w:val="28"/>
          <w:szCs w:val="28"/>
        </w:rPr>
        <w:object>
          <v:shape id="_x0000_i1685" o:spt="75" type="#_x0000_t75" style="height:13.5pt;width:9.75pt;" o:ole="t" filled="f" o:preferrelative="t" stroked="f" coordsize="21600,21600">
            <v:path/>
            <v:fill on="f" focussize="0,0"/>
            <v:stroke on="f" joinstyle="miter"/>
            <v:imagedata r:id="rId1157" o:title=""/>
            <o:lock v:ext="edit" aspectratio="t"/>
            <w10:wrap type="none"/>
            <w10:anchorlock/>
          </v:shape>
          <o:OLEObject Type="Embed" ProgID="Equation.DSMT4" ShapeID="_x0000_i1685" DrawAspect="Content" ObjectID="_1468076385" r:id="rId1170">
            <o:LockedField>false</o:LockedField>
          </o:OLEObject>
        </w:object>
      </w:r>
      <w:r>
        <w:rPr>
          <w:rFonts w:eastAsia="Calibri"/>
          <w:sz w:val="28"/>
          <w:szCs w:val="28"/>
          <w:lang w:eastAsia="en-US"/>
        </w:rPr>
        <w:t xml:space="preserve"> действительно предоставит максимальный объем новых кредитов. Соответственно, если у ЛПР есть целевой минимальный объем кредита </w:t>
      </w:r>
      <w:r>
        <w:rPr>
          <w:position w:val="-14"/>
          <w:sz w:val="28"/>
          <w:szCs w:val="28"/>
        </w:rPr>
        <w:object>
          <v:shape id="_x0000_i1686" o:spt="75" type="#_x0000_t75" style="height:20.25pt;width:21pt;" o:ole="t" filled="f" o:preferrelative="t" stroked="f" coordsize="21600,21600">
            <v:path/>
            <v:fill on="f" focussize="0,0"/>
            <v:stroke on="f" joinstyle="miter"/>
            <v:imagedata r:id="rId1172" o:title=""/>
            <o:lock v:ext="edit" aspectratio="t"/>
            <w10:wrap type="none"/>
            <w10:anchorlock/>
          </v:shape>
          <o:OLEObject Type="Embed" ProgID="Equation.DSMT4" ShapeID="_x0000_i1686" DrawAspect="Content" ObjectID="_1468076386" r:id="rId1171">
            <o:LockedField>false</o:LockedField>
          </o:OLEObject>
        </w:object>
      </w:r>
      <w:r>
        <w:rPr>
          <w:rFonts w:eastAsia="Calibri"/>
          <w:sz w:val="28"/>
          <w:szCs w:val="28"/>
          <w:lang w:eastAsia="en-US"/>
        </w:rPr>
        <w:t>, то из (29) следует, что он должен предложить денежный выкуп (трансфер государственных облигаций)</w:t>
      </w:r>
    </w:p>
    <w:p w14:paraId="6B6258BD">
      <w:pPr>
        <w:pStyle w:val="37"/>
        <w:rPr>
          <w:rFonts w:eastAsia="Calibri"/>
          <w:sz w:val="28"/>
          <w:szCs w:val="28"/>
          <w:lang w:eastAsia="en-US"/>
        </w:rPr>
      </w:pPr>
    </w:p>
    <w:p w14:paraId="36F33DC0">
      <w:pPr>
        <w:pStyle w:val="38"/>
        <w:spacing w:before="0" w:after="0"/>
        <w:rPr>
          <w:sz w:val="28"/>
          <w:szCs w:val="28"/>
        </w:rPr>
      </w:pPr>
      <w:r>
        <w:rPr>
          <w:sz w:val="28"/>
          <w:szCs w:val="28"/>
        </w:rPr>
        <w:tab/>
      </w:r>
      <w:r>
        <w:rPr>
          <w:sz w:val="28"/>
          <w:szCs w:val="28"/>
        </w:rPr>
        <w:t xml:space="preserve">                           </w:t>
      </w:r>
      <w:r>
        <w:rPr>
          <w:position w:val="-16"/>
          <w:sz w:val="28"/>
          <w:szCs w:val="28"/>
        </w:rPr>
        <w:object>
          <v:shape id="_x0000_i1687" o:spt="75" type="#_x0000_t75" style="height:22.5pt;width:165pt;" o:ole="t" filled="f" o:preferrelative="t" stroked="f" coordsize="21600,21600">
            <v:path/>
            <v:fill on="f" focussize="0,0"/>
            <v:stroke on="f" joinstyle="miter"/>
            <v:imagedata r:id="rId1174" o:title=""/>
            <o:lock v:ext="edit" aspectratio="t"/>
            <w10:wrap type="none"/>
            <w10:anchorlock/>
          </v:shape>
          <o:OLEObject Type="Embed" ProgID="Equation.DSMT4" ShapeID="_x0000_i1687" DrawAspect="Content" ObjectID="_1468076387" r:id="rId1173">
            <o:LockedField>false</o:LockedField>
          </o:OLEObject>
        </w:object>
      </w:r>
      <w:r>
        <w:rPr>
          <w:sz w:val="28"/>
          <w:szCs w:val="28"/>
        </w:rPr>
        <w:tab/>
      </w:r>
      <w:r>
        <w:rPr>
          <w:sz w:val="28"/>
          <w:szCs w:val="28"/>
        </w:rPr>
        <w:t xml:space="preserve">                                    (53)</w:t>
      </w:r>
    </w:p>
    <w:p w14:paraId="2C94C897">
      <w:pPr>
        <w:pStyle w:val="37"/>
        <w:rPr>
          <w:rFonts w:eastAsia="Calibri"/>
          <w:sz w:val="28"/>
          <w:szCs w:val="28"/>
          <w:lang w:eastAsia="en-US"/>
        </w:rPr>
      </w:pPr>
    </w:p>
    <w:p w14:paraId="62E01A87">
      <w:pPr>
        <w:pStyle w:val="37"/>
        <w:rPr>
          <w:rFonts w:eastAsia="Calibri"/>
          <w:sz w:val="28"/>
          <w:szCs w:val="28"/>
          <w:lang w:eastAsia="en-US"/>
        </w:rPr>
      </w:pPr>
      <w:r>
        <w:rPr>
          <w:rFonts w:eastAsia="Calibri"/>
          <w:sz w:val="28"/>
          <w:szCs w:val="28"/>
          <w:lang w:eastAsia="en-US"/>
        </w:rPr>
        <w:t xml:space="preserve">Кроме того, предложение ЛПР должно также удовлетворять требованиям </w:t>
      </w:r>
      <w:r>
        <w:rPr>
          <w:position w:val="-12"/>
          <w:sz w:val="28"/>
          <w:szCs w:val="28"/>
        </w:rPr>
        <w:object>
          <v:shape id="_x0000_i1688" o:spt="75" type="#_x0000_t75" style="height:19.5pt;width:49.5pt;" o:ole="t" filled="f" o:preferrelative="t" stroked="f" coordsize="21600,21600">
            <v:path/>
            <v:fill on="f" focussize="0,0"/>
            <v:stroke on="f" joinstyle="miter"/>
            <v:imagedata r:id="rId1176" o:title=""/>
            <o:lock v:ext="edit" aspectratio="t"/>
            <w10:wrap type="none"/>
            <w10:anchorlock/>
          </v:shape>
          <o:OLEObject Type="Embed" ProgID="Equation.DSMT4" ShapeID="_x0000_i1688" DrawAspect="Content" ObjectID="_1468076388" r:id="rId1175">
            <o:LockedField>false</o:LockedField>
          </o:OLEObject>
        </w:object>
      </w:r>
      <w:r>
        <w:rPr>
          <w:sz w:val="28"/>
          <w:szCs w:val="28"/>
        </w:rPr>
        <w:t xml:space="preserve"> </w:t>
      </w:r>
      <w:r>
        <w:rPr>
          <w:rFonts w:eastAsia="Calibri"/>
          <w:sz w:val="28"/>
          <w:szCs w:val="28"/>
          <w:lang w:eastAsia="en-US"/>
        </w:rPr>
        <w:t xml:space="preserve">или </w:t>
      </w:r>
      <w:r>
        <w:rPr>
          <w:position w:val="-16"/>
          <w:sz w:val="28"/>
          <w:szCs w:val="28"/>
        </w:rPr>
        <w:object>
          <v:shape id="_x0000_i1689" o:spt="75" type="#_x0000_t75" style="height:22.5pt;width:102.75pt;" o:ole="t" filled="f" o:preferrelative="t" stroked="f" coordsize="21600,21600">
            <v:path/>
            <v:fill on="f" focussize="0,0"/>
            <v:stroke on="f" joinstyle="miter"/>
            <v:imagedata r:id="rId1178" o:title=""/>
            <o:lock v:ext="edit" aspectratio="t"/>
            <w10:wrap type="none"/>
            <w10:anchorlock/>
          </v:shape>
          <o:OLEObject Type="Embed" ProgID="Equation.DSMT4" ShapeID="_x0000_i1689" DrawAspect="Content" ObjectID="_1468076389" r:id="rId1177">
            <o:LockedField>false</o:LockedField>
          </o:OLEObject>
        </w:object>
      </w:r>
      <w:r>
        <w:rPr>
          <w:rFonts w:eastAsia="Calibri"/>
          <w:sz w:val="28"/>
          <w:szCs w:val="28"/>
          <w:lang w:eastAsia="en-US"/>
        </w:rPr>
        <w:t xml:space="preserve">, чтобы у коммерческого банка </w:t>
      </w:r>
      <w:r>
        <w:rPr>
          <w:position w:val="-6"/>
          <w:sz w:val="28"/>
          <w:szCs w:val="28"/>
        </w:rPr>
        <w:object>
          <v:shape id="_x0000_i1690" o:spt="75" type="#_x0000_t75" style="height:13.5pt;width:9.75pt;" o:ole="t" filled="f" o:preferrelative="t" stroked="f" coordsize="21600,21600">
            <v:path/>
            <v:fill on="f" focussize="0,0"/>
            <v:stroke on="f" joinstyle="miter"/>
            <v:imagedata r:id="rId1157" o:title=""/>
            <o:lock v:ext="edit" aspectratio="t"/>
            <w10:wrap type="none"/>
            <w10:anchorlock/>
          </v:shape>
          <o:OLEObject Type="Embed" ProgID="Equation.DSMT4" ShapeID="_x0000_i1690" DrawAspect="Content" ObjectID="_1468076390" r:id="rId1179">
            <o:LockedField>false</o:LockedField>
          </o:OLEObject>
        </w:object>
      </w:r>
      <w:r>
        <w:rPr>
          <w:sz w:val="28"/>
          <w:szCs w:val="28"/>
        </w:rPr>
        <w:t xml:space="preserve"> </w:t>
      </w:r>
      <w:r>
        <w:rPr>
          <w:rFonts w:eastAsia="Calibri"/>
          <w:sz w:val="28"/>
          <w:szCs w:val="28"/>
          <w:lang w:eastAsia="en-US"/>
        </w:rPr>
        <w:t xml:space="preserve">был стимул участвовать в соответствующей сделке с фондом проблемных активов </w:t>
      </w:r>
      <w:r>
        <w:rPr>
          <w:position w:val="-6"/>
          <w:sz w:val="28"/>
          <w:szCs w:val="28"/>
        </w:rPr>
        <w:object>
          <v:shape id="_x0000_i1691" o:spt="75" type="#_x0000_t75" style="height:13.5pt;width:11.25pt;" o:ole="t" filled="f" o:preferrelative="t" stroked="f" coordsize="21600,21600">
            <v:path/>
            <v:fill on="f" focussize="0,0"/>
            <v:stroke on="f" joinstyle="miter"/>
            <v:imagedata r:id="rId1181" o:title=""/>
            <o:lock v:ext="edit" aspectratio="t"/>
            <w10:wrap type="none"/>
            <w10:anchorlock/>
          </v:shape>
          <o:OLEObject Type="Embed" ProgID="Equation.DSMT4" ShapeID="_x0000_i1691" DrawAspect="Content" ObjectID="_1468076391" r:id="rId1180">
            <o:LockedField>false</o:LockedField>
          </o:OLEObject>
        </w:object>
      </w:r>
      <w:r>
        <w:rPr>
          <w:rFonts w:eastAsia="Calibri"/>
          <w:sz w:val="28"/>
          <w:szCs w:val="28"/>
          <w:lang w:eastAsia="en-US"/>
        </w:rPr>
        <w:t xml:space="preserve"> и чтобы платежеспособность банка </w:t>
      </w:r>
      <w:r>
        <w:rPr>
          <w:position w:val="-6"/>
          <w:sz w:val="28"/>
          <w:szCs w:val="28"/>
        </w:rPr>
        <w:object>
          <v:shape id="_x0000_i1692" o:spt="75" type="#_x0000_t75" style="height:13.5pt;width:9.75pt;" o:ole="t" filled="f" o:preferrelative="t" stroked="f" coordsize="21600,21600">
            <v:path/>
            <v:fill on="f" focussize="0,0"/>
            <v:stroke on="f" joinstyle="miter"/>
            <v:imagedata r:id="rId1157" o:title=""/>
            <o:lock v:ext="edit" aspectratio="t"/>
            <w10:wrap type="none"/>
            <w10:anchorlock/>
          </v:shape>
          <o:OLEObject Type="Embed" ProgID="Equation.DSMT4" ShapeID="_x0000_i1692" DrawAspect="Content" ObjectID="_1468076392" r:id="rId1182">
            <o:LockedField>false</o:LockedField>
          </o:OLEObject>
        </w:object>
      </w:r>
      <w:r>
        <w:rPr>
          <w:rFonts w:eastAsia="Calibri"/>
          <w:sz w:val="28"/>
          <w:szCs w:val="28"/>
          <w:lang w:eastAsia="en-US"/>
        </w:rPr>
        <w:t xml:space="preserve"> улучшалась. Эти соображения нам дают</w:t>
      </w:r>
    </w:p>
    <w:p w14:paraId="4A66866F">
      <w:pPr>
        <w:pStyle w:val="37"/>
        <w:rPr>
          <w:rFonts w:eastAsia="Calibri"/>
          <w:sz w:val="28"/>
          <w:szCs w:val="28"/>
          <w:lang w:eastAsia="en-US"/>
        </w:rPr>
      </w:pPr>
    </w:p>
    <w:p w14:paraId="5A401E8C">
      <w:pPr>
        <w:pStyle w:val="37"/>
        <w:rPr>
          <w:rFonts w:eastAsia="Calibri"/>
          <w:i/>
          <w:sz w:val="28"/>
          <w:szCs w:val="28"/>
          <w:lang w:eastAsia="en-US"/>
        </w:rPr>
      </w:pPr>
      <w:r>
        <w:rPr>
          <w:rFonts w:eastAsia="Calibri"/>
          <w:b/>
          <w:sz w:val="28"/>
          <w:szCs w:val="28"/>
          <w:lang w:eastAsia="en-US"/>
        </w:rPr>
        <w:t>Утверждение 5</w:t>
      </w:r>
      <w:r>
        <w:rPr>
          <w:rFonts w:eastAsia="Calibri"/>
          <w:sz w:val="28"/>
          <w:szCs w:val="28"/>
          <w:lang w:eastAsia="en-US"/>
        </w:rPr>
        <w:t xml:space="preserve">: </w:t>
      </w:r>
      <w:r>
        <w:rPr>
          <w:rFonts w:eastAsia="Calibri"/>
          <w:i/>
          <w:sz w:val="28"/>
          <w:szCs w:val="28"/>
          <w:lang w:eastAsia="en-US"/>
        </w:rPr>
        <w:t xml:space="preserve">Если ЛПР стремится улучшить платежеспособность коммерческого банка </w:t>
      </w:r>
      <w:r>
        <w:rPr>
          <w:position w:val="-6"/>
          <w:sz w:val="28"/>
          <w:szCs w:val="28"/>
        </w:rPr>
        <w:object>
          <v:shape id="_x0000_i1693" o:spt="75" type="#_x0000_t75" style="height:13.5pt;width:9.75pt;" o:ole="t" filled="f" o:preferrelative="t" stroked="f" coordsize="21600,21600">
            <v:path/>
            <v:fill on="f" focussize="0,0"/>
            <v:stroke on="f" joinstyle="miter"/>
            <v:imagedata r:id="rId1157" o:title=""/>
            <o:lock v:ext="edit" aspectratio="t"/>
            <w10:wrap type="none"/>
            <w10:anchorlock/>
          </v:shape>
          <o:OLEObject Type="Embed" ProgID="Equation.DSMT4" ShapeID="_x0000_i1693" DrawAspect="Content" ObjectID="_1468076393" r:id="rId1183">
            <o:LockedField>false</o:LockedField>
          </o:OLEObject>
        </w:object>
      </w:r>
      <w:r>
        <w:rPr>
          <w:sz w:val="28"/>
          <w:szCs w:val="28"/>
        </w:rPr>
        <w:t xml:space="preserve"> </w:t>
      </w:r>
      <w:r>
        <w:rPr>
          <w:rFonts w:eastAsia="Calibri"/>
          <w:i/>
          <w:sz w:val="28"/>
          <w:szCs w:val="28"/>
          <w:lang w:eastAsia="en-US"/>
        </w:rPr>
        <w:t xml:space="preserve">и обеспечить условие, при котором объем кредита коммерческого банка </w:t>
      </w:r>
      <w:r>
        <w:rPr>
          <w:position w:val="-6"/>
          <w:sz w:val="28"/>
          <w:szCs w:val="28"/>
        </w:rPr>
        <w:object>
          <v:shape id="_x0000_i1694" o:spt="75" type="#_x0000_t75" style="height:13.5pt;width:9.75pt;" o:ole="t" filled="f" o:preferrelative="t" stroked="f" coordsize="21600,21600">
            <v:path/>
            <v:fill on="f" focussize="0,0"/>
            <v:stroke on="f" joinstyle="miter"/>
            <v:imagedata r:id="rId1157" o:title=""/>
            <o:lock v:ext="edit" aspectratio="t"/>
            <w10:wrap type="none"/>
            <w10:anchorlock/>
          </v:shape>
          <o:OLEObject Type="Embed" ProgID="Equation.DSMT4" ShapeID="_x0000_i1694" DrawAspect="Content" ObjectID="_1468076394" r:id="rId1184">
            <o:LockedField>false</o:LockedField>
          </o:OLEObject>
        </w:object>
      </w:r>
      <w:r>
        <w:rPr>
          <w:sz w:val="28"/>
          <w:szCs w:val="28"/>
        </w:rPr>
        <w:t xml:space="preserve"> </w:t>
      </w:r>
      <w:r>
        <w:rPr>
          <w:rFonts w:eastAsia="Calibri"/>
          <w:i/>
          <w:sz w:val="28"/>
          <w:szCs w:val="28"/>
          <w:lang w:eastAsia="en-US"/>
        </w:rPr>
        <w:t xml:space="preserve">не падает ниже </w:t>
      </w:r>
      <w:r>
        <w:rPr>
          <w:position w:val="-14"/>
          <w:sz w:val="28"/>
          <w:szCs w:val="28"/>
        </w:rPr>
        <w:object>
          <v:shape id="_x0000_i1695" o:spt="75" type="#_x0000_t75" style="height:20.25pt;width:21pt;" o:ole="t" filled="f" o:preferrelative="t" stroked="f" coordsize="21600,21600">
            <v:path/>
            <v:fill on="f" focussize="0,0"/>
            <v:stroke on="f" joinstyle="miter"/>
            <v:imagedata r:id="rId1172" o:title=""/>
            <o:lock v:ext="edit" aspectratio="t"/>
            <w10:wrap type="none"/>
            <w10:anchorlock/>
          </v:shape>
          <o:OLEObject Type="Embed" ProgID="Equation.DSMT4" ShapeID="_x0000_i1695" DrawAspect="Content" ObjectID="_1468076395" r:id="rId1185">
            <o:LockedField>false</o:LockedField>
          </o:OLEObject>
        </w:object>
      </w:r>
      <w:r>
        <w:rPr>
          <w:rFonts w:eastAsia="Calibri"/>
          <w:i/>
          <w:sz w:val="28"/>
          <w:szCs w:val="28"/>
          <w:lang w:eastAsia="en-US"/>
        </w:rPr>
        <w:t>, его порядок предпочтений будет удовлетворять</w:t>
      </w:r>
    </w:p>
    <w:p w14:paraId="68E0D2F9">
      <w:pPr>
        <w:pStyle w:val="37"/>
        <w:rPr>
          <w:rFonts w:eastAsia="Calibri"/>
          <w:i/>
          <w:sz w:val="28"/>
          <w:szCs w:val="28"/>
          <w:lang w:eastAsia="en-US"/>
        </w:rPr>
      </w:pPr>
    </w:p>
    <w:p w14:paraId="140A8CCD">
      <w:pPr>
        <w:pStyle w:val="37"/>
        <w:numPr>
          <w:ilvl w:val="0"/>
          <w:numId w:val="15"/>
        </w:numPr>
        <w:rPr>
          <w:rFonts w:eastAsia="Calibri"/>
          <w:i/>
          <w:sz w:val="28"/>
          <w:szCs w:val="28"/>
          <w:lang w:eastAsia="en-US"/>
        </w:rPr>
      </w:pPr>
      <w:r>
        <w:rPr>
          <w:rFonts w:eastAsia="Calibri"/>
          <w:i/>
          <w:sz w:val="28"/>
          <w:szCs w:val="28"/>
          <w:lang w:eastAsia="en-US"/>
        </w:rPr>
        <w:t xml:space="preserve">При </w:t>
      </w:r>
      <w:r>
        <w:rPr>
          <w:position w:val="-6"/>
          <w:sz w:val="28"/>
          <w:szCs w:val="28"/>
        </w:rPr>
        <w:object>
          <v:shape id="_x0000_i1696" o:spt="75" type="#_x0000_t75" style="height:13.5pt;width:31.5pt;" o:ole="t" filled="f" o:preferrelative="t" stroked="f" coordsize="21600,21600">
            <v:path/>
            <v:fill on="f" focussize="0,0"/>
            <v:stroke on="f" joinstyle="miter"/>
            <v:imagedata r:id="rId1091" o:title=""/>
            <o:lock v:ext="edit" aspectratio="t"/>
            <w10:wrap type="none"/>
            <w10:anchorlock/>
          </v:shape>
          <o:OLEObject Type="Embed" ProgID="Equation.DSMT4" ShapeID="_x0000_i1696" DrawAspect="Content" ObjectID="_1468076396" r:id="rId1186">
            <o:LockedField>false</o:LockedField>
          </o:OLEObject>
        </w:object>
      </w:r>
      <w:r>
        <w:rPr>
          <w:rFonts w:eastAsia="Calibri"/>
          <w:i/>
          <w:sz w:val="28"/>
          <w:szCs w:val="28"/>
          <w:lang w:eastAsia="en-US"/>
        </w:rPr>
        <w:t xml:space="preserve"> </w:t>
      </w:r>
    </w:p>
    <w:p w14:paraId="73C84EFD">
      <w:pPr>
        <w:pStyle w:val="37"/>
        <w:rPr>
          <w:rFonts w:eastAsia="Calibri"/>
          <w:sz w:val="28"/>
          <w:szCs w:val="28"/>
          <w:lang w:eastAsia="en-US"/>
        </w:rPr>
      </w:pPr>
    </w:p>
    <w:p w14:paraId="668B3ACA">
      <w:pPr>
        <w:pStyle w:val="38"/>
        <w:spacing w:before="0" w:after="0"/>
        <w:rPr>
          <w:sz w:val="28"/>
          <w:szCs w:val="28"/>
        </w:rPr>
      </w:pPr>
      <w:r>
        <w:rPr>
          <w:sz w:val="28"/>
          <w:szCs w:val="28"/>
        </w:rPr>
        <w:tab/>
      </w:r>
      <w:r>
        <w:rPr>
          <w:sz w:val="28"/>
          <w:szCs w:val="28"/>
        </w:rPr>
        <w:t xml:space="preserve">                               </w:t>
      </w:r>
      <w:r>
        <w:rPr>
          <w:position w:val="-50"/>
          <w:sz w:val="28"/>
          <w:szCs w:val="28"/>
        </w:rPr>
        <w:object>
          <v:shape id="_x0000_i1697" o:spt="75" type="#_x0000_t75" style="height:55.5pt;width:184.5pt;" o:ole="t" filled="f" o:preferrelative="t" stroked="f" coordsize="21600,21600">
            <v:path/>
            <v:fill on="f" focussize="0,0"/>
            <v:stroke on="f" joinstyle="miter"/>
            <v:imagedata r:id="rId1188" o:title=""/>
            <o:lock v:ext="edit" aspectratio="t"/>
            <w10:wrap type="none"/>
            <w10:anchorlock/>
          </v:shape>
          <o:OLEObject Type="Embed" ProgID="Equation.DSMT4" ShapeID="_x0000_i1697" DrawAspect="Content" ObjectID="_1468076397" r:id="rId1187">
            <o:LockedField>false</o:LockedField>
          </o:OLEObject>
        </w:object>
      </w:r>
      <w:r>
        <w:rPr>
          <w:sz w:val="28"/>
          <w:szCs w:val="28"/>
        </w:rPr>
        <w:tab/>
      </w:r>
      <w:r>
        <w:rPr>
          <w:sz w:val="28"/>
          <w:szCs w:val="28"/>
        </w:rPr>
        <w:t xml:space="preserve">                                  (54)</w:t>
      </w:r>
    </w:p>
    <w:p w14:paraId="065B5365">
      <w:pPr>
        <w:pStyle w:val="37"/>
        <w:rPr>
          <w:rFonts w:eastAsia="Calibri"/>
          <w:sz w:val="28"/>
          <w:szCs w:val="28"/>
          <w:lang w:eastAsia="en-US"/>
        </w:rPr>
      </w:pPr>
    </w:p>
    <w:p w14:paraId="789AEE67">
      <w:pPr>
        <w:pStyle w:val="37"/>
        <w:rPr>
          <w:rFonts w:eastAsia="Calibri"/>
          <w:i/>
          <w:sz w:val="28"/>
          <w:szCs w:val="28"/>
          <w:lang w:eastAsia="en-US"/>
        </w:rPr>
      </w:pPr>
      <w:r>
        <w:rPr>
          <w:rFonts w:eastAsia="Calibri"/>
          <w:i/>
          <w:sz w:val="28"/>
          <w:szCs w:val="28"/>
          <w:lang w:eastAsia="en-US"/>
        </w:rPr>
        <w:t xml:space="preserve">2. При </w:t>
      </w:r>
      <w:r>
        <w:rPr>
          <w:position w:val="-14"/>
          <w:sz w:val="28"/>
          <w:szCs w:val="28"/>
        </w:rPr>
        <w:object>
          <v:shape id="_x0000_i1698" o:spt="75" type="#_x0000_t75" style="height:20.25pt;width:52.5pt;" o:ole="t" filled="f" o:preferrelative="t" stroked="f" coordsize="21600,21600">
            <v:path/>
            <v:fill on="f" focussize="0,0"/>
            <v:stroke on="f" joinstyle="miter"/>
            <v:imagedata r:id="rId1190" o:title=""/>
            <o:lock v:ext="edit" aspectratio="t"/>
            <w10:wrap type="none"/>
            <w10:anchorlock/>
          </v:shape>
          <o:OLEObject Type="Embed" ProgID="Equation.DSMT4" ShapeID="_x0000_i1698" DrawAspect="Content" ObjectID="_1468076398" r:id="rId1189">
            <o:LockedField>false</o:LockedField>
          </o:OLEObject>
        </w:object>
      </w:r>
    </w:p>
    <w:p w14:paraId="6AB8E5C5">
      <w:pPr>
        <w:pStyle w:val="37"/>
        <w:rPr>
          <w:rFonts w:eastAsia="Calibri"/>
          <w:sz w:val="28"/>
          <w:szCs w:val="28"/>
          <w:lang w:eastAsia="en-US"/>
        </w:rPr>
      </w:pPr>
    </w:p>
    <w:p w14:paraId="52539640">
      <w:pPr>
        <w:pStyle w:val="38"/>
        <w:spacing w:before="0" w:after="0"/>
        <w:rPr>
          <w:sz w:val="28"/>
          <w:szCs w:val="28"/>
        </w:rPr>
      </w:pPr>
      <w:r>
        <w:rPr>
          <w:sz w:val="28"/>
          <w:szCs w:val="28"/>
        </w:rPr>
        <w:tab/>
      </w:r>
      <w:r>
        <w:rPr>
          <w:sz w:val="28"/>
          <w:szCs w:val="28"/>
        </w:rPr>
        <w:t xml:space="preserve">                                  </w:t>
      </w:r>
      <w:r>
        <w:rPr>
          <w:position w:val="-32"/>
          <w:sz w:val="28"/>
          <w:szCs w:val="28"/>
        </w:rPr>
        <w:object>
          <v:shape id="_x0000_i1699" o:spt="75" type="#_x0000_t75" style="height:37.5pt;width:147pt;" o:ole="t" filled="f" o:preferrelative="t" stroked="f" coordsize="21600,21600">
            <v:path/>
            <v:fill on="f" focussize="0,0"/>
            <v:stroke on="f" joinstyle="miter"/>
            <v:imagedata r:id="rId1192" o:title=""/>
            <o:lock v:ext="edit" aspectratio="t"/>
            <w10:wrap type="none"/>
            <w10:anchorlock/>
          </v:shape>
          <o:OLEObject Type="Embed" ProgID="Equation.DSMT4" ShapeID="_x0000_i1699" DrawAspect="Content" ObjectID="_1468076399" r:id="rId1191">
            <o:LockedField>false</o:LockedField>
          </o:OLEObject>
        </w:object>
      </w:r>
      <w:r>
        <w:rPr>
          <w:sz w:val="28"/>
          <w:szCs w:val="28"/>
        </w:rPr>
        <w:tab/>
      </w:r>
      <w:r>
        <w:rPr>
          <w:sz w:val="28"/>
          <w:szCs w:val="28"/>
        </w:rPr>
        <w:t xml:space="preserve">                                     (55)</w:t>
      </w:r>
    </w:p>
    <w:p w14:paraId="6BB7ED5D">
      <w:pPr>
        <w:pStyle w:val="37"/>
        <w:rPr>
          <w:rFonts w:eastAsia="Calibri"/>
          <w:sz w:val="28"/>
          <w:szCs w:val="28"/>
          <w:lang w:eastAsia="en-US"/>
        </w:rPr>
      </w:pPr>
    </w:p>
    <w:p w14:paraId="0A19FA01">
      <w:pPr>
        <w:pStyle w:val="37"/>
        <w:numPr>
          <w:ilvl w:val="0"/>
          <w:numId w:val="15"/>
        </w:numPr>
        <w:rPr>
          <w:rFonts w:eastAsia="Calibri"/>
          <w:i/>
          <w:sz w:val="28"/>
          <w:szCs w:val="28"/>
          <w:lang w:eastAsia="en-US"/>
        </w:rPr>
      </w:pPr>
      <w:r>
        <w:rPr>
          <w:rFonts w:eastAsia="Calibri"/>
          <w:i/>
          <w:sz w:val="28"/>
          <w:szCs w:val="28"/>
          <w:lang w:eastAsia="en-US"/>
        </w:rPr>
        <w:t xml:space="preserve">При  </w:t>
      </w:r>
      <w:r>
        <w:rPr>
          <w:position w:val="-6"/>
          <w:sz w:val="28"/>
          <w:szCs w:val="28"/>
        </w:rPr>
        <w:object>
          <v:shape id="_x0000_i1700" o:spt="75" type="#_x0000_t75" style="height:13.5pt;width:31.5pt;" o:ole="t" filled="f" o:preferrelative="t" stroked="f" coordsize="21600,21600">
            <v:path/>
            <v:fill on="f" focussize="0,0"/>
            <v:stroke on="f" joinstyle="miter"/>
            <v:imagedata r:id="rId1194" o:title=""/>
            <o:lock v:ext="edit" aspectratio="t"/>
            <w10:wrap type="none"/>
            <w10:anchorlock/>
          </v:shape>
          <o:OLEObject Type="Embed" ProgID="Equation.DSMT4" ShapeID="_x0000_i1700" DrawAspect="Content" ObjectID="_1468076400" r:id="rId1193">
            <o:LockedField>false</o:LockedField>
          </o:OLEObject>
        </w:object>
      </w:r>
      <w:r>
        <w:rPr>
          <w:sz w:val="28"/>
          <w:szCs w:val="28"/>
        </w:rPr>
        <w:t xml:space="preserve"> </w:t>
      </w:r>
      <w:r>
        <w:rPr>
          <w:rFonts w:eastAsia="Calibri"/>
          <w:i/>
          <w:sz w:val="28"/>
          <w:szCs w:val="28"/>
          <w:lang w:eastAsia="en-US"/>
        </w:rPr>
        <w:t xml:space="preserve">B ≥b </w:t>
      </w:r>
    </w:p>
    <w:p w14:paraId="2198BD86">
      <w:pPr>
        <w:pStyle w:val="37"/>
        <w:rPr>
          <w:rFonts w:eastAsia="Calibri"/>
          <w:sz w:val="28"/>
          <w:szCs w:val="28"/>
          <w:lang w:eastAsia="en-US"/>
        </w:rPr>
      </w:pPr>
    </w:p>
    <w:p w14:paraId="7BAB8A41">
      <w:pPr>
        <w:pStyle w:val="38"/>
        <w:spacing w:before="0" w:after="0"/>
        <w:rPr>
          <w:sz w:val="28"/>
          <w:szCs w:val="28"/>
        </w:rPr>
      </w:pPr>
      <w:r>
        <w:rPr>
          <w:sz w:val="28"/>
          <w:szCs w:val="28"/>
        </w:rPr>
        <w:tab/>
      </w:r>
      <w:r>
        <w:rPr>
          <w:sz w:val="28"/>
          <w:szCs w:val="28"/>
        </w:rPr>
        <w:t xml:space="preserve">                                        </w:t>
      </w:r>
      <w:r>
        <w:rPr>
          <w:position w:val="-14"/>
          <w:sz w:val="28"/>
          <w:szCs w:val="28"/>
        </w:rPr>
        <w:object>
          <v:shape id="_x0000_i1701" o:spt="75" type="#_x0000_t75" style="height:20.25pt;width:128.25pt;" o:ole="t" filled="f" o:preferrelative="t" stroked="f" coordsize="21600,21600">
            <v:path/>
            <v:fill on="f" focussize="0,0"/>
            <v:stroke on="f" joinstyle="miter"/>
            <v:imagedata r:id="rId1196" o:title=""/>
            <o:lock v:ext="edit" aspectratio="t"/>
            <w10:wrap type="none"/>
            <w10:anchorlock/>
          </v:shape>
          <o:OLEObject Type="Embed" ProgID="Equation.DSMT4" ShapeID="_x0000_i1701" DrawAspect="Content" ObjectID="_1468076401" r:id="rId1195">
            <o:LockedField>false</o:LockedField>
          </o:OLEObject>
        </w:object>
      </w:r>
      <w:r>
        <w:rPr>
          <w:sz w:val="28"/>
          <w:szCs w:val="28"/>
        </w:rPr>
        <w:tab/>
      </w:r>
      <w:r>
        <w:rPr>
          <w:sz w:val="28"/>
          <w:szCs w:val="28"/>
        </w:rPr>
        <w:t xml:space="preserve">                                     (56)</w:t>
      </w:r>
    </w:p>
    <w:p w14:paraId="7EE3D1E0">
      <w:pPr>
        <w:pStyle w:val="37"/>
        <w:rPr>
          <w:rFonts w:eastAsia="Calibri"/>
          <w:sz w:val="28"/>
          <w:szCs w:val="28"/>
          <w:lang w:eastAsia="en-US"/>
        </w:rPr>
      </w:pPr>
    </w:p>
    <w:p w14:paraId="04F77EBB">
      <w:pPr>
        <w:pStyle w:val="37"/>
        <w:ind w:firstLine="0"/>
        <w:rPr>
          <w:sz w:val="28"/>
          <w:szCs w:val="28"/>
        </w:rPr>
      </w:pPr>
      <w:r>
        <w:rPr>
          <w:rFonts w:eastAsia="Calibri"/>
          <w:i/>
          <w:sz w:val="28"/>
          <w:szCs w:val="28"/>
          <w:lang w:eastAsia="en-US"/>
        </w:rPr>
        <w:t xml:space="preserve">где </w:t>
      </w:r>
      <w:r>
        <w:rPr>
          <w:position w:val="-6"/>
          <w:sz w:val="28"/>
          <w:szCs w:val="28"/>
        </w:rPr>
        <w:object>
          <v:shape id="_x0000_i1702" o:spt="75" type="#_x0000_t75" style="height:13.5pt;width:12pt;" o:ole="t" filled="f" o:preferrelative="t" stroked="f" coordsize="21600,21600">
            <v:path/>
            <v:fill on="f" focussize="0,0"/>
            <v:stroke on="f" joinstyle="miter"/>
            <v:imagedata r:id="rId1198" o:title=""/>
            <o:lock v:ext="edit" aspectratio="t"/>
            <w10:wrap type="none"/>
            <w10:anchorlock/>
          </v:shape>
          <o:OLEObject Type="Embed" ProgID="Equation.DSMT4" ShapeID="_x0000_i1702" DrawAspect="Content" ObjectID="_1468076402" r:id="rId1197">
            <o:LockedField>false</o:LockedField>
          </o:OLEObject>
        </w:object>
      </w:r>
      <w:r>
        <w:rPr>
          <w:rFonts w:eastAsia="Calibri"/>
          <w:i/>
          <w:sz w:val="28"/>
          <w:szCs w:val="28"/>
          <w:lang w:eastAsia="en-US"/>
        </w:rPr>
        <w:t xml:space="preserve"> определено в (26), </w:t>
      </w:r>
      <w:r>
        <w:rPr>
          <w:position w:val="-6"/>
          <w:sz w:val="28"/>
          <w:szCs w:val="28"/>
        </w:rPr>
        <w:object>
          <v:shape id="_x0000_i1703" o:spt="75" type="#_x0000_t75" style="height:13.5pt;width:12pt;" o:ole="t" filled="f" o:preferrelative="t" stroked="f" coordsize="21600,21600">
            <v:path/>
            <v:fill on="f" focussize="0,0"/>
            <v:stroke on="f" joinstyle="miter"/>
            <v:imagedata r:id="rId1200" o:title=""/>
            <o:lock v:ext="edit" aspectratio="t"/>
            <w10:wrap type="none"/>
            <w10:anchorlock/>
          </v:shape>
          <o:OLEObject Type="Embed" ProgID="Equation.DSMT4" ShapeID="_x0000_i1703" DrawAspect="Content" ObjectID="_1468076403" r:id="rId1199">
            <o:LockedField>false</o:LockedField>
          </o:OLEObject>
        </w:object>
      </w:r>
      <w:r>
        <w:rPr>
          <w:rFonts w:eastAsia="Calibri"/>
          <w:i/>
          <w:sz w:val="28"/>
          <w:szCs w:val="28"/>
          <w:lang w:eastAsia="en-US"/>
        </w:rPr>
        <w:t xml:space="preserve"> обозначает критические издержки потери репутации, для которых </w:t>
      </w:r>
      <w:r>
        <w:rPr>
          <w:position w:val="-20"/>
          <w:sz w:val="28"/>
          <w:szCs w:val="28"/>
        </w:rPr>
        <w:object>
          <v:shape id="_x0000_i1704" o:spt="75" type="#_x0000_t75" style="height:26.25pt;width:194.25pt;" o:ole="t" filled="f" o:preferrelative="t" stroked="f" coordsize="21600,21600">
            <v:path/>
            <v:fill on="f" focussize="0,0"/>
            <v:stroke on="f" joinstyle="miter"/>
            <v:imagedata r:id="rId1202" o:title=""/>
            <o:lock v:ext="edit" aspectratio="t"/>
            <w10:wrap type="none"/>
            <w10:anchorlock/>
          </v:shape>
          <o:OLEObject Type="Embed" ProgID="Equation.DSMT4" ShapeID="_x0000_i1704" DrawAspect="Content" ObjectID="_1468076404" r:id="rId1201">
            <o:LockedField>false</o:LockedField>
          </o:OLEObject>
        </w:object>
      </w:r>
      <w:r>
        <w:rPr>
          <w:rFonts w:eastAsia="Calibri"/>
          <w:i/>
          <w:sz w:val="28"/>
          <w:szCs w:val="28"/>
          <w:lang w:eastAsia="en-US"/>
        </w:rPr>
        <w:t xml:space="preserve">, а </w:t>
      </w:r>
      <w:r>
        <w:rPr>
          <w:position w:val="-14"/>
          <w:sz w:val="28"/>
          <w:szCs w:val="28"/>
        </w:rPr>
        <w:object>
          <v:shape id="_x0000_i1705" o:spt="75" type="#_x0000_t75" style="height:21pt;width:21pt;" o:ole="t" filled="f" o:preferrelative="t" stroked="f" coordsize="21600,21600">
            <v:path/>
            <v:fill on="f" focussize="0,0"/>
            <v:stroke on="f" joinstyle="miter"/>
            <v:imagedata r:id="rId1204" o:title=""/>
            <o:lock v:ext="edit" aspectratio="t"/>
            <w10:wrap type="none"/>
            <w10:anchorlock/>
          </v:shape>
          <o:OLEObject Type="Embed" ProgID="Equation.DSMT4" ShapeID="_x0000_i1705" DrawAspect="Content" ObjectID="_1468076405" r:id="rId1203">
            <o:LockedField>false</o:LockedField>
          </o:OLEObject>
        </w:object>
      </w:r>
      <w:r>
        <w:rPr>
          <w:sz w:val="28"/>
          <w:szCs w:val="28"/>
        </w:rPr>
        <w:t xml:space="preserve"> </w:t>
      </w:r>
      <w:r>
        <w:rPr>
          <w:rFonts w:eastAsia="Calibri"/>
          <w:i/>
          <w:sz w:val="28"/>
          <w:szCs w:val="28"/>
          <w:lang w:eastAsia="en-US"/>
        </w:rPr>
        <w:t xml:space="preserve">обозначает критический объем новых кредитов, который соответствует критическому трансфертному платежу </w:t>
      </w:r>
      <w:r>
        <w:rPr>
          <w:position w:val="-4"/>
          <w:sz w:val="28"/>
          <w:szCs w:val="28"/>
        </w:rPr>
        <w:object>
          <v:shape id="_x0000_i1706" o:spt="75" type="#_x0000_t75" style="height:15.75pt;width:20.25pt;" o:ole="t" filled="f" o:preferrelative="t" stroked="f" coordsize="21600,21600">
            <v:path/>
            <v:fill on="f" focussize="0,0"/>
            <v:stroke on="f" joinstyle="miter"/>
            <v:imagedata r:id="rId1206" o:title=""/>
            <o:lock v:ext="edit" aspectratio="t"/>
            <w10:wrap type="none"/>
            <w10:anchorlock/>
          </v:shape>
          <o:OLEObject Type="Embed" ProgID="Equation.DSMT4" ShapeID="_x0000_i1706" DrawAspect="Content" ObjectID="_1468076406" r:id="rId1205">
            <o:LockedField>false</o:LockedField>
          </o:OLEObject>
        </w:object>
      </w:r>
      <w:r>
        <w:rPr>
          <w:rFonts w:eastAsia="Calibri"/>
          <w:i/>
          <w:sz w:val="28"/>
          <w:szCs w:val="28"/>
          <w:lang w:eastAsia="en-US"/>
        </w:rPr>
        <w:t xml:space="preserve">, для которого выполнено </w:t>
      </w:r>
      <w:r>
        <w:rPr>
          <w:position w:val="-22"/>
          <w:sz w:val="28"/>
          <w:szCs w:val="28"/>
        </w:rPr>
        <w:object>
          <v:shape id="_x0000_i1707" o:spt="75" type="#_x0000_t75" style="height:28.5pt;width:268.5pt;" o:ole="t" filled="f" o:preferrelative="t" stroked="f" coordsize="21600,21600">
            <v:path/>
            <v:fill on="f" focussize="0,0"/>
            <v:stroke on="f" joinstyle="miter"/>
            <v:imagedata r:id="rId1208" o:title=""/>
            <o:lock v:ext="edit" aspectratio="t"/>
            <w10:wrap type="none"/>
            <w10:anchorlock/>
          </v:shape>
          <o:OLEObject Type="Embed" ProgID="Equation.DSMT4" ShapeID="_x0000_i1707" DrawAspect="Content" ObjectID="_1468076407" r:id="rId1207">
            <o:LockedField>false</o:LockedField>
          </o:OLEObject>
        </w:object>
      </w:r>
      <w:r>
        <w:rPr>
          <w:sz w:val="28"/>
          <w:szCs w:val="28"/>
        </w:rPr>
        <w:t>.</w:t>
      </w:r>
    </w:p>
    <w:p w14:paraId="25C58541">
      <w:pPr>
        <w:pStyle w:val="37"/>
        <w:rPr>
          <w:rFonts w:eastAsia="Calibri"/>
          <w:sz w:val="28"/>
          <w:szCs w:val="28"/>
          <w:lang w:eastAsia="en-US"/>
        </w:rPr>
      </w:pPr>
    </w:p>
    <w:p w14:paraId="2595E6BB">
      <w:pPr>
        <w:pStyle w:val="37"/>
        <w:ind w:firstLine="708"/>
        <w:rPr>
          <w:rFonts w:eastAsia="Calibri"/>
          <w:sz w:val="28"/>
          <w:szCs w:val="28"/>
          <w:lang w:eastAsia="en-US"/>
        </w:rPr>
      </w:pPr>
      <w:r>
        <w:rPr>
          <w:rFonts w:eastAsia="Calibri"/>
          <w:b/>
          <w:sz w:val="28"/>
          <w:szCs w:val="28"/>
          <w:lang w:eastAsia="en-US"/>
        </w:rPr>
        <w:t>Доказательство</w:t>
      </w:r>
      <w:r>
        <w:rPr>
          <w:rFonts w:eastAsia="Calibri"/>
          <w:sz w:val="28"/>
          <w:szCs w:val="28"/>
          <w:lang w:eastAsia="en-US"/>
        </w:rPr>
        <w:t xml:space="preserve"> изложено в приложении </w:t>
      </w:r>
      <w:r>
        <w:rPr>
          <w:sz w:val="28"/>
          <w:szCs w:val="28"/>
        </w:rPr>
        <w:t xml:space="preserve">[110], нужно только учесть смену обозначений. </w:t>
      </w:r>
    </w:p>
    <w:p w14:paraId="02C15ECB">
      <w:pPr>
        <w:pStyle w:val="37"/>
        <w:ind w:firstLine="0"/>
        <w:rPr>
          <w:rFonts w:eastAsia="Calibri"/>
          <w:sz w:val="28"/>
          <w:szCs w:val="28"/>
          <w:lang w:eastAsia="en-US"/>
        </w:rPr>
      </w:pPr>
    </w:p>
    <w:p w14:paraId="4F5E3077">
      <w:pPr>
        <w:pStyle w:val="37"/>
        <w:ind w:firstLine="0"/>
        <w:rPr>
          <w:rFonts w:eastAsia="Calibri"/>
          <w:sz w:val="28"/>
          <w:szCs w:val="28"/>
          <w:lang w:eastAsia="en-US"/>
        </w:rPr>
      </w:pPr>
      <w:r>
        <w:rPr>
          <w:rFonts w:eastAsia="Calibri"/>
          <w:sz w:val="28"/>
          <w:szCs w:val="28"/>
          <w:lang w:eastAsia="en-US"/>
        </w:rPr>
        <w:t xml:space="preserve">В утверждении 5 указано, что порядок предпочтений ЛПР зависит от издержек потери репутации и целевого объема кредита </w:t>
      </w:r>
      <w:r>
        <w:rPr>
          <w:position w:val="-14"/>
          <w:sz w:val="28"/>
          <w:szCs w:val="28"/>
        </w:rPr>
        <w:object>
          <v:shape id="_x0000_i1708" o:spt="75" type="#_x0000_t75" style="height:20.25pt;width:21pt;" o:ole="t" filled="f" o:preferrelative="t" stroked="f" coordsize="21600,21600">
            <v:path/>
            <v:fill on="f" focussize="0,0"/>
            <v:stroke on="f" joinstyle="miter"/>
            <v:imagedata r:id="rId1172" o:title=""/>
            <o:lock v:ext="edit" aspectratio="t"/>
            <w10:wrap type="none"/>
            <w10:anchorlock/>
          </v:shape>
          <o:OLEObject Type="Embed" ProgID="Equation.DSMT4" ShapeID="_x0000_i1708" DrawAspect="Content" ObjectID="_1468076408" r:id="rId1209">
            <o:LockedField>false</o:LockedField>
          </o:OLEObject>
        </w:object>
      </w:r>
      <w:r>
        <w:rPr>
          <w:rFonts w:eastAsia="Calibri"/>
          <w:sz w:val="28"/>
          <w:szCs w:val="28"/>
          <w:lang w:eastAsia="en-US"/>
        </w:rPr>
        <w:t xml:space="preserve">. Как и в утверждении 4, этот результат отражает издержки и выгоды различных сделок с фондом проблемных активов для домашних хозяйств и, следовательно, для ЛПР. </w:t>
      </w:r>
    </w:p>
    <w:p w14:paraId="6B763134">
      <w:pPr>
        <w:pStyle w:val="37"/>
        <w:rPr>
          <w:rFonts w:eastAsia="Calibri"/>
          <w:sz w:val="28"/>
          <w:szCs w:val="28"/>
          <w:lang w:eastAsia="en-US"/>
        </w:rPr>
      </w:pPr>
      <w:r>
        <w:rPr>
          <w:rFonts w:eastAsia="Calibri"/>
          <w:sz w:val="28"/>
          <w:szCs w:val="28"/>
          <w:lang w:eastAsia="en-US"/>
        </w:rPr>
        <w:t>(a) ЛПР всегда будет отдавать предпочтение сделке по схеме </w:t>
      </w:r>
      <w:r>
        <w:rPr>
          <w:position w:val="-6"/>
          <w:sz w:val="28"/>
          <w:szCs w:val="28"/>
        </w:rPr>
        <w:object>
          <v:shape id="_x0000_i1709" o:spt="75" type="#_x0000_t75" style="height:13.5pt;width:16.5pt;" o:ole="t" filled="f" o:preferrelative="t" stroked="f" coordsize="21600,21600">
            <v:path/>
            <v:fill on="f" focussize="0,0"/>
            <v:stroke on="f" joinstyle="miter"/>
            <v:imagedata r:id="rId1211" o:title=""/>
            <o:lock v:ext="edit" aspectratio="t"/>
            <w10:wrap type="none"/>
            <w10:anchorlock/>
          </v:shape>
          <o:OLEObject Type="Embed" ProgID="Equation.DSMT4" ShapeID="_x0000_i1709" DrawAspect="Content" ObjectID="_1468076409" r:id="rId1210">
            <o:LockedField>false</o:LockedField>
          </o:OLEObject>
        </w:object>
      </w:r>
      <w:r>
        <w:rPr>
          <w:rFonts w:eastAsia="Calibri"/>
          <w:sz w:val="28"/>
          <w:szCs w:val="28"/>
          <w:lang w:eastAsia="en-US"/>
        </w:rPr>
        <w:t>, а не сделке по схеме </w:t>
      </w:r>
      <w:r>
        <w:rPr>
          <w:position w:val="-6"/>
          <w:sz w:val="28"/>
          <w:szCs w:val="28"/>
        </w:rPr>
        <w:object>
          <v:shape id="_x0000_i1710" o:spt="75" type="#_x0000_t75" style="height:13.5pt;width:15.75pt;" o:ole="t" filled="f" o:preferrelative="t" stroked="f" coordsize="21600,21600">
            <v:path/>
            <v:fill on="f" focussize="0,0"/>
            <v:stroke on="f" joinstyle="miter"/>
            <v:imagedata r:id="rId1213" o:title=""/>
            <o:lock v:ext="edit" aspectratio="t"/>
            <w10:wrap type="none"/>
            <w10:anchorlock/>
          </v:shape>
          <o:OLEObject Type="Embed" ProgID="Equation.DSMT4" ShapeID="_x0000_i1710" DrawAspect="Content" ObjectID="_1468076410" r:id="rId1212">
            <o:LockedField>false</o:LockedField>
          </o:OLEObject>
        </w:object>
      </w:r>
      <w:r>
        <w:rPr>
          <w:rFonts w:eastAsia="Calibri"/>
          <w:sz w:val="28"/>
          <w:szCs w:val="28"/>
          <w:lang w:eastAsia="en-US"/>
        </w:rPr>
        <w:t xml:space="preserve">,, поскольку первая является бесплатной, а вторая подразумевает потерю денежного выкупа </w:t>
      </w:r>
      <w:r>
        <w:rPr>
          <w:position w:val="-4"/>
          <w:sz w:val="28"/>
          <w:szCs w:val="28"/>
        </w:rPr>
        <w:object>
          <v:shape id="_x0000_i1711" o:spt="75" type="#_x0000_t75" style="height:15pt;width:20.25pt;" o:ole="t" filled="f" o:preferrelative="t" stroked="f" coordsize="21600,21600">
            <v:path/>
            <v:fill on="f" focussize="0,0"/>
            <v:stroke on="f" joinstyle="miter"/>
            <v:imagedata r:id="rId1215" o:title=""/>
            <o:lock v:ext="edit" aspectratio="t"/>
            <w10:wrap type="none"/>
            <w10:anchorlock/>
          </v:shape>
          <o:OLEObject Type="Embed" ProgID="Equation.DSMT4" ShapeID="_x0000_i1711" DrawAspect="Content" ObjectID="_1468076411" r:id="rId1214">
            <o:LockedField>false</o:LockedField>
          </o:OLEObject>
        </w:object>
      </w:r>
      <w:r>
        <w:rPr>
          <w:rFonts w:eastAsia="Calibri"/>
          <w:sz w:val="28"/>
          <w:szCs w:val="28"/>
          <w:lang w:eastAsia="en-US"/>
        </w:rPr>
        <w:t xml:space="preserve"> с положительной вероятностью. </w:t>
      </w:r>
    </w:p>
    <w:p w14:paraId="304A7EEB">
      <w:pPr>
        <w:pStyle w:val="37"/>
        <w:rPr>
          <w:rFonts w:eastAsia="Calibri"/>
          <w:sz w:val="28"/>
          <w:szCs w:val="28"/>
          <w:lang w:eastAsia="en-US"/>
        </w:rPr>
      </w:pPr>
      <w:r>
        <w:rPr>
          <w:rFonts w:eastAsia="Calibri"/>
          <w:sz w:val="28"/>
          <w:szCs w:val="28"/>
          <w:lang w:eastAsia="en-US"/>
        </w:rPr>
        <w:t xml:space="preserve">(б) Чтобы определить порядок предпочтений в отношении сделок по схеме 2 и схеме 1, мы должны различать разные уровни издержек по потере репутации и целевой объем кредита </w:t>
      </w:r>
      <w:r>
        <w:rPr>
          <w:position w:val="-14"/>
          <w:sz w:val="28"/>
          <w:szCs w:val="28"/>
        </w:rPr>
        <w:object>
          <v:shape id="_x0000_i1712" o:spt="75" type="#_x0000_t75" style="height:20.25pt;width:21pt;" o:ole="t" filled="f" o:preferrelative="t" stroked="f" coordsize="21600,21600">
            <v:path/>
            <v:fill on="f" focussize="0,0"/>
            <v:stroke on="f" joinstyle="miter"/>
            <v:imagedata r:id="rId1217" o:title=""/>
            <o:lock v:ext="edit" aspectratio="t"/>
            <w10:wrap type="none"/>
            <w10:anchorlock/>
          </v:shape>
          <o:OLEObject Type="Embed" ProgID="Equation.DSMT4" ShapeID="_x0000_i1712" DrawAspect="Content" ObjectID="_1468076412" r:id="rId1216">
            <o:LockedField>false</o:LockedField>
          </o:OLEObject>
        </w:object>
      </w:r>
      <w:r>
        <w:rPr>
          <w:rFonts w:eastAsia="Calibri"/>
          <w:sz w:val="28"/>
          <w:szCs w:val="28"/>
          <w:lang w:eastAsia="en-US"/>
        </w:rPr>
        <w:t xml:space="preserve">. В соответствии со схемой 1 ЛПР с уверенностью теряет денежный выкуп, но получает выгоду от возврата проблемного актива. Соответственно, безвозвратная продажа будет наиболее предпочтительной всякий раз, когда денежный выкуп </w:t>
      </w:r>
      <w:r>
        <w:rPr>
          <w:position w:val="-4"/>
          <w:sz w:val="28"/>
          <w:szCs w:val="28"/>
        </w:rPr>
        <w:object>
          <v:shape id="_x0000_i1713" o:spt="75" type="#_x0000_t75" style="height:15pt;width:20.25pt;" o:ole="t" filled="f" o:preferrelative="t" stroked="f" coordsize="21600,21600">
            <v:path/>
            <v:fill on="f" focussize="0,0"/>
            <v:stroke on="f" joinstyle="miter"/>
            <v:imagedata r:id="rId1219" o:title=""/>
            <o:lock v:ext="edit" aspectratio="t"/>
            <w10:wrap type="none"/>
            <w10:anchorlock/>
          </v:shape>
          <o:OLEObject Type="Embed" ProgID="Equation.DSMT4" ShapeID="_x0000_i1713" DrawAspect="Content" ObjectID="_1468076413" r:id="rId1218">
            <o:LockedField>false</o:LockedField>
          </o:OLEObject>
        </w:object>
      </w:r>
      <w:r>
        <w:rPr>
          <w:rFonts w:eastAsia="Calibri"/>
          <w:sz w:val="28"/>
          <w:szCs w:val="28"/>
          <w:lang w:eastAsia="en-US"/>
        </w:rPr>
        <w:t xml:space="preserve"> меньше ожидаемой доходности </w:t>
      </w:r>
      <w:r>
        <w:rPr>
          <w:position w:val="-10"/>
          <w:sz w:val="28"/>
          <w:szCs w:val="28"/>
        </w:rPr>
        <w:object>
          <v:shape id="_x0000_i1714" o:spt="75" type="#_x0000_t75" style="height:18.75pt;width:24.75pt;" o:ole="t" filled="f" o:preferrelative="t" stroked="f" coordsize="21600,21600">
            <v:path/>
            <v:fill on="f" focussize="0,0"/>
            <v:stroke on="f" joinstyle="miter"/>
            <v:imagedata r:id="rId1221" o:title=""/>
            <o:lock v:ext="edit" aspectratio="t"/>
            <w10:wrap type="none"/>
            <w10:anchorlock/>
          </v:shape>
          <o:OLEObject Type="Embed" ProgID="Equation.DSMT4" ShapeID="_x0000_i1714" DrawAspect="Content" ObjectID="_1468076414" r:id="rId1220">
            <o:LockedField>false</o:LockedField>
          </o:OLEObject>
        </w:object>
      </w:r>
      <w:r>
        <w:rPr>
          <w:rFonts w:eastAsia="Calibri"/>
          <w:sz w:val="28"/>
          <w:szCs w:val="28"/>
          <w:lang w:eastAsia="en-US"/>
        </w:rPr>
        <w:t xml:space="preserve"> для проблемного актива. Тогда сделка 1 позволяет получить прибыль, которая по соглашению об обратном выкупе недостижима. ЛПР сможет получить такую прибыль только при соблюдении двух условий. Во-первых, издержки потери репутации </w:t>
      </w:r>
      <w:r>
        <w:rPr>
          <w:position w:val="-6"/>
          <w:sz w:val="28"/>
          <w:szCs w:val="28"/>
        </w:rPr>
        <w:object>
          <v:shape id="_x0000_i1715" o:spt="75" type="#_x0000_t75" style="height:11.25pt;width:12pt;" o:ole="t" filled="f" o:preferrelative="t" stroked="f" coordsize="21600,21600">
            <v:path/>
            <v:fill on="f" focussize="0,0"/>
            <v:stroke on="f" joinstyle="miter"/>
            <v:imagedata r:id="rId1223" o:title=""/>
            <o:lock v:ext="edit" aspectratio="t"/>
            <w10:wrap type="none"/>
            <w10:anchorlock/>
          </v:shape>
          <o:OLEObject Type="Embed" ProgID="Equation.DSMT4" ShapeID="_x0000_i1715" DrawAspect="Content" ObjectID="_1468076415" r:id="rId1222">
            <o:LockedField>false</o:LockedField>
          </o:OLEObject>
        </w:object>
      </w:r>
      <w:r>
        <w:rPr>
          <w:sz w:val="28"/>
          <w:szCs w:val="28"/>
        </w:rPr>
        <w:t xml:space="preserve"> </w:t>
      </w:r>
      <w:r>
        <w:rPr>
          <w:rFonts w:eastAsia="Calibri"/>
          <w:sz w:val="28"/>
          <w:szCs w:val="28"/>
          <w:lang w:eastAsia="en-US"/>
        </w:rPr>
        <w:t xml:space="preserve">коммерческим банком </w:t>
      </w:r>
      <w:r>
        <w:rPr>
          <w:position w:val="-6"/>
          <w:sz w:val="28"/>
          <w:szCs w:val="28"/>
        </w:rPr>
        <w:object>
          <v:shape id="_x0000_i1716" o:spt="75" type="#_x0000_t75" style="height:13.5pt;width:9.75pt;" o:ole="t" filled="f" o:preferrelative="t" stroked="f" coordsize="21600,21600">
            <v:path/>
            <v:fill on="f" focussize="0,0"/>
            <v:stroke on="f" joinstyle="miter"/>
            <v:imagedata r:id="rId1225" o:title=""/>
            <o:lock v:ext="edit" aspectratio="t"/>
            <w10:wrap type="none"/>
            <w10:anchorlock/>
          </v:shape>
          <o:OLEObject Type="Embed" ProgID="Equation.DSMT4" ShapeID="_x0000_i1716" DrawAspect="Content" ObjectID="_1468076416" r:id="rId1224">
            <o:LockedField>false</o:LockedField>
          </o:OLEObject>
        </w:object>
      </w:r>
      <w:r>
        <w:rPr>
          <w:rFonts w:eastAsia="Calibri"/>
          <w:sz w:val="28"/>
          <w:szCs w:val="28"/>
          <w:lang w:eastAsia="en-US"/>
        </w:rPr>
        <w:t xml:space="preserve"> должны быть достаточно малы, </w:t>
      </w:r>
      <w:r>
        <w:rPr>
          <w:position w:val="-6"/>
          <w:sz w:val="28"/>
          <w:szCs w:val="28"/>
        </w:rPr>
        <w:object>
          <v:shape id="_x0000_i1717" o:spt="75" type="#_x0000_t75" style="height:13.5pt;width:31.5pt;" o:ole="t" filled="f" o:preferrelative="t" stroked="f" coordsize="21600,21600">
            <v:path/>
            <v:fill on="f" focussize="0,0"/>
            <v:stroke on="f" joinstyle="miter"/>
            <v:imagedata r:id="rId1227" o:title=""/>
            <o:lock v:ext="edit" aspectratio="t"/>
            <w10:wrap type="none"/>
            <w10:anchorlock/>
          </v:shape>
          <o:OLEObject Type="Embed" ProgID="Equation.DSMT4" ShapeID="_x0000_i1717" DrawAspect="Content" ObjectID="_1468076417" r:id="rId1226">
            <o:LockedField>false</o:LockedField>
          </o:OLEObject>
        </w:object>
      </w:r>
      <w:r>
        <w:rPr>
          <w:rFonts w:eastAsia="Calibri"/>
          <w:sz w:val="28"/>
          <w:szCs w:val="28"/>
          <w:lang w:eastAsia="en-US"/>
        </w:rPr>
        <w:t xml:space="preserve">, чтобы он принял сделку 1, даже если это приводит к потере капитала для банка. Во-вторых, целевой объем кредита </w:t>
      </w:r>
      <w:r>
        <w:rPr>
          <w:position w:val="-14"/>
          <w:sz w:val="28"/>
          <w:szCs w:val="28"/>
        </w:rPr>
        <w:object>
          <v:shape id="_x0000_i1718" o:spt="75" type="#_x0000_t75" style="height:20.25pt;width:21pt;" o:ole="t" filled="f" o:preferrelative="t" stroked="f" coordsize="21600,21600">
            <v:path/>
            <v:fill on="f" focussize="0,0"/>
            <v:stroke on="f" joinstyle="miter"/>
            <v:imagedata r:id="rId1217" o:title=""/>
            <o:lock v:ext="edit" aspectratio="t"/>
            <w10:wrap type="none"/>
            <w10:anchorlock/>
          </v:shape>
          <o:OLEObject Type="Embed" ProgID="Equation.DSMT4" ShapeID="_x0000_i1718" DrawAspect="Content" ObjectID="_1468076418" r:id="rId1228">
            <o:LockedField>false</o:LockedField>
          </o:OLEObject>
        </w:object>
      </w:r>
      <w:r>
        <w:rPr>
          <w:sz w:val="28"/>
          <w:szCs w:val="28"/>
        </w:rPr>
        <w:t xml:space="preserve"> ЛПР</w:t>
      </w:r>
      <w:r>
        <w:rPr>
          <w:rFonts w:eastAsia="Calibri"/>
          <w:sz w:val="28"/>
          <w:szCs w:val="28"/>
          <w:lang w:eastAsia="en-US"/>
        </w:rPr>
        <w:t xml:space="preserve"> должен быть достаточно мал, </w:t>
      </w:r>
      <w:r>
        <w:rPr>
          <w:position w:val="-14"/>
          <w:sz w:val="28"/>
          <w:szCs w:val="28"/>
        </w:rPr>
        <w:object>
          <v:shape id="_x0000_i1719" o:spt="75" type="#_x0000_t75" style="height:20.25pt;width:55.5pt;" o:ole="t" filled="f" o:preferrelative="t" stroked="f" coordsize="21600,21600">
            <v:path/>
            <v:fill on="f" focussize="0,0"/>
            <v:stroke on="f" joinstyle="miter"/>
            <v:imagedata r:id="rId1230" o:title=""/>
            <o:lock v:ext="edit" aspectratio="t"/>
            <w10:wrap type="none"/>
            <w10:anchorlock/>
          </v:shape>
          <o:OLEObject Type="Embed" ProgID="Equation.DSMT4" ShapeID="_x0000_i1719" DrawAspect="Content" ObjectID="_1468076419" r:id="rId1229">
            <o:LockedField>false</o:LockedField>
          </o:OLEObject>
        </w:object>
      </w:r>
      <w:r>
        <w:rPr>
          <w:rFonts w:eastAsia="Calibri"/>
          <w:sz w:val="28"/>
          <w:szCs w:val="28"/>
          <w:lang w:eastAsia="en-US"/>
        </w:rPr>
        <w:t xml:space="preserve">, чтобы его можно было достичь, даже если банк теряет капитал. </w:t>
      </w:r>
    </w:p>
    <w:p w14:paraId="34F3CDEC">
      <w:pPr>
        <w:pStyle w:val="37"/>
        <w:rPr>
          <w:rFonts w:eastAsia="Calibri"/>
          <w:sz w:val="28"/>
          <w:szCs w:val="28"/>
          <w:lang w:eastAsia="en-US"/>
        </w:rPr>
      </w:pPr>
      <w:r>
        <w:rPr>
          <w:rFonts w:eastAsia="Calibri"/>
          <w:sz w:val="28"/>
          <w:szCs w:val="28"/>
          <w:lang w:eastAsia="en-US"/>
        </w:rPr>
        <w:t>(в) При нарушении одного из этих только что упомянутых условий денежный выкуп по сделке 1 (при сделке по схеме 1) должен превышать ожидаемую доходность проблемных активов. В этом случае ЛПР предпочтет бесплатную сделку по схеме </w:t>
      </w:r>
      <w:r>
        <w:rPr>
          <w:position w:val="-6"/>
          <w:sz w:val="28"/>
          <w:szCs w:val="28"/>
        </w:rPr>
        <w:object>
          <v:shape id="_x0000_i1720" o:spt="75" type="#_x0000_t75" style="height:13.5pt;width:16.5pt;" o:ole="t" filled="f" o:preferrelative="t" stroked="f" coordsize="21600,21600">
            <v:path/>
            <v:fill on="f" focussize="0,0"/>
            <v:stroke on="f" joinstyle="miter"/>
            <v:imagedata r:id="rId1232" o:title=""/>
            <o:lock v:ext="edit" aspectratio="t"/>
            <w10:wrap type="none"/>
            <w10:anchorlock/>
          </v:shape>
          <o:OLEObject Type="Embed" ProgID="Equation.DSMT4" ShapeID="_x0000_i1720" DrawAspect="Content" ObjectID="_1468076420" r:id="rId1231">
            <o:LockedField>false</o:LockedField>
          </o:OLEObject>
        </w:object>
      </w:r>
      <w:r>
        <w:rPr>
          <w:rFonts w:eastAsia="Calibri"/>
          <w:sz w:val="28"/>
          <w:szCs w:val="28"/>
          <w:lang w:eastAsia="en-US"/>
        </w:rPr>
        <w:t xml:space="preserve"> дорогой сделке по схеме 1. Более того, если и стоимость издержек потери репутации </w:t>
      </w:r>
      <w:r>
        <w:rPr>
          <w:position w:val="-6"/>
          <w:sz w:val="28"/>
          <w:szCs w:val="28"/>
        </w:rPr>
        <w:object>
          <v:shape id="_x0000_i1721" o:spt="75" type="#_x0000_t75" style="height:11.25pt;width:12pt;" o:ole="t" filled="f" o:preferrelative="t" stroked="f" coordsize="21600,21600">
            <v:path/>
            <v:fill on="f" focussize="0,0"/>
            <v:stroke on="f" joinstyle="miter"/>
            <v:imagedata r:id="rId1223" o:title=""/>
            <o:lock v:ext="edit" aspectratio="t"/>
            <w10:wrap type="none"/>
            <w10:anchorlock/>
          </v:shape>
          <o:OLEObject Type="Embed" ProgID="Equation.DSMT4" ShapeID="_x0000_i1721" DrawAspect="Content" ObjectID="_1468076421" r:id="rId1233">
            <o:LockedField>false</o:LockedField>
          </o:OLEObject>
        </w:object>
      </w:r>
      <w:r>
        <w:rPr>
          <w:rFonts w:eastAsia="Calibri"/>
          <w:sz w:val="28"/>
          <w:szCs w:val="28"/>
          <w:lang w:eastAsia="en-US"/>
        </w:rPr>
        <w:t xml:space="preserve">, и целевой объем кредита </w:t>
      </w:r>
      <w:r>
        <w:rPr>
          <w:position w:val="-14"/>
          <w:sz w:val="28"/>
          <w:szCs w:val="28"/>
        </w:rPr>
        <w:object>
          <v:shape id="_x0000_i1722" o:spt="75" type="#_x0000_t75" style="height:20.25pt;width:21pt;" o:ole="t" filled="f" o:preferrelative="t" stroked="f" coordsize="21600,21600">
            <v:path/>
            <v:fill on="f" focussize="0,0"/>
            <v:stroke on="f" joinstyle="miter"/>
            <v:imagedata r:id="rId1217" o:title=""/>
            <o:lock v:ext="edit" aspectratio="t"/>
            <w10:wrap type="none"/>
            <w10:anchorlock/>
          </v:shape>
          <o:OLEObject Type="Embed" ProgID="Equation.DSMT4" ShapeID="_x0000_i1722" DrawAspect="Content" ObjectID="_1468076422" r:id="rId1234">
            <o:LockedField>false</o:LockedField>
          </o:OLEObject>
        </w:object>
      </w:r>
      <w:r>
        <w:rPr>
          <w:rFonts w:eastAsia="Calibri"/>
          <w:sz w:val="28"/>
          <w:szCs w:val="28"/>
          <w:lang w:eastAsia="en-US"/>
        </w:rPr>
        <w:t xml:space="preserve"> являются по большей части промежуточными, то денежный выкуп по сделке 1 будет также промежуточным, так что безвозвратная продажа приведет к более низким затратам, чем по схеме </w:t>
      </w:r>
      <w:r>
        <w:rPr>
          <w:position w:val="-6"/>
          <w:sz w:val="28"/>
          <w:szCs w:val="28"/>
        </w:rPr>
        <w:object>
          <v:shape id="_x0000_i1723" o:spt="75" type="#_x0000_t75" style="height:13.5pt;width:15.75pt;" o:ole="t" filled="f" o:preferrelative="t" stroked="f" coordsize="21600,21600">
            <v:path/>
            <v:fill on="f" focussize="0,0"/>
            <v:stroke on="f" joinstyle="miter"/>
            <v:imagedata r:id="rId1236" o:title=""/>
            <o:lock v:ext="edit" aspectratio="t"/>
            <w10:wrap type="none"/>
            <w10:anchorlock/>
          </v:shape>
          <o:OLEObject Type="Embed" ProgID="Equation.DSMT4" ShapeID="_x0000_i1723" DrawAspect="Content" ObjectID="_1468076423" r:id="rId1235">
            <o:LockedField>false</o:LockedField>
          </o:OLEObject>
        </w:object>
      </w:r>
      <w:r>
        <w:rPr>
          <w:rFonts w:eastAsia="Calibri"/>
          <w:sz w:val="28"/>
          <w:szCs w:val="28"/>
          <w:lang w:eastAsia="en-US"/>
        </w:rPr>
        <w:t xml:space="preserve">. </w:t>
      </w:r>
    </w:p>
    <w:p w14:paraId="082F9454">
      <w:pPr>
        <w:pStyle w:val="37"/>
        <w:rPr>
          <w:rFonts w:eastAsia="Calibri"/>
          <w:sz w:val="28"/>
          <w:szCs w:val="28"/>
          <w:lang w:eastAsia="en-US"/>
        </w:rPr>
      </w:pPr>
      <w:r>
        <w:rPr>
          <w:rFonts w:eastAsia="Calibri"/>
          <w:sz w:val="28"/>
          <w:szCs w:val="28"/>
          <w:lang w:eastAsia="en-US"/>
        </w:rPr>
        <w:t xml:space="preserve">(г) только если либо издержки потери репутации </w:t>
      </w:r>
      <w:r>
        <w:rPr>
          <w:position w:val="-6"/>
          <w:sz w:val="28"/>
          <w:szCs w:val="28"/>
        </w:rPr>
        <w:object>
          <v:shape id="_x0000_i1724" o:spt="75" type="#_x0000_t75" style="height:11.25pt;width:12pt;" o:ole="t" filled="f" o:preferrelative="t" stroked="f" coordsize="21600,21600">
            <v:path/>
            <v:fill on="f" focussize="0,0"/>
            <v:stroke on="f" joinstyle="miter"/>
            <v:imagedata r:id="rId1223" o:title=""/>
            <o:lock v:ext="edit" aspectratio="t"/>
            <w10:wrap type="none"/>
            <w10:anchorlock/>
          </v:shape>
          <o:OLEObject Type="Embed" ProgID="Equation.DSMT4" ShapeID="_x0000_i1724" DrawAspect="Content" ObjectID="_1468076424" r:id="rId1237">
            <o:LockedField>false</o:LockedField>
          </o:OLEObject>
        </w:object>
      </w:r>
      <w:r>
        <w:rPr>
          <w:sz w:val="28"/>
          <w:szCs w:val="28"/>
        </w:rPr>
        <w:t>, либо</w:t>
      </w:r>
      <w:r>
        <w:rPr>
          <w:rFonts w:eastAsia="Calibri"/>
          <w:sz w:val="28"/>
          <w:szCs w:val="28"/>
          <w:lang w:eastAsia="en-US"/>
        </w:rPr>
        <w:t xml:space="preserve"> целевой объем займа </w:t>
      </w:r>
      <w:r>
        <w:rPr>
          <w:position w:val="-14"/>
          <w:sz w:val="28"/>
          <w:szCs w:val="28"/>
        </w:rPr>
        <w:object>
          <v:shape id="_x0000_i1725" o:spt="75" type="#_x0000_t75" style="height:20.25pt;width:21pt;" o:ole="t" filled="f" o:preferrelative="t" stroked="f" coordsize="21600,21600">
            <v:path/>
            <v:fill on="f" focussize="0,0"/>
            <v:stroke on="f" joinstyle="miter"/>
            <v:imagedata r:id="rId1217" o:title=""/>
            <o:lock v:ext="edit" aspectratio="t"/>
            <w10:wrap type="none"/>
            <w10:anchorlock/>
          </v:shape>
          <o:OLEObject Type="Embed" ProgID="Equation.DSMT4" ShapeID="_x0000_i1725" DrawAspect="Content" ObjectID="_1468076425" r:id="rId1238">
            <o:LockedField>false</o:LockedField>
          </o:OLEObject>
        </w:object>
      </w:r>
      <w:r>
        <w:rPr>
          <w:sz w:val="28"/>
          <w:szCs w:val="28"/>
        </w:rPr>
        <w:t xml:space="preserve"> </w:t>
      </w:r>
      <w:r>
        <w:rPr>
          <w:rFonts w:eastAsia="Calibri"/>
          <w:sz w:val="28"/>
          <w:szCs w:val="28"/>
          <w:lang w:eastAsia="en-US"/>
        </w:rPr>
        <w:t xml:space="preserve">велики, ЛПР должен предложить довольно большой денежный выкуп. Затем он предпочитает вернуть денежный выкуп </w:t>
      </w:r>
      <w:r>
        <w:rPr>
          <w:position w:val="-4"/>
          <w:sz w:val="28"/>
          <w:szCs w:val="28"/>
        </w:rPr>
        <w:object>
          <v:shape id="_x0000_i1726" o:spt="75" type="#_x0000_t75" style="height:15pt;width:20.25pt;" o:ole="t" filled="f" o:preferrelative="t" stroked="f" coordsize="21600,21600">
            <v:path/>
            <v:fill on="f" focussize="0,0"/>
            <v:stroke on="f" joinstyle="miter"/>
            <v:imagedata r:id="rId1219" o:title=""/>
            <o:lock v:ext="edit" aspectratio="t"/>
            <w10:wrap type="none"/>
            <w10:anchorlock/>
          </v:shape>
          <o:OLEObject Type="Embed" ProgID="Equation.DSMT4" ShapeID="_x0000_i1726" DrawAspect="Content" ObjectID="_1468076426" r:id="rId1239">
            <o:LockedField>false</o:LockedField>
          </o:OLEObject>
        </w:object>
      </w:r>
      <w:r>
        <w:rPr>
          <w:sz w:val="28"/>
          <w:szCs w:val="28"/>
        </w:rPr>
        <w:t xml:space="preserve">, </w:t>
      </w:r>
      <w:r>
        <w:rPr>
          <w:rFonts w:eastAsia="Calibri"/>
          <w:sz w:val="28"/>
          <w:szCs w:val="28"/>
          <w:lang w:eastAsia="en-US"/>
        </w:rPr>
        <w:t xml:space="preserve">по крайней мере с некоторой вероятностью, по сделке </w:t>
      </w:r>
      <w:r>
        <w:rPr>
          <w:position w:val="-6"/>
          <w:sz w:val="28"/>
          <w:szCs w:val="28"/>
        </w:rPr>
        <w:object>
          <v:shape id="_x0000_i1727" o:spt="75" type="#_x0000_t75" style="height:13.5pt;width:15.75pt;" o:ole="t" filled="f" o:preferrelative="t" stroked="f" coordsize="21600,21600">
            <v:path/>
            <v:fill on="f" focussize="0,0"/>
            <v:stroke on="f" joinstyle="miter"/>
            <v:imagedata r:id="rId1236" o:title=""/>
            <o:lock v:ext="edit" aspectratio="t"/>
            <w10:wrap type="none"/>
            <w10:anchorlock/>
          </v:shape>
          <o:OLEObject Type="Embed" ProgID="Equation.DSMT4" ShapeID="_x0000_i1727" DrawAspect="Content" ObjectID="_1468076427" r:id="rId1240">
            <o:LockedField>false</o:LockedField>
          </o:OLEObject>
        </w:object>
      </w:r>
      <w:r>
        <w:rPr>
          <w:rFonts w:eastAsia="Calibri"/>
          <w:sz w:val="28"/>
          <w:szCs w:val="28"/>
          <w:lang w:eastAsia="en-US"/>
        </w:rPr>
        <w:t xml:space="preserve"> вместо получения выгоды от возврата проблемного актива при безвозвратной продаже (Рисунок 21).</w:t>
      </w:r>
    </w:p>
    <w:p w14:paraId="245A19D5">
      <w:pPr>
        <w:pStyle w:val="30"/>
      </w:pPr>
      <w:r>
        <w:drawing>
          <wp:inline distT="0" distB="0" distL="0" distR="0">
            <wp:extent cx="6088380" cy="3886200"/>
            <wp:effectExtent l="0" t="0" r="762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noChangeArrowheads="1"/>
                    </pic:cNvPicPr>
                  </pic:nvPicPr>
                  <pic:blipFill>
                    <a:blip r:embed="rId1241" cstate="print">
                      <a:extLst>
                        <a:ext uri="{28A0092B-C50C-407E-A947-70E740481C1C}">
                          <a14:useLocalDpi xmlns:a14="http://schemas.microsoft.com/office/drawing/2010/main" val="0"/>
                        </a:ext>
                      </a:extLst>
                    </a:blip>
                    <a:srcRect/>
                    <a:stretch>
                      <a:fillRect/>
                    </a:stretch>
                  </pic:blipFill>
                  <pic:spPr>
                    <a:xfrm>
                      <a:off x="0" y="0"/>
                      <a:ext cx="6088380" cy="3886200"/>
                    </a:xfrm>
                    <a:prstGeom prst="rect">
                      <a:avLst/>
                    </a:prstGeom>
                    <a:noFill/>
                    <a:ln>
                      <a:noFill/>
                    </a:ln>
                  </pic:spPr>
                </pic:pic>
              </a:graphicData>
            </a:graphic>
          </wp:inline>
        </w:drawing>
      </w:r>
    </w:p>
    <w:p w14:paraId="2F9DC683">
      <w:pPr>
        <w:pStyle w:val="30"/>
        <w:jc w:val="center"/>
        <w:rPr>
          <w:sz w:val="28"/>
          <w:szCs w:val="28"/>
        </w:rPr>
      </w:pPr>
      <w:r>
        <w:rPr>
          <w:sz w:val="28"/>
          <w:szCs w:val="28"/>
        </w:rPr>
        <w:t>Рисунок 21 - Замыкание модели</w:t>
      </w:r>
    </w:p>
    <w:p w14:paraId="52D56A07">
      <w:pPr>
        <w:autoSpaceDE w:val="0"/>
        <w:autoSpaceDN w:val="0"/>
        <w:adjustRightInd w:val="0"/>
        <w:spacing w:after="0" w:line="240" w:lineRule="auto"/>
        <w:contextualSpacing/>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Примечание: составлено автором на основе источников [76]</w:t>
      </w:r>
    </w:p>
    <w:p w14:paraId="60517199">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p>
    <w:p w14:paraId="2F7FD95E">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Таким образом, проектный подход к антикризисному управлению проблемными активами банков выступает важным инструментом стратегического управления, сочетающим в себе гибкость, результативность и структурированность. Его внедрение позволит не только повысить качество кредитных портфелей и сократить уровень NPL, но и укрепить конкурентоспособность банковской системы Казахстана в условиях глобальных финансовых трансформаций.</w:t>
      </w:r>
    </w:p>
    <w:p w14:paraId="56C2BC5F">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На макроуровне формируется институциональная среда, обеспечивающая регулирование деятельности финансовых учреждений, функционирование налогового режима и соблюдение принципов финансовой устойчивости. В рамках этого уровня также создаются механизмы корпоративного взыскания задолженности и разрешения активов, включающие правовые процедуры банкротства, систему принудительного взыскания обеспеченных долгов, а также положения о внесудебных формах урегулирования обязательств. Данные институты формируют основу для эффективного функционирования системы обращения проблемных активов и снижения рисков, связанных с неплатежеспособностью заемщиков [6,23].</w:t>
      </w:r>
    </w:p>
    <w:p w14:paraId="07C15E75">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К следующему, мезоуровню регулирования, относится макропруденциальная политика, направленная на ограничение системных и кредитных рисков, оказывающих влияние на устойчивость банковского сектора. Инструментарий макропруденциального надзора включает установление нормативных ограничений по соотношению кредита к стоимости залога (LTV), долга к доходу заемщика (DTI), лимитов роста кредитования, чистой открытой валютной позиции и резервных требований. Реализация таких мер способствует поддержанию сбалансированного развития кредитного рынка, снижению вероятности накопления некачественных активов и формированию предпосылок для финансовой стабильности.</w:t>
      </w:r>
    </w:p>
    <w:p w14:paraId="20516F18">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На микроуровне надзора, реализуемом на уровне отдельных финансовых институтов, ключевое внимание уделяется вопросам оценки качества активов, классификации кредитов, порядку признания доходов по просроченным займам, а также формированию и списанию проблемных кредитов. Эффективность внутреннего контроля и отчетности на данном уровне определяет своевременность реагирования на ухудшение качества кредитного портфеля и минимизацию убытков банка.</w:t>
      </w:r>
    </w:p>
    <w:p w14:paraId="6F1FB539">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Последний уровень представляет собой участие государства в процессах санации и реструктуризации проблемных активов. Он охватывает специальные и системные механизмы, предусматривающие проведение государственных интервенций, применение обязательных процедур по разрешению проблемных активов, а также создание специализированных компаний по управлению неработающими кредитами (Asset Management Companies). Такие структуры играют стабилизирующую роль, позволяя разгрузить балансы коммерческих банков и повысить их способность к возобновлению кредитования экономики.</w:t>
      </w:r>
    </w:p>
    <w:p w14:paraId="2E782CD1">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Предлагаемый проектный подход к управлению проблемными активами может быть эффективно реализован в условиях экономической нестабильности и кризисных явлений. Он сочетает принципы проектного и антикризисного управления, обеспечивая четкое определение целей, этапов и сроков реализации, формирование скоординированной организационной структуры, определение критериев эффективности и привлечение квалифицированных специалистов, обладающих компетенциями в области реструктуризации и взыскания активов.</w:t>
      </w:r>
    </w:p>
    <w:p w14:paraId="535C10FC">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Реализация данного подхода должна рассматриваться как один из приоритетных инструментов преодоления последствий финансового кризиса. Создание благоприятных законодательных и регуляторных условий для привлечения частных инвесторов на рынок проблемных активов позволит не только повысить эффективность урегулирования неработающих кредитов, но и стимулировать приток внутренних и иностранных инвестиций, способствуя устойчивому развитию банковской системы и экономики в целом.</w:t>
      </w:r>
    </w:p>
    <w:p w14:paraId="0E048332">
      <w:pPr>
        <w:pStyle w:val="32"/>
        <w:tabs>
          <w:tab w:val="left" w:pos="851"/>
        </w:tabs>
        <w:spacing w:after="0" w:line="240" w:lineRule="auto"/>
        <w:ind w:left="0" w:firstLine="567"/>
        <w:jc w:val="center"/>
        <w:outlineLvl w:val="0"/>
        <w:rPr>
          <w:rFonts w:ascii="Times New Roman" w:hAnsi="Times New Roman" w:cs="Times New Roman"/>
          <w:b/>
          <w:sz w:val="28"/>
          <w:szCs w:val="28"/>
        </w:rPr>
      </w:pPr>
      <w:bookmarkStart w:id="31" w:name="_Toc219671675"/>
    </w:p>
    <w:p w14:paraId="5E29BB00">
      <w:pPr>
        <w:pStyle w:val="37"/>
        <w:rPr>
          <w:rFonts w:eastAsia="Calibri"/>
          <w:b/>
          <w:bCs/>
          <w:sz w:val="28"/>
          <w:szCs w:val="28"/>
          <w:lang w:eastAsia="ru-RU"/>
        </w:rPr>
      </w:pPr>
      <w:r>
        <w:rPr>
          <w:rFonts w:eastAsia="Calibri"/>
          <w:b/>
          <w:bCs/>
          <w:sz w:val="28"/>
          <w:szCs w:val="28"/>
        </w:rPr>
        <w:t xml:space="preserve">4.2 </w:t>
      </w:r>
      <w:r>
        <w:rPr>
          <w:rFonts w:eastAsia="Calibri"/>
          <w:b/>
          <w:bCs/>
          <w:sz w:val="28"/>
          <w:szCs w:val="28"/>
          <w:lang w:eastAsia="ru-RU"/>
        </w:rPr>
        <w:t>Алгоритм проектного управления проблемными активами в реальном секторе экономики</w:t>
      </w:r>
    </w:p>
    <w:p w14:paraId="01F7E4CB">
      <w:pPr>
        <w:pStyle w:val="37"/>
        <w:rPr>
          <w:rFonts w:eastAsia="Calibri"/>
          <w:b/>
          <w:bCs/>
          <w:sz w:val="28"/>
          <w:szCs w:val="28"/>
          <w:lang w:eastAsia="ru-RU"/>
        </w:rPr>
      </w:pPr>
    </w:p>
    <w:p w14:paraId="1E10E18B">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Как было отмечено в предыдущих главах диссертации, многие проблемы реального сектора экономики РК напрямую связаны с воздействием макроэкономических факторов ˗ колебанием валютных курсов, девальвацией национальной валюты, структурой и темпами роста ВВП. Эти факторы, являясь следствием череды мировых финансовых кризисов и геополитических рисков, оказывают существенное влияние на экономическую устойчивость предприятий реального сектора. Непосредственное воздействие оказывает также капиталистический способ производства, в основе которого лежит частная собственность на средства производства, свободная конкуренция и ориентация на прибыль. Капитализм в Казахстане привел к преобладанию экспортно-сырьевой модели реального сектора экономики с высоким участием иностранного капитала.</w:t>
      </w:r>
    </w:p>
    <w:p w14:paraId="08A941E8">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Реальный сектор экономики продолжает испытывать ряд хронических проблем, препятствующих диверсификации: сырьевая зависимость, способствующая чувствительности реального сектора к ценам на углеводороды; недостаток доступного кредитования (банки неохотно инвестируют в реальное производство); высокая базовая ставка Нацбанка; технологическое отставание многих отраслей производства и зависимость от импорта оборудования.</w:t>
      </w:r>
    </w:p>
    <w:p w14:paraId="6052126F">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 результате вышеперечисленных факторов многие предприятия, ориентированные на внешние рынки, долгосрочное кредитование и импортозависимое производство, оказались в сложном финансовом положении, что способствовало росту проблемных кредитов. Накопление проблемных кредитов, в свою очередь, ограничивает возможности кредитования и инвестиционную активность банков. Некоторые банки стремятся к быстрой санации от проблемной задолженности с продажей активов заемщика, что может привести к ликвидации предприятия. Такие шаги могут быть оправданы с позиции получения кратковременной банковской прибыли, однако на макроэкономическом уровне такой подход является неэффективным и социально опасным.</w:t>
      </w:r>
    </w:p>
    <w:p w14:paraId="479A0C28">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 предыдущей главе представлена математическая модель управления проблемными активами банков, ориентированных на кредитование реального сектора экономики с участием и взаимодействием четырех основных экономических агентов, а также основные сценарии движения проблемных активов.</w:t>
      </w:r>
    </w:p>
    <w:p w14:paraId="7BD14095">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Следующим шагом после выбора оптимального сценария управления проблемными активами, описанных в математической модели, является организационная модель проекта антикризисного управления непосредственно на предприятии.</w:t>
      </w:r>
    </w:p>
    <w:p w14:paraId="25A77D1B">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Жизненно важным является стратегия антикризисного управления, ведь она определяет не только финансовое благополучие, но и жизнеспособность предприятия.</w:t>
      </w:r>
    </w:p>
    <w:p w14:paraId="25773AB8">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Выбору антикризисной стратегии предшествуют следующие мероприятия:</w:t>
      </w:r>
    </w:p>
    <w:p w14:paraId="6A146A60">
      <w:pPr>
        <w:pStyle w:val="32"/>
        <w:numPr>
          <w:ilvl w:val="0"/>
          <w:numId w:val="16"/>
        </w:numPr>
        <w:autoSpaceDE w:val="0"/>
        <w:autoSpaceDN w:val="0"/>
        <w:adjustRightInd w:val="0"/>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Анализ финансового состояния предприятия. Оцениваются показатели как минимум за 3 года.</w:t>
      </w:r>
    </w:p>
    <w:p w14:paraId="2C41D44B">
      <w:pPr>
        <w:numPr>
          <w:ilvl w:val="0"/>
          <w:numId w:val="16"/>
        </w:numPr>
        <w:autoSpaceDE w:val="0"/>
        <w:autoSpaceDN w:val="0"/>
        <w:adjustRightInd w:val="0"/>
        <w:spacing w:after="0" w:line="240" w:lineRule="auto"/>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На основе финансового анализа составляется прогноз с применением дискриминантного метода для оценки вероятности банкротства.</w:t>
      </w:r>
    </w:p>
    <w:p w14:paraId="747A1EE7">
      <w:pPr>
        <w:numPr>
          <w:ilvl w:val="0"/>
          <w:numId w:val="16"/>
        </w:numPr>
        <w:autoSpaceDE w:val="0"/>
        <w:autoSpaceDN w:val="0"/>
        <w:adjustRightInd w:val="0"/>
        <w:spacing w:after="0" w:line="240" w:lineRule="auto"/>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Определение состояния развития предприятия на текущий момент на кривой жизненного цикла с целью оценки перспектив развития (критерии объемов продаж, объемы прибыли).</w:t>
      </w:r>
    </w:p>
    <w:p w14:paraId="0C008612">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С учетом вышеперечисленных параметров выбирается наиболее применимая стратегия:</w:t>
      </w:r>
    </w:p>
    <w:p w14:paraId="0B2427A6">
      <w:pPr>
        <w:pStyle w:val="32"/>
        <w:numPr>
          <w:ilvl w:val="0"/>
          <w:numId w:val="17"/>
        </w:numPr>
        <w:autoSpaceDE w:val="0"/>
        <w:autoSpaceDN w:val="0"/>
        <w:adjustRightInd w:val="0"/>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Восстановительная, направленная на восстановление финансовой устойчивости и конкурентоспособности;</w:t>
      </w:r>
    </w:p>
    <w:p w14:paraId="0511CD3F">
      <w:pPr>
        <w:numPr>
          <w:ilvl w:val="0"/>
          <w:numId w:val="17"/>
        </w:numPr>
        <w:autoSpaceDE w:val="0"/>
        <w:autoSpaceDN w:val="0"/>
        <w:adjustRightInd w:val="0"/>
        <w:spacing w:after="0" w:line="240" w:lineRule="auto"/>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Активное приспособление - создание и выпуск новой продукции из-за изменения внешней среды;</w:t>
      </w:r>
    </w:p>
    <w:p w14:paraId="16FB975F">
      <w:pPr>
        <w:numPr>
          <w:ilvl w:val="0"/>
          <w:numId w:val="17"/>
        </w:numPr>
        <w:autoSpaceDE w:val="0"/>
        <w:autoSpaceDN w:val="0"/>
        <w:adjustRightInd w:val="0"/>
        <w:spacing w:after="0" w:line="240" w:lineRule="auto"/>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Консервативное поведение для устойчивых или мало меняющихся отраслей - малорискованные вложения с меньшей доходностью.</w:t>
      </w:r>
    </w:p>
    <w:p w14:paraId="4CEAD4CD">
      <w:pPr>
        <w:numPr>
          <w:ilvl w:val="0"/>
          <w:numId w:val="17"/>
        </w:numPr>
        <w:autoSpaceDE w:val="0"/>
        <w:autoSpaceDN w:val="0"/>
        <w:adjustRightInd w:val="0"/>
        <w:spacing w:after="0" w:line="240" w:lineRule="auto"/>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Свертывание производств - в случае убыточности и низких перспектив активы перемещаются в другую сферу.</w:t>
      </w:r>
    </w:p>
    <w:p w14:paraId="67F2ACA3">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Кризис предприятия - это всегда сложная и уникальная ситуация, требующая неотложных мероприятий в условиях ограниченных ресурсов, времени и средств. В таких условиях проектный подход является действенным инструментом антикризисного управления.</w:t>
      </w:r>
    </w:p>
    <w:p w14:paraId="63D5E632">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Основными факторами эффективности антикризисных мер являются своевременность идентификации кризиса, адекватность принимаемых стратегических решений, компетентность лиц, принимающих решения и грамотный мониторинг ситуации.</w:t>
      </w:r>
    </w:p>
    <w:p w14:paraId="1FECE51B">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Для перехода от операционного управления к системному подходу антикризисного управления проектами в работе было предложено использовать Международный стандарт проектного управления Project Management Body of Knowledge («Руководство к своду знаний по управлению проектами»), PMBOK, разрабатываемый и обновляемый PMI (Project Management Institute).</w:t>
      </w:r>
    </w:p>
    <w:p w14:paraId="5E1E0796">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Цель антикризисного управления предприятием с применением технологий PMBOK - это превращение кризисной ситуации в структурированный проект по оздоровлению и реанимации бизнеса, при этом PMBOK обеспечивает стандартизацию необходимых мероприятий на всех этапах проекта.</w:t>
      </w:r>
    </w:p>
    <w:p w14:paraId="4115E9F9">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На этапе планирования проекта PMBOK предписывает выяснить следующие моменты:</w:t>
      </w:r>
    </w:p>
    <w:p w14:paraId="00BDBF31">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организационную структуру предприятия;</w:t>
      </w:r>
    </w:p>
    <w:p w14:paraId="0A5C641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кадровые ресурсы;</w:t>
      </w:r>
    </w:p>
    <w:p w14:paraId="15787D0F">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финансовой возможности;</w:t>
      </w:r>
    </w:p>
    <w:p w14:paraId="4A6257FE">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ресурсы для реализации проекта;</w:t>
      </w:r>
    </w:p>
    <w:p w14:paraId="39D67B8F">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ситуацию на рынке.</w:t>
      </w:r>
    </w:p>
    <w:p w14:paraId="744EFBA8">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Для этого необходимо оценить:</w:t>
      </w:r>
    </w:p>
    <w:p w14:paraId="15194CA7">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производственный потенциал предприятия;</w:t>
      </w:r>
    </w:p>
    <w:p w14:paraId="069E5672">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производственные мощности предприятия, уровень технологий, оборудования, запасы сырья;</w:t>
      </w:r>
    </w:p>
    <w:p w14:paraId="03671A9A">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уровень квалификации управляющего персонала.</w:t>
      </w:r>
    </w:p>
    <w:p w14:paraId="2574287D">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Объединенная команда менеджеров БВУ или ФПК с участием менеджеров предприятия приступает к реализации антикризисного проекта.</w:t>
      </w:r>
    </w:p>
    <w:p w14:paraId="74421322">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Предлагаем следующий пошаговый алгоритм антикризисного управления предприятием на основе PMBOК:</w:t>
      </w:r>
    </w:p>
    <w:p w14:paraId="25E4E362">
      <w:pPr>
        <w:autoSpaceDE w:val="0"/>
        <w:autoSpaceDN w:val="0"/>
        <w:adjustRightInd w:val="0"/>
        <w:spacing w:after="0" w:line="240" w:lineRule="auto"/>
        <w:ind w:firstLine="708"/>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Этап 1. Инициация (Initiating)</w:t>
      </w:r>
    </w:p>
    <w:p w14:paraId="58F3ECF5">
      <w:pPr>
        <w:autoSpaceDE w:val="0"/>
        <w:autoSpaceDN w:val="0"/>
        <w:adjustRightInd w:val="0"/>
        <w:spacing w:after="0" w:line="240" w:lineRule="auto"/>
        <w:ind w:firstLine="708"/>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Принятие решения о переходе к антикризисному управлению, связанному с фактом признания и идентификации кризиса. Назначаются ответственные за реализацию проекта.</w:t>
      </w:r>
    </w:p>
    <w:p w14:paraId="20D66259">
      <w:pPr>
        <w:pStyle w:val="32"/>
        <w:numPr>
          <w:ilvl w:val="0"/>
          <w:numId w:val="18"/>
        </w:numPr>
        <w:autoSpaceDE w:val="0"/>
        <w:autoSpaceDN w:val="0"/>
        <w:adjustRightInd w:val="0"/>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Создание Устава проекта (Anticrisis Project Chapter). В Уставе оговариваются цели и наименование (предотвращение ликвидации, процедуры банкротства, реабилитация предприятия);</w:t>
      </w:r>
    </w:p>
    <w:p w14:paraId="5B87C706">
      <w:pPr>
        <w:numPr>
          <w:ilvl w:val="0"/>
          <w:numId w:val="18"/>
        </w:numPr>
        <w:autoSpaceDE w:val="0"/>
        <w:autoSpaceDN w:val="0"/>
        <w:adjustRightInd w:val="0"/>
        <w:spacing w:after="0" w:line="240" w:lineRule="auto"/>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Назначение лица, принимающего решения (кризис-менеджер);</w:t>
      </w:r>
    </w:p>
    <w:p w14:paraId="02EB1118">
      <w:pPr>
        <w:numPr>
          <w:ilvl w:val="0"/>
          <w:numId w:val="18"/>
        </w:numPr>
        <w:autoSpaceDE w:val="0"/>
        <w:autoSpaceDN w:val="0"/>
        <w:adjustRightInd w:val="0"/>
        <w:spacing w:after="0" w:line="240" w:lineRule="auto"/>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Идентификация контрагентов (банки, инвесторы, корпоративные клиенты, сотрудники).</w:t>
      </w:r>
    </w:p>
    <w:p w14:paraId="0EFB6604">
      <w:pPr>
        <w:autoSpaceDE w:val="0"/>
        <w:autoSpaceDN w:val="0"/>
        <w:adjustRightInd w:val="0"/>
        <w:spacing w:after="0" w:line="240" w:lineRule="auto"/>
        <w:ind w:firstLine="708"/>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Этап 2. Планирование (Planning)</w:t>
      </w:r>
    </w:p>
    <w:p w14:paraId="5D8565F2">
      <w:pPr>
        <w:autoSpaceDE w:val="0"/>
        <w:autoSpaceDN w:val="0"/>
        <w:adjustRightInd w:val="0"/>
        <w:spacing w:after="0" w:line="240" w:lineRule="auto"/>
        <w:ind w:firstLine="708"/>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Составление антикризисного плана (могут привлекаться внешние эксперты и консультанты).</w:t>
      </w:r>
    </w:p>
    <w:p w14:paraId="61A4D220">
      <w:pPr>
        <w:pStyle w:val="32"/>
        <w:numPr>
          <w:ilvl w:val="0"/>
          <w:numId w:val="19"/>
        </w:numPr>
        <w:autoSpaceDE w:val="0"/>
        <w:autoSpaceDN w:val="0"/>
        <w:adjustRightInd w:val="0"/>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Оценка текущего финансового состояния предприятия;</w:t>
      </w:r>
    </w:p>
    <w:p w14:paraId="0B1DEDF8">
      <w:pPr>
        <w:numPr>
          <w:ilvl w:val="0"/>
          <w:numId w:val="19"/>
        </w:numPr>
        <w:autoSpaceDE w:val="0"/>
        <w:autoSpaceDN w:val="0"/>
        <w:adjustRightInd w:val="0"/>
        <w:spacing w:after="0" w:line="240" w:lineRule="auto"/>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План действий по выходу из кризиса;</w:t>
      </w:r>
    </w:p>
    <w:p w14:paraId="163EFC7E">
      <w:pPr>
        <w:numPr>
          <w:ilvl w:val="0"/>
          <w:numId w:val="19"/>
        </w:numPr>
        <w:autoSpaceDE w:val="0"/>
        <w:autoSpaceDN w:val="0"/>
        <w:adjustRightInd w:val="0"/>
        <w:spacing w:after="0" w:line="240" w:lineRule="auto"/>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Ожидаемые результаты</w:t>
      </w:r>
    </w:p>
    <w:p w14:paraId="0969267F">
      <w:pPr>
        <w:autoSpaceDE w:val="0"/>
        <w:autoSpaceDN w:val="0"/>
        <w:adjustRightInd w:val="0"/>
        <w:spacing w:after="0" w:line="240" w:lineRule="auto"/>
        <w:ind w:left="567"/>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Антикризисный план должен включать:</w:t>
      </w:r>
    </w:p>
    <w:p w14:paraId="21F69CDF">
      <w:pPr>
        <w:autoSpaceDE w:val="0"/>
        <w:autoSpaceDN w:val="0"/>
        <w:adjustRightInd w:val="0"/>
        <w:spacing w:after="0" w:line="240" w:lineRule="auto"/>
        <w:ind w:left="567"/>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управление рисками (ранняя диагностика с выявлением причин, возможные сценарии реагирования);</w:t>
      </w:r>
    </w:p>
    <w:p w14:paraId="0CECDC79">
      <w:pPr>
        <w:autoSpaceDE w:val="0"/>
        <w:autoSpaceDN w:val="0"/>
        <w:adjustRightInd w:val="0"/>
        <w:spacing w:after="0" w:line="240" w:lineRule="auto"/>
        <w:ind w:left="567"/>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оценка ресурсов с целью экономии и оптимизации денежных потоков.</w:t>
      </w:r>
    </w:p>
    <w:p w14:paraId="75D2D00A">
      <w:pPr>
        <w:autoSpaceDE w:val="0"/>
        <w:autoSpaceDN w:val="0"/>
        <w:adjustRightInd w:val="0"/>
        <w:spacing w:after="0" w:line="240" w:lineRule="auto"/>
        <w:ind w:left="567"/>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Этап 3. Исполнение (реализация антикризисных мер)</w:t>
      </w:r>
    </w:p>
    <w:p w14:paraId="338417C7">
      <w:pPr>
        <w:pStyle w:val="32"/>
        <w:numPr>
          <w:ilvl w:val="0"/>
          <w:numId w:val="20"/>
        </w:numPr>
        <w:autoSpaceDE w:val="0"/>
        <w:autoSpaceDN w:val="0"/>
        <w:adjustRightInd w:val="0"/>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Финансы: реструктуризация долга (переговоры с кредиторами).</w:t>
      </w:r>
    </w:p>
    <w:p w14:paraId="6D9108C7">
      <w:pPr>
        <w:numPr>
          <w:ilvl w:val="0"/>
          <w:numId w:val="20"/>
        </w:numPr>
        <w:autoSpaceDE w:val="0"/>
        <w:autoSpaceDN w:val="0"/>
        <w:adjustRightInd w:val="0"/>
        <w:spacing w:after="0" w:line="240" w:lineRule="auto"/>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Сокращение расходов (жесткий контроль платежей, только первоочередные - сырье, налоги, зарплата).</w:t>
      </w:r>
    </w:p>
    <w:p w14:paraId="700AB22D">
      <w:pPr>
        <w:numPr>
          <w:ilvl w:val="0"/>
          <w:numId w:val="20"/>
        </w:numPr>
        <w:autoSpaceDE w:val="0"/>
        <w:autoSpaceDN w:val="0"/>
        <w:adjustRightInd w:val="0"/>
        <w:spacing w:after="0" w:line="240" w:lineRule="auto"/>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Восстановление ликвидности, возврат дебиторской задолженности.</w:t>
      </w:r>
    </w:p>
    <w:p w14:paraId="65625A29">
      <w:pPr>
        <w:numPr>
          <w:ilvl w:val="0"/>
          <w:numId w:val="20"/>
        </w:numPr>
        <w:autoSpaceDE w:val="0"/>
        <w:autoSpaceDN w:val="0"/>
        <w:adjustRightInd w:val="0"/>
        <w:spacing w:after="0" w:line="240" w:lineRule="auto"/>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Работа с персоналом (оптимизация штатного расписания и кадров, анализ ключевых показателей эффективности сотрудников (KPI), сокращение слабых специалистов и переподготовка персонала).</w:t>
      </w:r>
    </w:p>
    <w:p w14:paraId="0929D3CE">
      <w:pPr>
        <w:numPr>
          <w:ilvl w:val="0"/>
          <w:numId w:val="20"/>
        </w:numPr>
        <w:autoSpaceDE w:val="0"/>
        <w:autoSpaceDN w:val="0"/>
        <w:adjustRightInd w:val="0"/>
        <w:spacing w:after="0" w:line="240" w:lineRule="auto"/>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Возможная реорганизация структуры предприятия (ликвидация неэффективных и затратных подразделений).</w:t>
      </w:r>
    </w:p>
    <w:p w14:paraId="24AF3172">
      <w:pPr>
        <w:numPr>
          <w:ilvl w:val="0"/>
          <w:numId w:val="20"/>
        </w:numPr>
        <w:autoSpaceDE w:val="0"/>
        <w:autoSpaceDN w:val="0"/>
        <w:adjustRightInd w:val="0"/>
        <w:spacing w:after="0" w:line="240" w:lineRule="auto"/>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Создание объективной отчетности (достоверная информация о текущем состоянии и конкурентоспособности предприятия).</w:t>
      </w:r>
    </w:p>
    <w:p w14:paraId="7008B150">
      <w:pPr>
        <w:autoSpaceDE w:val="0"/>
        <w:autoSpaceDN w:val="0"/>
        <w:adjustRightInd w:val="0"/>
        <w:spacing w:after="0" w:line="240" w:lineRule="auto"/>
        <w:ind w:left="567"/>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Этап 4. Мониторинг и контроль (управление изменениями)</w:t>
      </w:r>
    </w:p>
    <w:p w14:paraId="18872E2B">
      <w:pPr>
        <w:autoSpaceDE w:val="0"/>
        <w:autoSpaceDN w:val="0"/>
        <w:adjustRightInd w:val="0"/>
        <w:spacing w:after="0" w:line="240" w:lineRule="auto"/>
        <w:ind w:firstLine="708"/>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Антикризисный план может корректироваться еженедельно или даже ежедневно.</w:t>
      </w:r>
    </w:p>
    <w:p w14:paraId="1502F4E0">
      <w:pPr>
        <w:pStyle w:val="32"/>
        <w:numPr>
          <w:ilvl w:val="0"/>
          <w:numId w:val="21"/>
        </w:numPr>
        <w:autoSpaceDE w:val="0"/>
        <w:autoSpaceDN w:val="0"/>
        <w:adjustRightInd w:val="0"/>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Мониторинг движения денежных средств и прибыли (должен проводиться ежедневно).</w:t>
      </w:r>
    </w:p>
    <w:p w14:paraId="2D78F344">
      <w:pPr>
        <w:numPr>
          <w:ilvl w:val="0"/>
          <w:numId w:val="21"/>
        </w:numPr>
        <w:autoSpaceDE w:val="0"/>
        <w:autoSpaceDN w:val="0"/>
        <w:adjustRightInd w:val="0"/>
        <w:spacing w:after="0" w:line="240" w:lineRule="auto"/>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Управление изменениями (в случае неэффективности предпринятых мер они должны быть заменены на более эффективные).</w:t>
      </w:r>
    </w:p>
    <w:p w14:paraId="141952E5">
      <w:pPr>
        <w:autoSpaceDE w:val="0"/>
        <w:autoSpaceDN w:val="0"/>
        <w:adjustRightInd w:val="0"/>
        <w:spacing w:after="0" w:line="240" w:lineRule="auto"/>
        <w:ind w:firstLine="708"/>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Этап 5. Закрытие (выход из кризиса и переход к нормальному режиму работы)</w:t>
      </w:r>
    </w:p>
    <w:p w14:paraId="2A8DD0D7">
      <w:pPr>
        <w:autoSpaceDE w:val="0"/>
        <w:autoSpaceDN w:val="0"/>
        <w:adjustRightInd w:val="0"/>
        <w:spacing w:after="0" w:line="240" w:lineRule="auto"/>
        <w:ind w:left="567"/>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 Констатация достижения устойчивого финансового состояния предприятия.</w:t>
      </w:r>
    </w:p>
    <w:p w14:paraId="1D91A40B">
      <w:pPr>
        <w:pStyle w:val="32"/>
        <w:numPr>
          <w:ilvl w:val="1"/>
          <w:numId w:val="13"/>
        </w:numPr>
        <w:autoSpaceDE w:val="0"/>
        <w:autoSpaceDN w:val="0"/>
        <w:adjustRightInd w:val="0"/>
        <w:spacing w:after="0" w:line="240" w:lineRule="auto"/>
        <w:ind w:left="0"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Анализ причин, вызвавших кризис, и оценка эффективности антикризисного проекта для профилактики подобных сценариев в будущем.</w:t>
      </w:r>
    </w:p>
    <w:p w14:paraId="774F0EF6">
      <w:pPr>
        <w:autoSpaceDE w:val="0"/>
        <w:autoSpaceDN w:val="0"/>
        <w:adjustRightInd w:val="0"/>
        <w:spacing w:after="0" w:line="240" w:lineRule="auto"/>
        <w:ind w:firstLine="708"/>
        <w:contextualSpacing/>
        <w:jc w:val="both"/>
        <w:rPr>
          <w:rFonts w:ascii="Times New Roman" w:hAnsi="Times New Roman" w:cs="Times New Roman"/>
          <w:color w:val="000000"/>
          <w:sz w:val="28"/>
          <w:szCs w:val="28"/>
          <w:lang w:eastAsia="ru-RU"/>
        </w:rPr>
      </w:pPr>
    </w:p>
    <w:p w14:paraId="2EFDF2D2">
      <w:pPr>
        <w:autoSpaceDE w:val="0"/>
        <w:autoSpaceDN w:val="0"/>
        <w:adjustRightInd w:val="0"/>
        <w:spacing w:after="0" w:line="240" w:lineRule="auto"/>
        <w:ind w:firstLine="708"/>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Проактивное антикризисное управление позволяет не просто предупредить банкротство и сохранить активы, но в ряде случаев даже укрепить позиции предприятия на рынке. Внедрение автоматизированных производств и цифровизация промышленных циклов, разработка новых продуктов на этапе кризиса могут послужить триггером для новых стратегий.</w:t>
      </w:r>
    </w:p>
    <w:p w14:paraId="5F593B14">
      <w:pPr>
        <w:autoSpaceDE w:val="0"/>
        <w:autoSpaceDN w:val="0"/>
        <w:adjustRightInd w:val="0"/>
        <w:spacing w:after="0" w:line="240" w:lineRule="auto"/>
        <w:ind w:firstLine="708"/>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Использование стандартов PMBOK для управления проблемными активами в реальном секторе экономики (промышленность, транспорт, строительство, сельское хозяйство и др.) обеспечивает структурированный и стандартизованный подход к восстановлению не только стоимости активов, но и повышению рентабельности и конкурентоспособности реального сектора экономики.</w:t>
      </w:r>
    </w:p>
    <w:p w14:paraId="7D3C5178">
      <w:pPr>
        <w:autoSpaceDE w:val="0"/>
        <w:autoSpaceDN w:val="0"/>
        <w:adjustRightInd w:val="0"/>
        <w:spacing w:after="0" w:line="240" w:lineRule="auto"/>
        <w:ind w:firstLine="708"/>
        <w:contextualSpacing/>
        <w:jc w:val="both"/>
        <w:rPr>
          <w:rFonts w:ascii="Times New Roman" w:hAnsi="Times New Roman" w:cs="Times New Roman"/>
          <w:color w:val="000000"/>
          <w:sz w:val="28"/>
          <w:szCs w:val="28"/>
          <w:lang w:eastAsia="ru-RU"/>
        </w:rPr>
      </w:pPr>
    </w:p>
    <w:p w14:paraId="0E0E5551">
      <w:pPr>
        <w:autoSpaceDE w:val="0"/>
        <w:autoSpaceDN w:val="0"/>
        <w:adjustRightInd w:val="0"/>
        <w:spacing w:after="0" w:line="240" w:lineRule="auto"/>
        <w:ind w:firstLine="708"/>
        <w:contextualSpacing/>
        <w:jc w:val="both"/>
        <w:rPr>
          <w:rFonts w:ascii="Times New Roman" w:hAnsi="Times New Roman" w:cs="Times New Roman"/>
          <w:color w:val="000000"/>
          <w:sz w:val="28"/>
          <w:szCs w:val="28"/>
          <w:lang w:eastAsia="ru-RU"/>
        </w:rPr>
      </w:pPr>
    </w:p>
    <w:p w14:paraId="56EBCD7B">
      <w:pPr>
        <w:autoSpaceDE w:val="0"/>
        <w:autoSpaceDN w:val="0"/>
        <w:adjustRightInd w:val="0"/>
        <w:spacing w:after="0" w:line="240" w:lineRule="auto"/>
        <w:ind w:firstLine="708"/>
        <w:contextualSpacing/>
        <w:jc w:val="both"/>
        <w:rPr>
          <w:rFonts w:ascii="Times New Roman" w:hAnsi="Times New Roman" w:cs="Times New Roman"/>
          <w:color w:val="000000"/>
          <w:sz w:val="28"/>
          <w:szCs w:val="28"/>
          <w:lang w:eastAsia="ru-RU"/>
        </w:rPr>
      </w:pPr>
    </w:p>
    <w:p w14:paraId="2F36C558">
      <w:pPr>
        <w:autoSpaceDE w:val="0"/>
        <w:autoSpaceDN w:val="0"/>
        <w:adjustRightInd w:val="0"/>
        <w:spacing w:after="0" w:line="240" w:lineRule="auto"/>
        <w:ind w:firstLine="708"/>
        <w:contextualSpacing/>
        <w:jc w:val="both"/>
        <w:rPr>
          <w:rFonts w:ascii="Times New Roman" w:hAnsi="Times New Roman" w:cs="Times New Roman"/>
          <w:color w:val="000000"/>
          <w:sz w:val="28"/>
          <w:szCs w:val="28"/>
          <w:lang w:eastAsia="ru-RU"/>
        </w:rPr>
      </w:pPr>
    </w:p>
    <w:p w14:paraId="633D9CC1">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br w:type="page"/>
      </w:r>
    </w:p>
    <w:p w14:paraId="4DB38582">
      <w:pPr>
        <w:pStyle w:val="32"/>
        <w:tabs>
          <w:tab w:val="left" w:pos="851"/>
        </w:tabs>
        <w:spacing w:after="0" w:line="240" w:lineRule="auto"/>
        <w:ind w:left="0" w:firstLine="567"/>
        <w:jc w:val="center"/>
        <w:outlineLvl w:val="0"/>
        <w:rPr>
          <w:rFonts w:ascii="Times New Roman" w:hAnsi="Times New Roman" w:cs="Times New Roman"/>
          <w:b/>
          <w:sz w:val="28"/>
          <w:szCs w:val="28"/>
        </w:rPr>
      </w:pPr>
      <w:r>
        <w:rPr>
          <w:rFonts w:ascii="Times New Roman" w:hAnsi="Times New Roman" w:cs="Times New Roman"/>
          <w:b/>
          <w:sz w:val="28"/>
          <w:szCs w:val="28"/>
        </w:rPr>
        <w:t>ЗАКЛЮЧЕНИЕ</w:t>
      </w:r>
      <w:bookmarkEnd w:id="31"/>
    </w:p>
    <w:p w14:paraId="7B15AD8E">
      <w:pPr>
        <w:pStyle w:val="32"/>
        <w:tabs>
          <w:tab w:val="left" w:pos="851"/>
        </w:tabs>
        <w:spacing w:after="0" w:line="240" w:lineRule="auto"/>
        <w:ind w:left="0" w:firstLine="567"/>
        <w:jc w:val="center"/>
        <w:rPr>
          <w:rFonts w:ascii="Times New Roman" w:hAnsi="Times New Roman" w:cs="Times New Roman"/>
          <w:b/>
          <w:sz w:val="28"/>
          <w:szCs w:val="28"/>
        </w:rPr>
      </w:pPr>
    </w:p>
    <w:p w14:paraId="09B01EEB">
      <w:pPr>
        <w:pStyle w:val="30"/>
        <w:spacing w:before="0" w:beforeAutospacing="0" w:after="0" w:afterAutospacing="0"/>
        <w:jc w:val="both"/>
        <w:rPr>
          <w:sz w:val="28"/>
          <w:szCs w:val="28"/>
        </w:rPr>
      </w:pPr>
      <w:r>
        <w:rPr>
          <w:sz w:val="28"/>
          <w:szCs w:val="28"/>
        </w:rPr>
        <w:tab/>
      </w:r>
      <w:r>
        <w:rPr>
          <w:sz w:val="28"/>
          <w:szCs w:val="28"/>
        </w:rPr>
        <w:t>Несмотря на то, что в условиях затянувшегося экономического кризиса государство и финансовый регулятор уделяют большое внимание сокращению проблемных кредитов хозяйствующих субъектов, ситуация в банковском секторе РК остается напряженной.  Усугубляют напряжение продолжающийся рост объемов банковского кредитования и корпоративных споров, а также появление новых схем вывода активов из хозяйственного оборота. Данная проблема является повсеместной, т.к. ни один банк не может работать в безрисковой зоне.  Банки перераспределяют временно аккумулированные средства, полученные от клиентов, переводя их в разряд банковских активов (потенциально проблемных).</w:t>
      </w:r>
    </w:p>
    <w:p w14:paraId="449EDA70">
      <w:pPr>
        <w:pStyle w:val="30"/>
        <w:spacing w:before="0" w:beforeAutospacing="0" w:after="0" w:afterAutospacing="0"/>
        <w:ind w:firstLine="709"/>
        <w:jc w:val="both"/>
        <w:rPr>
          <w:sz w:val="28"/>
          <w:szCs w:val="28"/>
        </w:rPr>
      </w:pPr>
      <w:r>
        <w:rPr>
          <w:sz w:val="28"/>
          <w:szCs w:val="28"/>
        </w:rPr>
        <w:t xml:space="preserve">Важнейшим условием роста деловой активности и эффективности производственной деятельности предприятий являются инвестиции в производство, но до сих пор коммерческие банки неохотно направляют свободные финансовые средства в реальный сектор экономики. Это связано с рядом факторов: недостаточные для финансирования крупных объектов объемы ресурсной базы, высокие риски ввиду неустойчивости промышленных предприятий, дефицит эффективных инвестиционных проектов, несовершенство законодательной базы, регулирующей отношения банков и хозяйствующих объектов. </w:t>
      </w:r>
    </w:p>
    <w:p w14:paraId="1D2ED5F4">
      <w:pPr>
        <w:pStyle w:val="30"/>
        <w:spacing w:before="0" w:beforeAutospacing="0" w:after="0" w:afterAutospacing="0"/>
        <w:ind w:firstLine="709"/>
        <w:jc w:val="both"/>
        <w:rPr>
          <w:sz w:val="28"/>
          <w:szCs w:val="28"/>
        </w:rPr>
      </w:pPr>
      <w:r>
        <w:rPr>
          <w:sz w:val="28"/>
          <w:szCs w:val="28"/>
        </w:rPr>
        <w:t>В настоящее время проблема управления проблемными активами в Казахстане приобретает особую актуальность в связи с тем, что показатель просроченной и сомнительной задолженности по кредитным портфелям казахстанских банков являются одними из самых высоких в мире.</w:t>
      </w:r>
    </w:p>
    <w:p w14:paraId="28D2AE42">
      <w:pPr>
        <w:pStyle w:val="30"/>
        <w:spacing w:before="0" w:beforeAutospacing="0" w:after="0" w:afterAutospacing="0"/>
        <w:ind w:firstLine="709"/>
        <w:jc w:val="both"/>
        <w:rPr>
          <w:sz w:val="28"/>
          <w:szCs w:val="28"/>
        </w:rPr>
      </w:pPr>
      <w:r>
        <w:rPr>
          <w:sz w:val="28"/>
          <w:szCs w:val="28"/>
        </w:rPr>
        <w:t>В условиях обострения конкурентной борьбы казахстанские банки все чаще стали использовать методы и приемы проектного управления с целью внедрения новых технологий и подходов к управлению рисками. Многие задачи и проблемы банков уже невозможно, как раньше, решать в рамках регулярных бизнес-процессов и действующей организационной структуры. Профессиональное управление проектами подразумевает, прежде всего, эффективные технологии реализации проектов.</w:t>
      </w:r>
    </w:p>
    <w:p w14:paraId="3573F1CB">
      <w:pPr>
        <w:pStyle w:val="30"/>
        <w:spacing w:before="0" w:beforeAutospacing="0" w:after="0" w:afterAutospacing="0"/>
        <w:ind w:firstLine="709"/>
        <w:jc w:val="both"/>
        <w:rPr>
          <w:sz w:val="28"/>
          <w:szCs w:val="28"/>
        </w:rPr>
      </w:pPr>
      <w:r>
        <w:rPr>
          <w:sz w:val="28"/>
          <w:szCs w:val="28"/>
        </w:rPr>
        <w:t>Но в то же время необходимо признать, что во многих казахстанских банках до сих пор в отношении проблемных активов проектный подход реализуется в виде отдельных элементов без процесса стандартизации.</w:t>
      </w:r>
    </w:p>
    <w:p w14:paraId="3C0FCE17">
      <w:pPr>
        <w:pStyle w:val="30"/>
        <w:spacing w:before="0" w:beforeAutospacing="0" w:after="0" w:afterAutospacing="0"/>
        <w:ind w:firstLine="709"/>
        <w:jc w:val="both"/>
        <w:rPr>
          <w:sz w:val="28"/>
          <w:szCs w:val="28"/>
        </w:rPr>
      </w:pPr>
      <w:r>
        <w:rPr>
          <w:sz w:val="28"/>
          <w:szCs w:val="28"/>
        </w:rPr>
        <w:t xml:space="preserve">Актуальность предпринятого исследования обусловлена объективной необходимостью систематизации и внедрения проектных методов управления проблемными активами банков. Особую значимость теме придает отсутствие отечественных разработок построения системы управления проблемными активами банков -участников инвестиционного процесса в реальном секторе экономики. </w:t>
      </w:r>
    </w:p>
    <w:p w14:paraId="45621DEC">
      <w:pPr>
        <w:pStyle w:val="30"/>
        <w:spacing w:before="0" w:beforeAutospacing="0" w:after="0" w:afterAutospacing="0"/>
        <w:ind w:firstLine="709"/>
        <w:jc w:val="both"/>
        <w:rPr>
          <w:sz w:val="28"/>
          <w:szCs w:val="28"/>
        </w:rPr>
      </w:pPr>
      <w:r>
        <w:rPr>
          <w:sz w:val="28"/>
          <w:szCs w:val="28"/>
        </w:rPr>
        <w:t>Анализ современного состояния банковского кредитования реального сектора экономики РК показал, что несмотря на увеличение совокупного объема кредитов, наблюдается устойчивая тенденция сокращения долгосрочного финансирования, что указывает на ориентацию банков на краткосрочные и менее рискованные инициативы.</w:t>
      </w:r>
    </w:p>
    <w:p w14:paraId="6022D135">
      <w:pPr>
        <w:pStyle w:val="30"/>
        <w:spacing w:before="0" w:beforeAutospacing="0" w:after="0" w:afterAutospacing="0"/>
        <w:ind w:firstLine="709"/>
        <w:jc w:val="both"/>
        <w:rPr>
          <w:sz w:val="28"/>
          <w:szCs w:val="28"/>
        </w:rPr>
      </w:pPr>
      <w:r>
        <w:rPr>
          <w:sz w:val="28"/>
          <w:szCs w:val="28"/>
        </w:rPr>
        <w:t>Наблюдаемое в последнее время сокращение доли проблемных активов обусловлено во многом регуляторно-административными мерами. Снижение доли долгосрочных кредитов с 42% до 35% за период 2021-2023гг. отражает тенденцию вытеснения инвестиционных проектов оборотным и торговым кредитованием.</w:t>
      </w:r>
    </w:p>
    <w:p w14:paraId="32C0BC5D">
      <w:pPr>
        <w:pStyle w:val="30"/>
        <w:spacing w:before="0" w:beforeAutospacing="0" w:after="0" w:afterAutospacing="0"/>
        <w:ind w:firstLine="709"/>
        <w:jc w:val="both"/>
        <w:rPr>
          <w:sz w:val="28"/>
          <w:szCs w:val="28"/>
        </w:rPr>
      </w:pPr>
      <w:r>
        <w:rPr>
          <w:sz w:val="28"/>
          <w:szCs w:val="28"/>
        </w:rPr>
        <w:t>Проведенный анализ кредитования реального сектора зафиксировал концентрацию банковских ресурсов в отдельных экономических отраслях, прежде всего в торговле, строительстве и некоторых сегментах промышленности. При этом, финансирование обрабатывающих отраслей, сельского хозяйства и инновационных производств остается недостаточным. Сокращение доли долгосрочного кредитования в банковской системе РК является результатом сочетания структурных, макроэкономических и институциональных факторов.</w:t>
      </w:r>
    </w:p>
    <w:p w14:paraId="27071B05">
      <w:pPr>
        <w:pStyle w:val="30"/>
        <w:spacing w:before="0" w:beforeAutospacing="0" w:after="0" w:afterAutospacing="0"/>
        <w:ind w:firstLine="709"/>
        <w:jc w:val="both"/>
        <w:rPr>
          <w:sz w:val="28"/>
          <w:szCs w:val="28"/>
        </w:rPr>
      </w:pPr>
      <w:r>
        <w:rPr>
          <w:sz w:val="28"/>
          <w:szCs w:val="28"/>
        </w:rPr>
        <w:t>Анализ структуры проблемных активов показал, что наибольшую долю объема NPL формируют кредиты физическим лицам (70% совокупных</w:t>
      </w:r>
      <w:r>
        <w:rPr>
          <w:rFonts w:asciiTheme="minorHAnsi" w:hAnsiTheme="minorHAnsi" w:eastAsiaTheme="minorHAnsi" w:cstheme="minorBidi"/>
          <w:sz w:val="28"/>
          <w:szCs w:val="28"/>
          <w:lang w:eastAsia="en-US"/>
        </w:rPr>
        <w:t xml:space="preserve"> </w:t>
      </w:r>
      <w:r>
        <w:rPr>
          <w:sz w:val="28"/>
          <w:szCs w:val="28"/>
        </w:rPr>
        <w:t xml:space="preserve">NPL), </w:t>
      </w:r>
    </w:p>
    <w:p w14:paraId="56A4637C">
      <w:pPr>
        <w:pStyle w:val="30"/>
        <w:spacing w:before="0" w:beforeAutospacing="0" w:after="0" w:afterAutospacing="0"/>
        <w:jc w:val="both"/>
        <w:rPr>
          <w:sz w:val="28"/>
          <w:szCs w:val="28"/>
        </w:rPr>
      </w:pPr>
      <w:r>
        <w:rPr>
          <w:sz w:val="28"/>
          <w:szCs w:val="28"/>
        </w:rPr>
        <w:t>малые и средние предприятия обеспечивают около четверти проблемного портфеля страны, и доля крупных юридических лиц относительно невелика. Общий объем неработающих кредитов в банковской системе Казахстана в настоящее время колеблется в пределах 600-700 млрд тенге, а объем реструктурированных и стрессовых кредитов оценивается в 3 трлн тенге. В качестве ключевых направлений стабилизации экономического сектора происходит слияние и поглощение мелких хозяйствующих субъектов крупными устойчивыми банками и деятельностью Фонда проблемных кредитов по оздоровлению банковского сектора.</w:t>
      </w:r>
    </w:p>
    <w:p w14:paraId="7B896FA0">
      <w:pPr>
        <w:pStyle w:val="30"/>
        <w:spacing w:before="0" w:beforeAutospacing="0" w:after="0" w:afterAutospacing="0"/>
        <w:ind w:firstLine="708"/>
        <w:jc w:val="both"/>
        <w:rPr>
          <w:sz w:val="28"/>
          <w:szCs w:val="28"/>
        </w:rPr>
      </w:pPr>
      <w:r>
        <w:rPr>
          <w:sz w:val="28"/>
          <w:szCs w:val="28"/>
        </w:rPr>
        <w:t>Существенное влияние на экономику и состояние банковской сферы оказала также пандемия COVID19 в 2020-2022 гг., вызвавшая замедление деловой активности и рост финансовых рисков.</w:t>
      </w:r>
    </w:p>
    <w:p w14:paraId="628C3653">
      <w:pPr>
        <w:pStyle w:val="30"/>
        <w:spacing w:before="0" w:beforeAutospacing="0" w:after="0" w:afterAutospacing="0"/>
        <w:ind w:firstLine="708"/>
        <w:jc w:val="both"/>
        <w:rPr>
          <w:sz w:val="28"/>
          <w:szCs w:val="28"/>
        </w:rPr>
      </w:pPr>
      <w:r>
        <w:rPr>
          <w:sz w:val="28"/>
          <w:szCs w:val="28"/>
        </w:rPr>
        <w:t xml:space="preserve">Начиная с 2022 г., наблюдается постепенное восстановление активности банковского сектора. Так, в 2023 г. активы банков выросли на 15,4 %, а в 2024 г. кредиты экономики достигли 46,7 трлн тенге, показав рост по сравнению с предыдущим годом на 23,8%.  При этом, доля NPL снизилась до 3% в 2023 г., что существенно ниже показателей предыдущих лет. </w:t>
      </w:r>
    </w:p>
    <w:p w14:paraId="380CE8E4">
      <w:pPr>
        <w:pStyle w:val="30"/>
        <w:spacing w:before="0" w:beforeAutospacing="0" w:after="0" w:afterAutospacing="0"/>
        <w:ind w:firstLine="708"/>
        <w:jc w:val="both"/>
        <w:rPr>
          <w:sz w:val="28"/>
          <w:szCs w:val="28"/>
        </w:rPr>
      </w:pPr>
      <w:r>
        <w:rPr>
          <w:sz w:val="28"/>
          <w:szCs w:val="28"/>
        </w:rPr>
        <w:t xml:space="preserve">В целом, несмотря на кризисные явления последних лет (пандемия COVID19, геополитические и инфляционные риски), регулятор сумел сохранить контроль над качеством активов, не допустив критического роста NPL90+ на фоне бурного кредитования, преимущественно потребительского. Кредитование реального сектора также продемонстрировало тенденцию к росту.  Если в 2017-2021 гг. оно поддерживалось в основном государственными программами, то период 2022-2025 гг. характеризуется ростом кредитования субъектов бизнеса за счет собственных средств банков. Современная модель управления проблемными активами банков РК сформировалась под воздействием последовательных финансовых кризисов, структурных дисбалансов экономики и эволюции регуляторной политики государства. От классических рыночных моделей, казахстанскую систему управления проблемными активами отличает наличие элементов пассивного государственного вмешательства. </w:t>
      </w:r>
    </w:p>
    <w:p w14:paraId="624F4B64">
      <w:pPr>
        <w:pStyle w:val="30"/>
        <w:spacing w:before="0" w:beforeAutospacing="0" w:after="0" w:afterAutospacing="0"/>
        <w:ind w:firstLine="709"/>
        <w:jc w:val="both"/>
        <w:rPr>
          <w:sz w:val="28"/>
          <w:szCs w:val="28"/>
        </w:rPr>
      </w:pPr>
      <w:r>
        <w:rPr>
          <w:sz w:val="28"/>
          <w:szCs w:val="28"/>
        </w:rPr>
        <w:t xml:space="preserve">На данный момент в банковской практике РК условно выделяются пассивная и активная модель управления проблемными активами, различающиеся по степени вовлеченности банков, государства и специализированных институтов в процесс оздоровления кредитных портфелей. </w:t>
      </w:r>
    </w:p>
    <w:p w14:paraId="170C2FFF">
      <w:pPr>
        <w:pStyle w:val="30"/>
        <w:spacing w:before="0" w:beforeAutospacing="0" w:after="0" w:afterAutospacing="0"/>
        <w:ind w:firstLine="709"/>
        <w:jc w:val="both"/>
        <w:rPr>
          <w:sz w:val="28"/>
          <w:szCs w:val="28"/>
        </w:rPr>
      </w:pPr>
      <w:r>
        <w:rPr>
          <w:sz w:val="28"/>
          <w:szCs w:val="28"/>
        </w:rPr>
        <w:t xml:space="preserve">Пассивная модель управления проблемными кредитами предполагает сохранение таких активов на балансе банка с применением стандартных процедур риск-менеджмента (классификации кредитов, формирование провизий, реструктуризация задолженности, пролонгация кредитных договоров и последующее списание задолженности). Этот подход позволяет банкам сохранять формальный контроль над активами, но приводит к длительной концентрации неработающих займов на балансе банка, снижает капитальную достаточность и возможности расширенного кредитования экономики. </w:t>
      </w:r>
    </w:p>
    <w:p w14:paraId="4999F5FE">
      <w:pPr>
        <w:pStyle w:val="30"/>
        <w:spacing w:before="0" w:beforeAutospacing="0" w:after="0" w:afterAutospacing="0"/>
        <w:ind w:firstLine="851"/>
        <w:jc w:val="both"/>
        <w:rPr>
          <w:sz w:val="28"/>
          <w:szCs w:val="28"/>
        </w:rPr>
      </w:pPr>
      <w:r>
        <w:rPr>
          <w:sz w:val="28"/>
          <w:szCs w:val="28"/>
        </w:rPr>
        <w:t>Активная модель предполагает вывод неработающих активов за пределы банковских балансов с передачей их специализированным структурам. Она ориентирована на ускоренное очищение балансов, перераспределение рисков и восстановление кредитного потенциала банковского сектора. В Республике Казахстан ключевым элементом активной модели выступает государственное участие, реализуемое через специализированный институт- АО «Фонд проблемных кредитов» (ФПК) Министерства финансов РК, в котором в течение  6 лет работал автор диссертации. ФПК функционирует как инструмент для очистки балансов банков от неработающих займов и подотчетен Минфину РК. В 2025 г. ФПК получил контроль над АО «Инвестиционный фонд Казахстана», расширив возможности по управлению проблемными кредитами.</w:t>
      </w:r>
    </w:p>
    <w:p w14:paraId="327EFF7E">
      <w:pPr>
        <w:pStyle w:val="30"/>
        <w:spacing w:before="0" w:beforeAutospacing="0" w:after="0" w:afterAutospacing="0"/>
        <w:ind w:firstLine="851"/>
        <w:jc w:val="both"/>
        <w:rPr>
          <w:sz w:val="28"/>
          <w:szCs w:val="28"/>
        </w:rPr>
      </w:pPr>
      <w:r>
        <w:rPr>
          <w:sz w:val="28"/>
          <w:szCs w:val="28"/>
        </w:rPr>
        <w:t xml:space="preserve">Основные направления деятельности ФПК: </w:t>
      </w:r>
    </w:p>
    <w:p w14:paraId="4D1C6608">
      <w:pPr>
        <w:pStyle w:val="30"/>
        <w:spacing w:before="0" w:beforeAutospacing="0" w:after="0" w:afterAutospacing="0"/>
        <w:ind w:firstLine="851"/>
        <w:jc w:val="both"/>
        <w:rPr>
          <w:sz w:val="28"/>
          <w:szCs w:val="28"/>
        </w:rPr>
      </w:pPr>
      <w:r>
        <w:rPr>
          <w:sz w:val="28"/>
          <w:szCs w:val="28"/>
        </w:rPr>
        <w:t>- выкуп проблемных кредитов у банков второго уровня;</w:t>
      </w:r>
    </w:p>
    <w:p w14:paraId="558311E7">
      <w:pPr>
        <w:pStyle w:val="30"/>
        <w:spacing w:before="0" w:beforeAutospacing="0" w:after="0" w:afterAutospacing="0"/>
        <w:ind w:firstLine="851"/>
        <w:jc w:val="both"/>
        <w:rPr>
          <w:sz w:val="28"/>
          <w:szCs w:val="28"/>
        </w:rPr>
      </w:pPr>
      <w:r>
        <w:rPr>
          <w:sz w:val="28"/>
          <w:szCs w:val="28"/>
        </w:rPr>
        <w:t>-управление приобретенными активами;</w:t>
      </w:r>
    </w:p>
    <w:p w14:paraId="2052B252">
      <w:pPr>
        <w:pStyle w:val="30"/>
        <w:spacing w:before="0" w:beforeAutospacing="0" w:after="0" w:afterAutospacing="0"/>
        <w:ind w:firstLine="851"/>
        <w:jc w:val="both"/>
        <w:rPr>
          <w:sz w:val="28"/>
          <w:szCs w:val="28"/>
        </w:rPr>
      </w:pPr>
      <w:r>
        <w:rPr>
          <w:sz w:val="28"/>
          <w:szCs w:val="28"/>
        </w:rPr>
        <w:t>- выпуск облигаций для финансирования деятельности Фонда.</w:t>
      </w:r>
    </w:p>
    <w:p w14:paraId="1F8FC0BE">
      <w:pPr>
        <w:pStyle w:val="30"/>
        <w:spacing w:before="0" w:beforeAutospacing="0" w:after="0" w:afterAutospacing="0"/>
        <w:ind w:firstLine="851"/>
        <w:jc w:val="both"/>
        <w:rPr>
          <w:sz w:val="28"/>
          <w:szCs w:val="28"/>
        </w:rPr>
      </w:pPr>
      <w:r>
        <w:rPr>
          <w:sz w:val="28"/>
          <w:szCs w:val="28"/>
        </w:rPr>
        <w:t xml:space="preserve">Деятельность Фонда предусматривает оздоровление заемщиков посредством реструктуризации задолженности, повышения рыночной стоимости имущества-залогов, а также реализацию совместных проектов с инвесторами и органами местного управления. </w:t>
      </w:r>
    </w:p>
    <w:p w14:paraId="68E20167">
      <w:pPr>
        <w:pStyle w:val="30"/>
        <w:spacing w:before="0" w:beforeAutospacing="0" w:after="0" w:afterAutospacing="0"/>
        <w:ind w:firstLine="567"/>
        <w:jc w:val="both"/>
        <w:rPr>
          <w:sz w:val="28"/>
          <w:szCs w:val="28"/>
        </w:rPr>
      </w:pPr>
      <w:r>
        <w:rPr>
          <w:sz w:val="28"/>
          <w:szCs w:val="28"/>
        </w:rPr>
        <w:t>На основе всестороннего анализа институционального механизма государственной поддержки банковского сектора в части выведения проблемных активов (деятельности АО «Фонд проблемных активов») был предложен следующий алгоритм проектного подхода управления проблемными активами:</w:t>
      </w:r>
    </w:p>
    <w:p w14:paraId="415CB817">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Этап 1 — подготовка и оценка: выявление проблемных кредитов реального сектора, соответствующих установленным критериям передачи, оценка качества активов, подготовка планов по реструктуризации и реанимации предприятий‑заёмщиков.</w:t>
      </w:r>
    </w:p>
    <w:p w14:paraId="1D0F24DF">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Этап 2 — выкуп и консолидация активов: выкуп кредитов у банков второго уровня, передача прав требования, проведение комплексной оценки залогового обеспечения и условий реструктуризации.</w:t>
      </w:r>
    </w:p>
    <w:p w14:paraId="690642AB">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Этап 3 — реструктуризация и оздоровление: разработка индивидуальных планов для предприятий‑заёмщиков: изменение графика платежей, снижение долговой нагрузки, привлечение новых инвестиций, реализация залога или иных активов, повышение операционной эффективности предприятия.</w:t>
      </w:r>
    </w:p>
    <w:p w14:paraId="30389B26">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Этап 4 — реализация и вовлечение в экономический оборот: реализация либо переуступка прав на активы, вовлечение инвесторов, реализация залога или имущественных прав, возврат активов в хозяйственный оборот.</w:t>
      </w:r>
    </w:p>
    <w:p w14:paraId="06A4D268">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Этап 5 — мониторинг и отчётность: постоянный мониторинг состояния оздоровленных предприятий, отчётность перед акционером (Правительством РК) и публикуемая аналитика (годовые отчёты, данные о возвратах, реструктуризациях).</w:t>
      </w:r>
    </w:p>
    <w:p w14:paraId="7C288BD6">
      <w:pPr>
        <w:pStyle w:val="30"/>
        <w:spacing w:before="0" w:beforeAutospacing="0" w:after="0" w:afterAutospacing="0"/>
        <w:ind w:firstLine="709"/>
        <w:jc w:val="both"/>
        <w:rPr>
          <w:sz w:val="28"/>
          <w:szCs w:val="28"/>
        </w:rPr>
      </w:pPr>
      <w:r>
        <w:rPr>
          <w:sz w:val="28"/>
          <w:szCs w:val="28"/>
        </w:rPr>
        <w:t>Деятельность Фонда проблемных кредитов по оздоровлению проблемных активов коммерческих банков и производственных предприятий позволила обеспечить стабилизацию бизнеса компаний -должников, сохранения более 260 тысяч рабочих мест, а также поступление налогов в бюджет государства</w:t>
      </w:r>
      <w:r>
        <w:rPr>
          <w:rFonts w:asciiTheme="minorHAnsi" w:hAnsiTheme="minorHAnsi" w:eastAsiaTheme="minorHAnsi" w:cstheme="minorBidi"/>
          <w:sz w:val="28"/>
          <w:szCs w:val="28"/>
          <w:lang w:eastAsia="en-US"/>
        </w:rPr>
        <w:t xml:space="preserve"> </w:t>
      </w:r>
      <w:r>
        <w:rPr>
          <w:sz w:val="28"/>
          <w:szCs w:val="28"/>
        </w:rPr>
        <w:t>на 26 млрд тг. Только за 2023 г. от АО «ФПК» поступило в Национальный фонд 22,9 млрд тенге от продажи финансовых активов.</w:t>
      </w:r>
    </w:p>
    <w:p w14:paraId="3A898974">
      <w:pPr>
        <w:pStyle w:val="30"/>
        <w:spacing w:before="0" w:beforeAutospacing="0" w:after="0" w:afterAutospacing="0"/>
        <w:ind w:firstLine="709"/>
        <w:jc w:val="both"/>
        <w:rPr>
          <w:sz w:val="28"/>
          <w:szCs w:val="28"/>
        </w:rPr>
      </w:pPr>
      <w:r>
        <w:rPr>
          <w:sz w:val="28"/>
          <w:szCs w:val="28"/>
        </w:rPr>
        <w:t>Анализ деятельности ФПК показал, что Фонд является не только «чистильщиком» банковских балансов, представляя санационный механизм, он является также потенциальным элементом проектной инфраструктуры, выступая в качестве механизма поддержки реального сектора посредством выкупа проблемной задолженности предприятий и реализации мер по их оздоровлению для восстановления полноценной хозяйственной деятельности.</w:t>
      </w:r>
    </w:p>
    <w:p w14:paraId="496AF298">
      <w:pPr>
        <w:pStyle w:val="30"/>
        <w:spacing w:before="0" w:beforeAutospacing="0" w:after="0" w:afterAutospacing="0"/>
        <w:ind w:firstLine="709"/>
        <w:jc w:val="both"/>
        <w:rPr>
          <w:sz w:val="28"/>
          <w:szCs w:val="28"/>
        </w:rPr>
      </w:pPr>
      <w:r>
        <w:rPr>
          <w:sz w:val="28"/>
          <w:szCs w:val="28"/>
        </w:rPr>
        <w:t xml:space="preserve">Анализ регуляторной деятельности Национального банка Республики Казахстан, выступающего как ключевой институт макро, - и микропруденциального регулирования банковского сектора, показал, что регуляторные механизмы НБ РК обеспечивают формальную дисциплину, но не обеспечивают в полной мере задачу экономической реабилитации проблемных активов. Регуляторные механизмы НБ РК формируют институциональную основу управления проблемными активами, но ориентированы прежде всего на контроль кредитных рисков. Отсутствие механизмов стимулирования активного восстановления стоимости проблемных активов снижает эффективность регулирования. </w:t>
      </w:r>
    </w:p>
    <w:p w14:paraId="26E987B0">
      <w:pPr>
        <w:pStyle w:val="30"/>
        <w:spacing w:before="0" w:beforeAutospacing="0" w:after="0" w:afterAutospacing="0"/>
        <w:ind w:firstLine="709"/>
        <w:jc w:val="both"/>
        <w:rPr>
          <w:sz w:val="28"/>
          <w:szCs w:val="28"/>
        </w:rPr>
      </w:pPr>
      <w:r>
        <w:rPr>
          <w:sz w:val="28"/>
          <w:szCs w:val="28"/>
        </w:rPr>
        <w:t>Оценка действующих моделей управления проблемными активами выявила следующие ограничения:</w:t>
      </w:r>
    </w:p>
    <w:p w14:paraId="680735F0">
      <w:pPr>
        <w:pStyle w:val="30"/>
        <w:spacing w:before="0" w:beforeAutospacing="0" w:after="0" w:afterAutospacing="0"/>
        <w:ind w:firstLine="709"/>
        <w:jc w:val="both"/>
        <w:rPr>
          <w:sz w:val="28"/>
          <w:szCs w:val="28"/>
        </w:rPr>
      </w:pPr>
      <w:r>
        <w:rPr>
          <w:sz w:val="28"/>
          <w:szCs w:val="28"/>
        </w:rPr>
        <w:t>- реактивный подход, ориентированный прежде всего на выполнение требований регулятора и минимизацию краткосрочных рисков. При этом стратегические задачи восстановления стоимости активов и оптимизации процессов управления остаются без внимания;</w:t>
      </w:r>
    </w:p>
    <w:p w14:paraId="77AD3191">
      <w:pPr>
        <w:pStyle w:val="30"/>
        <w:spacing w:before="0" w:beforeAutospacing="0" w:after="0" w:afterAutospacing="0"/>
        <w:ind w:firstLine="709"/>
        <w:jc w:val="both"/>
        <w:rPr>
          <w:sz w:val="28"/>
          <w:szCs w:val="28"/>
        </w:rPr>
      </w:pPr>
      <w:r>
        <w:rPr>
          <w:sz w:val="28"/>
          <w:szCs w:val="28"/>
        </w:rPr>
        <w:t>-ограниченная ликвидность вторичного рынка и несовершенство механизмов передачи проблемных активов специализированным организациям;</w:t>
      </w:r>
    </w:p>
    <w:p w14:paraId="4A5391C5">
      <w:pPr>
        <w:pStyle w:val="30"/>
        <w:spacing w:before="0" w:beforeAutospacing="0" w:after="0" w:afterAutospacing="0"/>
        <w:ind w:firstLine="709"/>
        <w:jc w:val="both"/>
        <w:rPr>
          <w:sz w:val="28"/>
          <w:szCs w:val="28"/>
        </w:rPr>
      </w:pPr>
      <w:r>
        <w:rPr>
          <w:sz w:val="28"/>
          <w:szCs w:val="28"/>
        </w:rPr>
        <w:t>- длительные сроки взыскания и реализации залогового имущества ввиду несовершенства судебной и исполнительной практики;</w:t>
      </w:r>
    </w:p>
    <w:p w14:paraId="030C036B">
      <w:pPr>
        <w:pStyle w:val="30"/>
        <w:spacing w:before="0" w:beforeAutospacing="0" w:after="0" w:afterAutospacing="0"/>
        <w:ind w:firstLine="709"/>
        <w:jc w:val="both"/>
        <w:rPr>
          <w:sz w:val="28"/>
          <w:szCs w:val="28"/>
        </w:rPr>
      </w:pPr>
      <w:r>
        <w:rPr>
          <w:sz w:val="28"/>
          <w:szCs w:val="28"/>
        </w:rPr>
        <w:t>- отсутствие унифицированных подходов к оценке эффективности управления проблемными кредитами, когда учитываются в основном агрегированные количественные показатели (уровень NPL и объем сформированных провизий) [28] без учета таких показателей, как скорость восстановления активов, стоимость управления и экономическая целесообразность проектных методов управления;</w:t>
      </w:r>
    </w:p>
    <w:p w14:paraId="7EEBD2F8">
      <w:pPr>
        <w:pStyle w:val="30"/>
        <w:spacing w:before="0" w:beforeAutospacing="0" w:after="0" w:afterAutospacing="0"/>
        <w:ind w:firstLine="709"/>
        <w:jc w:val="both"/>
        <w:rPr>
          <w:sz w:val="28"/>
          <w:szCs w:val="28"/>
        </w:rPr>
      </w:pPr>
      <w:r>
        <w:rPr>
          <w:sz w:val="28"/>
          <w:szCs w:val="28"/>
        </w:rPr>
        <w:t>-   ретроспективный характер оценки кредитных рисков без учета макроэкономических и отраслевых факторов;</w:t>
      </w:r>
    </w:p>
    <w:p w14:paraId="38096FA7">
      <w:pPr>
        <w:pStyle w:val="30"/>
        <w:spacing w:before="0" w:beforeAutospacing="0" w:after="0" w:afterAutospacing="0"/>
        <w:ind w:firstLine="709"/>
        <w:jc w:val="both"/>
        <w:rPr>
          <w:sz w:val="28"/>
          <w:szCs w:val="28"/>
        </w:rPr>
      </w:pPr>
      <w:r>
        <w:rPr>
          <w:sz w:val="28"/>
          <w:szCs w:val="28"/>
        </w:rPr>
        <w:t>- отсутствие интеграции и четкого разграничения ответственности между подразделениями кредитования, риск-менеджмента и взыскания;</w:t>
      </w:r>
    </w:p>
    <w:p w14:paraId="5D0D384D">
      <w:pPr>
        <w:pStyle w:val="30"/>
        <w:spacing w:before="0" w:beforeAutospacing="0" w:after="0" w:afterAutospacing="0"/>
        <w:ind w:firstLine="709"/>
        <w:jc w:val="both"/>
        <w:rPr>
          <w:sz w:val="28"/>
          <w:szCs w:val="28"/>
        </w:rPr>
      </w:pPr>
      <w:r>
        <w:rPr>
          <w:sz w:val="28"/>
          <w:szCs w:val="28"/>
        </w:rPr>
        <w:t>- ограниченное применение проектных и процессных методов управления и дефицит специализированных кадров в сфере работы с проблемными активами.</w:t>
      </w:r>
    </w:p>
    <w:p w14:paraId="5F35CB9F">
      <w:pPr>
        <w:pStyle w:val="30"/>
        <w:spacing w:before="0" w:beforeAutospacing="0" w:after="0" w:afterAutospacing="0"/>
        <w:ind w:firstLine="709"/>
        <w:jc w:val="both"/>
        <w:rPr>
          <w:sz w:val="28"/>
          <w:szCs w:val="28"/>
        </w:rPr>
      </w:pPr>
      <w:r>
        <w:rPr>
          <w:sz w:val="28"/>
          <w:szCs w:val="28"/>
        </w:rPr>
        <w:t>Совокупность вышеперечисленных проблем и ограничений диктуют необходимость внедрения интегрированного, методологически унифицированного подхода, соответствующего международным стандартам банковского регулирования и практикам управления рисками.</w:t>
      </w:r>
    </w:p>
    <w:p w14:paraId="2DD170F3">
      <w:pPr>
        <w:pStyle w:val="30"/>
        <w:spacing w:before="0" w:beforeAutospacing="0" w:after="0" w:afterAutospacing="0"/>
        <w:ind w:firstLine="709"/>
        <w:jc w:val="both"/>
        <w:rPr>
          <w:sz w:val="28"/>
          <w:szCs w:val="28"/>
        </w:rPr>
      </w:pPr>
      <w:r>
        <w:rPr>
          <w:sz w:val="28"/>
          <w:szCs w:val="28"/>
        </w:rPr>
        <w:t>Нами был проведен анализ ситуации с соблюдением принципов системности, сопоставимости и причинно-следственной интерпретации. Мы учли, что показатели NPL являются инерционными и реагируют на изменения макроэкономической среды с временным лагом. В связи с этим были учтены следующие факторы:</w:t>
      </w:r>
    </w:p>
    <w:p w14:paraId="56E6DA1D">
      <w:pPr>
        <w:pStyle w:val="30"/>
        <w:spacing w:before="0" w:beforeAutospacing="0" w:after="0" w:afterAutospacing="0"/>
        <w:ind w:firstLine="709"/>
        <w:jc w:val="both"/>
        <w:rPr>
          <w:sz w:val="28"/>
          <w:szCs w:val="28"/>
        </w:rPr>
      </w:pPr>
      <w:r>
        <w:rPr>
          <w:sz w:val="28"/>
          <w:szCs w:val="28"/>
        </w:rPr>
        <w:t>- учет временной задержки между макроэкономическими шоками и изменением качества кредитного портфеля;</w:t>
      </w:r>
    </w:p>
    <w:p w14:paraId="714A8172">
      <w:pPr>
        <w:pStyle w:val="30"/>
        <w:spacing w:before="0" w:beforeAutospacing="0" w:after="0" w:afterAutospacing="0"/>
        <w:ind w:firstLine="709"/>
        <w:jc w:val="both"/>
        <w:rPr>
          <w:sz w:val="28"/>
          <w:szCs w:val="28"/>
        </w:rPr>
      </w:pPr>
      <w:r>
        <w:rPr>
          <w:sz w:val="28"/>
          <w:szCs w:val="28"/>
        </w:rPr>
        <w:t>- разграничение краткосрочных и долгосрочных эффектов;</w:t>
      </w:r>
    </w:p>
    <w:p w14:paraId="5254D65E">
      <w:pPr>
        <w:pStyle w:val="30"/>
        <w:spacing w:before="0" w:beforeAutospacing="0" w:after="0" w:afterAutospacing="0"/>
        <w:ind w:firstLine="709"/>
        <w:jc w:val="both"/>
        <w:rPr>
          <w:sz w:val="28"/>
          <w:szCs w:val="28"/>
        </w:rPr>
      </w:pPr>
      <w:r>
        <w:rPr>
          <w:sz w:val="28"/>
          <w:szCs w:val="28"/>
        </w:rPr>
        <w:t>- исключение эндогенности между макроэкономическими переменными и банковскими показателями;</w:t>
      </w:r>
    </w:p>
    <w:p w14:paraId="1BB0B9FB">
      <w:pPr>
        <w:pStyle w:val="30"/>
        <w:spacing w:before="0" w:beforeAutospacing="0" w:after="0" w:afterAutospacing="0"/>
        <w:ind w:firstLine="709"/>
        <w:jc w:val="both"/>
        <w:rPr>
          <w:sz w:val="28"/>
          <w:szCs w:val="28"/>
        </w:rPr>
      </w:pPr>
      <w:r>
        <w:rPr>
          <w:sz w:val="28"/>
          <w:szCs w:val="28"/>
        </w:rPr>
        <w:t>- адаптация методов анализа к структуре национальной экономики.</w:t>
      </w:r>
    </w:p>
    <w:p w14:paraId="65DB7FE3">
      <w:pPr>
        <w:pStyle w:val="30"/>
        <w:spacing w:before="0" w:beforeAutospacing="0" w:after="0" w:afterAutospacing="0"/>
        <w:ind w:firstLine="709"/>
        <w:jc w:val="both"/>
        <w:rPr>
          <w:sz w:val="28"/>
          <w:szCs w:val="28"/>
        </w:rPr>
      </w:pPr>
      <w:r>
        <w:rPr>
          <w:sz w:val="28"/>
          <w:szCs w:val="28"/>
        </w:rPr>
        <w:t>Используя дескриптивно-статистический подход, направленный на выявление общих закономерностей динамики NPL и макроэкономических индикаторов, были проанализированы следующие показатели:</w:t>
      </w:r>
    </w:p>
    <w:p w14:paraId="30C62007">
      <w:pPr>
        <w:pStyle w:val="30"/>
        <w:spacing w:before="0" w:beforeAutospacing="0" w:after="0" w:afterAutospacing="0"/>
        <w:ind w:firstLine="709"/>
        <w:jc w:val="both"/>
        <w:rPr>
          <w:sz w:val="28"/>
          <w:szCs w:val="28"/>
        </w:rPr>
      </w:pPr>
      <w:r>
        <w:rPr>
          <w:sz w:val="28"/>
          <w:szCs w:val="28"/>
        </w:rPr>
        <w:t>- темпы роста ВВП;</w:t>
      </w:r>
    </w:p>
    <w:p w14:paraId="3BC769FC">
      <w:pPr>
        <w:pStyle w:val="30"/>
        <w:spacing w:before="0" w:beforeAutospacing="0" w:after="0" w:afterAutospacing="0"/>
        <w:ind w:firstLine="709"/>
        <w:jc w:val="both"/>
        <w:rPr>
          <w:sz w:val="28"/>
          <w:szCs w:val="28"/>
        </w:rPr>
      </w:pPr>
      <w:r>
        <w:rPr>
          <w:sz w:val="28"/>
          <w:szCs w:val="28"/>
        </w:rPr>
        <w:t>- инфляция;</w:t>
      </w:r>
    </w:p>
    <w:p w14:paraId="6C39C049">
      <w:pPr>
        <w:pStyle w:val="30"/>
        <w:spacing w:before="0" w:beforeAutospacing="0" w:after="0" w:afterAutospacing="0"/>
        <w:ind w:firstLine="709"/>
        <w:jc w:val="both"/>
        <w:rPr>
          <w:sz w:val="28"/>
          <w:szCs w:val="28"/>
        </w:rPr>
      </w:pPr>
      <w:r>
        <w:rPr>
          <w:sz w:val="28"/>
          <w:szCs w:val="28"/>
        </w:rPr>
        <w:t>- базовая процентная ставка;</w:t>
      </w:r>
    </w:p>
    <w:p w14:paraId="7E92A541">
      <w:pPr>
        <w:pStyle w:val="30"/>
        <w:spacing w:before="0" w:beforeAutospacing="0" w:after="0" w:afterAutospacing="0"/>
        <w:ind w:firstLine="709"/>
        <w:jc w:val="both"/>
        <w:rPr>
          <w:sz w:val="28"/>
          <w:szCs w:val="28"/>
        </w:rPr>
      </w:pPr>
      <w:r>
        <w:rPr>
          <w:sz w:val="28"/>
          <w:szCs w:val="28"/>
        </w:rPr>
        <w:t>- обменный курс [37];</w:t>
      </w:r>
    </w:p>
    <w:p w14:paraId="5ADAAED0">
      <w:pPr>
        <w:pStyle w:val="30"/>
        <w:spacing w:before="0" w:beforeAutospacing="0" w:after="0" w:afterAutospacing="0"/>
        <w:ind w:firstLine="709"/>
        <w:jc w:val="both"/>
        <w:rPr>
          <w:sz w:val="28"/>
          <w:szCs w:val="28"/>
        </w:rPr>
      </w:pPr>
      <w:r>
        <w:rPr>
          <w:sz w:val="28"/>
          <w:szCs w:val="28"/>
        </w:rPr>
        <w:t>- уровень безработицы.</w:t>
      </w:r>
    </w:p>
    <w:p w14:paraId="127159AD">
      <w:pPr>
        <w:pStyle w:val="30"/>
        <w:spacing w:before="0" w:beforeAutospacing="0" w:after="0" w:afterAutospacing="0"/>
        <w:ind w:firstLine="709"/>
        <w:jc w:val="both"/>
        <w:rPr>
          <w:sz w:val="28"/>
          <w:szCs w:val="28"/>
        </w:rPr>
      </w:pPr>
      <w:r>
        <w:rPr>
          <w:sz w:val="28"/>
          <w:szCs w:val="28"/>
        </w:rPr>
        <w:t>Использование методов корреляционного анализа мы применили для оценки направленности и силы взаимосвязи между уровнем проблемных кредитов и отдельными макроэкономическими показателями, но для выявления причинно- следственной зависимости требуются более сложные методы, для чего был использован регрессионный анализ, как ключевой методологический инструмент оценки влияния макроэкономических факторов на NPL. Это позволило количественно оценить вклад каждого макроэкономического фактора в изменения уровня проблемных кредитов и определить статистическую значимость полученных результатов. Применение этих методов особенно актуально для экономик с высокой волатильностью макроэкономических показателей.</w:t>
      </w:r>
    </w:p>
    <w:p w14:paraId="2189FBD8">
      <w:pPr>
        <w:pStyle w:val="30"/>
        <w:spacing w:before="0" w:beforeAutospacing="0" w:after="0" w:afterAutospacing="0"/>
        <w:ind w:firstLine="709"/>
        <w:jc w:val="both"/>
        <w:rPr>
          <w:sz w:val="28"/>
          <w:szCs w:val="28"/>
        </w:rPr>
      </w:pPr>
      <w:r>
        <w:rPr>
          <w:sz w:val="28"/>
          <w:szCs w:val="28"/>
        </w:rPr>
        <w:t>Был использован интегрированный подход с использованием моделей множественной линейной регрессии; динамических регрессионных моделей с лагами и панельных моделей (fixed effects, random effects).</w:t>
      </w:r>
    </w:p>
    <w:p w14:paraId="458F5793">
      <w:pPr>
        <w:pStyle w:val="30"/>
        <w:spacing w:before="0" w:beforeAutospacing="0" w:after="0" w:afterAutospacing="0"/>
        <w:ind w:firstLine="709"/>
        <w:jc w:val="both"/>
        <w:rPr>
          <w:sz w:val="28"/>
          <w:szCs w:val="28"/>
        </w:rPr>
      </w:pPr>
      <w:r>
        <w:rPr>
          <w:sz w:val="28"/>
          <w:szCs w:val="28"/>
        </w:rPr>
        <w:t>Для оценки устойчивости банковской системы к негативным макроэкономическим сценариям было осуществлено стресс-тестирование, в рамках которого моделировались:</w:t>
      </w:r>
    </w:p>
    <w:p w14:paraId="271F6E88">
      <w:pPr>
        <w:pStyle w:val="30"/>
        <w:spacing w:before="0" w:beforeAutospacing="0" w:after="0" w:afterAutospacing="0"/>
        <w:ind w:firstLine="709"/>
        <w:jc w:val="both"/>
        <w:rPr>
          <w:sz w:val="28"/>
          <w:szCs w:val="28"/>
        </w:rPr>
      </w:pPr>
      <w:r>
        <w:rPr>
          <w:sz w:val="28"/>
          <w:szCs w:val="28"/>
        </w:rPr>
        <w:t>- резкое снижение ВВП;</w:t>
      </w:r>
    </w:p>
    <w:p w14:paraId="7BE01FDC">
      <w:pPr>
        <w:pStyle w:val="30"/>
        <w:spacing w:before="0" w:beforeAutospacing="0" w:after="0" w:afterAutospacing="0"/>
        <w:ind w:firstLine="709"/>
        <w:jc w:val="both"/>
        <w:rPr>
          <w:sz w:val="28"/>
          <w:szCs w:val="28"/>
        </w:rPr>
      </w:pPr>
      <w:r>
        <w:rPr>
          <w:sz w:val="28"/>
          <w:szCs w:val="28"/>
        </w:rPr>
        <w:t>- рост процентных ставок;</w:t>
      </w:r>
    </w:p>
    <w:p w14:paraId="60332D8F">
      <w:pPr>
        <w:pStyle w:val="30"/>
        <w:spacing w:before="0" w:beforeAutospacing="0" w:after="0" w:afterAutospacing="0"/>
        <w:ind w:firstLine="709"/>
        <w:jc w:val="both"/>
        <w:rPr>
          <w:sz w:val="28"/>
          <w:szCs w:val="28"/>
        </w:rPr>
      </w:pPr>
      <w:r>
        <w:rPr>
          <w:sz w:val="28"/>
          <w:szCs w:val="28"/>
        </w:rPr>
        <w:t>- девальвация национальной валюты;</w:t>
      </w:r>
    </w:p>
    <w:p w14:paraId="2667C3DB">
      <w:pPr>
        <w:pStyle w:val="30"/>
        <w:spacing w:before="0" w:beforeAutospacing="0" w:after="0" w:afterAutospacing="0"/>
        <w:ind w:firstLine="709"/>
        <w:jc w:val="both"/>
        <w:rPr>
          <w:sz w:val="28"/>
          <w:szCs w:val="28"/>
        </w:rPr>
      </w:pPr>
      <w:r>
        <w:rPr>
          <w:sz w:val="28"/>
          <w:szCs w:val="28"/>
        </w:rPr>
        <w:t>- ухудшение условий на рынке труда.</w:t>
      </w:r>
    </w:p>
    <w:p w14:paraId="75D17A87">
      <w:pPr>
        <w:pStyle w:val="30"/>
        <w:spacing w:before="0" w:beforeAutospacing="0" w:after="0" w:afterAutospacing="0"/>
        <w:ind w:firstLine="709"/>
        <w:jc w:val="both"/>
        <w:rPr>
          <w:sz w:val="28"/>
          <w:szCs w:val="28"/>
        </w:rPr>
      </w:pPr>
      <w:r>
        <w:rPr>
          <w:sz w:val="28"/>
          <w:szCs w:val="28"/>
        </w:rPr>
        <w:t>Результаты стресс-тестирования позволяют оценить потенциальный рост NPL в экономиках с переходным и сырьевым характером развития.</w:t>
      </w:r>
    </w:p>
    <w:p w14:paraId="0056824F">
      <w:pPr>
        <w:pStyle w:val="30"/>
        <w:spacing w:before="0" w:beforeAutospacing="0" w:after="0" w:afterAutospacing="0"/>
        <w:ind w:firstLine="709"/>
        <w:jc w:val="both"/>
        <w:rPr>
          <w:sz w:val="28"/>
          <w:szCs w:val="28"/>
        </w:rPr>
      </w:pPr>
      <w:r>
        <w:rPr>
          <w:sz w:val="28"/>
          <w:szCs w:val="28"/>
        </w:rPr>
        <w:t>Принципиально новым является наш подход к тестированию показателей. Мы тестировали не прямое влияние отдельных показателей, а рассматривали их в качестве посредников для экономических факторов. Это может выявить более сложную структуру взаимосвязи факторов, когда они в совместном взаимодействии изменяют окончательный эффект на NPL. С этой целью для исследования взаимосвязи между переменными был применен метод PLS-SEM, дополняющий другие современные статистические инструменты, использованные в диссертации, такие как модели авторегрессии (AR), модели скользящего среднего (MA) и авторегрессионные интегрированные модели скользящего среднего (AR/MA).</w:t>
      </w:r>
    </w:p>
    <w:p w14:paraId="11D1CE85">
      <w:pPr>
        <w:pStyle w:val="30"/>
        <w:spacing w:before="0" w:beforeAutospacing="0" w:after="0" w:afterAutospacing="0"/>
        <w:ind w:firstLine="709"/>
        <w:jc w:val="both"/>
        <w:rPr>
          <w:sz w:val="28"/>
          <w:szCs w:val="28"/>
        </w:rPr>
      </w:pPr>
      <w:r>
        <w:rPr>
          <w:sz w:val="28"/>
          <w:szCs w:val="28"/>
        </w:rPr>
        <w:t xml:space="preserve">Моделирование структурными уравнениями методом частных наименьших квадратов (PLS-SEM) было использовано для изучения структурных взаимосвязей между макроэкономическими, финансовыми, </w:t>
      </w:r>
      <w:r>
        <w:rPr>
          <w:rFonts w:eastAsia="Times-Roman"/>
          <w:color w:val="000000"/>
          <w:sz w:val="28"/>
          <w:szCs w:val="28"/>
        </w:rPr>
        <w:t>внешнеэкономическими</w:t>
      </w:r>
      <w:r>
        <w:rPr>
          <w:sz w:val="28"/>
          <w:szCs w:val="28"/>
        </w:rPr>
        <w:t xml:space="preserve"> и социальными факторами и уровнем NPL в банковском секторе Казахстана.</w:t>
      </w:r>
    </w:p>
    <w:p w14:paraId="38EC722D">
      <w:pPr>
        <w:pStyle w:val="30"/>
        <w:spacing w:before="0" w:beforeAutospacing="0" w:after="0" w:afterAutospacing="0"/>
        <w:ind w:firstLine="709"/>
        <w:jc w:val="both"/>
        <w:rPr>
          <w:sz w:val="28"/>
          <w:szCs w:val="28"/>
        </w:rPr>
      </w:pPr>
      <w:r>
        <w:rPr>
          <w:sz w:val="28"/>
          <w:szCs w:val="28"/>
        </w:rPr>
        <w:t>Были отобраны макроэкономические показатели, традиционно используемые для прогнозирования NPL: реальный ВВП, темпы роста ВВП, инфляция. Учитывая сырьевой характер экономики нашей страны, были включены также скрытые переменные, отражающие иностранное влияние на NPL. В исследования также были включены скрытые переменные «Социальные факторы» и «Сберегательные факторы», т.к. социальные факторы влияют на сберегательное поведение людей.</w:t>
      </w:r>
    </w:p>
    <w:p w14:paraId="61E4F07C">
      <w:pPr>
        <w:pStyle w:val="30"/>
        <w:spacing w:before="0" w:beforeAutospacing="0" w:after="0" w:afterAutospacing="0"/>
        <w:ind w:firstLine="709"/>
        <w:jc w:val="both"/>
        <w:rPr>
          <w:sz w:val="28"/>
          <w:szCs w:val="28"/>
        </w:rPr>
      </w:pPr>
      <w:r>
        <w:rPr>
          <w:sz w:val="28"/>
          <w:szCs w:val="28"/>
        </w:rPr>
        <w:t>Концептуальная модель влияния макроэкономических факторов на NPL была построена на основе пяти скрытых переменных:</w:t>
      </w:r>
    </w:p>
    <w:p w14:paraId="26EAA3AF">
      <w:pPr>
        <w:pStyle w:val="30"/>
        <w:spacing w:before="0" w:beforeAutospacing="0" w:after="0" w:afterAutospacing="0"/>
        <w:ind w:firstLine="709"/>
        <w:jc w:val="both"/>
        <w:rPr>
          <w:sz w:val="28"/>
          <w:szCs w:val="28"/>
        </w:rPr>
      </w:pPr>
      <w:r>
        <w:rPr>
          <w:sz w:val="28"/>
          <w:szCs w:val="28"/>
        </w:rPr>
        <w:t xml:space="preserve">- Макроэкономические факторы (М) -ВВП, темпы роста ВВП; </w:t>
      </w:r>
    </w:p>
    <w:p w14:paraId="129633DD">
      <w:pPr>
        <w:pStyle w:val="30"/>
        <w:spacing w:before="0" w:beforeAutospacing="0" w:after="0" w:afterAutospacing="0"/>
        <w:ind w:firstLine="709"/>
        <w:jc w:val="both"/>
        <w:rPr>
          <w:sz w:val="28"/>
          <w:szCs w:val="28"/>
        </w:rPr>
      </w:pPr>
      <w:r>
        <w:rPr>
          <w:sz w:val="28"/>
          <w:szCs w:val="28"/>
        </w:rPr>
        <w:t>- Социальные факторы (Soc) – уровень безработицы, квинтильный коэффициент, индекс Джини</w:t>
      </w:r>
    </w:p>
    <w:p w14:paraId="27505D1C">
      <w:pPr>
        <w:pStyle w:val="30"/>
        <w:spacing w:before="0" w:beforeAutospacing="0" w:after="0" w:afterAutospacing="0"/>
        <w:ind w:firstLine="709"/>
        <w:jc w:val="both"/>
        <w:rPr>
          <w:sz w:val="28"/>
          <w:szCs w:val="28"/>
        </w:rPr>
      </w:pPr>
      <w:r>
        <w:rPr>
          <w:sz w:val="28"/>
          <w:szCs w:val="28"/>
        </w:rPr>
        <w:t>- Сберегательные факторы (S) – депозиты домохозяйств, остаток на счетах домохозяйств, общие банковские депозиты</w:t>
      </w:r>
    </w:p>
    <w:p w14:paraId="5110BB03">
      <w:pPr>
        <w:pStyle w:val="30"/>
        <w:spacing w:before="0" w:beforeAutospacing="0" w:after="0" w:afterAutospacing="0"/>
        <w:ind w:firstLine="709"/>
        <w:jc w:val="both"/>
        <w:rPr>
          <w:sz w:val="28"/>
          <w:szCs w:val="28"/>
        </w:rPr>
      </w:pPr>
      <w:r>
        <w:rPr>
          <w:sz w:val="28"/>
          <w:szCs w:val="28"/>
        </w:rPr>
        <w:t xml:space="preserve">- </w:t>
      </w:r>
      <w:r>
        <w:rPr>
          <w:rFonts w:eastAsia="Times-Roman"/>
          <w:color w:val="000000"/>
          <w:sz w:val="28"/>
          <w:szCs w:val="28"/>
        </w:rPr>
        <w:t>Внешнеэкономические</w:t>
      </w:r>
      <w:r>
        <w:rPr>
          <w:sz w:val="28"/>
          <w:szCs w:val="28"/>
        </w:rPr>
        <w:t xml:space="preserve"> факторы (F)- государственный долг, обменный курс, прямые иностранные инвестиции</w:t>
      </w:r>
    </w:p>
    <w:p w14:paraId="09E332A4">
      <w:pPr>
        <w:pStyle w:val="30"/>
        <w:spacing w:before="0" w:beforeAutospacing="0" w:after="0" w:afterAutospacing="0"/>
        <w:ind w:firstLine="709"/>
        <w:jc w:val="both"/>
        <w:rPr>
          <w:sz w:val="28"/>
          <w:szCs w:val="28"/>
        </w:rPr>
      </w:pPr>
      <w:r>
        <w:rPr>
          <w:sz w:val="28"/>
          <w:szCs w:val="28"/>
        </w:rPr>
        <w:t>- NPL – проблемные кредиты физических лиц, проблемные кредиты юридических лиц.</w:t>
      </w:r>
    </w:p>
    <w:p w14:paraId="6C1A7B2B">
      <w:pPr>
        <w:pStyle w:val="30"/>
        <w:spacing w:before="0" w:beforeAutospacing="0" w:after="0" w:afterAutospacing="0"/>
        <w:ind w:firstLine="709"/>
        <w:jc w:val="both"/>
        <w:rPr>
          <w:sz w:val="28"/>
          <w:szCs w:val="28"/>
        </w:rPr>
      </w:pPr>
      <w:r>
        <w:rPr>
          <w:sz w:val="28"/>
          <w:szCs w:val="28"/>
        </w:rPr>
        <w:t>Модель была построена и оценена в программном обеспечении Smart-PLS4.0</w:t>
      </w:r>
    </w:p>
    <w:p w14:paraId="4EF4064C">
      <w:pPr>
        <w:pStyle w:val="30"/>
        <w:spacing w:before="0" w:beforeAutospacing="0" w:after="0" w:afterAutospacing="0"/>
        <w:ind w:firstLine="709"/>
        <w:jc w:val="both"/>
        <w:rPr>
          <w:sz w:val="28"/>
          <w:szCs w:val="28"/>
        </w:rPr>
      </w:pPr>
      <w:r>
        <w:rPr>
          <w:sz w:val="28"/>
          <w:szCs w:val="28"/>
        </w:rPr>
        <w:t>Сгенерированная нами структурная модель позволила выявить следующие взаимосвязи:</w:t>
      </w:r>
    </w:p>
    <w:p w14:paraId="02A27E2F">
      <w:pPr>
        <w:pStyle w:val="30"/>
        <w:numPr>
          <w:ilvl w:val="0"/>
          <w:numId w:val="22"/>
        </w:numPr>
        <w:spacing w:before="0" w:beforeAutospacing="0" w:after="0" w:afterAutospacing="0"/>
        <w:jc w:val="both"/>
        <w:rPr>
          <w:sz w:val="28"/>
          <w:szCs w:val="28"/>
        </w:rPr>
      </w:pPr>
      <w:r>
        <w:rPr>
          <w:sz w:val="28"/>
          <w:szCs w:val="28"/>
        </w:rPr>
        <w:t>Макроэкономические факторы значительно и отрицательно влияют на уровень NPL</w:t>
      </w:r>
    </w:p>
    <w:p w14:paraId="2ECF8C1E">
      <w:pPr>
        <w:pStyle w:val="30"/>
        <w:numPr>
          <w:ilvl w:val="0"/>
          <w:numId w:val="22"/>
        </w:numPr>
        <w:spacing w:before="0" w:beforeAutospacing="0" w:after="0" w:afterAutospacing="0"/>
        <w:jc w:val="both"/>
        <w:rPr>
          <w:sz w:val="28"/>
          <w:szCs w:val="28"/>
        </w:rPr>
      </w:pPr>
      <w:r>
        <w:rPr>
          <w:rFonts w:eastAsia="Times-Roman"/>
          <w:color w:val="000000"/>
          <w:sz w:val="28"/>
          <w:szCs w:val="28"/>
        </w:rPr>
        <w:t>внешнеэкономически</w:t>
      </w:r>
      <w:r>
        <w:rPr>
          <w:sz w:val="28"/>
          <w:szCs w:val="28"/>
        </w:rPr>
        <w:t>е факторы выступают в качестве медиатора, усиливающие отрицательное влияние макроэкономических факторов на NPL</w:t>
      </w:r>
    </w:p>
    <w:p w14:paraId="6B3F39D5">
      <w:pPr>
        <w:pStyle w:val="30"/>
        <w:numPr>
          <w:ilvl w:val="0"/>
          <w:numId w:val="22"/>
        </w:numPr>
        <w:spacing w:before="0" w:beforeAutospacing="0" w:after="0" w:afterAutospacing="0"/>
        <w:jc w:val="both"/>
        <w:rPr>
          <w:sz w:val="28"/>
          <w:szCs w:val="28"/>
        </w:rPr>
      </w:pPr>
      <w:r>
        <w:rPr>
          <w:sz w:val="28"/>
          <w:szCs w:val="28"/>
        </w:rPr>
        <w:t>Сберегательные факторы не оказывают значимого опосредованного влияния на взаимосвязь между макроэкономическими факторами и NPL</w:t>
      </w:r>
    </w:p>
    <w:p w14:paraId="739A968A">
      <w:pPr>
        <w:pStyle w:val="30"/>
        <w:numPr>
          <w:ilvl w:val="0"/>
          <w:numId w:val="22"/>
        </w:numPr>
        <w:spacing w:before="0" w:beforeAutospacing="0" w:after="0" w:afterAutospacing="0"/>
        <w:jc w:val="both"/>
        <w:rPr>
          <w:sz w:val="28"/>
          <w:szCs w:val="28"/>
        </w:rPr>
      </w:pPr>
      <w:r>
        <w:rPr>
          <w:sz w:val="28"/>
          <w:szCs w:val="28"/>
        </w:rPr>
        <w:t>Социальные факторы не оказывают значимого опосредованного влияния на взаимосвязь между макроэкономическими факторами и NPL[23]</w:t>
      </w:r>
    </w:p>
    <w:p w14:paraId="0C8E1735">
      <w:pPr>
        <w:pStyle w:val="30"/>
        <w:spacing w:before="0" w:beforeAutospacing="0" w:after="0" w:afterAutospacing="0"/>
        <w:ind w:firstLine="709"/>
        <w:jc w:val="both"/>
        <w:rPr>
          <w:sz w:val="28"/>
          <w:szCs w:val="28"/>
        </w:rPr>
      </w:pPr>
      <w:r>
        <w:rPr>
          <w:sz w:val="28"/>
          <w:szCs w:val="28"/>
        </w:rPr>
        <w:t xml:space="preserve">При исследовании взаимосвязи между различными макропоказателями и NPL нами были использованы не изолированные показатели, мы объединили их в комплексные скрытые переменные, которые были затем проанализированы при помощи PLS-SEM. </w:t>
      </w:r>
    </w:p>
    <w:p w14:paraId="421D1576">
      <w:pPr>
        <w:pStyle w:val="30"/>
        <w:spacing w:before="0" w:beforeAutospacing="0" w:after="0" w:afterAutospacing="0"/>
        <w:ind w:firstLine="709"/>
        <w:jc w:val="both"/>
        <w:rPr>
          <w:sz w:val="28"/>
          <w:szCs w:val="28"/>
        </w:rPr>
      </w:pPr>
      <w:r>
        <w:rPr>
          <w:sz w:val="28"/>
          <w:szCs w:val="28"/>
        </w:rPr>
        <w:t xml:space="preserve">Наше исследование поднимает вопросы о роли социальных факторов и факторов сбережений в динамике кредитного риска в Республике Казахстан. </w:t>
      </w:r>
    </w:p>
    <w:p w14:paraId="70CD1519">
      <w:pPr>
        <w:pStyle w:val="30"/>
        <w:spacing w:before="0" w:beforeAutospacing="0" w:after="0" w:afterAutospacing="0"/>
        <w:ind w:firstLine="709"/>
        <w:jc w:val="both"/>
        <w:rPr>
          <w:sz w:val="28"/>
          <w:szCs w:val="28"/>
        </w:rPr>
      </w:pPr>
      <w:r>
        <w:rPr>
          <w:sz w:val="28"/>
          <w:szCs w:val="28"/>
        </w:rPr>
        <w:t>Выявленная в исследовании зависимость динамики проблемных активов банков Республики Казахстан от макроэкономических факторов обусловливает необходимость перехода от традиционных процедурных моделей к более гибким и результат-ориентированным инструментам. Одним из самых действенных инструментов является проектный подход, позволяющий структурировать процессы работы с проблемными активами с учетом временных, ресурсных и риск-параметров.</w:t>
      </w:r>
    </w:p>
    <w:p w14:paraId="06AF59FF">
      <w:pPr>
        <w:pStyle w:val="30"/>
        <w:spacing w:before="0" w:beforeAutospacing="0" w:after="0" w:afterAutospacing="0"/>
        <w:ind w:firstLine="709"/>
        <w:jc w:val="both"/>
        <w:rPr>
          <w:sz w:val="28"/>
          <w:szCs w:val="28"/>
        </w:rPr>
      </w:pPr>
      <w:r>
        <w:rPr>
          <w:sz w:val="28"/>
          <w:szCs w:val="28"/>
        </w:rPr>
        <w:t>В рамках основной цели диссертационного исследования была разработана математическая модель проектного подхода в управлении проблемными активами банков, кредитующих реальный сектор экономики.</w:t>
      </w:r>
    </w:p>
    <w:p w14:paraId="23FC2C3F">
      <w:pPr>
        <w:pStyle w:val="37"/>
        <w:rPr>
          <w:sz w:val="28"/>
          <w:szCs w:val="28"/>
        </w:rPr>
      </w:pPr>
      <w:r>
        <w:rPr>
          <w:sz w:val="28"/>
          <w:szCs w:val="28"/>
        </w:rPr>
        <w:t xml:space="preserve">В настоящей работе представлена модель банковской системы Республики Казахстан, которая будет описана посредством взаимодействия четырех экономических агентов: </w:t>
      </w:r>
    </w:p>
    <w:p w14:paraId="1C3A3DE3">
      <w:pPr>
        <w:pStyle w:val="37"/>
        <w:ind w:left="360" w:firstLine="0"/>
        <w:rPr>
          <w:sz w:val="28"/>
          <w:szCs w:val="28"/>
        </w:rPr>
      </w:pPr>
      <w:r>
        <w:rPr>
          <w:sz w:val="28"/>
          <w:szCs w:val="28"/>
        </w:rPr>
        <w:t xml:space="preserve">- банки второго уровня с нормальными активами – коммерческие банки (банки </w:t>
      </w:r>
      <w:r>
        <w:rPr>
          <w:position w:val="-6"/>
          <w:sz w:val="28"/>
          <w:szCs w:val="28"/>
        </w:rPr>
        <w:object>
          <v:shape id="_x0000_i1728" o:spt="75" type="#_x0000_t75" style="height:11.25pt;width:9.75pt;" o:ole="t" filled="f" o:preferrelative="t" stroked="f" coordsize="21600,21600">
            <v:path/>
            <v:fill on="f" focussize="0,0"/>
            <v:stroke on="f" joinstyle="miter"/>
            <v:imagedata r:id="rId46" o:title=""/>
            <o:lock v:ext="edit" aspectratio="t"/>
            <w10:wrap type="none"/>
            <w10:anchorlock/>
          </v:shape>
          <o:OLEObject Type="Embed" ProgID="Equation.DSMT4" ShapeID="_x0000_i1728" DrawAspect="Content" ObjectID="_1468076428" r:id="rId1242">
            <o:LockedField>false</o:LockedField>
          </o:OLEObject>
        </w:object>
      </w:r>
      <w:r>
        <w:rPr>
          <w:sz w:val="28"/>
          <w:szCs w:val="28"/>
        </w:rPr>
        <w:t xml:space="preserve">); </w:t>
      </w:r>
    </w:p>
    <w:p w14:paraId="0164EE82">
      <w:pPr>
        <w:pStyle w:val="37"/>
        <w:ind w:left="360" w:firstLine="0"/>
        <w:rPr>
          <w:sz w:val="28"/>
          <w:szCs w:val="28"/>
        </w:rPr>
      </w:pPr>
      <w:r>
        <w:rPr>
          <w:sz w:val="28"/>
          <w:szCs w:val="28"/>
        </w:rPr>
        <w:t xml:space="preserve">- специализированные подразделения банков второго уровня по работе с проблемными активами – «плохой банк», в который включены все специализированные подразделения коммерческих банков (банк </w:t>
      </w:r>
      <w:r>
        <w:rPr>
          <w:position w:val="-6"/>
          <w:sz w:val="28"/>
          <w:szCs w:val="28"/>
        </w:rPr>
        <w:object>
          <v:shape id="_x0000_i1729" o:spt="75" type="#_x0000_t75" style="height:13.5pt;width:9.75pt;" o:ole="t" filled="f" o:preferrelative="t" stroked="f" coordsize="21600,21600">
            <v:path/>
            <v:fill on="f" focussize="0,0"/>
            <v:stroke on="f" joinstyle="miter"/>
            <v:imagedata r:id="rId48" o:title=""/>
            <o:lock v:ext="edit" aspectratio="t"/>
            <w10:wrap type="none"/>
            <w10:anchorlock/>
          </v:shape>
          <o:OLEObject Type="Embed" ProgID="Equation.DSMT4" ShapeID="_x0000_i1729" DrawAspect="Content" ObjectID="_1468076429" r:id="rId1243">
            <o:LockedField>false</o:LockedField>
          </o:OLEObject>
        </w:object>
      </w:r>
      <w:r>
        <w:rPr>
          <w:sz w:val="28"/>
          <w:szCs w:val="28"/>
        </w:rPr>
        <w:t xml:space="preserve">); </w:t>
      </w:r>
    </w:p>
    <w:p w14:paraId="181E97D1">
      <w:pPr>
        <w:pStyle w:val="37"/>
        <w:ind w:left="360" w:firstLine="0"/>
        <w:rPr>
          <w:sz w:val="28"/>
          <w:szCs w:val="28"/>
        </w:rPr>
      </w:pPr>
      <w:r>
        <w:rPr>
          <w:sz w:val="28"/>
          <w:szCs w:val="28"/>
        </w:rPr>
        <w:t xml:space="preserve">- центральный банк – Национальный банк Республики Казахстан (Регулятор </w:t>
      </w:r>
      <w:r>
        <w:rPr>
          <w:position w:val="-6"/>
          <w:sz w:val="28"/>
          <w:szCs w:val="28"/>
        </w:rPr>
        <w:object>
          <v:shape id="_x0000_i1730" o:spt="75" type="#_x0000_t75" style="height:11.25pt;width:9pt;" o:ole="t" filled="f" o:preferrelative="t" stroked="f" coordsize="21600,21600">
            <v:path/>
            <v:fill on="f" focussize="0,0"/>
            <v:stroke on="f" joinstyle="miter"/>
            <v:imagedata r:id="rId50" o:title=""/>
            <o:lock v:ext="edit" aspectratio="t"/>
            <w10:wrap type="none"/>
            <w10:anchorlock/>
          </v:shape>
          <o:OLEObject Type="Embed" ProgID="Equation.DSMT4" ShapeID="_x0000_i1730" DrawAspect="Content" ObjectID="_1468076430" r:id="rId1244">
            <o:LockedField>false</o:LockedField>
          </o:OLEObject>
        </w:object>
      </w:r>
      <w:r>
        <w:rPr>
          <w:sz w:val="28"/>
          <w:szCs w:val="28"/>
        </w:rPr>
        <w:t xml:space="preserve">); </w:t>
      </w:r>
    </w:p>
    <w:p w14:paraId="68B2F54E">
      <w:pPr>
        <w:pStyle w:val="37"/>
        <w:ind w:left="360" w:firstLine="0"/>
        <w:rPr>
          <w:sz w:val="28"/>
          <w:szCs w:val="28"/>
        </w:rPr>
      </w:pPr>
      <w:r>
        <w:rPr>
          <w:sz w:val="28"/>
          <w:szCs w:val="28"/>
        </w:rPr>
        <w:t xml:space="preserve">- государственный плохой банк – фонд проблемных активов – АО "Фонд проблемных кредитов" (фонд </w:t>
      </w:r>
      <w:r>
        <w:rPr>
          <w:position w:val="-6"/>
          <w:sz w:val="28"/>
          <w:szCs w:val="28"/>
        </w:rPr>
        <w:object>
          <v:shape id="_x0000_i1731" o:spt="75" type="#_x0000_t75" style="height:13.5pt;width:11.25pt;" o:ole="t" filled="f" o:preferrelative="t" stroked="f" coordsize="21600,21600">
            <v:path/>
            <v:fill on="f" focussize="0,0"/>
            <v:stroke on="f" joinstyle="miter"/>
            <v:imagedata r:id="rId52" o:title=""/>
            <o:lock v:ext="edit" aspectratio="t"/>
            <w10:wrap type="none"/>
            <w10:anchorlock/>
          </v:shape>
          <o:OLEObject Type="Embed" ProgID="Equation.DSMT4" ShapeID="_x0000_i1731" DrawAspect="Content" ObjectID="_1468076431" r:id="rId1245">
            <o:LockedField>false</o:LockedField>
          </o:OLEObject>
        </w:object>
      </w:r>
      <w:r>
        <w:rPr>
          <w:sz w:val="28"/>
          <w:szCs w:val="28"/>
        </w:rPr>
        <w:t xml:space="preserve">). </w:t>
      </w:r>
    </w:p>
    <w:p w14:paraId="3479A883">
      <w:pPr>
        <w:pStyle w:val="30"/>
        <w:spacing w:before="0" w:beforeAutospacing="0" w:after="0" w:afterAutospacing="0"/>
        <w:ind w:firstLine="709"/>
        <w:jc w:val="both"/>
        <w:rPr>
          <w:rFonts w:eastAsia="Calibri"/>
          <w:sz w:val="28"/>
          <w:szCs w:val="28"/>
        </w:rPr>
      </w:pPr>
      <w:r>
        <w:rPr>
          <w:rFonts w:eastAsia="Calibri"/>
          <w:sz w:val="28"/>
          <w:szCs w:val="28"/>
        </w:rPr>
        <w:t xml:space="preserve">В рамках математической модели банковской системы Казахстана для управления проблемными активами были рассмотрены функции всех четырех экономических агентов, а также сценарии движения проблемных активов. </w:t>
      </w:r>
    </w:p>
    <w:p w14:paraId="3A426C6D">
      <w:pPr>
        <w:pStyle w:val="30"/>
        <w:spacing w:before="0" w:beforeAutospacing="0" w:after="0" w:afterAutospacing="0"/>
        <w:ind w:firstLine="709"/>
        <w:jc w:val="both"/>
        <w:rPr>
          <w:rFonts w:eastAsia="Calibri"/>
          <w:sz w:val="28"/>
          <w:szCs w:val="28"/>
        </w:rPr>
      </w:pPr>
      <w:r>
        <w:rPr>
          <w:rFonts w:eastAsia="Calibri"/>
          <w:sz w:val="28"/>
          <w:szCs w:val="28"/>
        </w:rPr>
        <w:t>Основная проблема последствий финансового кризиса заключается в том, что банкротство крупных, системно значимых банков может распространиться на всю финансовую систему, что приведет к значительной дестабилизации в банковском секторе. Поэтому регулятор должен принять своевременные меры для повышения платежеспособности системообразующих банков. Модель предполагает, что сделки с фондом проблемных активов могут быть полезны в этом отношении</w:t>
      </w:r>
    </w:p>
    <w:p w14:paraId="21466C57">
      <w:pPr>
        <w:pStyle w:val="30"/>
        <w:spacing w:before="0" w:beforeAutospacing="0" w:after="0" w:afterAutospacing="0"/>
        <w:ind w:firstLine="709"/>
        <w:jc w:val="both"/>
        <w:rPr>
          <w:rFonts w:eastAsia="Calibri"/>
          <w:sz w:val="28"/>
          <w:szCs w:val="28"/>
        </w:rPr>
      </w:pPr>
      <w:r>
        <w:rPr>
          <w:rFonts w:eastAsia="Calibri"/>
          <w:sz w:val="28"/>
          <w:szCs w:val="28"/>
        </w:rPr>
        <w:t xml:space="preserve">- В результате финансового кризиса может также возникнуть кризис кредитования. В модели предусмотрена сделка «плохого» банка </w:t>
      </w:r>
      <w:r>
        <w:rPr>
          <w:rFonts w:eastAsia="Calibri"/>
          <w:i/>
          <w:iCs/>
          <w:sz w:val="28"/>
          <w:szCs w:val="28"/>
        </w:rPr>
        <w:t xml:space="preserve">b </w:t>
      </w:r>
      <w:r>
        <w:rPr>
          <w:rFonts w:eastAsia="Calibri"/>
          <w:sz w:val="28"/>
          <w:szCs w:val="28"/>
        </w:rPr>
        <w:t xml:space="preserve">с фондом проблемных активов </w:t>
      </w:r>
      <w:r>
        <w:rPr>
          <w:rFonts w:eastAsia="Calibri"/>
          <w:i/>
          <w:iCs/>
          <w:sz w:val="28"/>
          <w:szCs w:val="28"/>
        </w:rPr>
        <w:t>d,</w:t>
      </w:r>
      <w:r>
        <w:rPr>
          <w:rFonts w:eastAsia="Calibri"/>
          <w:sz w:val="28"/>
          <w:szCs w:val="28"/>
        </w:rPr>
        <w:t xml:space="preserve"> которая может способствовать новому кредитованию. Использование схемы фонда проблемных кредитов </w:t>
      </w:r>
      <w:r>
        <w:rPr>
          <w:rFonts w:eastAsia="Calibri"/>
          <w:i/>
          <w:iCs/>
          <w:sz w:val="28"/>
          <w:szCs w:val="28"/>
        </w:rPr>
        <w:t xml:space="preserve">d, </w:t>
      </w:r>
      <w:r>
        <w:rPr>
          <w:rFonts w:eastAsia="Calibri"/>
          <w:sz w:val="28"/>
          <w:szCs w:val="28"/>
        </w:rPr>
        <w:t xml:space="preserve">освобождает коммерческий банк </w:t>
      </w:r>
      <w:r>
        <w:rPr>
          <w:rFonts w:eastAsia="Calibri"/>
          <w:i/>
          <w:iCs/>
          <w:sz w:val="28"/>
          <w:szCs w:val="28"/>
        </w:rPr>
        <w:t xml:space="preserve">b </w:t>
      </w:r>
      <w:r>
        <w:rPr>
          <w:rFonts w:eastAsia="Calibri"/>
          <w:sz w:val="28"/>
          <w:szCs w:val="28"/>
        </w:rPr>
        <w:t xml:space="preserve">от его токсичных активов, по крайней мере, временно. Коммерческий банк получает при этом безопасные государственные облигации в обмен на свои проблемные активы. В отличие от проблемных активов обеспечение государственных облигаций капиталом не требуется. Таким образом, сделка с Фондом проблемных активов </w:t>
      </w:r>
      <w:r>
        <w:rPr>
          <w:rFonts w:eastAsia="Calibri"/>
          <w:i/>
          <w:iCs/>
          <w:sz w:val="28"/>
          <w:szCs w:val="28"/>
        </w:rPr>
        <w:t>d</w:t>
      </w:r>
      <w:r>
        <w:rPr>
          <w:rFonts w:eastAsia="Calibri"/>
          <w:sz w:val="28"/>
          <w:szCs w:val="28"/>
        </w:rPr>
        <w:t xml:space="preserve"> позволяет коммерческому банку </w:t>
      </w:r>
      <w:r>
        <w:rPr>
          <w:rFonts w:eastAsia="Calibri"/>
          <w:i/>
          <w:iCs/>
          <w:sz w:val="28"/>
          <w:szCs w:val="28"/>
        </w:rPr>
        <w:t xml:space="preserve">b </w:t>
      </w:r>
      <w:r>
        <w:rPr>
          <w:rFonts w:eastAsia="Calibri"/>
          <w:sz w:val="28"/>
          <w:szCs w:val="28"/>
        </w:rPr>
        <w:t xml:space="preserve">выдавать новые кредиты с максимальным объемом новых кредитов. </w:t>
      </w:r>
    </w:p>
    <w:p w14:paraId="25B6F7CF">
      <w:pPr>
        <w:pStyle w:val="30"/>
        <w:spacing w:before="0" w:beforeAutospacing="0" w:after="0" w:afterAutospacing="0"/>
        <w:ind w:firstLine="709"/>
        <w:jc w:val="both"/>
        <w:rPr>
          <w:rFonts w:eastAsia="Calibri"/>
          <w:sz w:val="28"/>
          <w:szCs w:val="28"/>
        </w:rPr>
      </w:pPr>
      <w:r>
        <w:rPr>
          <w:rFonts w:eastAsia="Calibri"/>
          <w:sz w:val="28"/>
          <w:szCs w:val="28"/>
        </w:rPr>
        <w:t>Проектный подход к антикризисному управлению проблемными активами банков является важным инструментом стратегического управления, внедрение которого способствует не только повышению качества кредитных портфелей и сокращению уровня NPL, но и укреплению банковского сектора в целом.</w:t>
      </w:r>
    </w:p>
    <w:p w14:paraId="774D8E7F">
      <w:pPr>
        <w:pStyle w:val="30"/>
        <w:spacing w:before="0" w:beforeAutospacing="0" w:after="0" w:afterAutospacing="0"/>
        <w:ind w:firstLine="709"/>
        <w:jc w:val="both"/>
        <w:rPr>
          <w:rFonts w:eastAsia="Calibri"/>
          <w:sz w:val="28"/>
          <w:szCs w:val="28"/>
        </w:rPr>
      </w:pPr>
      <w:r>
        <w:rPr>
          <w:rFonts w:eastAsia="Calibri"/>
          <w:sz w:val="28"/>
          <w:szCs w:val="28"/>
        </w:rPr>
        <w:t>На макроуровне формируется институциональная среда, обеспечивающая регулирование деятельности финансовых организаций, функционирование налогового режима и соблюдение принципов финансовой устойчивости. На этом уровне обеспечиваются механизмы взыскания задолженности, процедура банкротства, а также внесудебные формы урегулирования обязательств. Данные институты создают гарантии для эффективного функционирования системы обращения проблемных активов и минимизации рисков, связанных с неплатежеспособностью заемщиков [6,23].</w:t>
      </w:r>
    </w:p>
    <w:p w14:paraId="75609738">
      <w:pPr>
        <w:pStyle w:val="30"/>
        <w:spacing w:before="0" w:beforeAutospacing="0" w:after="0" w:afterAutospacing="0"/>
        <w:ind w:firstLine="709"/>
        <w:jc w:val="both"/>
        <w:rPr>
          <w:rFonts w:eastAsia="Calibri"/>
          <w:sz w:val="28"/>
          <w:szCs w:val="28"/>
        </w:rPr>
      </w:pPr>
      <w:r>
        <w:rPr>
          <w:rFonts w:eastAsia="Calibri"/>
          <w:sz w:val="28"/>
          <w:szCs w:val="28"/>
        </w:rPr>
        <w:t>На следующем мезоуровне регулирования стоит макропруденциальная политика ограничения системных и кредитных рисков для обеспечения устойчивости банковского сектора. Макропруденциальный надзор предусматривает нормативные ограничения по соотношению кредита и стоимости залога (LTV), долга к доходу заемщика (DTI), лимитов роста кредитования, чистой открытой валютной позиции и резервных требований.  Эти меры способствуют безопасному и сбалансированному развитию кредитного рынка и снижают вероятность накопления проблемных активов.</w:t>
      </w:r>
    </w:p>
    <w:p w14:paraId="15962D91">
      <w:pPr>
        <w:pStyle w:val="30"/>
        <w:spacing w:before="0" w:beforeAutospacing="0" w:after="0" w:afterAutospacing="0"/>
        <w:ind w:firstLine="709"/>
        <w:jc w:val="both"/>
        <w:rPr>
          <w:rFonts w:eastAsia="Calibri"/>
          <w:sz w:val="28"/>
          <w:szCs w:val="28"/>
        </w:rPr>
      </w:pPr>
      <w:r>
        <w:rPr>
          <w:rFonts w:eastAsia="Calibri"/>
          <w:sz w:val="28"/>
          <w:szCs w:val="28"/>
        </w:rPr>
        <w:t>Микроуровень надзора обеспечивается самими финансовыми организациями, которые осуществляют оценку качества активов, классификацию кредитов, порядок признания доходов по просроченным займам, а также формирования и списания проблемных кредитов.</w:t>
      </w:r>
    </w:p>
    <w:p w14:paraId="3D5ECEA5">
      <w:pPr>
        <w:pStyle w:val="30"/>
        <w:spacing w:before="0" w:beforeAutospacing="0" w:after="0" w:afterAutospacing="0"/>
        <w:ind w:firstLine="709"/>
        <w:jc w:val="both"/>
        <w:rPr>
          <w:rFonts w:eastAsia="Calibri"/>
          <w:sz w:val="28"/>
          <w:szCs w:val="28"/>
        </w:rPr>
      </w:pPr>
      <w:r>
        <w:rPr>
          <w:rFonts w:eastAsia="Calibri"/>
          <w:sz w:val="28"/>
          <w:szCs w:val="28"/>
        </w:rPr>
        <w:t>Последний уровень обеспечивает участие государства в процессе санации и реструктуризации проблемных активов. Он предусматривает специальные интервенции и процедуры по разрешению проблемных активов, а также создание специализированных компаний по управлению неработающими кредитами.</w:t>
      </w:r>
    </w:p>
    <w:p w14:paraId="792A67E7">
      <w:pPr>
        <w:pStyle w:val="30"/>
        <w:spacing w:before="0" w:beforeAutospacing="0" w:after="0" w:afterAutospacing="0"/>
        <w:ind w:firstLine="709"/>
        <w:jc w:val="both"/>
        <w:rPr>
          <w:sz w:val="28"/>
          <w:szCs w:val="28"/>
        </w:rPr>
      </w:pPr>
      <w:r>
        <w:rPr>
          <w:rFonts w:eastAsia="Calibri"/>
          <w:sz w:val="28"/>
          <w:szCs w:val="28"/>
        </w:rPr>
        <w:t>Таким образом, проектный результат-ориентированный подход в управлении проблемными активами подразумевает структурирование работы с каждым сложным активом как уникального проекта с четкими сроками и целями (возврат долга, реструктуризация), бюджетом и командой. Эффективность проекта повышается в случае использования модели проектного подхода в управлении проблемными активами, внедрения специализированных подразделений, проактивного мониторинга и использования методов проектного финансирования для реанимации проблемных активов.</w:t>
      </w:r>
    </w:p>
    <w:p w14:paraId="3CD4F498">
      <w:pPr>
        <w:pStyle w:val="30"/>
        <w:spacing w:before="0" w:beforeAutospacing="0" w:after="0" w:afterAutospacing="0"/>
        <w:ind w:firstLine="709"/>
        <w:jc w:val="both"/>
        <w:rPr>
          <w:sz w:val="28"/>
          <w:szCs w:val="28"/>
        </w:rPr>
      </w:pPr>
      <w:r>
        <w:rPr>
          <w:sz w:val="28"/>
          <w:szCs w:val="28"/>
        </w:rPr>
        <w:t xml:space="preserve"> В ходе исследования была выполнена комплексная работа по анализу проблемных активов банков, кредитующих реальный сектор экономики Республики Казахстан, и разработке модели проектного подхода к их управлению. </w:t>
      </w:r>
    </w:p>
    <w:p w14:paraId="50B8407D">
      <w:pPr>
        <w:pStyle w:val="30"/>
        <w:spacing w:before="0" w:beforeAutospacing="0" w:after="0" w:afterAutospacing="0"/>
        <w:ind w:firstLine="708"/>
        <w:jc w:val="both"/>
        <w:rPr>
          <w:sz w:val="28"/>
          <w:szCs w:val="28"/>
        </w:rPr>
      </w:pPr>
      <w:r>
        <w:rPr>
          <w:sz w:val="28"/>
          <w:szCs w:val="28"/>
        </w:rPr>
        <w:t>Следующим шагом после выбора оптимального сценария управления проблемными активами, описанного в математической модели, является разработка организационной модели проекта антикризисного управления непосредственно на предприятии. Для перехода от операционного управления к системному проектному подходу был адаптирован к применению международный стандарт проектного управления PMBOK, технологии которого позволяют превратить кризисную ситуацию в структурированный проект по оздоровлению и реанимации бизнеса с обеспечением стандартизации необходимых мероприятий на всех этапах проекта. Разработан пошаговый алгоритм проекта антикризисного управления предприятием на основе инструментария PMBOK: сформирована объединенная команда специалистов БВУ (ФПК) и предприятия, разработаны стратегии повышения рентабельности и конкурентоспособности. Выработаны оптимальные варианты реализации антикризисных мер, предусматривающие повышение эффективности и рационализацию производства, наращивание оборота денежных потоков, реструктуризацию кредиторской задолженности, оптимизацию затрат, ускорение оборачиваемости средств, продажу непрофильных активов и др.</w:t>
      </w:r>
    </w:p>
    <w:p w14:paraId="478ECA03">
      <w:pPr>
        <w:pStyle w:val="30"/>
        <w:spacing w:before="0" w:beforeAutospacing="0" w:after="0" w:afterAutospacing="0"/>
        <w:ind w:firstLine="708"/>
        <w:jc w:val="both"/>
        <w:rPr>
          <w:sz w:val="28"/>
          <w:szCs w:val="28"/>
        </w:rPr>
      </w:pPr>
      <w:r>
        <w:rPr>
          <w:sz w:val="28"/>
          <w:szCs w:val="28"/>
        </w:rPr>
        <w:t>Таким образом антикризисное проектное управление имеет целью не только предотвратить и преодолеть кризис предприятия, но и использовать любые возможности для его развития в этот сложный период.</w:t>
      </w:r>
    </w:p>
    <w:p w14:paraId="4BE89D52">
      <w:pPr>
        <w:pStyle w:val="30"/>
        <w:spacing w:before="0" w:beforeAutospacing="0" w:after="0" w:afterAutospacing="0"/>
        <w:ind w:firstLine="708"/>
        <w:jc w:val="both"/>
        <w:rPr>
          <w:sz w:val="28"/>
          <w:szCs w:val="28"/>
        </w:rPr>
      </w:pPr>
      <w:r>
        <w:rPr>
          <w:rStyle w:val="14"/>
          <w:b w:val="0"/>
          <w:bCs w:val="0"/>
          <w:sz w:val="28"/>
          <w:szCs w:val="28"/>
        </w:rPr>
        <w:t>Научная новизна исследования</w:t>
      </w:r>
      <w:r>
        <w:rPr>
          <w:sz w:val="28"/>
          <w:szCs w:val="28"/>
        </w:rPr>
        <w:t xml:space="preserve"> заключается в комплексной разработке методики проектного управления проблемными активами с учетом макроэкономических детерминант, специфики реального сектора экономики и особенностей банковской системы Казахстана. Разработана модель взаимодействия ключевых агентов и сценариев управления NPL, что позволяет повышать эффективность реструктуризации, минимизировать потери для банков и государства. Вместо процедуры банкротства и распродажи активов проектный подход позволяет сохранить производственные мощности и рабочие места и перевести проблемные активы из разряда юридических проблем в разряд инвестиционных проектов, что способствует развитию реального сектора экономики.</w:t>
      </w:r>
    </w:p>
    <w:p w14:paraId="35E83086">
      <w:pPr>
        <w:pStyle w:val="30"/>
        <w:spacing w:before="0" w:beforeAutospacing="0" w:after="0" w:afterAutospacing="0"/>
        <w:ind w:firstLine="708"/>
        <w:jc w:val="both"/>
        <w:rPr>
          <w:sz w:val="28"/>
          <w:szCs w:val="28"/>
        </w:rPr>
      </w:pPr>
      <w:r>
        <w:rPr>
          <w:rStyle w:val="14"/>
          <w:b w:val="0"/>
          <w:bCs w:val="0"/>
          <w:sz w:val="28"/>
          <w:szCs w:val="28"/>
        </w:rPr>
        <w:t>Практическая значимость</w:t>
      </w:r>
      <w:r>
        <w:rPr>
          <w:sz w:val="28"/>
          <w:szCs w:val="28"/>
        </w:rPr>
        <w:t xml:space="preserve"> работы заключается в возможности внедрения предложенного проектного подхода в деятельность банков второго уровня и органов регулирования. Результаты исследования могут использоваться для:</w:t>
      </w:r>
    </w:p>
    <w:p w14:paraId="279A6770">
      <w:pPr>
        <w:pStyle w:val="30"/>
        <w:spacing w:before="0" w:beforeAutospacing="0" w:after="0" w:afterAutospacing="0"/>
        <w:ind w:left="360"/>
        <w:jc w:val="both"/>
        <w:rPr>
          <w:sz w:val="28"/>
          <w:szCs w:val="28"/>
        </w:rPr>
      </w:pPr>
      <w:r>
        <w:rPr>
          <w:sz w:val="28"/>
          <w:szCs w:val="28"/>
        </w:rPr>
        <w:t>- формирования портфеля проблемных активов в виде управляемых проектов;</w:t>
      </w:r>
    </w:p>
    <w:p w14:paraId="697EF699">
      <w:pPr>
        <w:pStyle w:val="30"/>
        <w:spacing w:before="0" w:beforeAutospacing="0" w:after="0" w:afterAutospacing="0"/>
        <w:ind w:left="360"/>
        <w:jc w:val="both"/>
        <w:rPr>
          <w:sz w:val="28"/>
          <w:szCs w:val="28"/>
        </w:rPr>
      </w:pPr>
      <w:r>
        <w:rPr>
          <w:sz w:val="28"/>
          <w:szCs w:val="28"/>
        </w:rPr>
        <w:t>- планирования реструктуризации и санации проблемных кредитов;</w:t>
      </w:r>
    </w:p>
    <w:p w14:paraId="46C72D4A">
      <w:pPr>
        <w:pStyle w:val="30"/>
        <w:spacing w:before="0" w:beforeAutospacing="0" w:after="0" w:afterAutospacing="0"/>
        <w:ind w:left="360"/>
        <w:jc w:val="both"/>
        <w:rPr>
          <w:sz w:val="28"/>
          <w:szCs w:val="28"/>
        </w:rPr>
      </w:pPr>
      <w:r>
        <w:rPr>
          <w:sz w:val="28"/>
          <w:szCs w:val="28"/>
        </w:rPr>
        <w:t>- разработки инструментов контроля и оценки эффективности проектного управления;</w:t>
      </w:r>
    </w:p>
    <w:p w14:paraId="62214453">
      <w:pPr>
        <w:pStyle w:val="30"/>
        <w:spacing w:before="0" w:beforeAutospacing="0" w:after="0" w:afterAutospacing="0"/>
        <w:ind w:left="360"/>
        <w:jc w:val="both"/>
        <w:rPr>
          <w:sz w:val="28"/>
          <w:szCs w:val="28"/>
        </w:rPr>
      </w:pPr>
      <w:r>
        <w:rPr>
          <w:sz w:val="28"/>
          <w:szCs w:val="28"/>
        </w:rPr>
        <w:t>- снижения системных рисков банковской системы и минимизации расходов для государства.</w:t>
      </w:r>
    </w:p>
    <w:p w14:paraId="31471931">
      <w:pPr>
        <w:pStyle w:val="30"/>
        <w:spacing w:before="0" w:beforeAutospacing="0" w:after="0" w:afterAutospacing="0"/>
        <w:ind w:firstLine="708"/>
        <w:jc w:val="both"/>
        <w:rPr>
          <w:rStyle w:val="14"/>
          <w:rFonts w:eastAsiaTheme="minorHAnsi"/>
          <w:b w:val="0"/>
          <w:bCs w:val="0"/>
          <w:sz w:val="28"/>
          <w:szCs w:val="28"/>
        </w:rPr>
      </w:pPr>
      <w:r>
        <w:rPr>
          <w:rStyle w:val="14"/>
          <w:rFonts w:eastAsiaTheme="minorHAnsi"/>
          <w:b w:val="0"/>
          <w:bCs w:val="0"/>
          <w:sz w:val="28"/>
          <w:szCs w:val="28"/>
        </w:rPr>
        <w:t xml:space="preserve">Результаты диссертационного исследования позволяют утверждать, что переход на проектный подход в управлении проблемными активами в реальном секторе экономики является стратегически обоснованным, обеспечивает переход от пассивного ожидания и простой ликвидации бизнеса к реструктуризации активов и активному оздоровлению хозяйствующих субъектов, что позволяет сохранить производственные мощности и рабочие места. Методы проектного управления способствуют возобновлению активного кредитования и возврату неработающих активов в экономический оборот, а следовательно, росту финансовой устойчивости предприятий реального сектора экономики. </w:t>
      </w:r>
    </w:p>
    <w:p w14:paraId="0F9E3C01">
      <w:pPr>
        <w:pStyle w:val="30"/>
        <w:spacing w:before="0" w:beforeAutospacing="0" w:after="0" w:afterAutospacing="0"/>
        <w:ind w:firstLine="708"/>
        <w:jc w:val="both"/>
        <w:rPr>
          <w:rStyle w:val="14"/>
          <w:rFonts w:asciiTheme="minorHAnsi" w:hAnsiTheme="minorHAnsi" w:eastAsiaTheme="minorHAnsi" w:cstheme="minorBidi"/>
          <w:b w:val="0"/>
          <w:bCs w:val="0"/>
          <w:sz w:val="28"/>
          <w:szCs w:val="28"/>
        </w:rPr>
      </w:pPr>
    </w:p>
    <w:p w14:paraId="4470A59D">
      <w:pPr>
        <w:pStyle w:val="30"/>
        <w:spacing w:before="0" w:beforeAutospacing="0" w:after="0" w:afterAutospacing="0"/>
        <w:ind w:firstLine="708"/>
        <w:jc w:val="both"/>
        <w:rPr>
          <w:rStyle w:val="14"/>
          <w:rFonts w:asciiTheme="minorHAnsi" w:hAnsiTheme="minorHAnsi" w:eastAsiaTheme="minorHAnsi" w:cstheme="minorBidi"/>
          <w:b w:val="0"/>
          <w:bCs w:val="0"/>
          <w:sz w:val="28"/>
          <w:szCs w:val="28"/>
        </w:rPr>
      </w:pPr>
    </w:p>
    <w:p w14:paraId="308E5B2B">
      <w:pPr>
        <w:pStyle w:val="30"/>
        <w:spacing w:before="0" w:beforeAutospacing="0" w:after="0" w:afterAutospacing="0"/>
        <w:ind w:firstLine="708"/>
        <w:jc w:val="both"/>
        <w:rPr>
          <w:rStyle w:val="14"/>
          <w:rFonts w:asciiTheme="minorHAnsi" w:hAnsiTheme="minorHAnsi" w:eastAsiaTheme="minorHAnsi" w:cstheme="minorBidi"/>
          <w:b w:val="0"/>
          <w:bCs w:val="0"/>
          <w:sz w:val="28"/>
          <w:szCs w:val="28"/>
        </w:rPr>
      </w:pPr>
    </w:p>
    <w:p w14:paraId="604C4002">
      <w:pPr>
        <w:pStyle w:val="30"/>
        <w:spacing w:before="0" w:beforeAutospacing="0" w:after="0" w:afterAutospacing="0"/>
        <w:ind w:firstLine="708"/>
        <w:jc w:val="both"/>
        <w:rPr>
          <w:rStyle w:val="14"/>
          <w:rFonts w:asciiTheme="minorHAnsi" w:hAnsiTheme="minorHAnsi" w:eastAsiaTheme="minorHAnsi" w:cstheme="minorBidi"/>
          <w:b w:val="0"/>
          <w:bCs w:val="0"/>
          <w:sz w:val="28"/>
          <w:szCs w:val="28"/>
        </w:rPr>
      </w:pPr>
      <w:bookmarkStart w:id="32" w:name="_Toc219671676"/>
      <w:bookmarkStart w:id="33" w:name="_Hlk90244555"/>
      <w:r>
        <w:rPr>
          <w:rStyle w:val="14"/>
          <w:rFonts w:asciiTheme="minorHAnsi" w:hAnsiTheme="minorHAnsi" w:eastAsiaTheme="minorHAnsi" w:cstheme="minorBidi"/>
          <w:b w:val="0"/>
          <w:bCs w:val="0"/>
          <w:sz w:val="28"/>
          <w:szCs w:val="28"/>
        </w:rPr>
        <w:br w:type="page"/>
      </w:r>
    </w:p>
    <w:p w14:paraId="68408030">
      <w:pPr>
        <w:pStyle w:val="2"/>
        <w:spacing w:before="0" w:line="240" w:lineRule="auto"/>
        <w:jc w:val="center"/>
        <w:rPr>
          <w:rFonts w:ascii="Times New Roman" w:hAnsi="Times New Roman" w:cs="Times New Roman"/>
          <w:color w:val="auto"/>
        </w:rPr>
      </w:pPr>
      <w:r>
        <w:rPr>
          <w:rFonts w:ascii="Times New Roman" w:hAnsi="Times New Roman" w:cs="Times New Roman"/>
          <w:color w:val="auto"/>
        </w:rPr>
        <w:t>СПИСОК ИСПОЛЬЗОВАННЫХ ИСТОЧНИКОВ</w:t>
      </w:r>
      <w:bookmarkEnd w:id="32"/>
    </w:p>
    <w:p w14:paraId="0D82AE1F">
      <w:pPr>
        <w:spacing w:after="0" w:line="240" w:lineRule="auto"/>
        <w:jc w:val="both"/>
        <w:rPr>
          <w:rFonts w:ascii="Times New Roman" w:hAnsi="Times New Roman" w:cs="Times New Roman"/>
          <w:sz w:val="28"/>
          <w:szCs w:val="28"/>
        </w:rPr>
      </w:pPr>
    </w:p>
    <w:p w14:paraId="695E9853">
      <w:pPr>
        <w:pStyle w:val="32"/>
        <w:numPr>
          <w:ilvl w:val="0"/>
          <w:numId w:val="23"/>
        </w:numPr>
        <w:spacing w:after="0" w:line="240" w:lineRule="auto"/>
        <w:ind w:left="0" w:firstLine="709"/>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Post Committee on Banking Supervision. Principles for the Management of Credit Risk. — Basel: Bank for International Settlements. - 2024. — 48 p.</w:t>
      </w:r>
    </w:p>
    <w:p w14:paraId="6D06A9C7">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International Monetary Fund. Global Financial Stability Report: Safeguarding Financial Stability. — Washington, DC: International Monetary Fund. - 2024.- </w:t>
      </w:r>
      <w:r>
        <w:rPr>
          <w:rFonts w:ascii="Times New Roman" w:hAnsi="Times New Roman" w:eastAsia="Calibri" w:cs="Times New Roman"/>
          <w:kern w:val="2"/>
          <w:sz w:val="28"/>
          <w:szCs w:val="28"/>
        </w:rPr>
        <w:t>P.1-6</w:t>
      </w:r>
    </w:p>
    <w:p w14:paraId="33AC1A46">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World Bank. Resolving Non-Performing Loans: Policy Options. — Washington, DC: World Bank. - 2023. – 35 p.</w:t>
      </w:r>
    </w:p>
    <w:p w14:paraId="6C78C751">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European Central Bank. Guidance on non-performing exposures. — Frankfurt am Main: European Central Bank. - 2024. – 87 p.</w:t>
      </w:r>
    </w:p>
    <w:p w14:paraId="70837119">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Ассоциация финансистов Казахстана. Обзор банковского сектора Республики Казахстан за 2024 год. — Астана. 2025. https://afk.kz/ru/analytics/obzoryi-finansovogo-sektora/obzor-bvu-za-2024-god.html </w:t>
      </w:r>
    </w:p>
    <w:p w14:paraId="7D96C3E4">
      <w:pPr>
        <w:pStyle w:val="32"/>
        <w:numPr>
          <w:ilvl w:val="0"/>
          <w:numId w:val="23"/>
        </w:numPr>
        <w:tabs>
          <w:tab w:val="left" w:pos="284"/>
        </w:tabs>
        <w:spacing w:after="0" w:line="240" w:lineRule="auto"/>
        <w:ind w:left="0" w:firstLine="426"/>
        <w:jc w:val="both"/>
        <w:rPr>
          <w:rFonts w:ascii="Times New Roman" w:hAnsi="Times New Roman" w:cs="Times New Roman"/>
          <w:bCs/>
          <w:color w:val="000000"/>
          <w:sz w:val="28"/>
          <w:szCs w:val="28"/>
          <w:lang w:val="en-US"/>
        </w:rPr>
      </w:pPr>
      <w:r>
        <w:rPr>
          <w:rFonts w:ascii="Times New Roman" w:hAnsi="Times New Roman" w:cs="Times New Roman"/>
          <w:bCs/>
          <w:color w:val="000000"/>
          <w:sz w:val="28"/>
          <w:szCs w:val="28"/>
          <w:lang w:val="en-US"/>
        </w:rPr>
        <w:t>A.M. Kalimoldayev, B.M. Mukhamediev, N.N. Olenev «Distressed assets in a normative dynamic model of Kazakh economy»// IX international conference on optimization and applications OPTIMA 2018. DEStech Transactions on Computer Science and Engineering. -2018.- P. 177–187. doi: 10.12783/dtcse/ optim2018/27931;</w:t>
      </w:r>
    </w:p>
    <w:p w14:paraId="1BE5ECC1">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 </w:t>
      </w:r>
      <w:r>
        <w:rPr>
          <w:rFonts w:ascii="Times New Roman" w:hAnsi="Times New Roman" w:eastAsia="Calibri" w:cs="Times New Roman"/>
          <w:kern w:val="2"/>
          <w:sz w:val="28"/>
          <w:szCs w:val="28"/>
        </w:rPr>
        <w:t>Национальный Банк Республики Казахстан. Отчёт о финансовой стабильности. — Астана. - НБ РК. - 2024.-108 c.</w:t>
      </w:r>
    </w:p>
    <w:p w14:paraId="5EB86361">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Bholat D., Lastra R. M., Markose S. M., Miglionico A., Sen K. Non‑performing loans at the dawn of IFRS 9: regulatory and accounting treatment of asset quality// Journal of Banking Regulation. -2018.- </w:t>
      </w:r>
      <w:r>
        <w:rPr>
          <w:rFonts w:ascii="Times New Roman" w:hAnsi="Times New Roman" w:eastAsia="Calibri" w:cs="Times New Roman"/>
          <w:kern w:val="2"/>
          <w:sz w:val="28"/>
          <w:szCs w:val="28"/>
        </w:rPr>
        <w:t xml:space="preserve">19(1). - P. 33–54. DOI:10.1057/s41261‑017‑0058‑8. </w:t>
      </w:r>
    </w:p>
    <w:p w14:paraId="62C97413">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Агентство РК по регулированию и развитию финансового рынка. Методические рекомендации по классификации активов и формированию провизий. Астана. 2024.  google.com/search?q=9%09Агентство+РК+по+регулированию+и+развитию+финансового+рынка.+Методические+рекомендации+по+классификации+активов+и+формированию+провизий.+Астана.</w:t>
      </w:r>
    </w:p>
    <w:p w14:paraId="6576F60F">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Non‑performing loan. Wikipedia article, обзор терминологии и международных подходов к NPL. Википедия </w:t>
      </w:r>
      <w:r>
        <w:fldChar w:fldCharType="begin"/>
      </w:r>
      <w:r>
        <w:instrText xml:space="preserve"> HYPERLINK "https://ru.wikipedia.org/Просроченный" </w:instrText>
      </w:r>
      <w:r>
        <w:fldChar w:fldCharType="separate"/>
      </w:r>
      <w:r>
        <w:rPr>
          <w:rStyle w:val="12"/>
          <w:rFonts w:ascii="Times New Roman" w:hAnsi="Times New Roman" w:eastAsia="Calibri" w:cs="Times New Roman"/>
          <w:kern w:val="2"/>
          <w:sz w:val="28"/>
          <w:szCs w:val="28"/>
        </w:rPr>
        <w:t>https://ru.wikipedia.org/Просроченный</w:t>
      </w:r>
      <w:r>
        <w:rPr>
          <w:rStyle w:val="12"/>
          <w:rFonts w:ascii="Times New Roman" w:hAnsi="Times New Roman" w:eastAsia="Calibri" w:cs="Times New Roman"/>
          <w:kern w:val="2"/>
          <w:sz w:val="28"/>
          <w:szCs w:val="28"/>
        </w:rPr>
        <w:fldChar w:fldCharType="end"/>
      </w:r>
      <w:r>
        <w:rPr>
          <w:rFonts w:ascii="Times New Roman" w:hAnsi="Times New Roman" w:eastAsia="Calibri" w:cs="Times New Roman"/>
          <w:kern w:val="2"/>
          <w:sz w:val="28"/>
          <w:szCs w:val="28"/>
        </w:rPr>
        <w:t xml:space="preserve"> кредит</w:t>
      </w:r>
    </w:p>
    <w:p w14:paraId="1FCA92A4">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Non‑Performing Loans as a Driver of Banking Distress: A Systematic Literature Review. </w:t>
      </w:r>
      <w:r>
        <w:rPr>
          <w:rFonts w:ascii="Times New Roman" w:hAnsi="Times New Roman" w:eastAsia="Calibri" w:cs="Times New Roman"/>
          <w:kern w:val="2"/>
          <w:sz w:val="28"/>
          <w:szCs w:val="28"/>
        </w:rPr>
        <w:t>MDPI. Обзор литературы по определениям NPL, включая институциональные и нормативные подходы. MDPI</w:t>
      </w:r>
    </w:p>
    <w:p w14:paraId="3968545A">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Методологические особенности формирования статистической информации по кредитам банков второго уровня (Национальный банк Казахстана), описание состава просроченной задолженности и её учёта. nationalbank.kz https://nationalbank.kz/file/download/88819</w:t>
      </w:r>
    </w:p>
    <w:p w14:paraId="7278D211">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IFRS 9 Международный стандарт финансовой отчётности: классификация и оценка финансовых инструментов, включая требования к обесценению. Wikipedia. https://ru.wikipedia.org/wiki/IFRS_9</w:t>
      </w:r>
    </w:p>
    <w:p w14:paraId="201FBA0F">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Alessi, L., &amp; Carletti, E. Cover your assets: Non-Performing Loans and coverage rations in Europe. – Oxford University Press. - 2021.- </w:t>
      </w:r>
      <w:r>
        <w:rPr>
          <w:rFonts w:ascii="Times New Roman" w:hAnsi="Times New Roman" w:eastAsia="Calibri" w:cs="Times New Roman"/>
          <w:kern w:val="2"/>
          <w:sz w:val="28"/>
          <w:szCs w:val="28"/>
        </w:rPr>
        <w:t>Vol.36.-P.685-733</w:t>
      </w:r>
    </w:p>
    <w:p w14:paraId="7C3189DE">
      <w:pPr>
        <w:pStyle w:val="32"/>
        <w:numPr>
          <w:ilvl w:val="0"/>
          <w:numId w:val="23"/>
        </w:numPr>
        <w:tabs>
          <w:tab w:val="left" w:pos="284"/>
        </w:tabs>
        <w:spacing w:after="0" w:line="240" w:lineRule="auto"/>
        <w:ind w:left="0"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lang w:val="en-US"/>
        </w:rPr>
        <w:t xml:space="preserve"> Ye. Popova O. Cernisevs S. Popovs A.M. Kalimoldayev «Financial institutions of emerging economies: contribution to risk assessment». </w:t>
      </w:r>
      <w:r>
        <w:fldChar w:fldCharType="begin"/>
      </w:r>
      <w:r>
        <w:rPr>
          <w:lang w:val="en-US"/>
        </w:rPr>
        <w:instrText xml:space="preserve">HYPERLINK "https://ideas.repec.org/s/gam/jrisks.html"</w:instrText>
      </w:r>
      <w:r>
        <w:fldChar w:fldCharType="separate"/>
      </w:r>
      <w:r>
        <w:rPr>
          <w:rFonts w:ascii="Times New Roman" w:hAnsi="Times New Roman" w:cs="Times New Roman" w:eastAsiaTheme="majorEastAsia"/>
          <w:color w:val="000000"/>
          <w:sz w:val="28"/>
          <w:szCs w:val="28"/>
        </w:rPr>
        <w:t>Risks</w:t>
      </w:r>
      <w:r>
        <w:fldChar w:fldCharType="end"/>
      </w:r>
      <w:r>
        <w:rPr>
          <w:rFonts w:ascii="Times New Roman" w:hAnsi="Times New Roman" w:cs="Times New Roman"/>
          <w:bCs/>
          <w:color w:val="000000"/>
          <w:sz w:val="28"/>
          <w:szCs w:val="28"/>
        </w:rPr>
        <w:t>. -2025. -Vol. 13(9). - P. 1-18;</w:t>
      </w:r>
    </w:p>
    <w:p w14:paraId="1383013D">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Национальный банк Республики Казахстан. Ежегодный отчет о состоянии банковской системы. – Алматы, 2023.</w:t>
      </w:r>
      <w:r>
        <w:t xml:space="preserve"> </w:t>
      </w:r>
      <w:r>
        <w:rPr>
          <w:rFonts w:ascii="Times New Roman" w:hAnsi="Times New Roman" w:eastAsia="Calibri" w:cs="Times New Roman"/>
          <w:kern w:val="2"/>
          <w:sz w:val="28"/>
          <w:szCs w:val="28"/>
        </w:rPr>
        <w:t>https://nationalbank.kz/ru/news/banks-performance/rubrics/2381</w:t>
      </w:r>
    </w:p>
    <w:p w14:paraId="23D330BE">
      <w:pPr>
        <w:pStyle w:val="32"/>
        <w:numPr>
          <w:ilvl w:val="0"/>
          <w:numId w:val="23"/>
        </w:numPr>
        <w:tabs>
          <w:tab w:val="left" w:pos="284"/>
        </w:tabs>
        <w:spacing w:after="0" w:line="240" w:lineRule="auto"/>
        <w:ind w:left="0"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A.M. Kalimoldayev «</w:t>
      </w:r>
      <w:r>
        <w:rPr>
          <w:rFonts w:ascii="Times New Roman" w:hAnsi="Times New Roman" w:cs="Times New Roman"/>
          <w:sz w:val="28"/>
          <w:szCs w:val="28"/>
          <w:lang w:val="en-US"/>
        </w:rPr>
        <w:t>Impact of macroeconomic indicators on non-performing loans (NPLs): Pilot research</w:t>
      </w:r>
      <w:r>
        <w:rPr>
          <w:rFonts w:ascii="Times New Roman" w:hAnsi="Times New Roman" w:cs="Times New Roman"/>
          <w:bCs/>
          <w:sz w:val="28"/>
          <w:szCs w:val="28"/>
          <w:lang w:val="en-US"/>
        </w:rPr>
        <w:t>» // 11th International Scientific Symposium “Economics, Business &amp; Finance”. 8th International Multidisciplinary Academic Conference (IMAC). The Institute of Research and International Symposiums “IRIS-ALKONA” Jurmala (Latvia). - 2025;</w:t>
      </w:r>
    </w:p>
    <w:p w14:paraId="7801A99C">
      <w:pPr>
        <w:pStyle w:val="32"/>
        <w:numPr>
          <w:ilvl w:val="0"/>
          <w:numId w:val="23"/>
        </w:numPr>
        <w:tabs>
          <w:tab w:val="left" w:pos="284"/>
        </w:tabs>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lang w:val="en-US"/>
        </w:rPr>
        <w:t>A.M. Kalimoldayev «</w:t>
      </w:r>
      <w:r>
        <w:rPr>
          <w:rFonts w:ascii="Times New Roman" w:hAnsi="Times New Roman" w:cs="Times New Roman"/>
          <w:sz w:val="28"/>
          <w:szCs w:val="28"/>
          <w:lang w:val="en-US"/>
        </w:rPr>
        <w:t>Algorithm of the project approach to anti-crisis management of banks' problem assets</w:t>
      </w:r>
      <w:r>
        <w:rPr>
          <w:rFonts w:ascii="Times New Roman" w:hAnsi="Times New Roman" w:cs="Times New Roman"/>
          <w:bCs/>
          <w:sz w:val="28"/>
          <w:szCs w:val="28"/>
          <w:lang w:val="en-US"/>
        </w:rPr>
        <w:t xml:space="preserve">» // 11th International Scientific Symposium “Economics, Business &amp; Finance”. 8th International Multidisciplinary Academic Conference (IMAC). The Institute of Research and International Symposiums “IRIS-ALKONA”. </w:t>
      </w:r>
      <w:r>
        <w:rPr>
          <w:rFonts w:ascii="Times New Roman" w:hAnsi="Times New Roman" w:cs="Times New Roman"/>
          <w:bCs/>
          <w:sz w:val="28"/>
          <w:szCs w:val="28"/>
        </w:rPr>
        <w:t>Jurmala (Latvia). - 2025;</w:t>
      </w:r>
    </w:p>
    <w:p w14:paraId="72D4B589">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IFRS Foundation. IFRS 9 Financial Instruments. – London, 2018. https://www.ifrs.org/issued-standards/list-of-standards/ifrs-9-financial-instruments/</w:t>
      </w:r>
    </w:p>
    <w:p w14:paraId="65455050">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Basel Committee on Banking Supervision. Basel III: Finalizing post-crisis reforms. – BIS, 2017.</w:t>
      </w:r>
    </w:p>
    <w:p w14:paraId="2F26FD88">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Лаврушин О. И. Банковские риски. /под ред. Лаврушина О.И., Валенцевой Н.И. — 3-е изд., перераб. и доп. — М.: КНОРУС, 2020. — 292 с.</w:t>
      </w:r>
    </w:p>
    <w:p w14:paraId="05D9168A">
      <w:pPr>
        <w:pStyle w:val="32"/>
        <w:numPr>
          <w:ilvl w:val="0"/>
          <w:numId w:val="23"/>
        </w:numPr>
        <w:tabs>
          <w:tab w:val="left" w:pos="284"/>
        </w:tabs>
        <w:spacing w:after="0" w:line="240" w:lineRule="auto"/>
        <w:ind w:left="0"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А.М. Калимолдаев, А.Т. Мазакова, Ж.А. Еркенғали, Т.Ж Мазаков, Ш.А. Джомартова «Программа размещения физических объектов»// Вестник КазУТБ. АО «Казахский университет технологии и бизнеса». -2022.- № 3 (16) – C. 55-64;</w:t>
      </w:r>
    </w:p>
    <w:p w14:paraId="74424E39">
      <w:pPr>
        <w:pStyle w:val="32"/>
        <w:numPr>
          <w:ilvl w:val="0"/>
          <w:numId w:val="23"/>
        </w:numPr>
        <w:tabs>
          <w:tab w:val="left" w:pos="284"/>
        </w:tabs>
        <w:spacing w:after="0" w:line="240" w:lineRule="auto"/>
        <w:ind w:left="0"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А.М. Калимолдаев., Н.Н. Оленев «Модель экономики Республики Казахстан с учетом проблемных активов»// Труды Института системного анализа Российской академии наук (ИСА РАН). г. Москва, -2018 г.- С.80-83</w:t>
      </w:r>
    </w:p>
    <w:p w14:paraId="2EBFD359">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World Bank. Resolution of non- performing loans – policy options. – Washington DC, 2020.-P.32</w:t>
      </w:r>
    </w:p>
    <w:p w14:paraId="101BD3E1">
      <w:pPr>
        <w:pStyle w:val="32"/>
        <w:numPr>
          <w:ilvl w:val="0"/>
          <w:numId w:val="23"/>
        </w:numPr>
        <w:tabs>
          <w:tab w:val="left" w:pos="284"/>
        </w:tabs>
        <w:spacing w:after="0" w:line="240" w:lineRule="auto"/>
        <w:ind w:left="0" w:firstLine="709"/>
        <w:jc w:val="both"/>
        <w:rPr>
          <w:rFonts w:ascii="Times New Roman" w:hAnsi="Times New Roman" w:cs="Times New Roman"/>
          <w:bCs/>
          <w:sz w:val="28"/>
          <w:szCs w:val="28"/>
        </w:rPr>
      </w:pPr>
      <w:bookmarkStart w:id="34" w:name="_Hlk223085424"/>
      <w:r>
        <w:rPr>
          <w:rFonts w:ascii="Times New Roman" w:hAnsi="Times New Roman" w:cs="Times New Roman"/>
          <w:bCs/>
          <w:sz w:val="28"/>
          <w:szCs w:val="28"/>
          <w:lang w:val="en-US"/>
        </w:rPr>
        <w:t>A.M. Kalimoldayev «</w:t>
      </w:r>
      <w:r>
        <w:rPr>
          <w:rFonts w:ascii="Times New Roman" w:hAnsi="Times New Roman" w:cs="Times New Roman"/>
          <w:sz w:val="28"/>
          <w:szCs w:val="28"/>
          <w:lang w:val="en-US"/>
        </w:rPr>
        <w:t>Impact of macroeconomic indicators on non-performing loans (NPLs): Pilot research</w:t>
      </w:r>
      <w:r>
        <w:rPr>
          <w:rFonts w:ascii="Times New Roman" w:hAnsi="Times New Roman" w:cs="Times New Roman"/>
          <w:bCs/>
          <w:sz w:val="28"/>
          <w:szCs w:val="28"/>
          <w:lang w:val="en-US"/>
        </w:rPr>
        <w:t xml:space="preserve">» // 11th International Scientific Symposium “Economics, Business &amp; Finance”. 8th International Multidisciplinary Academic Conference (IMAC). The Institute of Research and International Symposiums “IRIS-ALKONA” Jurmala (Latvia). – 2025-P. </w:t>
      </w:r>
      <w:r>
        <w:rPr>
          <w:rFonts w:ascii="Times New Roman" w:hAnsi="Times New Roman" w:cs="Times New Roman"/>
          <w:bCs/>
          <w:sz w:val="28"/>
          <w:szCs w:val="28"/>
        </w:rPr>
        <w:t>30-34</w:t>
      </w:r>
    </w:p>
    <w:bookmarkEnd w:id="34"/>
    <w:p w14:paraId="169C0A59">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Левин С. Забыть про NPL: почему нужно менять подход к оценке проблемных кредитов в Казахстане. </w:t>
      </w:r>
      <w:r>
        <w:fldChar w:fldCharType="begin"/>
      </w:r>
      <w:r>
        <w:instrText xml:space="preserve"> HYPERLINK "https://forbes.kz/articles/zabyit_pro_npl_pochemu_nujno_menyat_podhod_k_otsenke_problemnyih_kreditov_v_kazahstane" </w:instrText>
      </w:r>
      <w:r>
        <w:fldChar w:fldCharType="separate"/>
      </w:r>
      <w:r>
        <w:rPr>
          <w:rFonts w:ascii="Times New Roman" w:hAnsi="Times New Roman" w:eastAsia="Calibri" w:cs="Times New Roman"/>
          <w:color w:val="0563C1"/>
          <w:kern w:val="2"/>
          <w:sz w:val="28"/>
          <w:szCs w:val="28"/>
          <w:u w:val="single"/>
        </w:rPr>
        <w:t>https://forbes.kz/articles/zabyit_pro_npl_pochemu_nujno_menyat_podhod_k_otsenke_problemnyih_kreditov_v_kazahstane</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(дата обращения: 05.04.2023).</w:t>
      </w:r>
    </w:p>
    <w:p w14:paraId="7B45C73A">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Boudriga A., Taktak N., Jellouli S. Bank specific, business and institutional environment determinants of NPLs. – Economic Modelling, 2010.-P.25</w:t>
      </w:r>
    </w:p>
    <w:p w14:paraId="3EF9068A">
      <w:pPr>
        <w:pStyle w:val="32"/>
        <w:numPr>
          <w:ilvl w:val="0"/>
          <w:numId w:val="23"/>
        </w:numPr>
        <w:tabs>
          <w:tab w:val="left" w:pos="284"/>
        </w:tabs>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lang w:val="en-US"/>
        </w:rPr>
        <w:t xml:space="preserve">A.M. Kalimoldayev, </w:t>
      </w:r>
      <w:r>
        <w:rPr>
          <w:rFonts w:ascii="Times New Roman" w:hAnsi="Times New Roman" w:cs="Times New Roman"/>
          <w:bCs/>
          <w:sz w:val="28"/>
          <w:szCs w:val="28"/>
        </w:rPr>
        <w:t>А</w:t>
      </w:r>
      <w:r>
        <w:rPr>
          <w:rFonts w:ascii="Times New Roman" w:hAnsi="Times New Roman" w:cs="Times New Roman"/>
          <w:bCs/>
          <w:sz w:val="28"/>
          <w:szCs w:val="28"/>
          <w:lang w:val="en-US"/>
        </w:rPr>
        <w:t>.</w:t>
      </w:r>
      <w:r>
        <w:rPr>
          <w:rFonts w:ascii="Times New Roman" w:hAnsi="Times New Roman" w:cs="Times New Roman"/>
          <w:bCs/>
          <w:sz w:val="28"/>
          <w:szCs w:val="28"/>
        </w:rPr>
        <w:t>Т</w:t>
      </w:r>
      <w:r>
        <w:rPr>
          <w:rFonts w:ascii="Times New Roman" w:hAnsi="Times New Roman" w:cs="Times New Roman"/>
          <w:bCs/>
          <w:sz w:val="28"/>
          <w:szCs w:val="28"/>
          <w:lang w:val="en-US"/>
        </w:rPr>
        <w:t xml:space="preserve">. Mazakova, A.D. Burgegulov, A.A. Sametova, D.K. Mukhayev «Application of Digital Technologies for Ranking Loan Borrowers». </w:t>
      </w:r>
      <w:r>
        <w:rPr>
          <w:rFonts w:ascii="Times New Roman" w:hAnsi="Times New Roman" w:cs="Times New Roman"/>
          <w:bCs/>
          <w:sz w:val="28"/>
          <w:szCs w:val="28"/>
        </w:rPr>
        <w:t>Advances in Science, Technology and Innovation: Springer Nature. -2024. - P.105 – 109;</w:t>
      </w:r>
    </w:p>
    <w:p w14:paraId="727CA962">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Asian Development Bank. Managing Nonperforming Loans in Banks. – Manila. -2021. – P.8</w:t>
      </w:r>
    </w:p>
    <w:p w14:paraId="337AF8DB">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Халилова М. Х., Давыдов В. А</w:t>
      </w:r>
      <w:r>
        <w:rPr>
          <w:rFonts w:ascii="Times New Roman" w:hAnsi="Times New Roman" w:eastAsia="Calibri" w:cs="Times New Roman"/>
          <w:b/>
          <w:bCs/>
          <w:kern w:val="2"/>
          <w:sz w:val="28"/>
          <w:szCs w:val="28"/>
        </w:rPr>
        <w:t>.</w:t>
      </w:r>
      <w:r>
        <w:rPr>
          <w:rFonts w:ascii="Times New Roman" w:hAnsi="Times New Roman" w:eastAsia="Calibri" w:cs="Times New Roman"/>
          <w:kern w:val="2"/>
          <w:sz w:val="28"/>
          <w:szCs w:val="28"/>
        </w:rPr>
        <w:t xml:space="preserve"> Проблемные активы банка: оценка и управление. — М.: КноРус.- 2020. — 197 с. </w:t>
      </w:r>
    </w:p>
    <w:p w14:paraId="0FA9C4E6">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Помазанов М. В. Управление кредитным риском в банке: подход внутренних рейтингов (ПВР). — М.: Юрайт.- 2019. — 265 с. </w:t>
      </w:r>
    </w:p>
    <w:p w14:paraId="7EF36F23">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Bob Collins. Banking Industry and Non-Performing Assets (NPAs). </w:t>
      </w:r>
      <w:r>
        <w:rPr>
          <w:rFonts w:ascii="Times New Roman" w:hAnsi="Times New Roman" w:eastAsia="Calibri" w:cs="Times New Roman"/>
          <w:kern w:val="2"/>
          <w:sz w:val="28"/>
          <w:szCs w:val="28"/>
        </w:rPr>
        <w:t>Venus Books. - 2024. – P.239</w:t>
      </w:r>
    </w:p>
    <w:p w14:paraId="5BFB8BC6">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Gautami S., Kaluan N.B. Management of Non-Performing Assets in Banking Sector: Asset Classification and Trends of NPAs. -</w:t>
      </w:r>
      <w:r>
        <w:rPr>
          <w:rFonts w:ascii="Arial" w:hAnsi="Arial" w:cs="Arial"/>
          <w:color w:val="0F1111"/>
          <w:sz w:val="21"/>
          <w:szCs w:val="21"/>
          <w:shd w:val="clear" w:color="auto" w:fill="FFFFFF"/>
          <w:lang w:val="en-US"/>
        </w:rPr>
        <w:t xml:space="preserve"> </w:t>
      </w:r>
      <w:r>
        <w:rPr>
          <w:rFonts w:ascii="Times New Roman" w:hAnsi="Times New Roman" w:eastAsia="Calibri" w:cs="Times New Roman"/>
          <w:kern w:val="2"/>
          <w:sz w:val="28"/>
          <w:szCs w:val="28"/>
          <w:lang w:val="en-US"/>
        </w:rPr>
        <w:t>Eliva Press. -P. 102</w:t>
      </w:r>
    </w:p>
    <w:p w14:paraId="5C2E00B9">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S. N. Bidani. Managing Non-performing Assets in Banks /— Vision Books:  Orient Paperbacks,India . -2021. -P.192</w:t>
      </w:r>
    </w:p>
    <w:p w14:paraId="6BDE9238">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Sailaja, Y.; Alagirisamy, V. Theoretical Study On Non-Performing Assets in Banks: A Threat to Financial Stability// Revista Electronica De Veterinaria. </w:t>
      </w:r>
      <w:r>
        <w:rPr>
          <w:rFonts w:ascii="Times New Roman" w:hAnsi="Times New Roman" w:eastAsia="Calibri" w:cs="Times New Roman"/>
          <w:kern w:val="2"/>
          <w:sz w:val="28"/>
          <w:szCs w:val="28"/>
        </w:rPr>
        <w:t>Vol.25.-№ 1.- 2024. - С. 1875</w:t>
      </w:r>
    </w:p>
    <w:p w14:paraId="549C6674">
      <w:pPr>
        <w:pStyle w:val="32"/>
        <w:numPr>
          <w:ilvl w:val="0"/>
          <w:numId w:val="23"/>
        </w:numPr>
        <w:tabs>
          <w:tab w:val="left" w:pos="284"/>
        </w:tabs>
        <w:spacing w:after="0" w:line="240" w:lineRule="auto"/>
        <w:ind w:left="0" w:firstLine="709"/>
        <w:jc w:val="both"/>
        <w:rPr>
          <w:rFonts w:ascii="Times New Roman" w:hAnsi="Times New Roman" w:cs="Times New Roman"/>
          <w:bCs/>
          <w:color w:val="000000"/>
          <w:sz w:val="28"/>
          <w:szCs w:val="28"/>
          <w:lang w:val="en-US"/>
        </w:rPr>
      </w:pPr>
      <w:r>
        <w:rPr>
          <w:rFonts w:ascii="Times New Roman" w:hAnsi="Times New Roman" w:cs="Times New Roman"/>
          <w:bCs/>
          <w:color w:val="000000"/>
          <w:sz w:val="28"/>
          <w:szCs w:val="28"/>
          <w:lang w:val="en-US"/>
        </w:rPr>
        <w:t>A.M. Kalimoldayev, N.N. Olenev «A mathematical model of economy with distressed assets in the banking system» // New trends, strategies and structural changes in emerging markets. Conference proceedings of VII International conference. Moscow: RUDN University. -2018. -P.64-65;</w:t>
      </w:r>
    </w:p>
    <w:p w14:paraId="0F135094">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Рахимжанова  К., &amp; Макыш С. Система управления проблемными кредитами// Вестник Евразийского Национального университета им. Гумилева, Экономическая серия (2), С.135–146. </w:t>
      </w:r>
      <w:r>
        <w:fldChar w:fldCharType="begin"/>
      </w:r>
      <w:r>
        <w:instrText xml:space="preserve"> HYPERLINK "https://bulecon.enu.kz/index.php/main/article/view/399" </w:instrText>
      </w:r>
      <w:r>
        <w:fldChar w:fldCharType="separate"/>
      </w:r>
      <w:r>
        <w:rPr>
          <w:rFonts w:ascii="Times New Roman" w:hAnsi="Times New Roman" w:eastAsia="Calibri" w:cs="Times New Roman"/>
          <w:color w:val="0563C1"/>
          <w:kern w:val="2"/>
          <w:sz w:val="28"/>
          <w:szCs w:val="28"/>
          <w:u w:val="single"/>
        </w:rPr>
        <w:t>https://bulecon.enu.kz/index.php/main/article/view/399</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(дата обращения: 27.01.2023)</w:t>
      </w:r>
    </w:p>
    <w:p w14:paraId="7306E879">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 xml:space="preserve">Collins B. Banking Industry and Non-Performing Assets (NPAs). — Venus Books, 2024. — P. 239 </w:t>
      </w:r>
    </w:p>
    <w:p w14:paraId="6B115853">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Бубнов Ю.Б. О подходах и определению проблемной задолженности коммерческих банков//Baikal Researcher journal. -2017.-Vol.8. (2) C. 7.</w:t>
      </w:r>
      <w:r>
        <w:rPr>
          <w:rFonts w:ascii="Verdana" w:hAnsi="Verdana"/>
          <w:color w:val="1C6AB5"/>
          <w:sz w:val="27"/>
          <w:szCs w:val="27"/>
          <w:shd w:val="clear" w:color="auto" w:fill="FFFFFF"/>
        </w:rPr>
        <w:t xml:space="preserve"> </w:t>
      </w:r>
      <w:r>
        <w:rPr>
          <w:rFonts w:ascii="Times New Roman" w:hAnsi="Times New Roman" w:eastAsia="Calibri" w:cs="Times New Roman"/>
          <w:kern w:val="2"/>
          <w:sz w:val="28"/>
          <w:szCs w:val="28"/>
        </w:rPr>
        <w:t>DOI: 10.17150/2411-6262.2017.8(2).7</w:t>
      </w:r>
    </w:p>
    <w:p w14:paraId="1376576D">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Chauhan A., Roy S.K., Singhal S. A Systematic Literature Review on Non-Performing Assets in Public Sector Banks//Journal of Informatics Education and Research. – 2025.-Vol.5.-№ 2.- </w:t>
      </w:r>
      <w:r>
        <w:rPr>
          <w:rFonts w:ascii="Times New Roman" w:hAnsi="Times New Roman" w:eastAsia="Calibri" w:cs="Times New Roman"/>
          <w:kern w:val="2"/>
          <w:sz w:val="28"/>
          <w:szCs w:val="28"/>
        </w:rPr>
        <w:t xml:space="preserve">4242-4252 pp. </w:t>
      </w:r>
    </w:p>
    <w:p w14:paraId="3E049A09">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Помазанов М. В. Управление кредитным риском в банке: подход внутренних рейтингов. — М.: Юрайт, 2019. — 265 с.</w:t>
      </w:r>
    </w:p>
    <w:p w14:paraId="51960FE7">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Лаврушин О.И. Банковский менеджмент: теория и практика. – М.: КНОРУС, 2021.- 560 c.</w:t>
      </w:r>
    </w:p>
    <w:p w14:paraId="04ECF972">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Кантороева Г.К., Жоламанова М.Т., Жамиева А.Е. Кредитование реального сектора экономики банками Казахстана// Вестник ЕНУ им. Л.Н. Гумилева. Серия: Экономика. - 2019. - №4, С.141–150</w:t>
      </w:r>
    </w:p>
    <w:p w14:paraId="122A4CCE">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Сейткасимов Г. С. Банковское дело: организация и регулирование. — Алматы: Экономика, 2018. — 412 с.</w:t>
      </w:r>
    </w:p>
    <w:p w14:paraId="7BD12BC3">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Национальный Банк РК. Отчёт финансовой стабильности за 2000-2001 годы, стр. 94. URL: </w:t>
      </w:r>
      <w:r>
        <w:fldChar w:fldCharType="begin"/>
      </w:r>
      <w:r>
        <w:instrText xml:space="preserve"> HYPERLINK "http://www.nationalbank.kz/?docid=619&amp;switch-russian" </w:instrText>
      </w:r>
      <w:r>
        <w:fldChar w:fldCharType="separate"/>
      </w:r>
      <w:r>
        <w:rPr>
          <w:rFonts w:ascii="Times New Roman" w:hAnsi="Times New Roman" w:eastAsia="Calibri" w:cs="Times New Roman"/>
          <w:color w:val="0563C1"/>
          <w:kern w:val="2"/>
          <w:sz w:val="28"/>
          <w:szCs w:val="28"/>
          <w:u w:val="single"/>
        </w:rPr>
        <w:t>http://www.nationalbank.kz/?docid=619&amp;switch-russian</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w:t>
      </w:r>
    </w:p>
    <w:p w14:paraId="2288C922">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Кирьянов М. Зарубежный опыт работы с проблемными кредитами // Банковское дело. - 2009. -№1.</w:t>
      </w:r>
    </w:p>
    <w:p w14:paraId="7498E967">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К.К.Рахимжанова, С.Б. Макыш, Д.Д. Керимкулова. Қазақстан Республикасындағы екінші деңгейдегі банктердің проблемалық несиелері және оларды басқару әдістері. Л.Н. Гумилев атындағы Еуразия ұлттық университетінің Х</w:t>
      </w:r>
      <w:r>
        <w:rPr>
          <w:rFonts w:ascii="Times New Roman" w:hAnsi="Times New Roman" w:eastAsia="Times New Roman" w:cs="Times New Roman"/>
          <w:kern w:val="2"/>
          <w:sz w:val="28"/>
          <w:szCs w:val="28"/>
        </w:rPr>
        <w:t>абаршысы</w:t>
      </w:r>
      <w:r>
        <w:rPr>
          <w:rFonts w:ascii="Times New Roman" w:hAnsi="Times New Roman" w:eastAsia="Calibri" w:cs="Times New Roman"/>
          <w:kern w:val="2"/>
          <w:sz w:val="28"/>
          <w:szCs w:val="28"/>
        </w:rPr>
        <w:t xml:space="preserve">. Экономика сериясы. — 2025. — № 3. — P. 296–314. — DOI: </w:t>
      </w:r>
      <w:r>
        <w:fldChar w:fldCharType="begin"/>
      </w:r>
      <w:r>
        <w:instrText xml:space="preserve"> HYPERLINK "https://doi.org/10.32523/2789-4320-2024-3-296-314" </w:instrText>
      </w:r>
      <w:r>
        <w:fldChar w:fldCharType="separate"/>
      </w:r>
      <w:r>
        <w:rPr>
          <w:rFonts w:ascii="Times New Roman" w:hAnsi="Times New Roman" w:eastAsia="Calibri" w:cs="Times New Roman"/>
          <w:color w:val="0563C1"/>
          <w:kern w:val="2"/>
          <w:sz w:val="28"/>
          <w:szCs w:val="28"/>
          <w:u w:val="single"/>
        </w:rPr>
        <w:t>https://doi.org/10.32523/2789-4320-2024-3-296-314</w:t>
      </w:r>
      <w:r>
        <w:rPr>
          <w:rFonts w:ascii="Times New Roman" w:hAnsi="Times New Roman" w:eastAsia="Calibri" w:cs="Times New Roman"/>
          <w:color w:val="0563C1"/>
          <w:kern w:val="2"/>
          <w:sz w:val="28"/>
          <w:szCs w:val="28"/>
          <w:u w:val="single"/>
        </w:rPr>
        <w:fldChar w:fldCharType="end"/>
      </w:r>
    </w:p>
    <w:p w14:paraId="293EFC45">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Turner J.R. The Handbook of Project-Based Management. – 4th ed. – London: McGraw-Hill.- </w:t>
      </w:r>
      <w:r>
        <w:rPr>
          <w:rFonts w:ascii="Times New Roman" w:hAnsi="Times New Roman" w:eastAsia="Calibri" w:cs="Times New Roman"/>
          <w:kern w:val="2"/>
          <w:sz w:val="28"/>
          <w:szCs w:val="28"/>
        </w:rPr>
        <w:t>2016.- P.368</w:t>
      </w:r>
    </w:p>
    <w:p w14:paraId="7060B39D">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Saunders A., Cornett M. Financial Institutions Management: A Risk Management Approach. – New York: McGraw-Hill. -2021. – P.728</w:t>
      </w:r>
    </w:p>
    <w:p w14:paraId="48D771FD">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KPMG. Non-Performing Loans: Trends, Challenges and Best Practices. — KPMG, 2020.</w:t>
      </w:r>
      <w:r>
        <w:rPr>
          <w:lang w:val="en-US"/>
        </w:rPr>
        <w:t xml:space="preserve"> </w:t>
      </w:r>
      <w:r>
        <w:rPr>
          <w:rFonts w:ascii="Times New Roman" w:hAnsi="Times New Roman" w:eastAsia="Calibri" w:cs="Times New Roman"/>
          <w:kern w:val="2"/>
          <w:sz w:val="28"/>
          <w:szCs w:val="28"/>
          <w:lang w:val="en-US"/>
        </w:rPr>
        <w:t>https://kpmg.com/xx/en/our-insights/ecb-office/non-performing-loans.html</w:t>
      </w:r>
    </w:p>
    <w:p w14:paraId="0C3CDCBE">
      <w:pPr>
        <w:pStyle w:val="32"/>
        <w:numPr>
          <w:ilvl w:val="0"/>
          <w:numId w:val="23"/>
        </w:numPr>
        <w:tabs>
          <w:tab w:val="left" w:pos="284"/>
        </w:tabs>
        <w:spacing w:after="0" w:line="240" w:lineRule="auto"/>
        <w:ind w:left="0"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A.A. Chursin, A. Ermakov, M.N. Kalimoldayev, A.M. Kalimoldayev «The Main Approaches to Using Digital Twins in Banking». Ecological Footprint of the Modern Economy and the Ways to Reduce It, Springer Nature. -2024. – P. 179–183;</w:t>
      </w:r>
    </w:p>
    <w:p w14:paraId="15ED12BC">
      <w:pPr>
        <w:pStyle w:val="32"/>
        <w:numPr>
          <w:ilvl w:val="0"/>
          <w:numId w:val="23"/>
        </w:numPr>
        <w:tabs>
          <w:tab w:val="left" w:pos="284"/>
        </w:tabs>
        <w:spacing w:after="0" w:line="240" w:lineRule="auto"/>
        <w:ind w:left="0"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А.М. Калимолдаев, А.Т. Мазакова, Ш.А. Джомартова, Т.Ж Мазаков, Д.К. Мухаев «Применение метода анализа иерархии для оценки риска кредитов»// Вестник КазУТБ. АО «Казахский университет технологии и бизнеса». -2021.- № 3 (12) -C. 38-44;</w:t>
      </w:r>
    </w:p>
    <w:p w14:paraId="42F46221">
      <w:pPr>
        <w:pStyle w:val="32"/>
        <w:numPr>
          <w:ilvl w:val="0"/>
          <w:numId w:val="23"/>
        </w:numPr>
        <w:tabs>
          <w:tab w:val="left" w:pos="284"/>
        </w:tabs>
        <w:spacing w:after="0" w:line="240" w:lineRule="auto"/>
        <w:ind w:left="0"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А.М. Калимолдаев, А.Т. Мазакова, Ш.А. Джомартова, Т.Ж Мазаков, Д.К. Мухаев «Оптимальное управление запасами»// Вестник КазУТБ. АО «Казахский университет технологии и бизнеса». -2021.- № 2 (11) – C.27-35;</w:t>
      </w:r>
    </w:p>
    <w:p w14:paraId="34656FCB">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Rakhimzhanova K.K.,  Mahys S.B.  Analysis of the current state of problem loans in second-tier banks//</w:t>
      </w:r>
      <w:r>
        <w:rPr>
          <w:rFonts w:ascii="Times New Roman" w:hAnsi="Times New Roman" w:eastAsia="Calibri" w:cs="Times New Roman"/>
          <w:kern w:val="2"/>
          <w:sz w:val="28"/>
          <w:szCs w:val="28"/>
        </w:rPr>
        <w:t>Вестник</w:t>
      </w:r>
      <w:r>
        <w:rPr>
          <w:rFonts w:ascii="Times New Roman" w:hAnsi="Times New Roman" w:eastAsia="Calibri" w:cs="Times New Roman"/>
          <w:kern w:val="2"/>
          <w:sz w:val="28"/>
          <w:szCs w:val="28"/>
          <w:lang w:val="en-US"/>
        </w:rPr>
        <w:t xml:space="preserve"> </w:t>
      </w:r>
      <w:r>
        <w:rPr>
          <w:rFonts w:ascii="Times New Roman" w:hAnsi="Times New Roman" w:eastAsia="Calibri" w:cs="Times New Roman"/>
          <w:kern w:val="2"/>
          <w:sz w:val="28"/>
          <w:szCs w:val="28"/>
        </w:rPr>
        <w:t>Евразийского</w:t>
      </w:r>
      <w:r>
        <w:rPr>
          <w:rFonts w:ascii="Times New Roman" w:hAnsi="Times New Roman" w:eastAsia="Calibri" w:cs="Times New Roman"/>
          <w:kern w:val="2"/>
          <w:sz w:val="28"/>
          <w:szCs w:val="28"/>
          <w:lang w:val="en-US"/>
        </w:rPr>
        <w:t xml:space="preserve"> </w:t>
      </w:r>
      <w:r>
        <w:rPr>
          <w:rFonts w:ascii="Times New Roman" w:hAnsi="Times New Roman" w:eastAsia="Calibri" w:cs="Times New Roman"/>
          <w:kern w:val="2"/>
          <w:sz w:val="28"/>
          <w:szCs w:val="28"/>
        </w:rPr>
        <w:t>национального</w:t>
      </w:r>
      <w:r>
        <w:rPr>
          <w:rFonts w:ascii="Times New Roman" w:hAnsi="Times New Roman" w:eastAsia="Calibri" w:cs="Times New Roman"/>
          <w:kern w:val="2"/>
          <w:sz w:val="28"/>
          <w:szCs w:val="28"/>
          <w:lang w:val="en-US"/>
        </w:rPr>
        <w:t xml:space="preserve"> </w:t>
      </w:r>
      <w:r>
        <w:rPr>
          <w:rFonts w:ascii="Times New Roman" w:hAnsi="Times New Roman" w:eastAsia="Calibri" w:cs="Times New Roman"/>
          <w:kern w:val="2"/>
          <w:sz w:val="28"/>
          <w:szCs w:val="28"/>
        </w:rPr>
        <w:t>университета</w:t>
      </w:r>
      <w:r>
        <w:rPr>
          <w:rFonts w:ascii="Times New Roman" w:hAnsi="Times New Roman" w:eastAsia="Calibri" w:cs="Times New Roman"/>
          <w:kern w:val="2"/>
          <w:sz w:val="28"/>
          <w:szCs w:val="28"/>
          <w:lang w:val="en-US"/>
        </w:rPr>
        <w:t xml:space="preserve"> </w:t>
      </w:r>
      <w:r>
        <w:rPr>
          <w:rFonts w:ascii="Times New Roman" w:hAnsi="Times New Roman" w:eastAsia="Calibri" w:cs="Times New Roman"/>
          <w:kern w:val="2"/>
          <w:sz w:val="28"/>
          <w:szCs w:val="28"/>
        </w:rPr>
        <w:t>имени</w:t>
      </w:r>
      <w:r>
        <w:rPr>
          <w:rFonts w:ascii="Times New Roman" w:hAnsi="Times New Roman" w:eastAsia="Calibri" w:cs="Times New Roman"/>
          <w:kern w:val="2"/>
          <w:sz w:val="28"/>
          <w:szCs w:val="28"/>
          <w:lang w:val="en-US"/>
        </w:rPr>
        <w:t xml:space="preserve"> </w:t>
      </w:r>
      <w:r>
        <w:rPr>
          <w:rFonts w:ascii="Times New Roman" w:hAnsi="Times New Roman" w:eastAsia="Calibri" w:cs="Times New Roman"/>
          <w:kern w:val="2"/>
          <w:sz w:val="28"/>
          <w:szCs w:val="28"/>
        </w:rPr>
        <w:t>Л</w:t>
      </w:r>
      <w:r>
        <w:rPr>
          <w:rFonts w:ascii="Times New Roman" w:hAnsi="Times New Roman" w:eastAsia="Calibri" w:cs="Times New Roman"/>
          <w:kern w:val="2"/>
          <w:sz w:val="28"/>
          <w:szCs w:val="28"/>
          <w:lang w:val="en-US"/>
        </w:rPr>
        <w:t>.</w:t>
      </w:r>
      <w:r>
        <w:rPr>
          <w:rFonts w:ascii="Times New Roman" w:hAnsi="Times New Roman" w:eastAsia="Calibri" w:cs="Times New Roman"/>
          <w:kern w:val="2"/>
          <w:sz w:val="28"/>
          <w:szCs w:val="28"/>
        </w:rPr>
        <w:t>Н</w:t>
      </w:r>
      <w:r>
        <w:rPr>
          <w:rFonts w:ascii="Times New Roman" w:hAnsi="Times New Roman" w:eastAsia="Calibri" w:cs="Times New Roman"/>
          <w:kern w:val="2"/>
          <w:sz w:val="28"/>
          <w:szCs w:val="28"/>
          <w:lang w:val="en-US"/>
        </w:rPr>
        <w:t xml:space="preserve">. </w:t>
      </w:r>
      <w:r>
        <w:rPr>
          <w:rFonts w:ascii="Times New Roman" w:hAnsi="Times New Roman" w:eastAsia="Calibri" w:cs="Times New Roman"/>
          <w:kern w:val="2"/>
          <w:sz w:val="28"/>
          <w:szCs w:val="28"/>
        </w:rPr>
        <w:t>Гумилева</w:t>
      </w:r>
      <w:r>
        <w:rPr>
          <w:rFonts w:ascii="Times New Roman" w:hAnsi="Times New Roman" w:eastAsia="Calibri" w:cs="Times New Roman"/>
          <w:kern w:val="2"/>
          <w:sz w:val="28"/>
          <w:szCs w:val="28"/>
          <w:lang w:val="en-US"/>
        </w:rPr>
        <w:t xml:space="preserve">. </w:t>
      </w:r>
      <w:r>
        <w:rPr>
          <w:rFonts w:ascii="Times New Roman" w:hAnsi="Times New Roman" w:eastAsia="Calibri" w:cs="Times New Roman"/>
          <w:kern w:val="2"/>
          <w:sz w:val="28"/>
          <w:szCs w:val="28"/>
        </w:rPr>
        <w:t>Экономическая серия. - № 4.- 2020. -  с. 158-166 //doi.org/10.32523/2079-620X-2020-4-158-166.</w:t>
      </w:r>
    </w:p>
    <w:p w14:paraId="327E967D">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The-Tenge.kz. НБРК указал банкам на риски кредитного портфеля. — 2025; Материал о рисках кредитного портфеля банков РК, концентрации проблемных кредитов по отраслям реального сектора экономики и банковских сегментах.</w:t>
      </w:r>
      <w:r>
        <w:t xml:space="preserve"> </w:t>
      </w:r>
      <w:r>
        <w:rPr>
          <w:rFonts w:ascii="Times New Roman" w:hAnsi="Times New Roman" w:eastAsia="Calibri" w:cs="Times New Roman"/>
          <w:kern w:val="2"/>
          <w:sz w:val="28"/>
          <w:szCs w:val="28"/>
        </w:rPr>
        <w:t>https://the-tenge.kz/articles/bvu-sokhranyayut-visokuyu-dinamiku-portfelei</w:t>
      </w:r>
    </w:p>
    <w:p w14:paraId="3D6007C9">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fldChar w:fldCharType="begin"/>
      </w:r>
      <w:r>
        <w:instrText xml:space="preserve"> HYPERLINK "URL:https://bulecon.enu.kz/index.php/main/article/view/305" </w:instrText>
      </w:r>
      <w:r>
        <w:fldChar w:fldCharType="separate"/>
      </w:r>
      <w:r>
        <w:rPr>
          <w:rFonts w:ascii="Times New Roman" w:hAnsi="Times New Roman" w:eastAsia="Calibri" w:cs="Times New Roman"/>
          <w:color w:val="0563C1"/>
          <w:kern w:val="2"/>
          <w:sz w:val="28"/>
          <w:szCs w:val="28"/>
          <w:u w:val="single"/>
        </w:rPr>
        <w:t>URL:https://bulecon.enu.kz/index.php/main/article/view/305</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(дата обращения: 01.06.2024).</w:t>
      </w:r>
    </w:p>
    <w:p w14:paraId="281783B6">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sz w:val="28"/>
          <w:szCs w:val="28"/>
        </w:rPr>
        <w:t xml:space="preserve">Условия выдачи потребительских кредитов ужесточат в Казахстане [Электронный ресурс]. - 2024. - URL: </w:t>
      </w:r>
      <w:r>
        <w:fldChar w:fldCharType="begin"/>
      </w:r>
      <w:r>
        <w:instrText xml:space="preserve"> HYPERLINK "https://mir24.tv/news/16582850/usloviya-vydachi-potrebitelskih-kreditovuzhestochat-v-kazahstane" </w:instrText>
      </w:r>
      <w:r>
        <w:fldChar w:fldCharType="separate"/>
      </w:r>
      <w:r>
        <w:rPr>
          <w:rFonts w:ascii="Times New Roman" w:hAnsi="Times New Roman" w:eastAsia="Calibri" w:cs="Times New Roman"/>
          <w:color w:val="0563C1"/>
          <w:sz w:val="28"/>
          <w:szCs w:val="28"/>
          <w:u w:val="single"/>
        </w:rPr>
        <w:t>https://mir24.tv/news/16582850/usloviya-vydachi-potrebitelskih-kreditovuzhestochat-v-kazahstane</w:t>
      </w:r>
      <w:r>
        <w:rPr>
          <w:rFonts w:ascii="Times New Roman" w:hAnsi="Times New Roman" w:eastAsia="Calibri" w:cs="Times New Roman"/>
          <w:color w:val="0563C1"/>
          <w:sz w:val="28"/>
          <w:szCs w:val="28"/>
          <w:u w:val="single"/>
        </w:rPr>
        <w:fldChar w:fldCharType="end"/>
      </w:r>
      <w:r>
        <w:rPr>
          <w:rFonts w:ascii="Times New Roman" w:hAnsi="Times New Roman" w:eastAsia="Calibri" w:cs="Times New Roman"/>
          <w:sz w:val="28"/>
          <w:szCs w:val="28"/>
        </w:rPr>
        <w:t xml:space="preserve">  (дата обращения: 02.06.2024).</w:t>
      </w:r>
    </w:p>
    <w:p w14:paraId="2924A0DB">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Informburo.kz. Банки Казахстана: что с ними происходило последние 10 лет. Объясняем в графиках. </w:t>
      </w:r>
      <w:r>
        <w:fldChar w:fldCharType="begin"/>
      </w:r>
      <w:r>
        <w:instrText xml:space="preserve"> HYPERLINK "https://informburo.kz/stati/chto-proishodilo-s-bankami-poslednie-10-let-obyasnyaem-v-grafikah.html" </w:instrText>
      </w:r>
      <w:r>
        <w:fldChar w:fldCharType="separate"/>
      </w:r>
      <w:r>
        <w:rPr>
          <w:rFonts w:ascii="Times New Roman" w:hAnsi="Times New Roman" w:eastAsia="Calibri" w:cs="Times New Roman"/>
          <w:color w:val="0563C1"/>
          <w:kern w:val="2"/>
          <w:sz w:val="28"/>
          <w:szCs w:val="28"/>
          <w:u w:val="single"/>
        </w:rPr>
        <w:t>https://informburo.kz/stati/chto-proishodilo-s-bankami-poslednie-10-let-obyasnyaem-v-grafikah.html</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w:t>
      </w:r>
    </w:p>
    <w:p w14:paraId="7D3BACD3">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Абдулманов А. Неработающие кредиты в Казахстане: что происходит с банками. </w:t>
      </w:r>
      <w:r>
        <w:fldChar w:fldCharType="begin"/>
      </w:r>
      <w:r>
        <w:instrText xml:space="preserve"> HYPERLINK "https://bizmedia.kz/2025-10-06-nerabotayushhie-kredity-v-kazahstane-chto-proishodit-s-bankami" </w:instrText>
      </w:r>
      <w:r>
        <w:fldChar w:fldCharType="separate"/>
      </w:r>
      <w:r>
        <w:rPr>
          <w:rFonts w:ascii="Times New Roman" w:hAnsi="Times New Roman" w:eastAsia="Calibri" w:cs="Times New Roman"/>
          <w:color w:val="0563C1"/>
          <w:kern w:val="2"/>
          <w:sz w:val="28"/>
          <w:szCs w:val="28"/>
          <w:u w:val="single"/>
        </w:rPr>
        <w:t>https://bizmedia.kz/2025-10-06-nerabotayushhie-kredity-v-kazahstane-chto-proishodit-s-bankami</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 дата обращения: 06.10.2025)</w:t>
      </w:r>
    </w:p>
    <w:p w14:paraId="75620E7D">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Исаев Р.А. «Управление качеством в банковской сфере». Журнал «Управление кредитной организацией», xecutive.ru/community/articles/1412717//№2. 2010. </w:t>
      </w:r>
      <w:r>
        <w:fldChar w:fldCharType="begin"/>
      </w:r>
      <w:r>
        <w:instrText xml:space="preserve"> HYPERLINK "http://www.reglament.net/bank/mng/2009_6_article.htm" </w:instrText>
      </w:r>
      <w:r>
        <w:fldChar w:fldCharType="separate"/>
      </w:r>
      <w:r>
        <w:rPr>
          <w:rFonts w:ascii="Times New Roman" w:hAnsi="Times New Roman" w:eastAsia="Calibri" w:cs="Times New Roman"/>
          <w:color w:val="0563C1"/>
          <w:kern w:val="2"/>
          <w:sz w:val="28"/>
          <w:szCs w:val="28"/>
          <w:u w:val="single"/>
        </w:rPr>
        <w:t>http://www.reglament.net/bank/mng/2009_6_article.htm</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(дата обращения: 21.05.2020).</w:t>
      </w:r>
    </w:p>
    <w:p w14:paraId="4DD2CAB8">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Кенжетаева А. А., Муратова Д. Б. Управление кредитным портфелем в коммерческом банке Республики Казахстан // Вестник науки. 2024. №12 (81). </w:t>
      </w:r>
      <w:r>
        <w:fldChar w:fldCharType="begin"/>
      </w:r>
      <w:r>
        <w:instrText xml:space="preserve"> HYPERLINK "https://cyberleninka.ru/article/n/upravlenie-kreditnym-portfelem-v-kommercheskom-banke-respubliki-kazahstan" </w:instrText>
      </w:r>
      <w:r>
        <w:fldChar w:fldCharType="separate"/>
      </w:r>
      <w:r>
        <w:rPr>
          <w:rFonts w:ascii="Times New Roman" w:hAnsi="Times New Roman" w:eastAsia="Calibri" w:cs="Times New Roman"/>
          <w:color w:val="0563C1"/>
          <w:kern w:val="2"/>
          <w:sz w:val="28"/>
          <w:szCs w:val="28"/>
          <w:u w:val="single"/>
        </w:rPr>
        <w:t>https://cyberleninka.ru/article/n/upravlenie-kreditnym-portfelem-v-kommercheskom-banke-respubliki-kazahstan</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(дата обращения: 27.11.2025).</w:t>
      </w:r>
    </w:p>
    <w:p w14:paraId="2AB7D1AE">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Искаков У.М. Сокращение доли проблемных кредитов важная задача страны. Вестник КазЭУ- </w:t>
      </w:r>
      <w:r>
        <w:fldChar w:fldCharType="begin"/>
      </w:r>
      <w:r>
        <w:instrText xml:space="preserve"> HYPERLINK "https://articlekz.com/article/13748" </w:instrText>
      </w:r>
      <w:r>
        <w:fldChar w:fldCharType="separate"/>
      </w:r>
      <w:r>
        <w:rPr>
          <w:rFonts w:ascii="Times New Roman" w:hAnsi="Times New Roman" w:eastAsia="Calibri" w:cs="Times New Roman"/>
          <w:color w:val="0563C1"/>
          <w:kern w:val="2"/>
          <w:sz w:val="28"/>
          <w:szCs w:val="28"/>
          <w:u w:val="single"/>
        </w:rPr>
        <w:t>https://articlekz.com/article/13748</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w:t>
      </w:r>
    </w:p>
    <w:p w14:paraId="68F3DC12">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Фонд проблемных кредитов РК. Аналитические отчёты. 2020, 2021, 2022, 2023, 2024  https://fpl.kz/?page_id=1030&amp;lang=ru</w:t>
      </w:r>
    </w:p>
    <w:p w14:paraId="6E4E92E6">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Обзор ситуации с неработающими займами по состоянию на 01 июля 2025 года. Департаментом корпоративного развития АО «Фонд проблемных кредитов». </w:t>
      </w:r>
      <w:r>
        <w:fldChar w:fldCharType="begin"/>
      </w:r>
      <w:r>
        <w:instrText xml:space="preserve"> HYPERLINK "https://fpl.kz/files/overview-npl/overview-npl-01032025-ru.pdf" </w:instrText>
      </w:r>
      <w:r>
        <w:fldChar w:fldCharType="separate"/>
      </w:r>
      <w:r>
        <w:rPr>
          <w:rFonts w:ascii="Times New Roman" w:hAnsi="Times New Roman" w:eastAsia="Calibri" w:cs="Times New Roman"/>
          <w:color w:val="0563C1"/>
          <w:kern w:val="2"/>
          <w:sz w:val="28"/>
          <w:szCs w:val="28"/>
          <w:u w:val="single"/>
        </w:rPr>
        <w:t>https://fpl.kz/files/overview-npl/overview-npl-01032025-ru.pdf</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w:t>
      </w:r>
    </w:p>
    <w:p w14:paraId="57668521">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Максимизация стоимости неработающих активов. Мат-лы Третьего форума по реформе системы банкротства в Азии. — ноябрь 2003 г. ОЭСР, 2004. – с.1-5</w:t>
      </w:r>
    </w:p>
    <w:p w14:paraId="130E1B55">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bookmarkStart w:id="35" w:name="_Hlk221199207"/>
      <w:r>
        <w:rPr>
          <w:rFonts w:ascii="Times New Roman" w:hAnsi="Times New Roman" w:eastAsia="Calibri" w:cs="Times New Roman"/>
          <w:kern w:val="2"/>
          <w:sz w:val="28"/>
          <w:szCs w:val="28"/>
          <w:lang w:val="en-US"/>
        </w:rPr>
        <w:t xml:space="preserve">Project Management Institute. A Guide to the Project Management Body of Knowledge (PMBOK® Guide). </w:t>
      </w:r>
      <w:r>
        <w:rPr>
          <w:rFonts w:ascii="Times New Roman" w:hAnsi="Times New Roman" w:eastAsia="Calibri" w:cs="Times New Roman"/>
          <w:kern w:val="2"/>
          <w:sz w:val="28"/>
          <w:szCs w:val="28"/>
        </w:rPr>
        <w:t>7th ed</w:t>
      </w:r>
      <w:bookmarkEnd w:id="35"/>
      <w:r>
        <w:rPr>
          <w:rFonts w:ascii="Times New Roman" w:hAnsi="Times New Roman" w:eastAsia="Calibri" w:cs="Times New Roman"/>
          <w:kern w:val="2"/>
          <w:sz w:val="28"/>
          <w:szCs w:val="28"/>
        </w:rPr>
        <w:t xml:space="preserve">. – Newtown Square: PMI.- 2021.- P.340 </w:t>
      </w:r>
    </w:p>
    <w:p w14:paraId="1F3B4547">
      <w:pPr>
        <w:pStyle w:val="32"/>
        <w:numPr>
          <w:ilvl w:val="0"/>
          <w:numId w:val="23"/>
        </w:numPr>
        <w:tabs>
          <w:tab w:val="left" w:pos="284"/>
        </w:tabs>
        <w:spacing w:after="0" w:line="240" w:lineRule="auto"/>
        <w:ind w:left="0" w:firstLine="709"/>
        <w:jc w:val="both"/>
        <w:rPr>
          <w:rFonts w:ascii="Times New Roman" w:hAnsi="Times New Roman" w:cs="Times New Roman"/>
          <w:b/>
          <w:bCs/>
          <w:sz w:val="28"/>
          <w:szCs w:val="28"/>
        </w:rPr>
      </w:pPr>
      <w:r>
        <w:rPr>
          <w:rFonts w:ascii="Times New Roman" w:hAnsi="Times New Roman" w:cs="Times New Roman"/>
          <w:bCs/>
          <w:sz w:val="28"/>
          <w:szCs w:val="28"/>
          <w:lang w:val="en-US"/>
        </w:rPr>
        <w:t xml:space="preserve">A.M. Kalimoldayev, Mazakova </w:t>
      </w:r>
      <w:r>
        <w:rPr>
          <w:rFonts w:ascii="Times New Roman" w:hAnsi="Times New Roman" w:cs="Times New Roman"/>
          <w:bCs/>
          <w:sz w:val="28"/>
          <w:szCs w:val="28"/>
        </w:rPr>
        <w:t>А</w:t>
      </w:r>
      <w:r>
        <w:rPr>
          <w:rFonts w:ascii="Times New Roman" w:hAnsi="Times New Roman" w:cs="Times New Roman"/>
          <w:bCs/>
          <w:sz w:val="28"/>
          <w:szCs w:val="28"/>
          <w:lang w:val="en-US"/>
        </w:rPr>
        <w:t>.</w:t>
      </w:r>
      <w:r>
        <w:rPr>
          <w:rFonts w:ascii="Times New Roman" w:hAnsi="Times New Roman" w:cs="Times New Roman"/>
          <w:bCs/>
          <w:sz w:val="28"/>
          <w:szCs w:val="28"/>
        </w:rPr>
        <w:t>Т</w:t>
      </w:r>
      <w:r>
        <w:rPr>
          <w:rFonts w:ascii="Times New Roman" w:hAnsi="Times New Roman" w:cs="Times New Roman"/>
          <w:bCs/>
          <w:sz w:val="28"/>
          <w:szCs w:val="28"/>
          <w:lang w:val="en-US"/>
        </w:rPr>
        <w:t>., Sh.A. Zhomartova, T.Zh. Mazakov, G.Z. Ziyatbekova «</w:t>
      </w:r>
      <w:r>
        <w:rPr>
          <w:rFonts w:ascii="Times New Roman" w:hAnsi="Times New Roman" w:cs="Times New Roman"/>
          <w:sz w:val="28"/>
          <w:szCs w:val="28"/>
          <w:lang w:val="en-US"/>
        </w:rPr>
        <w:t>Digital Definition of Optimal Inventory Management</w:t>
      </w:r>
      <w:r>
        <w:rPr>
          <w:rFonts w:ascii="Times New Roman" w:hAnsi="Times New Roman" w:cs="Times New Roman"/>
          <w:bCs/>
          <w:sz w:val="28"/>
          <w:szCs w:val="28"/>
          <w:lang w:val="en-US"/>
        </w:rPr>
        <w:t xml:space="preserve">». </w:t>
      </w:r>
      <w:r>
        <w:rPr>
          <w:rFonts w:ascii="Times New Roman" w:hAnsi="Times New Roman" w:cs="Times New Roman"/>
          <w:bCs/>
          <w:sz w:val="28"/>
          <w:szCs w:val="28"/>
        </w:rPr>
        <w:t>Advances in Science, Technology and Innovation, Springer Nature. -2024. P. 111 – 115</w:t>
      </w:r>
    </w:p>
    <w:p w14:paraId="3FDD6D84">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Kerzner H. Project Management: A Systems Approach to Planning, Scheduling, and Controlling. – Hoboken: Wiley. - 2022.- </w:t>
      </w:r>
      <w:r>
        <w:rPr>
          <w:rFonts w:ascii="Times New Roman" w:hAnsi="Times New Roman" w:eastAsia="Calibri" w:cs="Times New Roman"/>
          <w:kern w:val="2"/>
          <w:sz w:val="28"/>
          <w:szCs w:val="28"/>
        </w:rPr>
        <w:t>P.720</w:t>
      </w:r>
    </w:p>
    <w:p w14:paraId="2CBF27B0">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Машаев А. К чему приведет ужесточение выдачи потребкредитов в Казахстане. - [Электронный ресурс]. – 2023. - URL: </w:t>
      </w:r>
      <w:r>
        <w:fldChar w:fldCharType="begin"/>
      </w:r>
      <w:r>
        <w:instrText xml:space="preserve"> HYPERLINK "https://kz.kursiv.media/2023-11-02/priny1009-rmch-credits/" </w:instrText>
      </w:r>
      <w:r>
        <w:fldChar w:fldCharType="separate"/>
      </w:r>
      <w:r>
        <w:rPr>
          <w:rFonts w:ascii="Times New Roman" w:hAnsi="Times New Roman" w:eastAsia="Calibri" w:cs="Times New Roman"/>
          <w:color w:val="0563C1"/>
          <w:kern w:val="2"/>
          <w:sz w:val="28"/>
          <w:szCs w:val="28"/>
          <w:u w:val="single"/>
        </w:rPr>
        <w:t>https://kz.kursiv.media/2023-11-02/priny1009-rmch-credits/</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(дата обращения: 02.06.2024).</w:t>
      </w:r>
    </w:p>
    <w:p w14:paraId="3C625066">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Rose P., Hudgins S. Bank Management &amp; Financial Services. — McGraw-Hill Education. -2022.-P.720</w:t>
      </w:r>
    </w:p>
    <w:p w14:paraId="22B31B25">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Bessis J. Risk Management in Banking. — Cover Design: Wiley.- </w:t>
      </w:r>
      <w:r>
        <w:rPr>
          <w:rFonts w:ascii="Times New Roman" w:hAnsi="Times New Roman" w:eastAsia="Calibri" w:cs="Times New Roman"/>
          <w:kern w:val="2"/>
          <w:sz w:val="28"/>
          <w:szCs w:val="28"/>
        </w:rPr>
        <w:t>2020.-P.351</w:t>
      </w:r>
    </w:p>
    <w:p w14:paraId="4C2515DC">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Altman E. Corporate Financial Distress and Bankruptcy. —New Jerse: Wiley, 2019. – P.343</w:t>
      </w:r>
    </w:p>
    <w:p w14:paraId="45C47456">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IFRS Foundation. IFRS 9 Financial Instruments. — London, 2023.</w:t>
      </w:r>
    </w:p>
    <w:p w14:paraId="1CAFD1CC">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Gatti S. Project Finance in Theory and Practice. — Elsevier Academic Press, 2019 -.P.600</w:t>
      </w:r>
    </w:p>
    <w:p w14:paraId="20104EAF">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 xml:space="preserve">Project Management Institute. PMI PMBOK (4th Edition) / </w:t>
      </w:r>
      <w:r>
        <w:rPr>
          <w:rFonts w:ascii="Times New Roman" w:hAnsi="Times New Roman" w:eastAsia="Calibri" w:cs="Times New Roman"/>
          <w:kern w:val="2"/>
          <w:sz w:val="28"/>
          <w:szCs w:val="28"/>
        </w:rPr>
        <w:t>Руководство</w:t>
      </w:r>
      <w:r>
        <w:rPr>
          <w:rFonts w:ascii="Times New Roman" w:hAnsi="Times New Roman" w:eastAsia="Calibri" w:cs="Times New Roman"/>
          <w:kern w:val="2"/>
          <w:sz w:val="28"/>
          <w:szCs w:val="28"/>
          <w:lang w:val="en-US"/>
        </w:rPr>
        <w:t xml:space="preserve"> </w:t>
      </w:r>
      <w:r>
        <w:rPr>
          <w:rFonts w:ascii="Times New Roman" w:hAnsi="Times New Roman" w:eastAsia="Calibri" w:cs="Times New Roman"/>
          <w:kern w:val="2"/>
          <w:sz w:val="28"/>
          <w:szCs w:val="28"/>
        </w:rPr>
        <w:t>к</w:t>
      </w:r>
      <w:r>
        <w:rPr>
          <w:rFonts w:ascii="Times New Roman" w:hAnsi="Times New Roman" w:eastAsia="Calibri" w:cs="Times New Roman"/>
          <w:kern w:val="2"/>
          <w:sz w:val="28"/>
          <w:szCs w:val="28"/>
          <w:lang w:val="en-US"/>
        </w:rPr>
        <w:t xml:space="preserve"> </w:t>
      </w:r>
      <w:r>
        <w:rPr>
          <w:rFonts w:ascii="Times New Roman" w:hAnsi="Times New Roman" w:eastAsia="Calibri" w:cs="Times New Roman"/>
          <w:kern w:val="2"/>
          <w:sz w:val="28"/>
          <w:szCs w:val="28"/>
        </w:rPr>
        <w:t>Своду</w:t>
      </w:r>
      <w:r>
        <w:rPr>
          <w:rFonts w:ascii="Times New Roman" w:hAnsi="Times New Roman" w:eastAsia="Calibri" w:cs="Times New Roman"/>
          <w:kern w:val="2"/>
          <w:sz w:val="28"/>
          <w:szCs w:val="28"/>
          <w:lang w:val="en-US"/>
        </w:rPr>
        <w:t xml:space="preserve"> </w:t>
      </w:r>
      <w:r>
        <w:rPr>
          <w:rFonts w:ascii="Times New Roman" w:hAnsi="Times New Roman" w:eastAsia="Calibri" w:cs="Times New Roman"/>
          <w:kern w:val="2"/>
          <w:sz w:val="28"/>
          <w:szCs w:val="28"/>
        </w:rPr>
        <w:t>знаний</w:t>
      </w:r>
      <w:r>
        <w:rPr>
          <w:rFonts w:ascii="Times New Roman" w:hAnsi="Times New Roman" w:eastAsia="Calibri" w:cs="Times New Roman"/>
          <w:kern w:val="2"/>
          <w:sz w:val="28"/>
          <w:szCs w:val="28"/>
          <w:lang w:val="en-US"/>
        </w:rPr>
        <w:t xml:space="preserve"> </w:t>
      </w:r>
      <w:r>
        <w:rPr>
          <w:rFonts w:ascii="Times New Roman" w:hAnsi="Times New Roman" w:eastAsia="Calibri" w:cs="Times New Roman"/>
          <w:kern w:val="2"/>
          <w:sz w:val="28"/>
          <w:szCs w:val="28"/>
        </w:rPr>
        <w:t>по</w:t>
      </w:r>
      <w:r>
        <w:rPr>
          <w:rFonts w:ascii="Times New Roman" w:hAnsi="Times New Roman" w:eastAsia="Calibri" w:cs="Times New Roman"/>
          <w:kern w:val="2"/>
          <w:sz w:val="28"/>
          <w:szCs w:val="28"/>
          <w:lang w:val="en-US"/>
        </w:rPr>
        <w:t xml:space="preserve"> </w:t>
      </w:r>
      <w:r>
        <w:rPr>
          <w:rFonts w:ascii="Times New Roman" w:hAnsi="Times New Roman" w:eastAsia="Calibri" w:cs="Times New Roman"/>
          <w:kern w:val="2"/>
          <w:sz w:val="28"/>
          <w:szCs w:val="28"/>
        </w:rPr>
        <w:t>управлению</w:t>
      </w:r>
      <w:r>
        <w:rPr>
          <w:rFonts w:ascii="Times New Roman" w:hAnsi="Times New Roman" w:eastAsia="Calibri" w:cs="Times New Roman"/>
          <w:kern w:val="2"/>
          <w:sz w:val="28"/>
          <w:szCs w:val="28"/>
          <w:lang w:val="en-US"/>
        </w:rPr>
        <w:t xml:space="preserve"> </w:t>
      </w:r>
      <w:r>
        <w:rPr>
          <w:rFonts w:ascii="Times New Roman" w:hAnsi="Times New Roman" w:eastAsia="Calibri" w:cs="Times New Roman"/>
          <w:kern w:val="2"/>
          <w:sz w:val="28"/>
          <w:szCs w:val="28"/>
        </w:rPr>
        <w:t>проектами</w:t>
      </w:r>
      <w:r>
        <w:rPr>
          <w:rFonts w:ascii="Times New Roman" w:hAnsi="Times New Roman" w:eastAsia="Calibri" w:cs="Times New Roman"/>
          <w:kern w:val="2"/>
          <w:sz w:val="28"/>
          <w:szCs w:val="28"/>
          <w:lang w:val="en-US"/>
        </w:rPr>
        <w:t xml:space="preserve"> (</w:t>
      </w:r>
      <w:r>
        <w:rPr>
          <w:rFonts w:ascii="Times New Roman" w:hAnsi="Times New Roman" w:eastAsia="Calibri" w:cs="Times New Roman"/>
          <w:kern w:val="2"/>
          <w:sz w:val="28"/>
          <w:szCs w:val="28"/>
        </w:rPr>
        <w:t>четвёртое</w:t>
      </w:r>
      <w:r>
        <w:rPr>
          <w:rFonts w:ascii="Times New Roman" w:hAnsi="Times New Roman" w:eastAsia="Calibri" w:cs="Times New Roman"/>
          <w:kern w:val="2"/>
          <w:sz w:val="28"/>
          <w:szCs w:val="28"/>
          <w:lang w:val="en-US"/>
        </w:rPr>
        <w:t xml:space="preserve"> </w:t>
      </w:r>
      <w:r>
        <w:rPr>
          <w:rFonts w:ascii="Times New Roman" w:hAnsi="Times New Roman" w:eastAsia="Calibri" w:cs="Times New Roman"/>
          <w:kern w:val="2"/>
          <w:sz w:val="28"/>
          <w:szCs w:val="28"/>
        </w:rPr>
        <w:t>издание</w:t>
      </w:r>
      <w:r>
        <w:rPr>
          <w:rFonts w:ascii="Times New Roman" w:hAnsi="Times New Roman" w:eastAsia="Calibri" w:cs="Times New Roman"/>
          <w:kern w:val="2"/>
          <w:sz w:val="28"/>
          <w:szCs w:val="28"/>
          <w:lang w:val="en-US"/>
        </w:rPr>
        <w:t>), Project Management Institute, Inc.- 2009- P.451</w:t>
      </w:r>
    </w:p>
    <w:p w14:paraId="2CA765AB">
      <w:pPr>
        <w:pStyle w:val="32"/>
        <w:numPr>
          <w:ilvl w:val="0"/>
          <w:numId w:val="23"/>
        </w:numPr>
        <w:tabs>
          <w:tab w:val="left" w:pos="284"/>
        </w:tabs>
        <w:spacing w:after="0" w:line="240" w:lineRule="auto"/>
        <w:ind w:left="0" w:firstLine="709"/>
        <w:jc w:val="both"/>
        <w:rPr>
          <w:rFonts w:ascii="Times New Roman" w:hAnsi="Times New Roman" w:cs="Times New Roman"/>
          <w:bCs/>
          <w:color w:val="000000"/>
          <w:kern w:val="2"/>
          <w:sz w:val="28"/>
          <w:szCs w:val="28"/>
        </w:rPr>
      </w:pPr>
      <w:r>
        <w:rPr>
          <w:rFonts w:ascii="Times New Roman" w:hAnsi="Times New Roman" w:cs="Times New Roman"/>
          <w:bCs/>
          <w:color w:val="000000"/>
          <w:sz w:val="28"/>
          <w:szCs w:val="28"/>
        </w:rPr>
        <w:t>А.М. Калимолдаев, Н.Н. Оленев «</w:t>
      </w:r>
      <w:r>
        <w:rPr>
          <w:rFonts w:ascii="Times New Roman" w:hAnsi="Times New Roman" w:cs="Times New Roman"/>
          <w:bCs/>
          <w:color w:val="000000"/>
          <w:kern w:val="2"/>
          <w:sz w:val="28"/>
          <w:szCs w:val="28"/>
        </w:rPr>
        <w:t>Экономико-математическая модель управления проектами проблемных банковских активов для экономики Казахстана</w:t>
      </w:r>
      <w:r>
        <w:rPr>
          <w:rFonts w:ascii="Times New Roman" w:hAnsi="Times New Roman" w:cs="Times New Roman"/>
          <w:bCs/>
          <w:color w:val="000000"/>
          <w:sz w:val="28"/>
          <w:szCs w:val="28"/>
        </w:rPr>
        <w:t>»// Вестник Пермского университета Серия «Экономика». - 2019. – Т. 14. - № 3. С. 388–405. doi: 10.17072/1994-9960-2019-3-388-405;</w:t>
      </w:r>
    </w:p>
    <w:p w14:paraId="2CF41FA6">
      <w:pPr>
        <w:pStyle w:val="32"/>
        <w:numPr>
          <w:ilvl w:val="0"/>
          <w:numId w:val="23"/>
        </w:numPr>
        <w:tabs>
          <w:tab w:val="left" w:pos="284"/>
        </w:tabs>
        <w:spacing w:after="0" w:line="240" w:lineRule="auto"/>
        <w:ind w:left="0" w:firstLine="709"/>
        <w:jc w:val="both"/>
        <w:rPr>
          <w:rFonts w:ascii="Times New Roman" w:hAnsi="Times New Roman" w:cs="Times New Roman"/>
          <w:bCs/>
          <w:color w:val="000000"/>
          <w:sz w:val="28"/>
          <w:szCs w:val="28"/>
          <w:lang w:val="en-US"/>
        </w:rPr>
      </w:pPr>
      <w:bookmarkStart w:id="36" w:name="_Hlk223084419"/>
      <w:r>
        <w:rPr>
          <w:rFonts w:ascii="Times New Roman" w:hAnsi="Times New Roman" w:cs="Times New Roman"/>
          <w:bCs/>
          <w:color w:val="000000"/>
          <w:sz w:val="28"/>
          <w:szCs w:val="28"/>
          <w:lang w:val="en-US"/>
        </w:rPr>
        <w:t xml:space="preserve">Ye. Popova, O. Cernisevs, S. Popovs, A.M. Kalimoldayev «Financial institutions of emerging economies: contribution to risk assessment»// </w:t>
      </w:r>
      <w:r>
        <w:fldChar w:fldCharType="begin"/>
      </w:r>
      <w:r>
        <w:rPr>
          <w:lang w:val="en-US"/>
        </w:rPr>
        <w:instrText xml:space="preserve">HYPERLINK "https://ideas.repec.org/s/gam/jrisks.html"</w:instrText>
      </w:r>
      <w:r>
        <w:fldChar w:fldCharType="separate"/>
      </w:r>
      <w:r>
        <w:rPr>
          <w:rFonts w:ascii="Times New Roman" w:hAnsi="Times New Roman" w:cs="Times New Roman" w:eastAsiaTheme="majorEastAsia"/>
          <w:color w:val="000000"/>
          <w:sz w:val="28"/>
          <w:szCs w:val="28"/>
          <w:lang w:val="en-US"/>
        </w:rPr>
        <w:t>Risks</w:t>
      </w:r>
      <w:r>
        <w:fldChar w:fldCharType="end"/>
      </w:r>
      <w:r>
        <w:rPr>
          <w:rFonts w:ascii="Times New Roman" w:hAnsi="Times New Roman" w:cs="Times New Roman"/>
          <w:bCs/>
          <w:color w:val="000000"/>
          <w:sz w:val="28"/>
          <w:szCs w:val="28"/>
          <w:lang w:val="en-US"/>
        </w:rPr>
        <w:t>. -2025. -Vol. 13(9). - P. 1-18;</w:t>
      </w:r>
    </w:p>
    <w:bookmarkEnd w:id="36"/>
    <w:p w14:paraId="2C6EE492">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Воробьёв А.А. Методика внедрения проектного подхода в действующую систему антикризисного управления промышленным предприятием </w:t>
      </w:r>
      <w:r>
        <w:fldChar w:fldCharType="begin"/>
      </w:r>
      <w:r>
        <w:instrText xml:space="preserve"> HYPERLINK "https://elibrary.ru/item.asp?id=22460233" </w:instrText>
      </w:r>
      <w:r>
        <w:fldChar w:fldCharType="separate"/>
      </w:r>
      <w:r>
        <w:rPr>
          <w:rFonts w:ascii="Times New Roman" w:hAnsi="Times New Roman" w:eastAsia="Calibri" w:cs="Times New Roman"/>
          <w:color w:val="0563C1"/>
          <w:kern w:val="2"/>
          <w:sz w:val="28"/>
          <w:szCs w:val="28"/>
          <w:u w:val="single"/>
        </w:rPr>
        <w:t>https://elibrary.ru/item.asp?id=22460233</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(дата обращения: 1.12.2014)</w:t>
      </w:r>
    </w:p>
    <w:p w14:paraId="35437088">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Выбор к применению стандартов управления проектами. </w:t>
      </w:r>
      <w:r>
        <w:fldChar w:fldCharType="begin"/>
      </w:r>
      <w:r>
        <w:instrText xml:space="preserve"> HYPERLINK "http://projectimo/ru/upravlenie-proektami/standarty-upravleniya-proektami" </w:instrText>
      </w:r>
      <w:r>
        <w:fldChar w:fldCharType="separate"/>
      </w:r>
      <w:r>
        <w:rPr>
          <w:rFonts w:ascii="Times New Roman" w:hAnsi="Times New Roman" w:eastAsia="Calibri" w:cs="Times New Roman"/>
          <w:color w:val="0563C1"/>
          <w:kern w:val="2"/>
          <w:sz w:val="28"/>
          <w:szCs w:val="28"/>
          <w:u w:val="single"/>
        </w:rPr>
        <w:t>http://projectimo/ru/upravlenie-proektami/standarty-upravleniya-proektami</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(дата обращения: 26.11.2018)</w:t>
      </w:r>
    </w:p>
    <w:p w14:paraId="7740F3C9">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Mishkin F.S. The Economics of Money, Banking and Financial Markets. — Pearson.- </w:t>
      </w:r>
      <w:r>
        <w:rPr>
          <w:rFonts w:ascii="Times New Roman" w:hAnsi="Times New Roman" w:eastAsia="Calibri" w:cs="Times New Roman"/>
          <w:kern w:val="2"/>
          <w:sz w:val="28"/>
          <w:szCs w:val="28"/>
        </w:rPr>
        <w:t>2021.- P.704</w:t>
      </w:r>
    </w:p>
    <w:p w14:paraId="11D552D2">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World Bank. Resolving Non-Performing Loans. — Washington, 2020.</w:t>
      </w:r>
    </w:p>
    <w:p w14:paraId="3FD6EBE0">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IMF. Managing Non-Performing Loans in the Banking Sector. — IMF, 2019.</w:t>
      </w:r>
    </w:p>
    <w:p w14:paraId="3323C2F2">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NBRK. Методические рекомендации по управлению проблемными активами банков РК. — Астана, 2022.</w:t>
      </w:r>
    </w:p>
    <w:p w14:paraId="7DFA9E32">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IMF. Bank Resolution and NPL Management. — IMF, 2021.</w:t>
      </w:r>
    </w:p>
    <w:p w14:paraId="1293CDAB">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Сертификация по стандартам ІРМА </w:t>
      </w:r>
      <w:r>
        <w:fldChar w:fldCharType="begin"/>
      </w:r>
      <w:r>
        <w:instrText xml:space="preserve"> HYPERLINK "https://pmpractice.ru/training/sertification/ipma/" </w:instrText>
      </w:r>
      <w:r>
        <w:fldChar w:fldCharType="separate"/>
      </w:r>
      <w:r>
        <w:rPr>
          <w:rFonts w:ascii="Times New Roman" w:hAnsi="Times New Roman" w:eastAsia="Calibri" w:cs="Times New Roman"/>
          <w:color w:val="0563C1"/>
          <w:kern w:val="2"/>
          <w:sz w:val="28"/>
          <w:szCs w:val="28"/>
          <w:u w:val="single"/>
        </w:rPr>
        <w:t>https://pmpractice.ru/training/sertification/ipma/</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(дата обращения 5.09.2018).</w:t>
      </w:r>
    </w:p>
    <w:p w14:paraId="4B45C301">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World Bank. Improving NPL Recovery in Emerging Markets. — Washington, 2020.</w:t>
      </w:r>
    </w:p>
    <w:p w14:paraId="4E56EBCF">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PMI. Practice Standard for Project Risk Management. — PMI, 2020.</w:t>
      </w:r>
    </w:p>
    <w:p w14:paraId="77A133FF">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IMF. Operational Framework for NPL Resolution. — IMF, 2019.</w:t>
      </w:r>
    </w:p>
    <w:p w14:paraId="7E54A8A1">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OECD. Corporate Governance and NPL Management. — OECD, 2020.</w:t>
      </w:r>
    </w:p>
    <w:p w14:paraId="10D63761">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Kursiv Media KZ. Non-performing loans on the rise in Kazakhstan. — 2025; обзор текущей ситуации с проблемными кредитами в банковском секторе и оценка влияния на кредитование бизнеса и отрасли экономики. https://kz.kursiv.media/en/2025-01-23/engk-yeri-non-performing-loans-on-the-rise-in-kazakhstan/ (дата обращения: 23.01.2025).</w:t>
      </w:r>
    </w:p>
    <w:p w14:paraId="051746B4">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Правительство Республики Казахстан / Агентство по регулированию и развитию финансового рынка РК. Выступление М. Абылкасымовой по проблемам банковского сектора и регуляторным мерам по сокращению стрессовых активов в РК // Официальный сайт gov.kz, 2025; обзор практических мер по снижению Rfprj и развитию рынка стрессовых активов.</w:t>
      </w:r>
    </w:p>
    <w:p w14:paraId="69001F49">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Выгодные потребительские кредиты 2024 года в Казахстане. [Электронный ресурс]. – 2024. - URL: </w:t>
      </w:r>
      <w:r>
        <w:fldChar w:fldCharType="begin"/>
      </w:r>
      <w:r>
        <w:instrText xml:space="preserve"> HYPERLINK "https://www.vbr.kz/banki/kredity/vigodniycredit/" </w:instrText>
      </w:r>
      <w:r>
        <w:fldChar w:fldCharType="separate"/>
      </w:r>
      <w:r>
        <w:rPr>
          <w:rFonts w:ascii="Times New Roman" w:hAnsi="Times New Roman" w:eastAsia="Calibri" w:cs="Times New Roman"/>
          <w:color w:val="0563C1"/>
          <w:kern w:val="2"/>
          <w:sz w:val="28"/>
          <w:szCs w:val="28"/>
          <w:u w:val="single"/>
        </w:rPr>
        <w:t>https://www.vbr.kz/banki/kredity/vigodniycredit/</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(дата обращения: 01.06.2024).</w:t>
      </w:r>
    </w:p>
    <w:p w14:paraId="44BD20B1">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Закон РК «О банках и банковской деятельности в РК» от 31.08.1996 г. №2444 (с изменениями и дополнениями на 01.01.2017).</w:t>
      </w:r>
    </w:p>
    <w:p w14:paraId="269BF2BB">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О Концепции развития финансового сектора Республики Казахстан в посткризисный период. Указ Президента Республики Казахстан от 1 февраля 2010 года № 923. Утратил силу Указом Президента Республики Казахстан от 8 сентября 2014 года № 905.  - ИПС "Әділет" </w:t>
      </w:r>
      <w:r>
        <w:fldChar w:fldCharType="begin"/>
      </w:r>
      <w:r>
        <w:instrText xml:space="preserve"> HYPERLINK "http://adilet.zan.kz" </w:instrText>
      </w:r>
      <w:r>
        <w:fldChar w:fldCharType="separate"/>
      </w:r>
      <w:r>
        <w:rPr>
          <w:rFonts w:ascii="Times New Roman" w:hAnsi="Times New Roman" w:eastAsia="Calibri" w:cs="Times New Roman"/>
          <w:color w:val="0563C1"/>
          <w:kern w:val="2"/>
          <w:sz w:val="28"/>
          <w:szCs w:val="28"/>
          <w:u w:val="single"/>
        </w:rPr>
        <w:t>http://adilet.zan.kz</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w:t>
      </w:r>
    </w:p>
    <w:p w14:paraId="47BBADE6">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Обзор ситуации с неработающими займами по состоянию на 01 мая 2024 года. Департаментом корпоративного развития АО «Фонд проблемных кредитов. https://fpl.kz/wp-content/uploads/2024/12/overview-npl-010524.pdf. </w:t>
      </w:r>
    </w:p>
    <w:p w14:paraId="060B32B7">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План мероприятий Нацбанка РК по оздоровлению банковской системы и дальнейшему развитию финансового сектора на 2021 год. [Электрон. ресурс]. - URL: http://kapital.kz/details/34409/nacbank-kazahstana-vernul-banki-na-zemlyu.html</w:t>
      </w:r>
    </w:p>
    <w:p w14:paraId="76A54801">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Times New Roman" w:cs="Times New Roman"/>
          <w:sz w:val="28"/>
          <w:szCs w:val="28"/>
          <w:lang w:eastAsia="zh-CN"/>
        </w:rPr>
        <w:t>Керимхан Ж. Национальный Банк РК. Дискриминантный анализ в оценке кредитных рисков. Экономическое исследование №2018-2. август 2018 -26 стр.</w:t>
      </w:r>
    </w:p>
    <w:p w14:paraId="3DC8510A">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Times New Roman" w:cs="Times New Roman"/>
          <w:sz w:val="28"/>
          <w:szCs w:val="28"/>
          <w:lang w:eastAsia="zh-CN"/>
        </w:rPr>
        <w:t xml:space="preserve">Жазетова Ж. В каких банках Казахстана больше всего проблемных кредитов. </w:t>
      </w:r>
      <w:r>
        <w:fldChar w:fldCharType="begin"/>
      </w:r>
      <w:r>
        <w:instrText xml:space="preserve"> HYPERLINK "https://kz.kursiv.media/2024-08-29/zhzh-creditnpl90" </w:instrText>
      </w:r>
      <w:r>
        <w:fldChar w:fldCharType="separate"/>
      </w:r>
      <w:r>
        <w:rPr>
          <w:rFonts w:ascii="Times New Roman" w:hAnsi="Times New Roman" w:eastAsia="Times New Roman" w:cs="Times New Roman"/>
          <w:color w:val="0563C1"/>
          <w:sz w:val="28"/>
          <w:szCs w:val="28"/>
          <w:u w:val="single"/>
          <w:lang w:eastAsia="zh-CN"/>
        </w:rPr>
        <w:t>https://kz.kursiv.media/2024-08-29/zhzh-creditnpl90</w:t>
      </w:r>
      <w:r>
        <w:rPr>
          <w:rFonts w:ascii="Times New Roman" w:hAnsi="Times New Roman" w:eastAsia="Times New Roman" w:cs="Times New Roman"/>
          <w:color w:val="0563C1"/>
          <w:sz w:val="28"/>
          <w:szCs w:val="28"/>
          <w:u w:val="single"/>
          <w:lang w:eastAsia="zh-CN"/>
        </w:rPr>
        <w:fldChar w:fldCharType="end"/>
      </w:r>
      <w:r>
        <w:rPr>
          <w:rFonts w:ascii="Times New Roman" w:hAnsi="Times New Roman" w:eastAsia="Times New Roman" w:cs="Times New Roman"/>
          <w:sz w:val="28"/>
          <w:szCs w:val="28"/>
          <w:lang w:eastAsia="zh-CN"/>
        </w:rPr>
        <w:t xml:space="preserve"> (дата обращения: 29. 08. 2024).</w:t>
      </w:r>
    </w:p>
    <w:p w14:paraId="48D9BE14">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Times New Roman" w:cs="Times New Roman"/>
          <w:sz w:val="28"/>
          <w:szCs w:val="28"/>
          <w:lang w:eastAsia="zh-CN"/>
        </w:rPr>
        <w:t xml:space="preserve">Мягкова Т. А. Управление проблемными кредитами в коммерческом банке // Экономика и управление в XXI веке: тенденции развития. 2013. №13. URL: </w:t>
      </w:r>
      <w:r>
        <w:fldChar w:fldCharType="begin"/>
      </w:r>
      <w:r>
        <w:instrText xml:space="preserve"> HYPERLINK "https://cyberleninka.ru/article/n/upravlenie-problemnymi-kreditami-v-kommercheskom-banke" </w:instrText>
      </w:r>
      <w:r>
        <w:fldChar w:fldCharType="separate"/>
      </w:r>
      <w:r>
        <w:rPr>
          <w:rFonts w:ascii="Times New Roman" w:hAnsi="Times New Roman" w:eastAsia="Times New Roman" w:cs="Times New Roman"/>
          <w:color w:val="0563C1"/>
          <w:sz w:val="28"/>
          <w:szCs w:val="28"/>
          <w:u w:val="single"/>
          <w:lang w:eastAsia="zh-CN"/>
        </w:rPr>
        <w:t>https://cyberleninka.ru/article/n/upravlenie-problemnymi-kreditami-v-kommercheskom-banke</w:t>
      </w:r>
      <w:r>
        <w:rPr>
          <w:rFonts w:ascii="Times New Roman" w:hAnsi="Times New Roman" w:eastAsia="Times New Roman" w:cs="Times New Roman"/>
          <w:color w:val="0563C1"/>
          <w:sz w:val="28"/>
          <w:szCs w:val="28"/>
          <w:u w:val="single"/>
          <w:lang w:eastAsia="zh-CN"/>
        </w:rPr>
        <w:fldChar w:fldCharType="end"/>
      </w:r>
      <w:r>
        <w:rPr>
          <w:rFonts w:ascii="Times New Roman" w:hAnsi="Times New Roman" w:eastAsia="Times New Roman" w:cs="Times New Roman"/>
          <w:sz w:val="28"/>
          <w:szCs w:val="28"/>
          <w:lang w:eastAsia="zh-CN"/>
        </w:rPr>
        <w:t xml:space="preserve">  (дата обращения: 10.11.2025).</w:t>
      </w:r>
    </w:p>
    <w:p w14:paraId="645DF01D">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Times New Roman" w:cs="Times New Roman"/>
          <w:sz w:val="28"/>
          <w:szCs w:val="28"/>
          <w:lang w:eastAsia="zh-CN"/>
        </w:rPr>
        <w:t>Ассоциация банков Республики Казахстан «Проблема неуспешных и невозвратных кредитов. Алматы: Банки Казахстана. - 2018. – Т. 251. - No 5. - С. 45-56.</w:t>
      </w:r>
    </w:p>
    <w:p w14:paraId="02D16321">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Kantoroyeva   G., Zholamanova M., &amp; A.E., A. Lending to the real sector of the economy by banks of Kazakhstan. Economic Series of the Bulletin of L.N. Gumilyov ENU, (4), P.141–150.  </w:t>
      </w:r>
      <w:r>
        <w:fldChar w:fldCharType="begin"/>
      </w:r>
      <w:r>
        <w:rPr>
          <w:lang w:val="en-US"/>
        </w:rPr>
        <w:instrText xml:space="preserve">HYPERLINK "https://bulecon.enu.kz/index.php/main/article/view/305"</w:instrText>
      </w:r>
      <w:r>
        <w:fldChar w:fldCharType="separate"/>
      </w:r>
      <w:r>
        <w:rPr>
          <w:rFonts w:ascii="Times New Roman" w:hAnsi="Times New Roman" w:eastAsia="Calibri" w:cs="Times New Roman"/>
          <w:color w:val="0563C1"/>
          <w:kern w:val="2"/>
          <w:sz w:val="28"/>
          <w:szCs w:val="28"/>
          <w:u w:val="single"/>
        </w:rPr>
        <w:t>https://bulecon.enu.kz/index.php/main/article/view/305</w:t>
      </w:r>
      <w:r>
        <w:fldChar w:fldCharType="end"/>
      </w:r>
      <w:r>
        <w:rPr>
          <w:rFonts w:ascii="Times New Roman" w:hAnsi="Times New Roman" w:eastAsia="Calibri" w:cs="Times New Roman"/>
          <w:kern w:val="2"/>
          <w:sz w:val="28"/>
          <w:szCs w:val="28"/>
        </w:rPr>
        <w:t xml:space="preserve"> </w:t>
      </w:r>
    </w:p>
    <w:p w14:paraId="35D48D41">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Құрманалина, А., Қалқабаева, Г., Ысқақова З., Тян О. Қазақстан Республикасындағы экономиканың нақты секторы және ШОБ субъектілері үшін банктік несиелердің қолжетімділігін бағалау. БҮКЕТОВ БИЗНЕС ШОЛУ.-112(4), 175–184. </w:t>
      </w:r>
      <w:r>
        <w:fldChar w:fldCharType="begin"/>
      </w:r>
      <w:r>
        <w:instrText xml:space="preserve"> HYPERLINK "https://doi.org/10.31489/2023ec4/175-184" </w:instrText>
      </w:r>
      <w:r>
        <w:fldChar w:fldCharType="separate"/>
      </w:r>
      <w:r>
        <w:rPr>
          <w:rFonts w:ascii="Times New Roman" w:hAnsi="Times New Roman" w:eastAsia="Calibri" w:cs="Times New Roman"/>
          <w:color w:val="0563C1"/>
          <w:kern w:val="2"/>
          <w:sz w:val="28"/>
          <w:szCs w:val="28"/>
          <w:u w:val="single"/>
        </w:rPr>
        <w:t>https://doi.org/10.31489/2023ec4/175-184</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w:t>
      </w:r>
    </w:p>
    <w:p w14:paraId="363BCD29">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Кредиты экономике в расширенном определении. 2022-2024. </w:t>
      </w:r>
      <w:r>
        <w:fldChar w:fldCharType="begin"/>
      </w:r>
      <w:r>
        <w:instrText xml:space="preserve"> HYPERLINK "https://nationalbank.kz/ru/news/kredity-ekonomike-v-rasshirennom-opredelenii/rubrics/2002" </w:instrText>
      </w:r>
      <w:r>
        <w:fldChar w:fldCharType="separate"/>
      </w:r>
      <w:r>
        <w:rPr>
          <w:rFonts w:ascii="Times New Roman" w:hAnsi="Times New Roman" w:eastAsia="Calibri" w:cs="Times New Roman"/>
          <w:color w:val="0563C1"/>
          <w:kern w:val="2"/>
          <w:sz w:val="28"/>
          <w:szCs w:val="28"/>
          <w:u w:val="single"/>
        </w:rPr>
        <w:t>https://nationalbank.kz/ru/news/kredity-ekonomike-v-rasshirennom-opredelenii/rubrics/2002</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w:t>
      </w:r>
    </w:p>
    <w:p w14:paraId="2F3A6082">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Банковский сектор Казахстана демонстрирует устойчивые показатели, укрепляя доверие инвесторов. Аяна Бирбаева, раздел «Бизнес». </w:t>
      </w:r>
      <w:r>
        <w:fldChar w:fldCharType="begin"/>
      </w:r>
      <w:r>
        <w:instrText xml:space="preserve"> HYPERLINK "https://astanatimes.com/2025/11/kazakhstans-banking-sector-shows-robust-performance" </w:instrText>
      </w:r>
      <w:r>
        <w:fldChar w:fldCharType="separate"/>
      </w:r>
      <w:r>
        <w:rPr>
          <w:rFonts w:ascii="Times New Roman" w:hAnsi="Times New Roman" w:eastAsia="Calibri" w:cs="Times New Roman"/>
          <w:color w:val="0563C1"/>
          <w:kern w:val="2"/>
          <w:sz w:val="28"/>
          <w:szCs w:val="28"/>
          <w:u w:val="single"/>
        </w:rPr>
        <w:t>https://astanatimes.com/2025/11/kazakhstans-banking-sector-shows-robust-performance</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(дата обращения: 4. 11.2025 г.)</w:t>
      </w:r>
    </w:p>
    <w:p w14:paraId="6D95210F">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Обзор ситуации с NPL в банковском секторе Казахстана (октябрь 2025) </w:t>
      </w:r>
      <w:r>
        <w:fldChar w:fldCharType="begin"/>
      </w:r>
      <w:r>
        <w:instrText xml:space="preserve"> HYPERLINK "https://fpl.kz/files/overview-npl/overview-npl-01102025-en.pdf" </w:instrText>
      </w:r>
      <w:r>
        <w:fldChar w:fldCharType="separate"/>
      </w:r>
      <w:r>
        <w:rPr>
          <w:rFonts w:ascii="Times New Roman" w:hAnsi="Times New Roman" w:eastAsia="Calibri" w:cs="Times New Roman"/>
          <w:color w:val="0563C1"/>
          <w:kern w:val="2"/>
          <w:sz w:val="28"/>
          <w:szCs w:val="28"/>
          <w:u w:val="single"/>
        </w:rPr>
        <w:t>https://fpl.kz/files/overview-npl/overview-npl-01102025-en.pdf</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w:t>
      </w:r>
    </w:p>
    <w:p w14:paraId="0D222162">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rPr>
        <w:t xml:space="preserve">Казахстанский банковский сектор: устойчивость и качество активов (Astana Times, 2025). </w:t>
      </w:r>
      <w:r>
        <w:rPr>
          <w:rFonts w:ascii="Times New Roman" w:hAnsi="Times New Roman" w:eastAsia="Calibri" w:cs="Times New Roman"/>
          <w:kern w:val="2"/>
          <w:sz w:val="28"/>
          <w:szCs w:val="28"/>
          <w:lang w:val="en-US"/>
        </w:rPr>
        <w:t xml:space="preserve">URL: </w:t>
      </w:r>
      <w:r>
        <w:fldChar w:fldCharType="begin"/>
      </w:r>
      <w:r>
        <w:rPr>
          <w:lang w:val="en-US"/>
        </w:rPr>
        <w:instrText xml:space="preserve">HYPERLINK "https://astanatimes.com/2025/11/kazakhstans-banking-sector-shows-robust-performance-reinforcing-investor-confidence"</w:instrText>
      </w:r>
      <w:r>
        <w:fldChar w:fldCharType="separate"/>
      </w:r>
      <w:r>
        <w:rPr>
          <w:rFonts w:ascii="Times New Roman" w:hAnsi="Times New Roman" w:eastAsia="Calibri" w:cs="Times New Roman"/>
          <w:color w:val="0563C1"/>
          <w:kern w:val="2"/>
          <w:sz w:val="28"/>
          <w:szCs w:val="28"/>
          <w:u w:val="single"/>
          <w:lang w:val="en-US"/>
        </w:rPr>
        <w:t>https://astanatimes.com/2025/11/kazakhstans-banking-sector-shows-robust-performance-reinforcing-investor-confidence</w:t>
      </w:r>
      <w:r>
        <w:fldChar w:fldCharType="end"/>
      </w:r>
      <w:r>
        <w:rPr>
          <w:rFonts w:ascii="Times New Roman" w:hAnsi="Times New Roman" w:eastAsia="Calibri" w:cs="Times New Roman"/>
          <w:kern w:val="2"/>
          <w:sz w:val="28"/>
          <w:szCs w:val="28"/>
          <w:lang w:val="en-US"/>
        </w:rPr>
        <w:t xml:space="preserve"> </w:t>
      </w:r>
    </w:p>
    <w:p w14:paraId="7167537D">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Times New Roman" w:cs="Times New Roman"/>
          <w:sz w:val="28"/>
          <w:szCs w:val="28"/>
          <w:lang w:eastAsia="zh-CN"/>
        </w:rPr>
        <w:t xml:space="preserve">Постановление Правления Национального банка Республики Казахстан от 4 июля 2012 года № 215 «Об утверждении Правил осуществления организацией, специализирующейся на улучшении качества кредитных портфелей банков второго уровня, оценки и приобретения сомнительных и безнадёжных активов, а также Требований к приобретаемым (приобретённым) ею сомнительным и безнадёжным активам» [Электрон. ресурс]. – 2012. – URL: </w:t>
      </w:r>
      <w:r>
        <w:fldChar w:fldCharType="begin"/>
      </w:r>
      <w:r>
        <w:instrText xml:space="preserve"> HYPERLINK "http://normativ.uchet.kz/view.php?ID=42407" </w:instrText>
      </w:r>
      <w:r>
        <w:fldChar w:fldCharType="separate"/>
      </w:r>
      <w:r>
        <w:rPr>
          <w:rFonts w:ascii="Times New Roman" w:hAnsi="Times New Roman" w:eastAsia="Times New Roman" w:cs="Times New Roman"/>
          <w:color w:val="0563C1"/>
          <w:sz w:val="28"/>
          <w:szCs w:val="28"/>
          <w:u w:val="single"/>
          <w:lang w:eastAsia="zh-CN"/>
        </w:rPr>
        <w:t>http://normativ.uchet.kz/view.php?ID=42407</w:t>
      </w:r>
      <w:r>
        <w:rPr>
          <w:rFonts w:ascii="Times New Roman" w:hAnsi="Times New Roman" w:eastAsia="Times New Roman" w:cs="Times New Roman"/>
          <w:color w:val="0563C1"/>
          <w:sz w:val="28"/>
          <w:szCs w:val="28"/>
          <w:u w:val="single"/>
          <w:lang w:eastAsia="zh-CN"/>
        </w:rPr>
        <w:fldChar w:fldCharType="end"/>
      </w:r>
      <w:r>
        <w:rPr>
          <w:rFonts w:ascii="Times New Roman" w:hAnsi="Times New Roman" w:eastAsia="Times New Roman" w:cs="Times New Roman"/>
          <w:sz w:val="28"/>
          <w:szCs w:val="28"/>
          <w:lang w:eastAsia="zh-CN"/>
        </w:rPr>
        <w:t xml:space="preserve">  (дата обращения: 08.03.2021).</w:t>
      </w:r>
    </w:p>
    <w:p w14:paraId="23FAC6AB">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О состоянии банковского сектора Казахстана на 1 ноября 2024 года. Агентство Республики Казахстан по регулированию и развитию финансового рынка. </w:t>
      </w:r>
      <w:r>
        <w:fldChar w:fldCharType="begin"/>
      </w:r>
      <w:r>
        <w:instrText xml:space="preserve"> HYPERLINK "https://www.gov.kz/memleket/entities/ardfm/press/news/details/899734?lang=ru" </w:instrText>
      </w:r>
      <w:r>
        <w:fldChar w:fldCharType="separate"/>
      </w:r>
      <w:r>
        <w:rPr>
          <w:rStyle w:val="12"/>
          <w:rFonts w:ascii="Times New Roman" w:hAnsi="Times New Roman" w:eastAsia="Calibri" w:cs="Times New Roman"/>
          <w:kern w:val="2"/>
          <w:sz w:val="28"/>
          <w:szCs w:val="28"/>
        </w:rPr>
        <w:t>https://www.gov.kz/memleket/entities/ardfm/press/news/details/899734?lang=ru</w:t>
      </w:r>
      <w:r>
        <w:rPr>
          <w:rStyle w:val="12"/>
          <w:rFonts w:ascii="Times New Roman" w:hAnsi="Times New Roman" w:eastAsia="Calibri" w:cs="Times New Roman"/>
          <w:kern w:val="2"/>
          <w:sz w:val="28"/>
          <w:szCs w:val="28"/>
        </w:rPr>
        <w:fldChar w:fldCharType="end"/>
      </w:r>
      <w:r>
        <w:rPr>
          <w:rFonts w:ascii="Times New Roman" w:hAnsi="Times New Roman" w:eastAsia="Calibri" w:cs="Times New Roman"/>
          <w:kern w:val="2"/>
          <w:sz w:val="28"/>
          <w:szCs w:val="28"/>
        </w:rPr>
        <w:t xml:space="preserve"> </w:t>
      </w:r>
    </w:p>
    <w:p w14:paraId="66A44318">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Kursiv.kz. В Казахстане реорганизовали Фонд проблемных кредитов. – URL: </w:t>
      </w:r>
      <w:r>
        <w:fldChar w:fldCharType="begin"/>
      </w:r>
      <w:r>
        <w:instrText xml:space="preserve"> HYPERLINK "https://kursiv.kz/news/finansy/2018-12/v-kazakhstane-reorganizovali-fond-problemnykh-kreditov" </w:instrText>
      </w:r>
      <w:r>
        <w:fldChar w:fldCharType="separate"/>
      </w:r>
      <w:r>
        <w:rPr>
          <w:rFonts w:ascii="Times New Roman" w:hAnsi="Times New Roman" w:eastAsia="Calibri" w:cs="Times New Roman"/>
          <w:color w:val="0563C1"/>
          <w:kern w:val="2"/>
          <w:sz w:val="28"/>
          <w:szCs w:val="28"/>
          <w:u w:val="single"/>
        </w:rPr>
        <w:t>https://kursiv.kz/news/finansy/2018-12/v-kazakhstane-reorganizovali-fond-problemnykh-kreditov</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w:t>
      </w:r>
    </w:p>
    <w:p w14:paraId="46AED9AB">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Калимолдаев А.М., Оленев Н.Н. Экономико-математическая модель управления проектами проблемных банковских активов для экономики Казахстана// Вестник Пермского университета. Том 14.- №3.- 2019. с. 388–405. </w:t>
      </w:r>
      <w:r>
        <w:fldChar w:fldCharType="begin"/>
      </w:r>
      <w:r>
        <w:instrText xml:space="preserve"> HYPERLINK "https://elibrary.ru/item.asp?id=41240911" </w:instrText>
      </w:r>
      <w:r>
        <w:fldChar w:fldCharType="separate"/>
      </w:r>
      <w:r>
        <w:rPr>
          <w:rFonts w:ascii="Times New Roman" w:hAnsi="Times New Roman" w:eastAsia="Calibri" w:cs="Times New Roman"/>
          <w:color w:val="0563C1"/>
          <w:kern w:val="2"/>
          <w:sz w:val="28"/>
          <w:szCs w:val="28"/>
          <w:u w:val="single"/>
        </w:rPr>
        <w:t>https://elibrary.ru/item.asp?id=41240911</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(дата обращения 25.05.2019) </w:t>
      </w:r>
    </w:p>
    <w:p w14:paraId="3CE148D1">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Проблемное урегулирование проблемных банков. Halyk Research. 25.12.2023. </w:t>
      </w:r>
      <w:r>
        <w:fldChar w:fldCharType="begin"/>
      </w:r>
      <w:r>
        <w:instrText xml:space="preserve"> HYPERLINK "https://halykfinance.kz/download/files/analytics/AC_bank_policy.pdf" </w:instrText>
      </w:r>
      <w:r>
        <w:fldChar w:fldCharType="separate"/>
      </w:r>
      <w:r>
        <w:rPr>
          <w:rFonts w:ascii="Times New Roman" w:hAnsi="Times New Roman" w:eastAsia="Calibri" w:cs="Times New Roman"/>
          <w:color w:val="0563C1"/>
          <w:kern w:val="2"/>
          <w:sz w:val="28"/>
          <w:szCs w:val="28"/>
          <w:u w:val="single"/>
        </w:rPr>
        <w:t>https://halykfinance.kz/download/files/analytics/AC_bank_policy.pdf</w:t>
      </w:r>
      <w:r>
        <w:rPr>
          <w:rFonts w:ascii="Times New Roman" w:hAnsi="Times New Roman" w:eastAsia="Calibri" w:cs="Times New Roman"/>
          <w:color w:val="0563C1"/>
          <w:kern w:val="2"/>
          <w:sz w:val="28"/>
          <w:szCs w:val="28"/>
          <w:u w:val="single"/>
        </w:rPr>
        <w:fldChar w:fldCharType="end"/>
      </w:r>
    </w:p>
    <w:p w14:paraId="29B34FA5">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Kazakhstan: Non-performing loans. The Global Ecomomical.com. </w:t>
      </w:r>
      <w:r>
        <w:fldChar w:fldCharType="begin"/>
      </w:r>
      <w:r>
        <w:rPr>
          <w:lang w:val="en-US"/>
        </w:rPr>
        <w:instrText xml:space="preserve">HYPERLINK "https://www.theglobaleconomy.com/kazakhstan/nonperforming_loans/?utm_source"</w:instrText>
      </w:r>
      <w:r>
        <w:fldChar w:fldCharType="separate"/>
      </w:r>
      <w:r>
        <w:rPr>
          <w:rFonts w:ascii="Times New Roman" w:hAnsi="Times New Roman" w:eastAsia="Calibri" w:cs="Times New Roman"/>
          <w:color w:val="0563C1"/>
          <w:kern w:val="2"/>
          <w:sz w:val="28"/>
          <w:szCs w:val="28"/>
          <w:u w:val="single"/>
        </w:rPr>
        <w:t>https://www.theglobaleconomy.com/kazakhstan/nonperforming_loans/?utm_source</w:t>
      </w:r>
      <w:r>
        <w:fldChar w:fldCharType="end"/>
      </w:r>
    </w:p>
    <w:p w14:paraId="5F033EFC">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Times New Roman" w:cs="Times New Roman"/>
          <w:sz w:val="28"/>
          <w:szCs w:val="28"/>
          <w:lang w:eastAsia="zh-CN"/>
        </w:rPr>
        <w:t xml:space="preserve">НБРК указал банкам на риски кредитного портфеля. </w:t>
      </w:r>
      <w:r>
        <w:fldChar w:fldCharType="begin"/>
      </w:r>
      <w:r>
        <w:instrText xml:space="preserve"> HYPERLINK "https://the-tenge.kz/articles/riski-kreditnogo-portfelya-bvu%20дата%20обращения%2002.10.2025" </w:instrText>
      </w:r>
      <w:r>
        <w:fldChar w:fldCharType="separate"/>
      </w:r>
      <w:r>
        <w:rPr>
          <w:rFonts w:ascii="Times New Roman" w:hAnsi="Times New Roman" w:eastAsia="Times New Roman" w:cs="Times New Roman"/>
          <w:color w:val="0563C1"/>
          <w:sz w:val="28"/>
          <w:szCs w:val="28"/>
          <w:u w:val="single"/>
          <w:lang w:eastAsia="zh-CN"/>
        </w:rPr>
        <w:t>https://the-tenge.kz/articles/riski-kreditnogo-portfelya-bvu дата обращения 02.10.2025</w:t>
      </w:r>
      <w:r>
        <w:rPr>
          <w:rFonts w:ascii="Times New Roman" w:hAnsi="Times New Roman" w:eastAsia="Times New Roman" w:cs="Times New Roman"/>
          <w:color w:val="0563C1"/>
          <w:sz w:val="28"/>
          <w:szCs w:val="28"/>
          <w:u w:val="single"/>
          <w:lang w:eastAsia="zh-CN"/>
        </w:rPr>
        <w:fldChar w:fldCharType="end"/>
      </w:r>
    </w:p>
    <w:p w14:paraId="1A9445C8">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Основные проблемы банковского сектора уже решены. Агентство Республики Казахстан по регулированию и развитию финансового рынка. </w:t>
      </w:r>
      <w:r>
        <w:fldChar w:fldCharType="begin"/>
      </w:r>
      <w:r>
        <w:instrText xml:space="preserve"> HYPERLINK "https://www.gov.kz/memleket/entities/ardfm/press/article/details" </w:instrText>
      </w:r>
      <w:r>
        <w:fldChar w:fldCharType="separate"/>
      </w:r>
      <w:r>
        <w:rPr>
          <w:rFonts w:ascii="Times New Roman" w:hAnsi="Times New Roman" w:eastAsia="Calibri" w:cs="Times New Roman"/>
          <w:color w:val="0563C1"/>
          <w:kern w:val="2"/>
          <w:sz w:val="28"/>
          <w:szCs w:val="28"/>
          <w:u w:val="single"/>
        </w:rPr>
        <w:t>https://www.gov.kz/memleket/entities/ardfm/press/article/details</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(дата обращения 19.05.2021)</w:t>
      </w:r>
    </w:p>
    <w:p w14:paraId="4545C347">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Национальный банк Республики Казахстан. Финансовая стабильность и развитие банковского сектора. Алматы: НБК. 2023. </w:t>
      </w:r>
      <w:r>
        <w:fldChar w:fldCharType="begin"/>
      </w:r>
      <w:r>
        <w:instrText xml:space="preserve"> HYPERLINK "https://nationalbank.kz/ru/news/press-relizy/16990" </w:instrText>
      </w:r>
      <w:r>
        <w:fldChar w:fldCharType="separate"/>
      </w:r>
      <w:r>
        <w:rPr>
          <w:rFonts w:ascii="Times New Roman" w:hAnsi="Times New Roman" w:eastAsia="Calibri" w:cs="Times New Roman"/>
          <w:color w:val="0563C1"/>
          <w:kern w:val="2"/>
          <w:sz w:val="28"/>
          <w:szCs w:val="28"/>
          <w:u w:val="single"/>
        </w:rPr>
        <w:t>https://nationalbank.kz/ru/news/press-relizy/16990</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w:t>
      </w:r>
    </w:p>
    <w:p w14:paraId="2061486C">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 xml:space="preserve">The resolution of board of the agency of the Republic of Kazakhstan on regulation and development of the financial market.  September 29, 2025 No. 61. </w:t>
      </w:r>
      <w:r>
        <w:fldChar w:fldCharType="begin"/>
      </w:r>
      <w:r>
        <w:rPr>
          <w:lang w:val="en-US"/>
        </w:rPr>
        <w:instrText xml:space="preserve">HYPERLINK "https://cis-legislation.com/document.fwx?rgn=169877&amp;utm_source"</w:instrText>
      </w:r>
      <w:r>
        <w:fldChar w:fldCharType="separate"/>
      </w:r>
      <w:r>
        <w:rPr>
          <w:rFonts w:ascii="Times New Roman" w:hAnsi="Times New Roman" w:eastAsia="Calibri" w:cs="Times New Roman"/>
          <w:color w:val="0563C1"/>
          <w:kern w:val="2"/>
          <w:sz w:val="28"/>
          <w:szCs w:val="28"/>
          <w:u w:val="single"/>
          <w:lang w:val="en-US"/>
        </w:rPr>
        <w:t>https://cis-legislation.com/document.fwx?rgn=169877&amp;utm_source</w:t>
      </w:r>
      <w:r>
        <w:fldChar w:fldCharType="end"/>
      </w:r>
      <w:r>
        <w:rPr>
          <w:rFonts w:ascii="Times New Roman" w:hAnsi="Times New Roman" w:eastAsia="Calibri" w:cs="Times New Roman"/>
          <w:kern w:val="2"/>
          <w:sz w:val="28"/>
          <w:szCs w:val="28"/>
          <w:lang w:val="en-US"/>
        </w:rPr>
        <w:t xml:space="preserve"> </w:t>
      </w:r>
    </w:p>
    <w:p w14:paraId="4F24119A">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Национальный Банк Республики Казахстан. Отчёты о финансовой стабильности. 2020-2022 гг. - Алматы.</w:t>
      </w:r>
      <w:r>
        <w:t xml:space="preserve"> </w:t>
      </w:r>
      <w:r>
        <w:rPr>
          <w:rFonts w:ascii="Times New Roman" w:hAnsi="Times New Roman" w:eastAsia="Calibri" w:cs="Times New Roman"/>
          <w:kern w:val="2"/>
          <w:sz w:val="28"/>
          <w:szCs w:val="28"/>
        </w:rPr>
        <w:t>https://prg.kz/document/?doc_id=38623142&amp;pos=113;171</w:t>
      </w:r>
    </w:p>
    <w:p w14:paraId="35C42DE4">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Агентство РК по регулированию и развитию финансового рынка. Статистические бюллетени банковского сектора. №11, 2025.  </w:t>
      </w:r>
      <w:r>
        <w:fldChar w:fldCharType="begin"/>
      </w:r>
      <w:r>
        <w:instrText xml:space="preserve"> HYPERLINK "https://nationalbank.kz/ru/news/statisticheskiy-byulleten/rubrics/2329" </w:instrText>
      </w:r>
      <w:r>
        <w:fldChar w:fldCharType="separate"/>
      </w:r>
      <w:r>
        <w:rPr>
          <w:rFonts w:ascii="Times New Roman" w:hAnsi="Times New Roman" w:eastAsia="Calibri" w:cs="Times New Roman"/>
          <w:color w:val="0563C1"/>
          <w:kern w:val="2"/>
          <w:sz w:val="28"/>
          <w:szCs w:val="28"/>
          <w:u w:val="single"/>
        </w:rPr>
        <w:t>https://nationalbank.kz/ru/news/statisticheskiy-byulleten/rubrics/2329</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PL</w:t>
      </w:r>
    </w:p>
    <w:p w14:paraId="422161B7">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Постановление правления Нацбанка РК №129 утв. 30.06.2017 Об одобрении Программы повышения финансовой устойчивости банковского сектора РК// ИС ПАРАГРАФ  (с </w:t>
      </w:r>
      <w:r>
        <w:fldChar w:fldCharType="begin"/>
      </w:r>
      <w:r>
        <w:instrText xml:space="preserve"> HYPERLINK "https://prg.kz/document/?doc_id=36305760" \o "Постановление Правления Национального Банка от 30 июня 2017 года № 129 " </w:instrText>
      </w:r>
      <w:r>
        <w:fldChar w:fldCharType="separate"/>
      </w:r>
      <w:r>
        <w:rPr>
          <w:rStyle w:val="12"/>
          <w:rFonts w:ascii="Times New Roman" w:hAnsi="Times New Roman" w:eastAsia="Calibri" w:cs="Times New Roman"/>
          <w:color w:val="auto"/>
          <w:kern w:val="2"/>
          <w:sz w:val="28"/>
          <w:szCs w:val="28"/>
          <w:u w:val="none"/>
        </w:rPr>
        <w:t>изменениями</w:t>
      </w:r>
      <w:r>
        <w:rPr>
          <w:rStyle w:val="12"/>
          <w:rFonts w:ascii="Times New Roman" w:hAnsi="Times New Roman" w:eastAsia="Calibri" w:cs="Times New Roman"/>
          <w:color w:val="auto"/>
          <w:kern w:val="2"/>
          <w:sz w:val="28"/>
          <w:szCs w:val="28"/>
          <w:u w:val="none"/>
        </w:rPr>
        <w:fldChar w:fldCharType="end"/>
      </w:r>
      <w:r>
        <w:rPr>
          <w:rFonts w:ascii="Times New Roman" w:hAnsi="Times New Roman" w:eastAsia="Calibri" w:cs="Times New Roman"/>
          <w:kern w:val="2"/>
          <w:sz w:val="28"/>
          <w:szCs w:val="28"/>
        </w:rPr>
        <w:t xml:space="preserve"> от 24.02.2020 г.) </w:t>
      </w:r>
    </w:p>
    <w:p w14:paraId="15AE73D0">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Сурина И.В. Современное состояние проблемной задолженности по кредитам в кредитном портфеле российских банков: оценка изменения ключевых компонент // Вестник Алтайской академии экономики и права. -2020.- № 6-1.- С. 102-108</w:t>
      </w:r>
    </w:p>
    <w:p w14:paraId="609DAD3B">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Об утверждении Национального плана развития Республики Казахстан до 2025 года и признании утратившими силу некоторых указов Президента Республики Казахстан. Указ Президента Республики Казахстан от 15 февраля 2018 года № 636. https://adilet.zan.kz</w:t>
      </w:r>
    </w:p>
    <w:p w14:paraId="1C0B92E4">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Kursiv.kz. Нацбанк прокомментировал передачу ФПК правительству. – URL: https://kursiv.kz/news/finansy/2017-04/nacbank-prokommentiroval-peredachu-fpk-pravitelstvu </w:t>
      </w:r>
    </w:p>
    <w:p w14:paraId="030F023C">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Берик Шолпанкулов: «Цель Фонда проблемных кредитов – возврат в экономический оборот приобретенных активов» </w:t>
      </w:r>
      <w:r>
        <w:fldChar w:fldCharType="begin"/>
      </w:r>
      <w:r>
        <w:instrText xml:space="preserve"> HYPERLINK "https://ortcom.kz/ru/novosti/2339-berik-sholpankulov-tsel-fonda-problemnykh-kreditov-vozvrat-v-ekonomicheskij-oborot-priobretennykh-aktivov" </w:instrText>
      </w:r>
      <w:r>
        <w:fldChar w:fldCharType="separate"/>
      </w:r>
      <w:r>
        <w:rPr>
          <w:rFonts w:ascii="Times New Roman" w:hAnsi="Times New Roman" w:eastAsia="Calibri" w:cs="Times New Roman"/>
          <w:color w:val="0563C1"/>
          <w:kern w:val="2"/>
          <w:sz w:val="28"/>
          <w:szCs w:val="28"/>
          <w:u w:val="single"/>
        </w:rPr>
        <w:t>https://ortcom.kz/ru/novosti/2339-berik-sholpankulov-tsel-fonda-problemnykh-kreditov-vozvrat-v-ekonomicheskij-oborot-priobretennykh-aktivov</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(дата обращения: 06.12.2018)</w:t>
      </w:r>
    </w:p>
    <w:p w14:paraId="71D55D42">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Агентство РК по регулированию и развитию финансового рынка. Отчёты о финансовой стабильности банковского сектора Республики Казахстан. Астана, 2019–2024.</w:t>
      </w:r>
    </w:p>
    <w:p w14:paraId="2167A64A">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Агентство РК по регулированию и развитию финансового рынка. Обзоры финансовой стабильности. За декабрь 2024.  </w:t>
      </w:r>
      <w:r>
        <w:fldChar w:fldCharType="begin"/>
      </w:r>
      <w:r>
        <w:instrText xml:space="preserve"> HYPERLINK "file:///C:/Users/ASUS/Downloads/_gluster_2025_2_7_af73403ded9884d5d83bb7ea7163103d_original.645515.pdf" </w:instrText>
      </w:r>
      <w:r>
        <w:fldChar w:fldCharType="separate"/>
      </w:r>
      <w:r>
        <w:rPr>
          <w:rFonts w:ascii="Times New Roman" w:hAnsi="Times New Roman" w:eastAsia="Calibri" w:cs="Times New Roman"/>
          <w:color w:val="0563C1"/>
          <w:kern w:val="2"/>
          <w:sz w:val="28"/>
          <w:szCs w:val="28"/>
          <w:u w:val="single"/>
        </w:rPr>
        <w:t>file:///C:/Users/ASUS/Downloads/_gluster_2025_2_7_af73403ded9884d5d83bb7ea7163103d_original.645515.pdf</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w:t>
      </w:r>
    </w:p>
    <w:p w14:paraId="20633249">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rPr>
        <w:t xml:space="preserve">Казкоммерцбанк в 2017 году снизил активы по МСФО на 26,5%, до 3,574 трлн тенге - подробные данные по снижению активов и финансовым результатам ККБ за 2017 год. </w:t>
      </w:r>
      <w:r>
        <w:rPr>
          <w:rFonts w:ascii="Times New Roman" w:hAnsi="Times New Roman" w:eastAsia="Calibri" w:cs="Times New Roman"/>
          <w:kern w:val="2"/>
          <w:sz w:val="28"/>
          <w:szCs w:val="28"/>
          <w:lang w:val="en-US"/>
        </w:rPr>
        <w:t xml:space="preserve">Inbusiness.kz. </w:t>
      </w:r>
      <w:r>
        <w:fldChar w:fldCharType="begin"/>
      </w:r>
      <w:r>
        <w:rPr>
          <w:lang w:val="en-US"/>
        </w:rPr>
        <w:instrText xml:space="preserve">HYPERLINK "https://www.inbusiness.kz/ru/last/kazkommercbank-v-2017"</w:instrText>
      </w:r>
      <w:r>
        <w:fldChar w:fldCharType="separate"/>
      </w:r>
      <w:r>
        <w:rPr>
          <w:rFonts w:ascii="Times New Roman" w:hAnsi="Times New Roman" w:eastAsia="Calibri" w:cs="Times New Roman"/>
          <w:color w:val="0563C1"/>
          <w:kern w:val="2"/>
          <w:sz w:val="28"/>
          <w:szCs w:val="28"/>
          <w:u w:val="single"/>
          <w:lang w:val="en-US"/>
        </w:rPr>
        <w:t>https://www.inbusiness.kz/ru/last/kazkommercbank-v-2017</w:t>
      </w:r>
      <w:r>
        <w:fldChar w:fldCharType="end"/>
      </w:r>
      <w:r>
        <w:rPr>
          <w:rFonts w:ascii="Times New Roman" w:hAnsi="Times New Roman" w:eastAsia="Calibri" w:cs="Times New Roman"/>
          <w:kern w:val="2"/>
          <w:sz w:val="28"/>
          <w:szCs w:val="28"/>
          <w:lang w:val="en-US"/>
        </w:rPr>
        <w:t xml:space="preserve"> </w:t>
      </w:r>
    </w:p>
    <w:p w14:paraId="188CE65A">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 </w:t>
      </w:r>
      <w:r>
        <w:rPr>
          <w:rFonts w:ascii="Times New Roman" w:hAnsi="Times New Roman" w:eastAsia="Calibri" w:cs="Times New Roman"/>
          <w:kern w:val="2"/>
          <w:sz w:val="28"/>
          <w:szCs w:val="28"/>
        </w:rPr>
        <w:t xml:space="preserve">Слияние NPL и реструктуризация: Народный банк завершил крупную сделку по приобретению Казкоммерцбанка в 2017 г. — подтверждение процесса сделки и смены акционера. Newsline.kz. Halyk Bank acquired 96.81 % of Kazkom’s ordinary shares. </w:t>
      </w:r>
      <w:r>
        <w:fldChar w:fldCharType="begin"/>
      </w:r>
      <w:r>
        <w:instrText xml:space="preserve"> HYPERLINK "https://newsline.kz/article/736679/" </w:instrText>
      </w:r>
      <w:r>
        <w:fldChar w:fldCharType="separate"/>
      </w:r>
      <w:r>
        <w:rPr>
          <w:rFonts w:ascii="Times New Roman" w:hAnsi="Times New Roman" w:eastAsia="Calibri" w:cs="Times New Roman"/>
          <w:color w:val="0563C1"/>
          <w:kern w:val="2"/>
          <w:sz w:val="28"/>
          <w:szCs w:val="28"/>
          <w:u w:val="single"/>
        </w:rPr>
        <w:t>https://newsline.kz/article/736679/</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w:t>
      </w:r>
    </w:p>
    <w:p w14:paraId="706DB746">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Банковский сектор Казахстана в 2017 г. снизил совокупные активы на 5,2%, кредитный портфель – на 12,4%. AFK.kz. URL: </w:t>
      </w:r>
      <w:r>
        <w:fldChar w:fldCharType="begin"/>
      </w:r>
      <w:r>
        <w:instrText xml:space="preserve"> HYPERLINK "https://afk.kz/ru/analytics/obzoryi-finansovogo-sektora/bankovskij-sektor-kazaxstana-v-2017-godu.html" </w:instrText>
      </w:r>
      <w:r>
        <w:fldChar w:fldCharType="separate"/>
      </w:r>
      <w:r>
        <w:rPr>
          <w:rFonts w:ascii="Times New Roman" w:hAnsi="Times New Roman" w:eastAsia="Calibri" w:cs="Times New Roman"/>
          <w:color w:val="0563C1"/>
          <w:kern w:val="2"/>
          <w:sz w:val="28"/>
          <w:szCs w:val="28"/>
          <w:u w:val="single"/>
        </w:rPr>
        <w:t>https://afk.kz/ru/analytics/obzoryi-finansovogo-sektora/bankovskij-sektor-kazaxstana-v-2017-godu.html</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(дата обращения: 01. 02. 2018)</w:t>
      </w:r>
    </w:p>
    <w:p w14:paraId="3C1CFB8E">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Bank RBK в 2017 году сократил активы почти вдвое. Inbusiness.kz. URL: </w:t>
      </w:r>
      <w:r>
        <w:fldChar w:fldCharType="begin"/>
      </w:r>
      <w:r>
        <w:instrText xml:space="preserve"> HYPERLINK "https://inbusiness.kz/ru/last/bank-rbk-v-2017-godu-sokratil-aktivy-pochti-vdvoe" </w:instrText>
      </w:r>
      <w:r>
        <w:fldChar w:fldCharType="separate"/>
      </w:r>
      <w:r>
        <w:rPr>
          <w:rFonts w:ascii="Times New Roman" w:hAnsi="Times New Roman" w:eastAsia="Calibri" w:cs="Times New Roman"/>
          <w:color w:val="0563C1"/>
          <w:kern w:val="2"/>
          <w:sz w:val="28"/>
          <w:szCs w:val="28"/>
          <w:u w:val="single"/>
        </w:rPr>
        <w:t>https://inbusiness.kz/ru/last/bank-rbk-v-2017-godu-sokratil-aktivy-pochti-vdvoe</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(дата обращения: 14. 06.2018)</w:t>
      </w:r>
    </w:p>
    <w:p w14:paraId="3EEB4BA1">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Как ликвидация Delta Bank изменила банковский сектор Казахстана. 365info.kz. URL: </w:t>
      </w:r>
      <w:r>
        <w:fldChar w:fldCharType="begin"/>
      </w:r>
      <w:r>
        <w:instrText xml:space="preserve"> HYPERLINK "https://365info.kz/2017/12/kak-likvidatsiya-delta-bank-izmenila-bankovskij-sektor-kazahstana" </w:instrText>
      </w:r>
      <w:r>
        <w:fldChar w:fldCharType="separate"/>
      </w:r>
      <w:r>
        <w:rPr>
          <w:rFonts w:ascii="Times New Roman" w:hAnsi="Times New Roman" w:eastAsia="Calibri" w:cs="Times New Roman"/>
          <w:color w:val="0563C1"/>
          <w:kern w:val="2"/>
          <w:sz w:val="28"/>
          <w:szCs w:val="28"/>
          <w:u w:val="single"/>
        </w:rPr>
        <w:t>https://365info.kz/2017/12/kak-likvidatsiya-delta-bank-izmenila-bankovskij-sektor-kazahstana</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(дата обращения: 20.06.2018)</w:t>
      </w:r>
    </w:p>
    <w:p w14:paraId="63C13F8B">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Кредитный портфель банков РК достиг 39,8 трлн тенге. Standard.kz. URL: </w:t>
      </w:r>
      <w:r>
        <w:fldChar w:fldCharType="begin"/>
      </w:r>
      <w:r>
        <w:instrText xml:space="preserve"> HYPERLINK "https://www.standard.kz/ru/post/2025_09" </w:instrText>
      </w:r>
      <w:r>
        <w:fldChar w:fldCharType="separate"/>
      </w:r>
      <w:r>
        <w:rPr>
          <w:rFonts w:ascii="Times New Roman" w:hAnsi="Times New Roman" w:eastAsia="Calibri" w:cs="Times New Roman"/>
          <w:color w:val="0563C1"/>
          <w:kern w:val="2"/>
          <w:sz w:val="28"/>
          <w:szCs w:val="28"/>
          <w:u w:val="single"/>
        </w:rPr>
        <w:t>https://www.standard.kz/ru/post/2025_09</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(дата обращения 01.02.2025 ) </w:t>
      </w:r>
    </w:p>
    <w:p w14:paraId="07AFB275">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Анализ банковского сектора за 2015-2024 годы. Halyk Finance. URL: </w:t>
      </w:r>
      <w:r>
        <w:fldChar w:fldCharType="begin"/>
      </w:r>
      <w:r>
        <w:instrText xml:space="preserve"> HYPERLINK "https://halykfinance.kz/download/files/analytics/banks_2024.pdf" </w:instrText>
      </w:r>
      <w:r>
        <w:fldChar w:fldCharType="separate"/>
      </w:r>
      <w:r>
        <w:rPr>
          <w:rFonts w:ascii="Times New Roman" w:hAnsi="Times New Roman" w:eastAsia="Calibri" w:cs="Times New Roman"/>
          <w:color w:val="0563C1"/>
          <w:kern w:val="2"/>
          <w:sz w:val="28"/>
          <w:szCs w:val="28"/>
          <w:u w:val="single"/>
        </w:rPr>
        <w:t>https://halykfinance.kz/download/files/analytics/banks_2024.pdf</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(дата обращения: 7.03.2025)</w:t>
      </w:r>
    </w:p>
    <w:p w14:paraId="7A5DE8C0">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Шерстнева Д. С. Использование технологии BIG DATA при работе с проблемной задолженностью в банковской деятельности // Глобальные проблемы модернизации национальной экономики: Мат-лы X Международной научно-практ. конф./ отв. редактор А. А. Бурмистрова [и др.]. Тамбов. - 2021. -С. 575-581.</w:t>
      </w:r>
    </w:p>
    <w:p w14:paraId="7FB6FB11">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Министерство финансов Республики Казахстан. Международные стандарты финансовой отчётности (МСФО). URL: https://www.gov.kz/memleket/entities/minfin/press/article/details/208390 (дата обращения: 11.07. 2025)</w:t>
      </w:r>
    </w:p>
    <w:p w14:paraId="29CABBFB">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Стандарты МСФО. МЦФЭР – Главбух. URL: https://buh.mcfr.kz/article/752-standarty-msfo (дата обращения: 30. 04. 2025).</w:t>
      </w:r>
    </w:p>
    <w:p w14:paraId="619A48F3">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Международные стандарты финансовой отчетности: структура и назначение (научный документ). </w:t>
      </w:r>
      <w:r>
        <w:fldChar w:fldCharType="begin"/>
      </w:r>
      <w:r>
        <w:instrText xml:space="preserve"> HYPERLINK "https://mdis.uz/uploads/repository/416e0773d7b2395b90a4033e3132b7ec.pdf" </w:instrText>
      </w:r>
      <w:r>
        <w:fldChar w:fldCharType="separate"/>
      </w:r>
      <w:r>
        <w:rPr>
          <w:rFonts w:ascii="Times New Roman" w:hAnsi="Times New Roman" w:eastAsia="Calibri" w:cs="Times New Roman"/>
          <w:color w:val="0563C1"/>
          <w:kern w:val="2"/>
          <w:sz w:val="28"/>
          <w:szCs w:val="28"/>
          <w:u w:val="single"/>
        </w:rPr>
        <w:t>https://mdis.uz/uploads/repository/416e0773d7b2395b90a4033e3132b7ec.pdf</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(дата обращения: 8.11.2025)</w:t>
      </w:r>
    </w:p>
    <w:p w14:paraId="76ED7807">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Информационно‑правовая система нормативных правовых актов Республики Казахстан. Политика управления проблемными активами в банке (требования к внутренним процедурам). –zakon.uchet.kz. https://zakon.uchet.kz/rus/history/V2200027949/29.04.2022</w:t>
      </w:r>
    </w:p>
    <w:p w14:paraId="0F229803">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Rakhimzhanova, K., Zhorabaeva, G., &amp; Aliyeva, B. Проблемные кредиты банков второго уровня Республики Казахстан и методы их управления. Вопросы современной экономики и финансов//Вестник ЕНУ им. Л.Н. Гумилева. Экономическая серия. (3). -2024.  -С. 296-314</w:t>
      </w:r>
    </w:p>
    <w:p w14:paraId="3D2E5B1F">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НАЦИОНАЛЬНЫЙ БАНК РЕСПУБЛИКИ КАЗАХСТАН. О создании АО «Фонд проблемных кредитов»: пресс‑релиз № 14, 23 апреля 2012. </w:t>
      </w:r>
      <w:r>
        <w:fldChar w:fldCharType="begin"/>
      </w:r>
      <w:r>
        <w:instrText xml:space="preserve"> HYPERLINK "URL:https://nationalbank.kz/file/download/5928" </w:instrText>
      </w:r>
      <w:r>
        <w:fldChar w:fldCharType="separate"/>
      </w:r>
      <w:r>
        <w:rPr>
          <w:rFonts w:ascii="Times New Roman" w:hAnsi="Times New Roman" w:eastAsia="Calibri" w:cs="Times New Roman"/>
          <w:color w:val="0563C1"/>
          <w:kern w:val="2"/>
          <w:sz w:val="28"/>
          <w:szCs w:val="28"/>
          <w:u w:val="single"/>
        </w:rPr>
        <w:t>URL:https://nationalbank.kz/file/download/5928</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(дата обращения: 14.12.2025)</w:t>
      </w:r>
    </w:p>
    <w:p w14:paraId="366A784C">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Правление Национального Банка Республики Казахстан. Концепция функционирования АО «Фонд проблемных кредитов». Утв. 27 мая 2014 г. (с изменениями от 27 мая 2015 года № 86) https://prg.kz/m/amp/document/39498754/</w:t>
      </w:r>
    </w:p>
    <w:p w14:paraId="2D95D2C1">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Shawleen Anita, S., Tasnova, N., Nawar, N. Are non-performing loans sensitive to macroeconomic determinants?  empirical evidence from banking sector of SAARC countries // Future Business Journal. </w:t>
      </w:r>
      <w:r>
        <w:rPr>
          <w:rFonts w:ascii="Times New Roman" w:hAnsi="Times New Roman" w:eastAsia="Calibri" w:cs="Times New Roman"/>
          <w:kern w:val="2"/>
          <w:sz w:val="28"/>
          <w:szCs w:val="28"/>
        </w:rPr>
        <w:t xml:space="preserve">Vol. 8. - 2022. -p. 1-6 </w:t>
      </w:r>
    </w:p>
    <w:p w14:paraId="67C2F31A">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Md. Zainol, J., Nor, A. M., Ibrahim, S. N., Daud, S. Macroeconomics Determinants of Non-Performing Loans in Malaysia: An ARDL Approach // International Journal of Academic Research in Business and Social Sciences.  </w:t>
      </w:r>
      <w:r>
        <w:fldChar w:fldCharType="begin"/>
      </w:r>
      <w:r>
        <w:rPr>
          <w:lang w:val="en-US"/>
        </w:rPr>
        <w:instrText xml:space="preserve">HYPERLINK "http://dx.doi.org/10.6007/IJARBSS/v8-i10/4773"</w:instrText>
      </w:r>
      <w:r>
        <w:fldChar w:fldCharType="separate"/>
      </w:r>
      <w:r>
        <w:rPr>
          <w:rFonts w:ascii="Times New Roman" w:hAnsi="Times New Roman" w:eastAsia="Calibri" w:cs="Times New Roman"/>
          <w:color w:val="0563C1"/>
          <w:kern w:val="2"/>
          <w:sz w:val="28"/>
          <w:szCs w:val="28"/>
          <w:u w:val="single"/>
        </w:rPr>
        <w:t>http://dx.doi.org/10.6007/IJARBSS/v8-i10/4773</w:t>
      </w:r>
      <w:r>
        <w:fldChar w:fldCharType="end"/>
      </w:r>
      <w:r>
        <w:rPr>
          <w:rFonts w:ascii="Times New Roman" w:hAnsi="Times New Roman" w:eastAsia="Calibri" w:cs="Times New Roman"/>
          <w:kern w:val="2"/>
          <w:sz w:val="28"/>
          <w:szCs w:val="28"/>
        </w:rPr>
        <w:t xml:space="preserve"> (дата обращения: 25.08.2018)</w:t>
      </w:r>
    </w:p>
    <w:p w14:paraId="3CF5271A">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Koju, L., Abbas, G., Wang, S. Do macroeconomic determinants of non-performing loans vary with the income levels of countries? // Journal of Systems Science and Information, 2018. </w:t>
      </w:r>
      <w:r>
        <w:fldChar w:fldCharType="begin"/>
      </w:r>
      <w:r>
        <w:rPr>
          <w:lang w:val="en-US"/>
        </w:rPr>
        <w:instrText xml:space="preserve">HYPERLINK "https://www.degruyterbrill.com/document/doi/10.21078/JSSI-2018-512-20"</w:instrText>
      </w:r>
      <w:r>
        <w:fldChar w:fldCharType="separate"/>
      </w:r>
      <w:r>
        <w:rPr>
          <w:rFonts w:ascii="Times New Roman" w:hAnsi="Times New Roman" w:eastAsia="Calibri" w:cs="Times New Roman"/>
          <w:color w:val="0563C1"/>
          <w:kern w:val="2"/>
          <w:sz w:val="28"/>
          <w:szCs w:val="28"/>
          <w:u w:val="single"/>
        </w:rPr>
        <w:t>https://www.degruyterbrill.com/document/doi/10.21078/JSSI-2018-512-20</w:t>
      </w:r>
      <w:r>
        <w:fldChar w:fldCharType="end"/>
      </w:r>
      <w:r>
        <w:rPr>
          <w:rFonts w:ascii="Times New Roman" w:hAnsi="Times New Roman" w:eastAsia="Calibri" w:cs="Times New Roman"/>
          <w:kern w:val="2"/>
          <w:sz w:val="28"/>
          <w:szCs w:val="28"/>
        </w:rPr>
        <w:t xml:space="preserve"> (дата обращения 12.12.2018)</w:t>
      </w:r>
    </w:p>
    <w:p w14:paraId="23E9F78C">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 xml:space="preserve">Almas Kalimoldayev,Yelena Popova,Olegs Cernisevs, Sergejs Popovs. Impact of Macro Factors on NPLs in the Banking Industry of Kazakhstan. Journal: J. Risk Financial Manag., 2025. Vol.18. N 431. </w:t>
      </w:r>
      <w:r>
        <w:fldChar w:fldCharType="begin"/>
      </w:r>
      <w:r>
        <w:rPr>
          <w:lang w:val="en-US"/>
        </w:rPr>
        <w:instrText xml:space="preserve">HYPERLINK "https://www.mdpi.com/1911-8074/18/8/431"</w:instrText>
      </w:r>
      <w:r>
        <w:fldChar w:fldCharType="separate"/>
      </w:r>
      <w:r>
        <w:rPr>
          <w:rFonts w:ascii="Times New Roman" w:hAnsi="Times New Roman" w:eastAsia="Calibri" w:cs="Times New Roman"/>
          <w:color w:val="0563C1"/>
          <w:kern w:val="2"/>
          <w:sz w:val="28"/>
          <w:szCs w:val="28"/>
          <w:u w:val="single"/>
          <w:lang w:val="en-US"/>
        </w:rPr>
        <w:t>https://www.mdpi.com/1911-8074/18/8/431</w:t>
      </w:r>
      <w:r>
        <w:fldChar w:fldCharType="end"/>
      </w:r>
      <w:r>
        <w:rPr>
          <w:rFonts w:ascii="Times New Roman" w:hAnsi="Times New Roman" w:eastAsia="Calibri" w:cs="Times New Roman"/>
          <w:kern w:val="2"/>
          <w:sz w:val="28"/>
          <w:szCs w:val="28"/>
          <w:lang w:val="en-US"/>
        </w:rPr>
        <w:t xml:space="preserve">  </w:t>
      </w:r>
    </w:p>
    <w:p w14:paraId="61CA8D4D">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Канагатова Д.Б., Кенжеғалиева Н.С. Влияние потребительского кредита на стабильность банковской системы: анализ экономических и психологических факторов. Central Asian Economic Review. 2023;(2):164-180. </w:t>
      </w:r>
      <w:r>
        <w:fldChar w:fldCharType="begin"/>
      </w:r>
      <w:r>
        <w:instrText xml:space="preserve"> HYPERLINK "https://doi.org/10.52821/2789-4401-2023-2-164-180" </w:instrText>
      </w:r>
      <w:r>
        <w:fldChar w:fldCharType="separate"/>
      </w:r>
      <w:r>
        <w:rPr>
          <w:rFonts w:ascii="Times New Roman" w:hAnsi="Times New Roman" w:eastAsia="Calibri" w:cs="Times New Roman"/>
          <w:color w:val="0563C1"/>
          <w:kern w:val="2"/>
          <w:sz w:val="28"/>
          <w:szCs w:val="28"/>
          <w:u w:val="single"/>
        </w:rPr>
        <w:t>https://doi.org/10.52821/2789-4401-2023-2-164-180</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w:t>
      </w:r>
    </w:p>
    <w:p w14:paraId="329B9BD7">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Talimova, L. A., Kalkabaeva, G. M. Возвратность банковских кредитов в Казахстане: современные проблемы и тенденции // Карагандинский экономический университет, 2017. — Анализ динамики просроченной задолженности и факторов, её определяющих. </w:t>
      </w:r>
      <w:r>
        <w:fldChar w:fldCharType="begin"/>
      </w:r>
      <w:r>
        <w:instrText xml:space="preserve"> HYPERLINK "https://rep.keu.kz/bitstream/" </w:instrText>
      </w:r>
      <w:r>
        <w:fldChar w:fldCharType="separate"/>
      </w:r>
      <w:r>
        <w:rPr>
          <w:rFonts w:ascii="Times New Roman" w:hAnsi="Times New Roman" w:eastAsia="Calibri" w:cs="Times New Roman"/>
          <w:color w:val="0563C1"/>
          <w:kern w:val="2"/>
          <w:sz w:val="28"/>
          <w:szCs w:val="28"/>
          <w:u w:val="single"/>
        </w:rPr>
        <w:t>https://rep.keu.kz/bitstream/</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(дата обращения: 12.05.2018)</w:t>
      </w:r>
    </w:p>
    <w:p w14:paraId="16B64AEB">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Eberle, P. Non-performing loans experience in the Republic of Kazakhstan // Journal of Finance and Accountancy, 2018. — Исторический анализ реакции банковской системы РК на макроэкономические шоки через призму NPL. </w:t>
      </w:r>
      <w:r>
        <w:fldChar w:fldCharType="begin"/>
      </w:r>
      <w:r>
        <w:instrText xml:space="preserve"> HYPERLINK "https://www.aabri.com/manuscripts/" </w:instrText>
      </w:r>
      <w:r>
        <w:fldChar w:fldCharType="separate"/>
      </w:r>
      <w:r>
        <w:rPr>
          <w:rFonts w:ascii="Times New Roman" w:hAnsi="Times New Roman" w:eastAsia="Calibri" w:cs="Times New Roman"/>
          <w:color w:val="0563C1"/>
          <w:kern w:val="2"/>
          <w:sz w:val="28"/>
          <w:szCs w:val="28"/>
          <w:u w:val="single"/>
        </w:rPr>
        <w:t>https://www.aabri.com/manuscripts/</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w:t>
      </w:r>
    </w:p>
    <w:p w14:paraId="6A64DB9B">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Popova, Y., Cernisevs, O., &amp; Popovs, S. Impact of Geographic Location on Risks of Fintech as a Representative of Financial Institutions. </w:t>
      </w:r>
      <w:r>
        <w:rPr>
          <w:rFonts w:ascii="Times New Roman" w:hAnsi="Times New Roman" w:eastAsia="Calibri" w:cs="Times New Roman"/>
          <w:kern w:val="2"/>
          <w:sz w:val="28"/>
          <w:szCs w:val="28"/>
        </w:rPr>
        <w:t xml:space="preserve">Geographies, 4(4), Article 4. 2024. </w:t>
      </w:r>
      <w:r>
        <w:fldChar w:fldCharType="begin"/>
      </w:r>
      <w:r>
        <w:instrText xml:space="preserve"> HYPERLINK "https://doi.org/10.3390/geographies4040041" </w:instrText>
      </w:r>
      <w:r>
        <w:fldChar w:fldCharType="separate"/>
      </w:r>
      <w:r>
        <w:rPr>
          <w:rFonts w:ascii="Times New Roman" w:hAnsi="Times New Roman" w:eastAsia="Calibri" w:cs="Times New Roman"/>
          <w:color w:val="0563C1"/>
          <w:kern w:val="2"/>
          <w:sz w:val="28"/>
          <w:szCs w:val="28"/>
          <w:u w:val="single"/>
        </w:rPr>
        <w:t>https://doi.org/10.3390/geographies4040041</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w:t>
      </w:r>
    </w:p>
    <w:p w14:paraId="3A49B907">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Popova, Y., Cernisevs, O., &amp; Popovs, S. Contribution to Modern Economic Region Theory: Factor of Intangible Digital Resources. </w:t>
      </w:r>
      <w:r>
        <w:rPr>
          <w:rFonts w:ascii="Times New Roman" w:hAnsi="Times New Roman" w:eastAsia="Calibri" w:cs="Times New Roman"/>
          <w:kern w:val="2"/>
          <w:sz w:val="28"/>
          <w:szCs w:val="28"/>
        </w:rPr>
        <w:t xml:space="preserve">Geographies, 5(1), Article 1.- 2025.  </w:t>
      </w:r>
      <w:r>
        <w:fldChar w:fldCharType="begin"/>
      </w:r>
      <w:r>
        <w:instrText xml:space="preserve"> HYPERLINK "https://doi.org/10.3390/geographies5010008" </w:instrText>
      </w:r>
      <w:r>
        <w:fldChar w:fldCharType="separate"/>
      </w:r>
      <w:r>
        <w:rPr>
          <w:rFonts w:ascii="Times New Roman" w:hAnsi="Times New Roman" w:eastAsia="Calibri" w:cs="Times New Roman"/>
          <w:color w:val="0563C1"/>
          <w:kern w:val="2"/>
          <w:sz w:val="28"/>
          <w:szCs w:val="28"/>
          <w:u w:val="single"/>
        </w:rPr>
        <w:t>https://doi.org/10.3390/geographies5010008</w:t>
      </w:r>
      <w:r>
        <w:rPr>
          <w:rFonts w:ascii="Times New Roman" w:hAnsi="Times New Roman" w:eastAsia="Calibri" w:cs="Times New Roman"/>
          <w:color w:val="0563C1"/>
          <w:kern w:val="2"/>
          <w:sz w:val="28"/>
          <w:szCs w:val="28"/>
          <w:u w:val="single"/>
        </w:rPr>
        <w:fldChar w:fldCharType="end"/>
      </w:r>
    </w:p>
    <w:p w14:paraId="394C14B7">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Kaser, M. (1997). Economic transition in six Central Asian economies</w:t>
      </w:r>
      <w:r>
        <w:rPr>
          <w:rFonts w:ascii="Cambria Math" w:hAnsi="Cambria Math" w:eastAsia="Calibri" w:cs="Cambria Math"/>
          <w:kern w:val="2"/>
          <w:sz w:val="28"/>
          <w:szCs w:val="28"/>
          <w:lang w:val="en-US"/>
        </w:rPr>
        <w:t>∗</w:t>
      </w:r>
      <w:r>
        <w:rPr>
          <w:rFonts w:ascii="Times New Roman" w:hAnsi="Times New Roman" w:eastAsia="Calibri" w:cs="Times New Roman"/>
          <w:kern w:val="2"/>
          <w:sz w:val="28"/>
          <w:szCs w:val="28"/>
          <w:lang w:val="en-US"/>
        </w:rPr>
        <w:t xml:space="preserve">. </w:t>
      </w:r>
      <w:r>
        <w:rPr>
          <w:rFonts w:ascii="Times New Roman" w:hAnsi="Times New Roman" w:eastAsia="Calibri" w:cs="Times New Roman"/>
          <w:kern w:val="2"/>
          <w:sz w:val="28"/>
          <w:szCs w:val="28"/>
        </w:rPr>
        <w:t xml:space="preserve">Central Asian Survey, 16(1), 5–26. </w:t>
      </w:r>
      <w:r>
        <w:fldChar w:fldCharType="begin"/>
      </w:r>
      <w:r>
        <w:instrText xml:space="preserve"> HYPERLINK "https://doi.org/10.1080/02634939708400966" </w:instrText>
      </w:r>
      <w:r>
        <w:fldChar w:fldCharType="separate"/>
      </w:r>
      <w:r>
        <w:rPr>
          <w:rFonts w:ascii="Times New Roman" w:hAnsi="Times New Roman" w:eastAsia="Calibri" w:cs="Times New Roman"/>
          <w:color w:val="0563C1"/>
          <w:kern w:val="2"/>
          <w:sz w:val="28"/>
          <w:szCs w:val="28"/>
          <w:u w:val="single"/>
        </w:rPr>
        <w:t>https://doi.org/10.1080/02634939708400966</w:t>
      </w:r>
      <w:r>
        <w:rPr>
          <w:rFonts w:ascii="Times New Roman" w:hAnsi="Times New Roman" w:eastAsia="Calibri" w:cs="Times New Roman"/>
          <w:color w:val="0563C1"/>
          <w:kern w:val="2"/>
          <w:sz w:val="28"/>
          <w:szCs w:val="28"/>
          <w:u w:val="single"/>
        </w:rPr>
        <w:fldChar w:fldCharType="end"/>
      </w:r>
    </w:p>
    <w:p w14:paraId="36C37BC9">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Pomfret, R. Central Asian Economies: Thirty Years After Dissolution of the Soviet Union. </w:t>
      </w:r>
      <w:r>
        <w:rPr>
          <w:rFonts w:ascii="Times New Roman" w:hAnsi="Times New Roman" w:eastAsia="Calibri" w:cs="Times New Roman"/>
          <w:kern w:val="2"/>
          <w:sz w:val="28"/>
          <w:szCs w:val="28"/>
        </w:rPr>
        <w:t xml:space="preserve">Comparative Economic Studies, 63(4), 537–556, 2021. </w:t>
      </w:r>
      <w:r>
        <w:fldChar w:fldCharType="begin"/>
      </w:r>
      <w:r>
        <w:instrText xml:space="preserve"> HYPERLINK "https://doi.org/10.1057/s41294-021-00166-z" </w:instrText>
      </w:r>
      <w:r>
        <w:fldChar w:fldCharType="separate"/>
      </w:r>
      <w:r>
        <w:rPr>
          <w:rFonts w:ascii="Times New Roman" w:hAnsi="Times New Roman" w:eastAsia="Calibri" w:cs="Times New Roman"/>
          <w:color w:val="0563C1"/>
          <w:kern w:val="2"/>
          <w:sz w:val="28"/>
          <w:szCs w:val="28"/>
          <w:u w:val="single"/>
        </w:rPr>
        <w:t>https://doi.org/10.1057/s41294-021-00166-z</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w:t>
      </w:r>
    </w:p>
    <w:p w14:paraId="0470968E">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Рахимжанова К.К., Макиш С.Б. Взаимодействие банков второго уровня Республики Казахстан с Фондом проблемных кредитов при работе с проблемными кредитами. Вестник ЕНУ им. Л.Н. Гумилёва. Экономическая серия. (4). -2023.- C.151–161 </w:t>
      </w:r>
    </w:p>
    <w:p w14:paraId="6E4C7277">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Times New Roman" w:cs="Times New Roman"/>
          <w:sz w:val="28"/>
          <w:szCs w:val="28"/>
          <w:lang w:val="en-US" w:eastAsia="zh-CN"/>
        </w:rPr>
        <w:t xml:space="preserve"> Begimkulov, E. Bank digitalization and financial stability in Central Asia: Assessing risk and resilience. Journal of Eastern European and Central Asian Research (JEECAR), 12(1), Article 1, 2025. </w:t>
      </w:r>
      <w:r>
        <w:fldChar w:fldCharType="begin"/>
      </w:r>
      <w:r>
        <w:rPr>
          <w:lang w:val="en-US"/>
        </w:rPr>
        <w:instrText xml:space="preserve">HYPERLINK "https://doi.org/10.15549/jeecar.v12i1.2100b"</w:instrText>
      </w:r>
      <w:r>
        <w:fldChar w:fldCharType="separate"/>
      </w:r>
      <w:r>
        <w:rPr>
          <w:rFonts w:ascii="Times New Roman" w:hAnsi="Times New Roman" w:eastAsia="Times New Roman" w:cs="Times New Roman"/>
          <w:color w:val="0563C1"/>
          <w:sz w:val="28"/>
          <w:szCs w:val="28"/>
          <w:u w:val="single"/>
          <w:lang w:eastAsia="zh-CN"/>
        </w:rPr>
        <w:t>https://doi.org/10.15549/jeecar.v12i1.2100b</w:t>
      </w:r>
      <w:r>
        <w:fldChar w:fldCharType="end"/>
      </w:r>
      <w:r>
        <w:rPr>
          <w:rFonts w:ascii="Times New Roman" w:hAnsi="Times New Roman" w:eastAsia="Times New Roman" w:cs="Times New Roman"/>
          <w:sz w:val="28"/>
          <w:szCs w:val="28"/>
          <w:lang w:eastAsia="zh-CN"/>
        </w:rPr>
        <w:t xml:space="preserve">   </w:t>
      </w:r>
    </w:p>
    <w:p w14:paraId="05D037DE">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Ure, JDigital solutions centre in Central Asia. 2021. </w:t>
      </w:r>
      <w:r>
        <w:fldChar w:fldCharType="begin"/>
      </w:r>
      <w:r>
        <w:rPr>
          <w:lang w:val="en-US"/>
        </w:rPr>
        <w:instrText xml:space="preserve">HYPERLINK "https://repository.unescap.org/items/ad6a85b8-265a-40b6-9aee-8d2103ac0325"</w:instrText>
      </w:r>
      <w:r>
        <w:fldChar w:fldCharType="separate"/>
      </w:r>
      <w:r>
        <w:rPr>
          <w:rFonts w:ascii="Times New Roman" w:hAnsi="Times New Roman" w:eastAsia="Calibri" w:cs="Times New Roman"/>
          <w:color w:val="0563C1"/>
          <w:kern w:val="2"/>
          <w:sz w:val="28"/>
          <w:szCs w:val="28"/>
          <w:u w:val="single"/>
        </w:rPr>
        <w:t>https://repository.unescap.org/items/ad6a85b8-265a-40b6-9aee-8d2103ac0325</w:t>
      </w:r>
      <w:r>
        <w:fldChar w:fldCharType="end"/>
      </w:r>
      <w:r>
        <w:rPr>
          <w:rFonts w:ascii="Times New Roman" w:hAnsi="Times New Roman" w:eastAsia="Calibri" w:cs="Times New Roman"/>
          <w:kern w:val="2"/>
          <w:sz w:val="28"/>
          <w:szCs w:val="28"/>
        </w:rPr>
        <w:t xml:space="preserve"> </w:t>
      </w:r>
    </w:p>
    <w:p w14:paraId="1FFC0436">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Times New Roman" w:cs="Times New Roman"/>
          <w:sz w:val="28"/>
          <w:szCs w:val="28"/>
          <w:lang w:eastAsia="zh-CN"/>
        </w:rPr>
        <w:t xml:space="preserve">Мамышев Ж. Как получить отсрочку по кредиту в Казахстане. </w:t>
      </w:r>
      <w:r>
        <w:fldChar w:fldCharType="begin"/>
      </w:r>
      <w:r>
        <w:instrText xml:space="preserve"> HYPERLINK "https://kursiv.kz/news/banki/2020-03/kak-poluchit-otsrochku-po-kreditu-v-kazakhstane.02.02.2021" </w:instrText>
      </w:r>
      <w:r>
        <w:fldChar w:fldCharType="separate"/>
      </w:r>
      <w:r>
        <w:rPr>
          <w:rFonts w:ascii="Times New Roman" w:hAnsi="Times New Roman" w:eastAsia="Times New Roman" w:cs="Times New Roman"/>
          <w:color w:val="0563C1"/>
          <w:sz w:val="28"/>
          <w:szCs w:val="28"/>
          <w:u w:val="single"/>
          <w:lang w:eastAsia="zh-CN"/>
        </w:rPr>
        <w:t>https://kursiv.kz/news/banki/2020-03/kak-poluchit-otsrochku-po-kreditu-v-kazakhstane.02.02.2021</w:t>
      </w:r>
      <w:r>
        <w:rPr>
          <w:rFonts w:ascii="Times New Roman" w:hAnsi="Times New Roman" w:eastAsia="Times New Roman" w:cs="Times New Roman"/>
          <w:color w:val="0563C1"/>
          <w:sz w:val="28"/>
          <w:szCs w:val="28"/>
          <w:u w:val="single"/>
          <w:lang w:eastAsia="zh-CN"/>
        </w:rPr>
        <w:fldChar w:fldCharType="end"/>
      </w:r>
    </w:p>
    <w:p w14:paraId="223A46D0">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Dosmagambet, Y., Oskenbayev, Y., Taghizadeh-Hesary, F., &amp; Mukan, M. Financial system, and SME financing in Kazakhstan (Working Paper No. 904), 2018. </w:t>
      </w:r>
      <w:r>
        <w:rPr>
          <w:rFonts w:ascii="Times New Roman" w:hAnsi="Times New Roman" w:eastAsia="Calibri" w:cs="Times New Roman"/>
          <w:kern w:val="2"/>
          <w:sz w:val="28"/>
          <w:szCs w:val="28"/>
        </w:rPr>
        <w:t xml:space="preserve">ADBI Working Paper Series. </w:t>
      </w:r>
      <w:r>
        <w:fldChar w:fldCharType="begin"/>
      </w:r>
      <w:r>
        <w:instrText xml:space="preserve"> HYPERLINK "https://www.econstor.eu/handle/10419/222671" </w:instrText>
      </w:r>
      <w:r>
        <w:fldChar w:fldCharType="separate"/>
      </w:r>
      <w:r>
        <w:rPr>
          <w:rFonts w:ascii="Times New Roman" w:hAnsi="Times New Roman" w:eastAsia="Calibri" w:cs="Times New Roman"/>
          <w:color w:val="0563C1"/>
          <w:kern w:val="2"/>
          <w:sz w:val="28"/>
          <w:szCs w:val="28"/>
          <w:u w:val="single"/>
        </w:rPr>
        <w:t>https://www.econstor.eu/handle/10419/222671</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w:t>
      </w:r>
    </w:p>
    <w:p w14:paraId="30BB6012">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Терновская Е. П., Гребенник Т. В. Качество кредитного портфеля российских банков: особенности оценки и управления. — М: Проспект, 2019.- 128 c.</w:t>
      </w:r>
    </w:p>
    <w:p w14:paraId="1F616975">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Chin, W., Cheah, J.-H., Liu, Y., Ting, H., Lim, X.-J., &amp; Cham, T. H. (2020). Demystifying the role of causal-predictive modeling using partial least squares structural equation modeling in information systems research. </w:t>
      </w:r>
      <w:r>
        <w:rPr>
          <w:rFonts w:ascii="Times New Roman" w:hAnsi="Times New Roman" w:eastAsia="Calibri" w:cs="Times New Roman"/>
          <w:kern w:val="2"/>
          <w:sz w:val="28"/>
          <w:szCs w:val="28"/>
        </w:rPr>
        <w:t xml:space="preserve">Industrial Management &amp; Data Systems, 120(12), 2161–2209. </w:t>
      </w:r>
      <w:r>
        <w:fldChar w:fldCharType="begin"/>
      </w:r>
      <w:r>
        <w:instrText xml:space="preserve"> HYPERLINK "https://doi.org/10.1108/IMDS-10-2019-0529" </w:instrText>
      </w:r>
      <w:r>
        <w:fldChar w:fldCharType="separate"/>
      </w:r>
      <w:r>
        <w:rPr>
          <w:rFonts w:ascii="Times New Roman" w:hAnsi="Times New Roman" w:eastAsia="Calibri" w:cs="Times New Roman"/>
          <w:color w:val="0563C1"/>
          <w:kern w:val="2"/>
          <w:sz w:val="28"/>
          <w:szCs w:val="28"/>
          <w:u w:val="single"/>
        </w:rPr>
        <w:t>https://doi.org/10.1108/IMDS-10-2019-0529</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w:t>
      </w:r>
    </w:p>
    <w:p w14:paraId="77177BF3">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Hair, J. F., Risher, J. J., Sarstedt, M., &amp; Ringle, C. M. (2019). When to use and how to report the results of PLS-SEM. </w:t>
      </w:r>
      <w:r>
        <w:rPr>
          <w:rFonts w:ascii="Times New Roman" w:hAnsi="Times New Roman" w:eastAsia="Calibri" w:cs="Times New Roman"/>
          <w:kern w:val="2"/>
          <w:sz w:val="28"/>
          <w:szCs w:val="28"/>
        </w:rPr>
        <w:t xml:space="preserve">European Business Review, 31(1), 2–24. </w:t>
      </w:r>
      <w:r>
        <w:fldChar w:fldCharType="begin"/>
      </w:r>
      <w:r>
        <w:instrText xml:space="preserve"> HYPERLINK "https://doi.org/10.1108/EBR-11-2018-0203" </w:instrText>
      </w:r>
      <w:r>
        <w:fldChar w:fldCharType="separate"/>
      </w:r>
      <w:r>
        <w:rPr>
          <w:rFonts w:ascii="Times New Roman" w:hAnsi="Times New Roman" w:eastAsia="Calibri" w:cs="Times New Roman"/>
          <w:color w:val="0563C1"/>
          <w:kern w:val="2"/>
          <w:sz w:val="28"/>
          <w:szCs w:val="28"/>
          <w:u w:val="single"/>
        </w:rPr>
        <w:t>https://doi.org/10.1108/EBR-11-2018-0203</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w:t>
      </w:r>
    </w:p>
    <w:p w14:paraId="5AFB204C">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Ringle, C. M., Sarstedt, M., Mitchell, R., &amp; Gudergan, S. P. (2020). Partial least squares structural equation modeling in HRM research. The International Journal of Human Resource Management, 31(12), 1617–1643. </w:t>
      </w:r>
      <w:r>
        <w:fldChar w:fldCharType="begin"/>
      </w:r>
      <w:r>
        <w:rPr>
          <w:lang w:val="en-US"/>
        </w:rPr>
        <w:instrText xml:space="preserve">HYPERLINK "https://doi.org/10.1080/09585192.2017.1416655"</w:instrText>
      </w:r>
      <w:r>
        <w:fldChar w:fldCharType="separate"/>
      </w:r>
      <w:r>
        <w:rPr>
          <w:rFonts w:ascii="Times New Roman" w:hAnsi="Times New Roman" w:eastAsia="Calibri" w:cs="Times New Roman"/>
          <w:color w:val="0563C1"/>
          <w:kern w:val="2"/>
          <w:sz w:val="28"/>
          <w:szCs w:val="28"/>
          <w:u w:val="single"/>
        </w:rPr>
        <w:t>https://doi.org/10.1080/09585192.2017.1416655</w:t>
      </w:r>
      <w:r>
        <w:fldChar w:fldCharType="end"/>
      </w:r>
      <w:r>
        <w:rPr>
          <w:rFonts w:ascii="Times New Roman" w:hAnsi="Times New Roman" w:eastAsia="Calibri" w:cs="Times New Roman"/>
          <w:kern w:val="2"/>
          <w:sz w:val="28"/>
          <w:szCs w:val="28"/>
        </w:rPr>
        <w:t xml:space="preserve"> </w:t>
      </w:r>
    </w:p>
    <w:p w14:paraId="6F12E9BC">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Mateos-Aparicio, G. (2011). Partial Least Squares (PLS) Methods: Origins, Evolution, and Application to Social Sciences. </w:t>
      </w:r>
      <w:r>
        <w:rPr>
          <w:rFonts w:ascii="Times New Roman" w:hAnsi="Times New Roman" w:eastAsia="Calibri" w:cs="Times New Roman"/>
          <w:kern w:val="2"/>
          <w:sz w:val="28"/>
          <w:szCs w:val="28"/>
        </w:rPr>
        <w:t xml:space="preserve">Communications in Statistics - Theory and Methods, 40(13), 2305–2317. </w:t>
      </w:r>
      <w:r>
        <w:fldChar w:fldCharType="begin"/>
      </w:r>
      <w:r>
        <w:instrText xml:space="preserve"> HYPERLINK "https://doi.org/10.1080/03610921003778225" </w:instrText>
      </w:r>
      <w:r>
        <w:fldChar w:fldCharType="separate"/>
      </w:r>
      <w:r>
        <w:rPr>
          <w:rFonts w:ascii="Times New Roman" w:hAnsi="Times New Roman" w:eastAsia="Calibri" w:cs="Times New Roman"/>
          <w:color w:val="0563C1"/>
          <w:kern w:val="2"/>
          <w:sz w:val="28"/>
          <w:szCs w:val="28"/>
          <w:u w:val="single"/>
        </w:rPr>
        <w:t>https://doi.org/10.1080/03610921003778225</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w:t>
      </w:r>
    </w:p>
    <w:p w14:paraId="439DC13D">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Schlägel, C., &amp; Sarstedt, M. (2016). Assessing the measurement invariance of the four-dimensional cultural intelligence scale across countries: A composite model approach. </w:t>
      </w:r>
      <w:r>
        <w:rPr>
          <w:rFonts w:ascii="Times New Roman" w:hAnsi="Times New Roman" w:eastAsia="Calibri" w:cs="Times New Roman"/>
          <w:kern w:val="2"/>
          <w:sz w:val="28"/>
          <w:szCs w:val="28"/>
        </w:rPr>
        <w:t xml:space="preserve">European Management Journal, 34(6), 633–649. </w:t>
      </w:r>
      <w:r>
        <w:fldChar w:fldCharType="begin"/>
      </w:r>
      <w:r>
        <w:instrText xml:space="preserve"> HYPERLINK "https://doi.org/10.1016/j.emj.2016.06.002" </w:instrText>
      </w:r>
      <w:r>
        <w:fldChar w:fldCharType="separate"/>
      </w:r>
      <w:r>
        <w:rPr>
          <w:rFonts w:ascii="Times New Roman" w:hAnsi="Times New Roman" w:eastAsia="Calibri" w:cs="Times New Roman"/>
          <w:color w:val="0563C1"/>
          <w:kern w:val="2"/>
          <w:sz w:val="28"/>
          <w:szCs w:val="28"/>
          <w:u w:val="single"/>
        </w:rPr>
        <w:t>https://doi.org/10.1016/j.emj.2016.06.002</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w:t>
      </w:r>
    </w:p>
    <w:p w14:paraId="160B2963">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Cernisevs, O., &amp; Popova, Y. (2022). ICO as Crypto-Assets Manufacturing within a Smart City. </w:t>
      </w:r>
      <w:r>
        <w:rPr>
          <w:rFonts w:ascii="Times New Roman" w:hAnsi="Times New Roman" w:eastAsia="Calibri" w:cs="Times New Roman"/>
          <w:kern w:val="2"/>
          <w:sz w:val="28"/>
          <w:szCs w:val="28"/>
        </w:rPr>
        <w:t xml:space="preserve">Smart Cities, 6(1), 40–56. </w:t>
      </w:r>
      <w:r>
        <w:fldChar w:fldCharType="begin"/>
      </w:r>
      <w:r>
        <w:instrText xml:space="preserve"> HYPERLINK "https://doi.org/10.3390/smartcities6010003" </w:instrText>
      </w:r>
      <w:r>
        <w:fldChar w:fldCharType="separate"/>
      </w:r>
      <w:r>
        <w:rPr>
          <w:rFonts w:ascii="Times New Roman" w:hAnsi="Times New Roman" w:eastAsia="Calibri" w:cs="Times New Roman"/>
          <w:color w:val="0563C1"/>
          <w:kern w:val="2"/>
          <w:sz w:val="28"/>
          <w:szCs w:val="28"/>
          <w:u w:val="single"/>
        </w:rPr>
        <w:t>https://doi.org/10.3390/smartcities6010003</w:t>
      </w:r>
      <w:r>
        <w:rPr>
          <w:rFonts w:ascii="Times New Roman" w:hAnsi="Times New Roman" w:eastAsia="Calibri" w:cs="Times New Roman"/>
          <w:color w:val="0563C1"/>
          <w:kern w:val="2"/>
          <w:sz w:val="28"/>
          <w:szCs w:val="28"/>
          <w:u w:val="single"/>
        </w:rPr>
        <w:fldChar w:fldCharType="end"/>
      </w:r>
    </w:p>
    <w:p w14:paraId="453F87D7">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 xml:space="preserve">Henseler, J., Ringle, C. M., &amp; Sarstedt, M. (2015). A new criterion for assessing discriminant validity in variance-based structural equation modeling. Journal of the Academy of Marketing Science, 43(1), 115–135. </w:t>
      </w:r>
      <w:r>
        <w:fldChar w:fldCharType="begin"/>
      </w:r>
      <w:r>
        <w:rPr>
          <w:lang w:val="en-US"/>
        </w:rPr>
        <w:instrText xml:space="preserve">HYPERLINK "https://doi.org/10.1007/s11747-014-0403-8"</w:instrText>
      </w:r>
      <w:r>
        <w:fldChar w:fldCharType="separate"/>
      </w:r>
      <w:r>
        <w:rPr>
          <w:rFonts w:ascii="Times New Roman" w:hAnsi="Times New Roman" w:eastAsia="Calibri" w:cs="Times New Roman"/>
          <w:color w:val="0563C1"/>
          <w:kern w:val="2"/>
          <w:sz w:val="28"/>
          <w:szCs w:val="28"/>
          <w:u w:val="single"/>
          <w:lang w:val="en-US"/>
        </w:rPr>
        <w:t>https://doi.org/10.1007/s11747-014-0403-8</w:t>
      </w:r>
      <w:r>
        <w:fldChar w:fldCharType="end"/>
      </w:r>
      <w:r>
        <w:rPr>
          <w:rFonts w:ascii="Times New Roman" w:hAnsi="Times New Roman" w:eastAsia="Calibri" w:cs="Times New Roman"/>
          <w:kern w:val="2"/>
          <w:sz w:val="28"/>
          <w:szCs w:val="28"/>
          <w:lang w:val="en-US"/>
        </w:rPr>
        <w:t xml:space="preserve"> </w:t>
      </w:r>
    </w:p>
    <w:p w14:paraId="314B2AE2">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Popova, Y., &amp; Zagulova, D. (2022a). Aspects of E-Scooter Sharing in the Smart City. </w:t>
      </w:r>
      <w:r>
        <w:rPr>
          <w:rFonts w:ascii="Times New Roman" w:hAnsi="Times New Roman" w:eastAsia="Calibri" w:cs="Times New Roman"/>
          <w:kern w:val="2"/>
          <w:sz w:val="28"/>
          <w:szCs w:val="28"/>
        </w:rPr>
        <w:t xml:space="preserve">Informatics, 9(2), Article 2. </w:t>
      </w:r>
      <w:r>
        <w:fldChar w:fldCharType="begin"/>
      </w:r>
      <w:r>
        <w:instrText xml:space="preserve"> HYPERLINK "https://doi.org/10.3390/informatics9020036" </w:instrText>
      </w:r>
      <w:r>
        <w:fldChar w:fldCharType="separate"/>
      </w:r>
      <w:r>
        <w:rPr>
          <w:rFonts w:ascii="Times New Roman" w:hAnsi="Times New Roman" w:eastAsia="Calibri" w:cs="Times New Roman"/>
          <w:color w:val="0563C1"/>
          <w:kern w:val="2"/>
          <w:sz w:val="28"/>
          <w:szCs w:val="28"/>
          <w:u w:val="single"/>
        </w:rPr>
        <w:t>https://doi.org/10.3390/informatics9020036</w:t>
      </w:r>
      <w:r>
        <w:rPr>
          <w:rFonts w:ascii="Times New Roman" w:hAnsi="Times New Roman" w:eastAsia="Calibri" w:cs="Times New Roman"/>
          <w:color w:val="0563C1"/>
          <w:kern w:val="2"/>
          <w:sz w:val="28"/>
          <w:szCs w:val="28"/>
          <w:u w:val="single"/>
        </w:rPr>
        <w:fldChar w:fldCharType="end"/>
      </w:r>
    </w:p>
    <w:p w14:paraId="2BB8E988">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Mooi, E., &amp; Sarstedt, M. (2011). A Concise Guide to Market Research. </w:t>
      </w:r>
      <w:r>
        <w:rPr>
          <w:rFonts w:ascii="Times New Roman" w:hAnsi="Times New Roman" w:eastAsia="Calibri" w:cs="Times New Roman"/>
          <w:kern w:val="2"/>
          <w:sz w:val="28"/>
          <w:szCs w:val="28"/>
        </w:rPr>
        <w:t xml:space="preserve">Springer Berlin Heidelberg. </w:t>
      </w:r>
      <w:r>
        <w:fldChar w:fldCharType="begin"/>
      </w:r>
      <w:r>
        <w:instrText xml:space="preserve"> HYPERLINK "https://doi.org/10.1007/978-3-642-12541-6" </w:instrText>
      </w:r>
      <w:r>
        <w:fldChar w:fldCharType="separate"/>
      </w:r>
      <w:r>
        <w:rPr>
          <w:rFonts w:ascii="Times New Roman" w:hAnsi="Times New Roman" w:eastAsia="Calibri" w:cs="Times New Roman"/>
          <w:color w:val="0563C1"/>
          <w:kern w:val="2"/>
          <w:sz w:val="28"/>
          <w:szCs w:val="28"/>
          <w:u w:val="single"/>
        </w:rPr>
        <w:t>https://doi.org/10.1007/978-3-642-12541-6</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w:t>
      </w:r>
    </w:p>
    <w:p w14:paraId="6FE3E08B">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Wong, K.K.K. (2013). Partial least squares structural equation modeling (PLS-SEM) techniques using SmartPLS. </w:t>
      </w:r>
      <w:r>
        <w:rPr>
          <w:rFonts w:ascii="Times New Roman" w:hAnsi="Times New Roman" w:eastAsia="Calibri" w:cs="Times New Roman"/>
          <w:kern w:val="2"/>
          <w:sz w:val="28"/>
          <w:szCs w:val="28"/>
        </w:rPr>
        <w:t xml:space="preserve">24, 1–32. </w:t>
      </w:r>
    </w:p>
    <w:p w14:paraId="142A220B">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 Garson, D. (2016). Partial Least Squares (PLS-SEM): Regression &amp; Structural Equation Models. </w:t>
      </w:r>
      <w:r>
        <w:rPr>
          <w:rFonts w:ascii="Times New Roman" w:hAnsi="Times New Roman" w:eastAsia="Calibri" w:cs="Times New Roman"/>
          <w:kern w:val="2"/>
          <w:sz w:val="28"/>
          <w:szCs w:val="28"/>
        </w:rPr>
        <w:t xml:space="preserve">North Carolina State University: Chapel Hill. </w:t>
      </w:r>
    </w:p>
    <w:p w14:paraId="2F68C90D">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Daskalakis, S.; Mantas, J. Evaluating the impact of a service-oriented framework for healthcare interoperability. – 2008- pp.285–290.</w:t>
      </w:r>
    </w:p>
    <w:p w14:paraId="61F5D562">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Sanmukhiya, C. A. PLS–SEM Approach to the UTAUT Model: The Case of Mauritius//Ann. Soc. Sci. </w:t>
      </w:r>
      <w:r>
        <w:rPr>
          <w:rFonts w:ascii="Times New Roman" w:hAnsi="Times New Roman" w:eastAsia="Calibri" w:cs="Times New Roman"/>
          <w:kern w:val="2"/>
          <w:sz w:val="28"/>
          <w:szCs w:val="28"/>
        </w:rPr>
        <w:t>Manag. Stud. ASM, 6. -2020- pp.8–16.</w:t>
      </w:r>
    </w:p>
    <w:p w14:paraId="2F07EC64">
      <w:pPr>
        <w:numPr>
          <w:ilvl w:val="0"/>
          <w:numId w:val="23"/>
        </w:numPr>
        <w:spacing w:after="0" w:line="240" w:lineRule="auto"/>
        <w:ind w:left="0" w:firstLine="709"/>
        <w:contextualSpacing/>
        <w:jc w:val="both"/>
        <w:rPr>
          <w:rFonts w:ascii="Times New Roman" w:hAnsi="Times New Roman" w:eastAsia="Calibri" w:cs="Times New Roman"/>
          <w:kern w:val="2"/>
          <w:sz w:val="28"/>
          <w:szCs w:val="28"/>
          <w:lang w:val="en-US"/>
        </w:rPr>
      </w:pPr>
      <w:r>
        <w:rPr>
          <w:rFonts w:ascii="Times New Roman" w:hAnsi="Times New Roman" w:eastAsia="Calibri" w:cs="Times New Roman"/>
          <w:kern w:val="2"/>
          <w:sz w:val="28"/>
          <w:szCs w:val="28"/>
          <w:lang w:val="en-US"/>
        </w:rPr>
        <w:t>Popova, Y., &amp; Popovs, S. Impact of smart economy on smart areas and mediation effect of national economy//Sustainability, 14(5). - 2020.- pp.1-19 https://doi.org/10.3390/su14052789.</w:t>
      </w:r>
    </w:p>
    <w:p w14:paraId="5E047F5C">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Republic of Kazakhstan: Financial System Stability Assessment — IMF &amp; World Bank FSAP Report. — 2024. </w:t>
      </w:r>
      <w:r>
        <w:rPr>
          <w:rFonts w:ascii="Times New Roman" w:hAnsi="Times New Roman" w:eastAsia="Calibri" w:cs="Times New Roman"/>
          <w:kern w:val="2"/>
          <w:sz w:val="28"/>
          <w:szCs w:val="28"/>
        </w:rPr>
        <w:t xml:space="preserve">Аналитический документ о пробелах в правовом регулировании мер по оздоровлению банковского сектора в РК. — Halyk Finance /AC_bank_policy.pdf. </w:t>
      </w:r>
    </w:p>
    <w:p w14:paraId="6D96CDC0">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Times New Roman" w:cs="Times New Roman"/>
          <w:sz w:val="28"/>
          <w:szCs w:val="28"/>
          <w:lang w:eastAsia="zh-CN"/>
        </w:rPr>
        <w:t xml:space="preserve">Стратегические направления деятельности АО ФПК на 2017–2027 гг. </w:t>
      </w:r>
      <w:r>
        <w:fldChar w:fldCharType="begin"/>
      </w:r>
      <w:r>
        <w:instrText xml:space="preserve"> HYPERLINK "https://www.fpl.kz/media/file/strategy-2017-2027.pdf" </w:instrText>
      </w:r>
      <w:r>
        <w:fldChar w:fldCharType="separate"/>
      </w:r>
      <w:r>
        <w:rPr>
          <w:rFonts w:ascii="Times New Roman" w:hAnsi="Times New Roman" w:eastAsia="Times New Roman" w:cs="Times New Roman"/>
          <w:color w:val="0563C1"/>
          <w:sz w:val="28"/>
          <w:szCs w:val="28"/>
          <w:u w:val="single"/>
          <w:lang w:eastAsia="zh-CN"/>
        </w:rPr>
        <w:t>https://www.fpl.kz/media/file/strategy-2017-2027.pdf</w:t>
      </w:r>
      <w:r>
        <w:rPr>
          <w:rFonts w:ascii="Times New Roman" w:hAnsi="Times New Roman" w:eastAsia="Times New Roman" w:cs="Times New Roman"/>
          <w:color w:val="0563C1"/>
          <w:sz w:val="28"/>
          <w:szCs w:val="28"/>
          <w:u w:val="single"/>
          <w:lang w:eastAsia="zh-CN"/>
        </w:rPr>
        <w:fldChar w:fldCharType="end"/>
      </w:r>
      <w:r>
        <w:rPr>
          <w:rFonts w:ascii="Times New Roman" w:hAnsi="Times New Roman" w:eastAsia="Times New Roman" w:cs="Times New Roman"/>
          <w:sz w:val="28"/>
          <w:szCs w:val="28"/>
          <w:lang w:eastAsia="zh-CN"/>
        </w:rPr>
        <w:t xml:space="preserve"> (дата обращения 11.12.2020 )</w:t>
      </w:r>
    </w:p>
    <w:p w14:paraId="4D603D14">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 xml:space="preserve">IFRS – Who we are. О международных стандартах финансовой отчётности. URL: </w:t>
      </w:r>
      <w:r>
        <w:fldChar w:fldCharType="begin"/>
      </w:r>
      <w:r>
        <w:instrText xml:space="preserve"> HYPERLINK "https://www.ifrs.org/content/ifrs/home/about-us/who-we-are/" </w:instrText>
      </w:r>
      <w:r>
        <w:fldChar w:fldCharType="separate"/>
      </w:r>
      <w:r>
        <w:rPr>
          <w:rFonts w:ascii="Times New Roman" w:hAnsi="Times New Roman" w:eastAsia="Calibri" w:cs="Times New Roman"/>
          <w:color w:val="0563C1"/>
          <w:kern w:val="2"/>
          <w:sz w:val="28"/>
          <w:szCs w:val="28"/>
          <w:u w:val="single"/>
        </w:rPr>
        <w:t>https://www.ifrs.org/content/ifrs/home/about-us/who-we-are/</w:t>
      </w:r>
      <w:r>
        <w:rPr>
          <w:rFonts w:ascii="Times New Roman" w:hAnsi="Times New Roman" w:eastAsia="Calibri" w:cs="Times New Roman"/>
          <w:color w:val="0563C1"/>
          <w:kern w:val="2"/>
          <w:sz w:val="28"/>
          <w:szCs w:val="28"/>
          <w:u w:val="single"/>
        </w:rPr>
        <w:fldChar w:fldCharType="end"/>
      </w:r>
      <w:r>
        <w:rPr>
          <w:rFonts w:ascii="Times New Roman" w:hAnsi="Times New Roman" w:eastAsia="Calibri" w:cs="Times New Roman"/>
          <w:kern w:val="2"/>
          <w:sz w:val="28"/>
          <w:szCs w:val="28"/>
        </w:rPr>
        <w:t xml:space="preserve"> (дата обращения: 15. 02. 2023)</w:t>
      </w:r>
    </w:p>
    <w:p w14:paraId="00140BB3">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Правила осуществления акционерным обществом «Фонд проблемных кредитов» видов деятельности и требований к приобретаемым активам. Приказ Министра финансов Республики Казахстан от 23.02. 2018 года № 279. ИПС «Әділет».</w:t>
      </w:r>
    </w:p>
    <w:p w14:paraId="1C1186EE">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Yelena Popova, Olegs Cernisevs,Sergejs Popovs and Almas Kalimoldayev. Financial Institutions of Emerging Economies: Contribution to Risk Assessment. Journal: Risks, 2025. </w:t>
      </w:r>
      <w:r>
        <w:rPr>
          <w:rFonts w:ascii="Times New Roman" w:hAnsi="Times New Roman" w:eastAsia="Calibri" w:cs="Times New Roman"/>
          <w:kern w:val="2"/>
          <w:sz w:val="28"/>
          <w:szCs w:val="28"/>
        </w:rPr>
        <w:t>Vol. 13. № 167. https://www.mdpi.com/2227-9091/13/9/167</w:t>
      </w:r>
    </w:p>
    <w:p w14:paraId="67721514">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Times New Roman" w:cs="Times New Roman"/>
          <w:sz w:val="28"/>
          <w:szCs w:val="28"/>
          <w:lang w:eastAsia="zh-CN"/>
        </w:rPr>
        <w:t xml:space="preserve">Фонд проблемных кредитов наращивает долги для поддержки банков </w:t>
      </w:r>
      <w:r>
        <w:fldChar w:fldCharType="begin"/>
      </w:r>
      <w:r>
        <w:instrText xml:space="preserve"> HYPERLINK "http://aktau-business.com" </w:instrText>
      </w:r>
      <w:r>
        <w:fldChar w:fldCharType="separate"/>
      </w:r>
      <w:r>
        <w:rPr>
          <w:rFonts w:ascii="Times New Roman" w:hAnsi="Times New Roman" w:eastAsia="Times New Roman" w:cs="Times New Roman"/>
          <w:color w:val="0563C1"/>
          <w:sz w:val="28"/>
          <w:szCs w:val="28"/>
          <w:u w:val="single"/>
          <w:lang w:eastAsia="zh-CN"/>
        </w:rPr>
        <w:t>http://aktau-business.com</w:t>
      </w:r>
      <w:r>
        <w:rPr>
          <w:rFonts w:ascii="Times New Roman" w:hAnsi="Times New Roman" w:eastAsia="Times New Roman" w:cs="Times New Roman"/>
          <w:color w:val="0563C1"/>
          <w:sz w:val="28"/>
          <w:szCs w:val="28"/>
          <w:u w:val="single"/>
          <w:lang w:eastAsia="zh-CN"/>
        </w:rPr>
        <w:fldChar w:fldCharType="end"/>
      </w:r>
    </w:p>
    <w:p w14:paraId="1E9F85B9">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lang w:val="en-US"/>
        </w:rPr>
        <w:t xml:space="preserve">Yadav, R. (2016). Economic Transformation in Central Asia: A Journey of Twenty-five Years. </w:t>
      </w:r>
      <w:r>
        <w:rPr>
          <w:rFonts w:ascii="Times New Roman" w:hAnsi="Times New Roman" w:eastAsia="Calibri" w:cs="Times New Roman"/>
          <w:kern w:val="2"/>
          <w:sz w:val="28"/>
          <w:szCs w:val="28"/>
        </w:rPr>
        <w:t xml:space="preserve">International Studies, 53(3–4), 286–304. </w:t>
      </w:r>
      <w:r>
        <w:fldChar w:fldCharType="begin"/>
      </w:r>
      <w:r>
        <w:instrText xml:space="preserve"> HYPERLINK "https://doi.org/10.1177/0020881718762185" </w:instrText>
      </w:r>
      <w:r>
        <w:fldChar w:fldCharType="separate"/>
      </w:r>
      <w:r>
        <w:rPr>
          <w:rFonts w:ascii="Times New Roman" w:hAnsi="Times New Roman" w:eastAsia="Calibri" w:cs="Times New Roman"/>
          <w:color w:val="0563C1"/>
          <w:kern w:val="2"/>
          <w:sz w:val="28"/>
          <w:szCs w:val="28"/>
          <w:u w:val="single"/>
        </w:rPr>
        <w:t>https://doi.org/10.1177/0020881718762185</w:t>
      </w:r>
      <w:r>
        <w:rPr>
          <w:rFonts w:ascii="Times New Roman" w:hAnsi="Times New Roman" w:eastAsia="Calibri" w:cs="Times New Roman"/>
          <w:color w:val="0563C1"/>
          <w:kern w:val="2"/>
          <w:sz w:val="28"/>
          <w:szCs w:val="28"/>
          <w:u w:val="single"/>
        </w:rPr>
        <w:fldChar w:fldCharType="end"/>
      </w:r>
    </w:p>
    <w:p w14:paraId="68D9BB6F">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Кузнецова Надежда Васильевна, Спиридонова Анастасия Андреевна Проблемная задолженность: понятие, причины и методы управления // Региональная и отраслевая экономика. 2024. №4. URL: https://cyberleninka.ru/article/n/problemnaya-zadolzhennost-ponyatie-prichiny-i-metody-upravleniya (дата обращения: 10.11.2025).</w:t>
      </w:r>
    </w:p>
    <w:p w14:paraId="03F87821">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bookmarkStart w:id="37" w:name="_Hlk221282464"/>
      <w:r>
        <w:rPr>
          <w:rFonts w:ascii="Times New Roman" w:hAnsi="Times New Roman" w:eastAsia="Calibri" w:cs="Times New Roman"/>
          <w:kern w:val="2"/>
          <w:sz w:val="28"/>
          <w:szCs w:val="28"/>
        </w:rPr>
        <w:t>Постановление Правления Национального Банка Республики Казахстан утв. 12 ноября 2019 года № 188. Правила формирования системы управления рисками и внутреннего контроля для банков второго уровня Республики Казахстан.  ИПС «Әділет».</w:t>
      </w:r>
    </w:p>
    <w:bookmarkEnd w:id="37"/>
    <w:p w14:paraId="6E25458E">
      <w:pPr>
        <w:numPr>
          <w:ilvl w:val="0"/>
          <w:numId w:val="23"/>
        </w:numPr>
        <w:spacing w:after="0" w:line="240" w:lineRule="auto"/>
        <w:ind w:left="0" w:firstLine="709"/>
        <w:contextualSpacing/>
        <w:jc w:val="both"/>
        <w:rPr>
          <w:rFonts w:ascii="Times New Roman" w:hAnsi="Times New Roman" w:eastAsia="Calibri" w:cs="Times New Roman"/>
          <w:kern w:val="2"/>
          <w:sz w:val="28"/>
          <w:szCs w:val="28"/>
        </w:rPr>
      </w:pPr>
      <w:r>
        <w:rPr>
          <w:rFonts w:ascii="Times New Roman" w:hAnsi="Times New Roman" w:eastAsia="Calibri" w:cs="Times New Roman"/>
          <w:kern w:val="2"/>
          <w:sz w:val="28"/>
          <w:szCs w:val="28"/>
        </w:rPr>
        <w:t>Отчёт Агентства Республики Казахстан по регулированию и развитию финансового рынка. Снижение объёма стрессовых активов в банковском секторе. — 2025.</w:t>
      </w:r>
    </w:p>
    <w:p w14:paraId="26EA41F0">
      <w:pPr>
        <w:spacing w:after="0" w:line="240" w:lineRule="auto"/>
        <w:ind w:left="709"/>
        <w:contextualSpacing/>
        <w:jc w:val="both"/>
        <w:rPr>
          <w:rFonts w:ascii="Times New Roman" w:hAnsi="Times New Roman" w:eastAsia="Calibri" w:cs="Times New Roman"/>
          <w:kern w:val="2"/>
          <w:sz w:val="28"/>
          <w:szCs w:val="28"/>
        </w:rPr>
      </w:pPr>
      <w:r>
        <w:t xml:space="preserve"> </w:t>
      </w:r>
      <w:r>
        <w:rPr>
          <w:rFonts w:ascii="Times New Roman" w:hAnsi="Times New Roman" w:eastAsia="Calibri" w:cs="Times New Roman"/>
          <w:kern w:val="2"/>
          <w:sz w:val="28"/>
          <w:szCs w:val="28"/>
        </w:rPr>
        <w:t>https://www.gov.kz/memleket/entities/ardfm/press/article/details/224521</w:t>
      </w:r>
    </w:p>
    <w:p w14:paraId="03F056A7">
      <w:pPr>
        <w:rPr>
          <w:rFonts w:ascii="Times New Roman" w:hAnsi="Times New Roman" w:cs="Times New Roman"/>
          <w:sz w:val="28"/>
          <w:szCs w:val="28"/>
        </w:rPr>
      </w:pPr>
      <w:bookmarkStart w:id="38" w:name="_Toc219671677"/>
      <w:r>
        <w:rPr>
          <w:rFonts w:ascii="Times New Roman" w:hAnsi="Times New Roman" w:cs="Times New Roman"/>
          <w:sz w:val="28"/>
          <w:szCs w:val="28"/>
        </w:rPr>
        <w:br w:type="page"/>
      </w:r>
    </w:p>
    <w:p w14:paraId="3638FC91">
      <w:pPr>
        <w:pStyle w:val="32"/>
        <w:spacing w:after="0" w:line="240" w:lineRule="auto"/>
        <w:ind w:left="284"/>
        <w:jc w:val="right"/>
        <w:outlineLvl w:val="0"/>
        <w:rPr>
          <w:rFonts w:ascii="Times New Roman" w:hAnsi="Times New Roman" w:cs="Times New Roman"/>
          <w:sz w:val="28"/>
          <w:szCs w:val="28"/>
        </w:rPr>
      </w:pPr>
      <w:r>
        <w:rPr>
          <w:rFonts w:ascii="Times New Roman" w:hAnsi="Times New Roman" w:cs="Times New Roman"/>
          <w:sz w:val="28"/>
          <w:szCs w:val="28"/>
        </w:rPr>
        <w:t>ПРИЛОЖЕНИЕ</w:t>
      </w:r>
      <w:bookmarkEnd w:id="38"/>
      <w:r>
        <w:rPr>
          <w:rFonts w:ascii="Times New Roman" w:hAnsi="Times New Roman" w:cs="Times New Roman"/>
          <w:sz w:val="28"/>
          <w:szCs w:val="28"/>
        </w:rPr>
        <w:t xml:space="preserve"> А </w:t>
      </w:r>
    </w:p>
    <w:p w14:paraId="433E0D7C">
      <w:pPr>
        <w:pStyle w:val="32"/>
        <w:spacing w:after="0" w:line="240" w:lineRule="auto"/>
        <w:ind w:left="284"/>
        <w:jc w:val="both"/>
        <w:outlineLvl w:val="0"/>
        <w:rPr>
          <w:rFonts w:ascii="Times New Roman" w:hAnsi="Times New Roman" w:cs="Times New Roman"/>
          <w:sz w:val="28"/>
          <w:szCs w:val="28"/>
        </w:rPr>
      </w:pPr>
    </w:p>
    <w:p w14:paraId="3E981A79">
      <w:pPr>
        <w:spacing w:after="0" w:line="240" w:lineRule="auto"/>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Результаты обзора литературы по теме диссертационного исследования</w:t>
      </w:r>
    </w:p>
    <w:tbl>
      <w:tblPr>
        <w:tblStyle w:val="7"/>
        <w:tblW w:w="100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80" w:type="dxa"/>
          <w:bottom w:w="80" w:type="dxa"/>
          <w:right w:w="80" w:type="dxa"/>
        </w:tblCellMar>
      </w:tblPr>
      <w:tblGrid>
        <w:gridCol w:w="2476"/>
        <w:gridCol w:w="7577"/>
      </w:tblGrid>
      <w:tr w14:paraId="240C4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45" w:hRule="exact"/>
          <w:jc w:val="center"/>
        </w:trPr>
        <w:tc>
          <w:tcPr>
            <w:tcW w:w="2476" w:type="dxa"/>
            <w:vAlign w:val="center"/>
          </w:tcPr>
          <w:p w14:paraId="6C3C7849">
            <w:pPr>
              <w:pStyle w:val="71"/>
              <w:widowControl/>
              <w:jc w:val="both"/>
              <w:rPr>
                <w:rFonts w:ascii="Times New Roman" w:hAnsi="Times New Roman" w:eastAsia="Times-Bold" w:cs="Times New Roman"/>
                <w:b/>
                <w:bCs/>
                <w:color w:val="000000"/>
                <w:sz w:val="28"/>
                <w:szCs w:val="28"/>
                <w:lang w:val="ru-RU"/>
              </w:rPr>
            </w:pPr>
            <w:r>
              <w:rPr>
                <w:rFonts w:ascii="Times New Roman" w:hAnsi="Times New Roman" w:eastAsia="Times-Bold" w:cs="Times New Roman"/>
                <w:b/>
                <w:bCs/>
                <w:color w:val="000000"/>
                <w:sz w:val="28"/>
                <w:szCs w:val="28"/>
                <w:lang w:val="ru-RU"/>
              </w:rPr>
              <w:t>Индикаторы</w:t>
            </w:r>
          </w:p>
        </w:tc>
        <w:tc>
          <w:tcPr>
            <w:tcW w:w="7577" w:type="dxa"/>
            <w:vAlign w:val="center"/>
          </w:tcPr>
          <w:p w14:paraId="66DF6AAC">
            <w:pPr>
              <w:pStyle w:val="71"/>
              <w:widowControl/>
              <w:ind w:right="333"/>
              <w:jc w:val="both"/>
              <w:rPr>
                <w:rFonts w:ascii="Times New Roman" w:hAnsi="Times New Roman" w:eastAsia="Times-Bold" w:cs="Times New Roman"/>
                <w:b/>
                <w:bCs/>
                <w:color w:val="000000"/>
                <w:sz w:val="28"/>
                <w:szCs w:val="28"/>
                <w:lang w:val="ru-RU"/>
              </w:rPr>
            </w:pPr>
            <w:r>
              <w:rPr>
                <w:rFonts w:ascii="Times New Roman" w:hAnsi="Times New Roman" w:eastAsia="Times-Bold" w:cs="Times New Roman"/>
                <w:b/>
                <w:bCs/>
                <w:color w:val="000000"/>
                <w:sz w:val="28"/>
                <w:szCs w:val="28"/>
                <w:lang w:val="ru-RU"/>
              </w:rPr>
              <w:t>Ресурсы</w:t>
            </w:r>
          </w:p>
        </w:tc>
      </w:tr>
      <w:tr w14:paraId="7D1CA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1803" w:hRule="exact"/>
          <w:jc w:val="center"/>
        </w:trPr>
        <w:tc>
          <w:tcPr>
            <w:tcW w:w="2476" w:type="dxa"/>
            <w:vAlign w:val="center"/>
          </w:tcPr>
          <w:p w14:paraId="06085CB8">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Реальный ВВП</w:t>
            </w:r>
          </w:p>
        </w:tc>
        <w:tc>
          <w:tcPr>
            <w:tcW w:w="7577" w:type="dxa"/>
            <w:vAlign w:val="center"/>
          </w:tcPr>
          <w:p w14:paraId="09D9A1B0">
            <w:pPr>
              <w:pStyle w:val="71"/>
              <w:widowControl/>
              <w:jc w:val="both"/>
              <w:rPr>
                <w:rFonts w:ascii="Times New Roman" w:hAnsi="Times New Roman" w:cs="Times New Roman"/>
                <w:sz w:val="28"/>
                <w:szCs w:val="28"/>
              </w:rPr>
            </w:pPr>
            <w:r>
              <w:rPr>
                <w:rFonts w:ascii="Times New Roman" w:hAnsi="Times New Roman" w:eastAsia="Times-Roman" w:cs="Times New Roman"/>
                <w:color w:val="000000"/>
                <w:sz w:val="28"/>
                <w:szCs w:val="28"/>
              </w:rPr>
              <w:t xml:space="preserve">(Anita et al., 2022; Ayhan &amp; Kartal, 2021; Foglia, 2022; Hakimi et al., 2020; Karadima &amp; Louri, 2021; Mance et al., 2015; Rehmana et al., 2020; Umar &amp; Sun, 2016; Arham et al., 2020; Krasniqi-Pervetica &amp; Ahmeti, 2022; Mehmood et al., 2019) </w:t>
            </w:r>
          </w:p>
        </w:tc>
      </w:tr>
      <w:tr w14:paraId="2595F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1022" w:hRule="exact"/>
          <w:jc w:val="center"/>
        </w:trPr>
        <w:tc>
          <w:tcPr>
            <w:tcW w:w="2476" w:type="dxa"/>
            <w:vAlign w:val="center"/>
          </w:tcPr>
          <w:p w14:paraId="4E864587">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 xml:space="preserve">Индекс промышленного производства </w:t>
            </w:r>
          </w:p>
        </w:tc>
        <w:tc>
          <w:tcPr>
            <w:tcW w:w="7577" w:type="dxa"/>
            <w:vAlign w:val="center"/>
          </w:tcPr>
          <w:p w14:paraId="10263A44">
            <w:pPr>
              <w:pStyle w:val="71"/>
              <w:widowControl/>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(Mance et al. 2015; Vouldis &amp; Louzis, 2018)</w:t>
            </w:r>
          </w:p>
        </w:tc>
      </w:tr>
      <w:tr w14:paraId="10DB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1921" w:hRule="exact"/>
          <w:jc w:val="center"/>
        </w:trPr>
        <w:tc>
          <w:tcPr>
            <w:tcW w:w="2476" w:type="dxa"/>
            <w:vAlign w:val="center"/>
          </w:tcPr>
          <w:p w14:paraId="062EA795">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Уровень безработицы</w:t>
            </w:r>
          </w:p>
        </w:tc>
        <w:tc>
          <w:tcPr>
            <w:tcW w:w="7577" w:type="dxa"/>
            <w:vAlign w:val="center"/>
          </w:tcPr>
          <w:p w14:paraId="46DFC02B">
            <w:pPr>
              <w:pStyle w:val="71"/>
              <w:widowControl/>
              <w:jc w:val="both"/>
              <w:rPr>
                <w:rFonts w:ascii="Times New Roman" w:hAnsi="Times New Roman" w:cs="Times New Roman"/>
                <w:sz w:val="28"/>
                <w:szCs w:val="28"/>
                <w:lang w:val="ru-RU"/>
              </w:rPr>
            </w:pPr>
            <w:r>
              <w:rPr>
                <w:rFonts w:ascii="Times New Roman" w:hAnsi="Times New Roman" w:eastAsia="Times-Roman" w:cs="Times New Roman"/>
                <w:color w:val="000000"/>
                <w:sz w:val="28"/>
                <w:szCs w:val="28"/>
                <w:lang w:val="ru-RU"/>
              </w:rPr>
              <w:t xml:space="preserve">(Anastasiou et al., 2019; Foglia, 2022; Khan et al., 2020; Kuzucu &amp; Kuzucu, 2019; Mance et al., 2015; Nadham &amp; Nahid, 2015; Ahiase et al., 2023; Arham et al., 2020; Kartal et al., 2023; Krasniqi-Pervetica &amp; Ahmeti, 2022; Mehmood et al., 2019) </w:t>
            </w:r>
          </w:p>
        </w:tc>
      </w:tr>
      <w:tr w14:paraId="5669C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2180" w:hRule="exact"/>
          <w:jc w:val="center"/>
        </w:trPr>
        <w:tc>
          <w:tcPr>
            <w:tcW w:w="2476" w:type="dxa"/>
            <w:vAlign w:val="center"/>
          </w:tcPr>
          <w:p w14:paraId="62C215C8">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Инфляция</w:t>
            </w:r>
          </w:p>
        </w:tc>
        <w:tc>
          <w:tcPr>
            <w:tcW w:w="7577" w:type="dxa"/>
            <w:vAlign w:val="center"/>
          </w:tcPr>
          <w:p w14:paraId="4ACA8554">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(Anita et al., 2022; Boussaada et al., 2020; Fakhrunnas et al., 2022; Hakimi et al., 2020; Karadima &amp; Louri, 2021; Khan et al., 2020; Kuzucu &amp; Kuzucu, 2019; Mance et al., 2015; Nadham &amp; Nahid, 2015; Rehmana et al., 2020; Syed &amp; Tripathi, 2020; Tanasković &amp; Jandrić, 2015; Ahiase et al., 2023; Arham et al., 2020; Krasniqi-Pervetica &amp; Ahmeti, 2022)</w:t>
            </w:r>
          </w:p>
        </w:tc>
      </w:tr>
      <w:tr w14:paraId="64FCE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1333" w:hRule="exact"/>
          <w:jc w:val="center"/>
        </w:trPr>
        <w:tc>
          <w:tcPr>
            <w:tcW w:w="2476" w:type="dxa"/>
            <w:vAlign w:val="center"/>
          </w:tcPr>
          <w:p w14:paraId="32457091">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Процентная ставка</w:t>
            </w:r>
          </w:p>
        </w:tc>
        <w:tc>
          <w:tcPr>
            <w:tcW w:w="7577" w:type="dxa"/>
            <w:vAlign w:val="center"/>
          </w:tcPr>
          <w:p w14:paraId="2CFC4557">
            <w:pPr>
              <w:pStyle w:val="71"/>
              <w:widowControl/>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(Fakhrunnas et al., 2022; Mance et al., 2015; Nadham &amp; Nahid, 2015; Rehmana et al., 2020; Tanasković &amp; Jandrić, 2015; Arham et al., 2020; Mehmood et al., 2019)</w:t>
            </w:r>
          </w:p>
        </w:tc>
      </w:tr>
      <w:tr w14:paraId="5542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1637" w:hRule="exact"/>
          <w:jc w:val="center"/>
        </w:trPr>
        <w:tc>
          <w:tcPr>
            <w:tcW w:w="2476" w:type="dxa"/>
            <w:vAlign w:val="center"/>
          </w:tcPr>
          <w:p w14:paraId="55FE5950">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 xml:space="preserve">Рост ВВП </w:t>
            </w:r>
          </w:p>
        </w:tc>
        <w:tc>
          <w:tcPr>
            <w:tcW w:w="7577" w:type="dxa"/>
            <w:vAlign w:val="center"/>
          </w:tcPr>
          <w:p w14:paraId="19B52469">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(Anastasiou et al., 2019; Fakhrunnas et al., 2022; Khan et al., 2020; Kuzucu &amp; Kuzucu, 2019; Nadham &amp; Nahid, 2015; Syed &amp; Tripathi, 2020; Tanasković &amp; Jandrić, 2015) (Ahiase et al., 2023; Kartal et al., 2023; Staehr &amp; Uusküla, 2020)</w:t>
            </w:r>
          </w:p>
        </w:tc>
      </w:tr>
      <w:tr w14:paraId="0372F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897" w:hRule="exact"/>
          <w:jc w:val="center"/>
        </w:trPr>
        <w:tc>
          <w:tcPr>
            <w:tcW w:w="2476" w:type="dxa"/>
            <w:vAlign w:val="center"/>
          </w:tcPr>
          <w:p w14:paraId="7755332D">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Кредитная деятельность</w:t>
            </w:r>
          </w:p>
        </w:tc>
        <w:tc>
          <w:tcPr>
            <w:tcW w:w="7577" w:type="dxa"/>
            <w:vAlign w:val="center"/>
          </w:tcPr>
          <w:p w14:paraId="1A993AD6">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(Nadham &amp; Nahid, 2015)</w:t>
            </w:r>
          </w:p>
        </w:tc>
      </w:tr>
      <w:tr w14:paraId="7EB98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911" w:hRule="exact"/>
          <w:jc w:val="center"/>
        </w:trPr>
        <w:tc>
          <w:tcPr>
            <w:tcW w:w="2476" w:type="dxa"/>
            <w:vAlign w:val="center"/>
          </w:tcPr>
          <w:p w14:paraId="6C631B37">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 xml:space="preserve">Достаточность капитала </w:t>
            </w:r>
          </w:p>
        </w:tc>
        <w:tc>
          <w:tcPr>
            <w:tcW w:w="7577" w:type="dxa"/>
            <w:vAlign w:val="center"/>
          </w:tcPr>
          <w:p w14:paraId="3117F25C">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 xml:space="preserve">(Gjeci &amp; Marinc, 2018; Morakinyo &amp; Sibanda, 2016) </w:t>
            </w:r>
          </w:p>
        </w:tc>
      </w:tr>
    </w:tbl>
    <w:p w14:paraId="2E0E64CA"/>
    <w:tbl>
      <w:tblPr>
        <w:tblStyle w:val="7"/>
        <w:tblW w:w="100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80" w:type="dxa"/>
          <w:bottom w:w="80" w:type="dxa"/>
          <w:right w:w="80" w:type="dxa"/>
        </w:tblCellMar>
      </w:tblPr>
      <w:tblGrid>
        <w:gridCol w:w="2476"/>
        <w:gridCol w:w="7577"/>
      </w:tblGrid>
      <w:tr w14:paraId="26DFF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1194" w:hRule="exact"/>
          <w:jc w:val="center"/>
        </w:trPr>
        <w:tc>
          <w:tcPr>
            <w:tcW w:w="2476" w:type="dxa"/>
            <w:vAlign w:val="center"/>
          </w:tcPr>
          <w:p w14:paraId="793D76D1">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Прибыльность</w:t>
            </w:r>
          </w:p>
        </w:tc>
        <w:tc>
          <w:tcPr>
            <w:tcW w:w="7577" w:type="dxa"/>
            <w:vAlign w:val="center"/>
          </w:tcPr>
          <w:p w14:paraId="46041D2C">
            <w:pPr>
              <w:pStyle w:val="71"/>
              <w:widowControl/>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(Anastasiou et al., 2019; Karadima &amp; Louri, 2021; Kartikasary et al., 2020; Kumar &amp; Kishore, 2019; Morakinyo &amp; Sibanda, 2016; Rehmana et al., 2020; Umar &amp; Sun, 2016) </w:t>
            </w:r>
          </w:p>
        </w:tc>
      </w:tr>
      <w:tr w14:paraId="1F60A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811" w:hRule="exact"/>
          <w:jc w:val="center"/>
        </w:trPr>
        <w:tc>
          <w:tcPr>
            <w:tcW w:w="2476" w:type="dxa"/>
            <w:vAlign w:val="center"/>
          </w:tcPr>
          <w:p w14:paraId="78B4CD2F">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Ликвидность</w:t>
            </w:r>
          </w:p>
        </w:tc>
        <w:tc>
          <w:tcPr>
            <w:tcW w:w="7577" w:type="dxa"/>
            <w:vAlign w:val="center"/>
          </w:tcPr>
          <w:p w14:paraId="4B3084BA">
            <w:pPr>
              <w:pStyle w:val="71"/>
              <w:widowControl/>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(Anastasiou et al., 2019; Boussaada et al., 2020; Morakinyo &amp; Sibanda, 2016; Umar &amp; Sun, 2016)</w:t>
            </w:r>
          </w:p>
        </w:tc>
      </w:tr>
      <w:tr w14:paraId="079A3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910" w:hRule="exact"/>
          <w:jc w:val="center"/>
        </w:trPr>
        <w:tc>
          <w:tcPr>
            <w:tcW w:w="2476" w:type="dxa"/>
            <w:vAlign w:val="center"/>
          </w:tcPr>
          <w:p w14:paraId="5A372ED5">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Общий банковский кредит</w:t>
            </w:r>
          </w:p>
        </w:tc>
        <w:tc>
          <w:tcPr>
            <w:tcW w:w="7577" w:type="dxa"/>
            <w:vAlign w:val="center"/>
          </w:tcPr>
          <w:p w14:paraId="120C9419">
            <w:pPr>
              <w:pStyle w:val="71"/>
              <w:widowControl/>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(Ayhan &amp; Kartal, 2021; Kuzucu &amp; Kuzucu, 2019; Morakinyo &amp; Sibanda, 2016; Kartal et al., 2023) </w:t>
            </w:r>
          </w:p>
        </w:tc>
      </w:tr>
      <w:tr w14:paraId="3DAFB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79" w:hRule="exact"/>
          <w:jc w:val="center"/>
        </w:trPr>
        <w:tc>
          <w:tcPr>
            <w:tcW w:w="2476" w:type="dxa"/>
            <w:vAlign w:val="center"/>
          </w:tcPr>
          <w:p w14:paraId="42B2F78B">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 xml:space="preserve">Межбанковская ставка предложения </w:t>
            </w:r>
          </w:p>
        </w:tc>
        <w:tc>
          <w:tcPr>
            <w:tcW w:w="7577" w:type="dxa"/>
            <w:vAlign w:val="center"/>
          </w:tcPr>
          <w:p w14:paraId="66CF6703">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(Umar &amp; Sun, 2016)</w:t>
            </w:r>
          </w:p>
        </w:tc>
      </w:tr>
      <w:tr w14:paraId="1B50D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1256" w:hRule="exact"/>
          <w:jc w:val="center"/>
        </w:trPr>
        <w:tc>
          <w:tcPr>
            <w:tcW w:w="2476" w:type="dxa"/>
            <w:vAlign w:val="center"/>
          </w:tcPr>
          <w:p w14:paraId="1A15ECCA">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Размер банка</w:t>
            </w:r>
          </w:p>
        </w:tc>
        <w:tc>
          <w:tcPr>
            <w:tcW w:w="7577" w:type="dxa"/>
            <w:vAlign w:val="center"/>
          </w:tcPr>
          <w:p w14:paraId="5629C3FE">
            <w:pPr>
              <w:pStyle w:val="71"/>
              <w:widowControl/>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(Boussaada et al., 2020; Gjeci &amp; Marinc, 2018; Hakimi et al., 2020; Jenkins et al., 2021; Kartikasary et al., 2020; Rehmana et al., 2020; Umar &amp; Sun, 2016)</w:t>
            </w:r>
          </w:p>
        </w:tc>
      </w:tr>
      <w:tr w14:paraId="248F6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993" w:hRule="exact"/>
          <w:jc w:val="center"/>
        </w:trPr>
        <w:tc>
          <w:tcPr>
            <w:tcW w:w="2476" w:type="dxa"/>
            <w:vAlign w:val="center"/>
          </w:tcPr>
          <w:p w14:paraId="06CD8787">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Банковский капитал</w:t>
            </w:r>
          </w:p>
        </w:tc>
        <w:tc>
          <w:tcPr>
            <w:tcW w:w="7577" w:type="dxa"/>
            <w:vAlign w:val="center"/>
          </w:tcPr>
          <w:p w14:paraId="15D4ECDC">
            <w:pPr>
              <w:pStyle w:val="71"/>
              <w:widowControl/>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(Boussaada et al., 2020; Hakimi et al., 2020; Jenkins et al., 2021; Kartikasary et al., 2020; Kumar &amp; Kishore, 2019; Kuzucu &amp; Kuzucu, 2019; Kartal et al., 2023)</w:t>
            </w:r>
          </w:p>
        </w:tc>
      </w:tr>
      <w:tr w14:paraId="2E8A5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753" w:hRule="exact"/>
          <w:jc w:val="center"/>
        </w:trPr>
        <w:tc>
          <w:tcPr>
            <w:tcW w:w="2476" w:type="dxa"/>
            <w:vAlign w:val="center"/>
          </w:tcPr>
          <w:p w14:paraId="2D02BFC7">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Волатильность доходов</w:t>
            </w:r>
          </w:p>
        </w:tc>
        <w:tc>
          <w:tcPr>
            <w:tcW w:w="7577" w:type="dxa"/>
            <w:vAlign w:val="center"/>
          </w:tcPr>
          <w:p w14:paraId="5D8410EE">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(Umar &amp; Sun, 2016)</w:t>
            </w:r>
          </w:p>
        </w:tc>
      </w:tr>
      <w:tr w14:paraId="5F8F8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37" w:hRule="exact"/>
          <w:jc w:val="center"/>
        </w:trPr>
        <w:tc>
          <w:tcPr>
            <w:tcW w:w="2476" w:type="dxa"/>
            <w:vAlign w:val="center"/>
          </w:tcPr>
          <w:p w14:paraId="0CA875F3">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Заемный капитал</w:t>
            </w:r>
          </w:p>
        </w:tc>
        <w:tc>
          <w:tcPr>
            <w:tcW w:w="7577" w:type="dxa"/>
            <w:vAlign w:val="center"/>
          </w:tcPr>
          <w:p w14:paraId="35C19C22">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(Umar &amp; Sun, 2016)</w:t>
            </w:r>
          </w:p>
        </w:tc>
      </w:tr>
      <w:tr w14:paraId="52E91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79" w:hRule="exact"/>
          <w:jc w:val="center"/>
        </w:trPr>
        <w:tc>
          <w:tcPr>
            <w:tcW w:w="2476" w:type="dxa"/>
            <w:vAlign w:val="center"/>
          </w:tcPr>
          <w:p w14:paraId="206D353D">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Коррупция</w:t>
            </w:r>
          </w:p>
        </w:tc>
        <w:tc>
          <w:tcPr>
            <w:tcW w:w="7577" w:type="dxa"/>
            <w:vAlign w:val="center"/>
          </w:tcPr>
          <w:p w14:paraId="18A02647">
            <w:pPr>
              <w:pStyle w:val="71"/>
              <w:widowControl/>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(Anastasiou et al., 2019; Gjeci &amp; Marinc, 2018; Hakimi et al., 2020; Jenkins et al., 2021; Mohamad &amp; Jenkins, 2021; Rehmana et al., 2020; Mehmood et al., 2019)</w:t>
            </w:r>
          </w:p>
        </w:tc>
      </w:tr>
      <w:tr w14:paraId="092B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1013" w:hRule="exact"/>
          <w:jc w:val="center"/>
        </w:trPr>
        <w:tc>
          <w:tcPr>
            <w:tcW w:w="2476" w:type="dxa"/>
            <w:vAlign w:val="center"/>
          </w:tcPr>
          <w:p w14:paraId="546483F4">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Эффективность банка</w:t>
            </w:r>
          </w:p>
        </w:tc>
        <w:tc>
          <w:tcPr>
            <w:tcW w:w="7577" w:type="dxa"/>
            <w:vAlign w:val="center"/>
          </w:tcPr>
          <w:p w14:paraId="2F2713B0">
            <w:pPr>
              <w:pStyle w:val="71"/>
              <w:widowControl/>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 xml:space="preserve">(Gjeci &amp; Marinc, 2018; Jenkins et al., 2021; Kartikasary et al., 2020; Kumar &amp; Kishore, 2019) </w:t>
            </w:r>
          </w:p>
        </w:tc>
      </w:tr>
      <w:tr w14:paraId="10516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1057" w:hRule="exact"/>
          <w:jc w:val="center"/>
        </w:trPr>
        <w:tc>
          <w:tcPr>
            <w:tcW w:w="2476" w:type="dxa"/>
            <w:vAlign w:val="center"/>
          </w:tcPr>
          <w:p w14:paraId="562808E1">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Обменный курс</w:t>
            </w:r>
          </w:p>
        </w:tc>
        <w:tc>
          <w:tcPr>
            <w:tcW w:w="7577" w:type="dxa"/>
            <w:vAlign w:val="center"/>
          </w:tcPr>
          <w:p w14:paraId="58E97C46">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 xml:space="preserve">(Ayhan &amp; Kartal, 2021; Fakhrunnas et al., 2022; Khan et al., 2020; Kuzucu &amp; Kuzucu, 2019; Tanasković &amp; Jandrić, 2015; Kartal et al., 2023) </w:t>
            </w:r>
          </w:p>
        </w:tc>
      </w:tr>
      <w:tr w14:paraId="71F96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20" w:hRule="exact"/>
          <w:jc w:val="center"/>
        </w:trPr>
        <w:tc>
          <w:tcPr>
            <w:tcW w:w="2476" w:type="dxa"/>
            <w:vAlign w:val="center"/>
          </w:tcPr>
          <w:p w14:paraId="1F3A2A25">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Налоговая ставка</w:t>
            </w:r>
          </w:p>
        </w:tc>
        <w:tc>
          <w:tcPr>
            <w:tcW w:w="7577" w:type="dxa"/>
            <w:vAlign w:val="center"/>
          </w:tcPr>
          <w:p w14:paraId="156F82CB">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(Khan et al., 2020)</w:t>
            </w:r>
          </w:p>
        </w:tc>
      </w:tr>
      <w:tr w14:paraId="3DD5E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89" w:hRule="exact"/>
          <w:jc w:val="center"/>
        </w:trPr>
        <w:tc>
          <w:tcPr>
            <w:tcW w:w="2476" w:type="dxa"/>
            <w:vAlign w:val="center"/>
          </w:tcPr>
          <w:p w14:paraId="07C39BA8">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Управление</w:t>
            </w:r>
          </w:p>
        </w:tc>
        <w:tc>
          <w:tcPr>
            <w:tcW w:w="7577" w:type="dxa"/>
            <w:vAlign w:val="center"/>
          </w:tcPr>
          <w:p w14:paraId="76372D68">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(Anastasiou et al., 2019)</w:t>
            </w:r>
          </w:p>
        </w:tc>
      </w:tr>
      <w:tr w14:paraId="5BB4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771" w:hRule="exact"/>
          <w:jc w:val="center"/>
        </w:trPr>
        <w:tc>
          <w:tcPr>
            <w:tcW w:w="2476" w:type="dxa"/>
            <w:vAlign w:val="center"/>
          </w:tcPr>
          <w:p w14:paraId="51863F28">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Политическая стабильность</w:t>
            </w:r>
          </w:p>
        </w:tc>
        <w:tc>
          <w:tcPr>
            <w:tcW w:w="7577" w:type="dxa"/>
            <w:vAlign w:val="center"/>
          </w:tcPr>
          <w:p w14:paraId="2631B334">
            <w:pPr>
              <w:pStyle w:val="71"/>
              <w:widowControl/>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(Anastasiou et al., 2019; Hakimi et al., 2020; Mehmood et al., 2019)</w:t>
            </w:r>
          </w:p>
        </w:tc>
      </w:tr>
      <w:tr w14:paraId="0235C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791" w:hRule="exact"/>
          <w:jc w:val="center"/>
        </w:trPr>
        <w:tc>
          <w:tcPr>
            <w:tcW w:w="2476" w:type="dxa"/>
            <w:vAlign w:val="center"/>
          </w:tcPr>
          <w:p w14:paraId="3D1BB762">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Эффективность правительства</w:t>
            </w:r>
          </w:p>
        </w:tc>
        <w:tc>
          <w:tcPr>
            <w:tcW w:w="7577" w:type="dxa"/>
            <w:vAlign w:val="center"/>
          </w:tcPr>
          <w:p w14:paraId="6B56F65A">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(Anastasiou et al., 2019)</w:t>
            </w:r>
          </w:p>
        </w:tc>
      </w:tr>
      <w:tr w14:paraId="2237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57" w:hRule="exact"/>
          <w:jc w:val="center"/>
        </w:trPr>
        <w:tc>
          <w:tcPr>
            <w:tcW w:w="2476" w:type="dxa"/>
            <w:vAlign w:val="center"/>
          </w:tcPr>
          <w:p w14:paraId="6507B34D">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Банковская концентрация</w:t>
            </w:r>
          </w:p>
        </w:tc>
        <w:tc>
          <w:tcPr>
            <w:tcW w:w="7577" w:type="dxa"/>
            <w:vAlign w:val="center"/>
          </w:tcPr>
          <w:p w14:paraId="7376736E">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(Anastasiou et al., 2019)</w:t>
            </w:r>
          </w:p>
        </w:tc>
      </w:tr>
      <w:tr w14:paraId="39C02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24" w:hRule="exact"/>
          <w:jc w:val="center"/>
        </w:trPr>
        <w:tc>
          <w:tcPr>
            <w:tcW w:w="2476" w:type="dxa"/>
            <w:vAlign w:val="center"/>
          </w:tcPr>
          <w:p w14:paraId="38EE03E9">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Банковские депозиты</w:t>
            </w:r>
          </w:p>
        </w:tc>
        <w:tc>
          <w:tcPr>
            <w:tcW w:w="7577" w:type="dxa"/>
            <w:vAlign w:val="center"/>
          </w:tcPr>
          <w:p w14:paraId="1E18D56B">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(Anastasiou et al., 2019)</w:t>
            </w:r>
          </w:p>
        </w:tc>
      </w:tr>
      <w:tr w14:paraId="678A3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33" w:hRule="exact"/>
          <w:jc w:val="center"/>
        </w:trPr>
        <w:tc>
          <w:tcPr>
            <w:tcW w:w="2476" w:type="dxa"/>
            <w:vAlign w:val="center"/>
          </w:tcPr>
          <w:p w14:paraId="1A9FEC18">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Прямые иностранные инвестиции</w:t>
            </w:r>
          </w:p>
        </w:tc>
        <w:tc>
          <w:tcPr>
            <w:tcW w:w="7577" w:type="dxa"/>
            <w:vAlign w:val="center"/>
          </w:tcPr>
          <w:p w14:paraId="0431049A">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(Kuzucu &amp; Kuzucu, 2019)</w:t>
            </w:r>
          </w:p>
        </w:tc>
      </w:tr>
      <w:tr w14:paraId="57BFB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15" w:hRule="exact"/>
          <w:jc w:val="center"/>
        </w:trPr>
        <w:tc>
          <w:tcPr>
            <w:tcW w:w="2476" w:type="dxa"/>
            <w:vAlign w:val="center"/>
          </w:tcPr>
          <w:p w14:paraId="3D7B0B61">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Диверсификация доходов</w:t>
            </w:r>
          </w:p>
        </w:tc>
        <w:tc>
          <w:tcPr>
            <w:tcW w:w="7577" w:type="dxa"/>
            <w:vAlign w:val="center"/>
          </w:tcPr>
          <w:p w14:paraId="34706AD8">
            <w:pPr>
              <w:pStyle w:val="71"/>
              <w:widowControl/>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(Kumar &amp; Kishore, 2019; Rehmana et al., 2020)</w:t>
            </w:r>
          </w:p>
        </w:tc>
      </w:tr>
      <w:tr w14:paraId="5B8CD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40" w:hRule="exact"/>
          <w:jc w:val="center"/>
        </w:trPr>
        <w:tc>
          <w:tcPr>
            <w:tcW w:w="2476" w:type="dxa"/>
            <w:vAlign w:val="center"/>
          </w:tcPr>
          <w:p w14:paraId="7194B7C8">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Соотношение кредитов к депозитам</w:t>
            </w:r>
          </w:p>
        </w:tc>
        <w:tc>
          <w:tcPr>
            <w:tcW w:w="7577" w:type="dxa"/>
            <w:vAlign w:val="center"/>
          </w:tcPr>
          <w:p w14:paraId="715B6DB6">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(Kartikasary et al., 2020)</w:t>
            </w:r>
          </w:p>
        </w:tc>
      </w:tr>
      <w:tr w14:paraId="53292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763" w:hRule="exact"/>
          <w:jc w:val="center"/>
        </w:trPr>
        <w:tc>
          <w:tcPr>
            <w:tcW w:w="2476" w:type="dxa"/>
            <w:vAlign w:val="center"/>
          </w:tcPr>
          <w:p w14:paraId="45C4E585">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Производительность</w:t>
            </w:r>
          </w:p>
        </w:tc>
        <w:tc>
          <w:tcPr>
            <w:tcW w:w="7577" w:type="dxa"/>
            <w:vAlign w:val="center"/>
          </w:tcPr>
          <w:p w14:paraId="2DA5F808">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(Boussaada et al., 2020)</w:t>
            </w:r>
          </w:p>
        </w:tc>
      </w:tr>
      <w:tr w14:paraId="41A73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33" w:hRule="exact"/>
          <w:jc w:val="center"/>
        </w:trPr>
        <w:tc>
          <w:tcPr>
            <w:tcW w:w="2476" w:type="dxa"/>
            <w:vAlign w:val="center"/>
          </w:tcPr>
          <w:p w14:paraId="6CCF80EB">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Ликвидные активы</w:t>
            </w:r>
          </w:p>
        </w:tc>
        <w:tc>
          <w:tcPr>
            <w:tcW w:w="7577" w:type="dxa"/>
            <w:vAlign w:val="center"/>
          </w:tcPr>
          <w:p w14:paraId="6F91A656">
            <w:pPr>
              <w:pStyle w:val="71"/>
              <w:widowControl/>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(Boussaada et al., 2020; Hakimi et al., 2020)</w:t>
            </w:r>
          </w:p>
        </w:tc>
      </w:tr>
      <w:tr w14:paraId="58188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30" w:hRule="exact"/>
          <w:jc w:val="center"/>
        </w:trPr>
        <w:tc>
          <w:tcPr>
            <w:tcW w:w="2476" w:type="dxa"/>
            <w:vAlign w:val="center"/>
          </w:tcPr>
          <w:p w14:paraId="4631F363">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Капитализация</w:t>
            </w:r>
          </w:p>
        </w:tc>
        <w:tc>
          <w:tcPr>
            <w:tcW w:w="7577" w:type="dxa"/>
            <w:vAlign w:val="center"/>
          </w:tcPr>
          <w:p w14:paraId="0552E49A">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(Rehmana et al., 2020)</w:t>
            </w:r>
          </w:p>
        </w:tc>
      </w:tr>
      <w:tr w14:paraId="2070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25" w:hRule="exact"/>
          <w:jc w:val="center"/>
        </w:trPr>
        <w:tc>
          <w:tcPr>
            <w:tcW w:w="2476" w:type="dxa"/>
            <w:vAlign w:val="center"/>
          </w:tcPr>
          <w:p w14:paraId="4109E72F">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Ставка сбережений</w:t>
            </w:r>
          </w:p>
        </w:tc>
        <w:tc>
          <w:tcPr>
            <w:tcW w:w="7577" w:type="dxa"/>
            <w:vAlign w:val="center"/>
          </w:tcPr>
          <w:p w14:paraId="33F6DC5A">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(Syed &amp; Tripathi, 2020; Ayhan &amp; Kartal, 2021)</w:t>
            </w:r>
          </w:p>
        </w:tc>
      </w:tr>
      <w:tr w14:paraId="0906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35" w:hRule="exact"/>
          <w:jc w:val="center"/>
        </w:trPr>
        <w:tc>
          <w:tcPr>
            <w:tcW w:w="2476" w:type="dxa"/>
            <w:vAlign w:val="center"/>
          </w:tcPr>
          <w:p w14:paraId="0D5C3774">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Неопределенность экономической политики</w:t>
            </w:r>
          </w:p>
        </w:tc>
        <w:tc>
          <w:tcPr>
            <w:tcW w:w="7577" w:type="dxa"/>
            <w:vAlign w:val="center"/>
          </w:tcPr>
          <w:p w14:paraId="25C81CD5">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(Karadima &amp; Louri, 2021)</w:t>
            </w:r>
          </w:p>
        </w:tc>
      </w:tr>
      <w:tr w14:paraId="52296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17" w:hRule="exact"/>
          <w:jc w:val="center"/>
        </w:trPr>
        <w:tc>
          <w:tcPr>
            <w:tcW w:w="2476" w:type="dxa"/>
            <w:vAlign w:val="center"/>
          </w:tcPr>
          <w:p w14:paraId="66E5AB1B">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Банковская концентрация</w:t>
            </w:r>
          </w:p>
        </w:tc>
        <w:tc>
          <w:tcPr>
            <w:tcW w:w="7577" w:type="dxa"/>
            <w:vAlign w:val="center"/>
          </w:tcPr>
          <w:p w14:paraId="13E20FBD">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(Karadima &amp; Louri, 2021)</w:t>
            </w:r>
          </w:p>
          <w:p w14:paraId="628292D6">
            <w:pPr>
              <w:pStyle w:val="71"/>
              <w:widowControl/>
              <w:jc w:val="both"/>
              <w:rPr>
                <w:rFonts w:ascii="Times New Roman" w:hAnsi="Times New Roman" w:eastAsia="Times-Roman" w:cs="Times New Roman"/>
                <w:color w:val="000000"/>
                <w:sz w:val="28"/>
                <w:szCs w:val="28"/>
                <w:lang w:val="ru-RU"/>
              </w:rPr>
            </w:pPr>
          </w:p>
          <w:p w14:paraId="4647F907">
            <w:pPr>
              <w:pStyle w:val="71"/>
              <w:widowControl/>
              <w:jc w:val="both"/>
              <w:rPr>
                <w:rFonts w:ascii="Times New Roman" w:hAnsi="Times New Roman" w:eastAsia="Times-Roman" w:cs="Times New Roman"/>
                <w:color w:val="000000"/>
                <w:sz w:val="28"/>
                <w:szCs w:val="28"/>
                <w:lang w:val="ru-RU"/>
              </w:rPr>
            </w:pPr>
          </w:p>
        </w:tc>
      </w:tr>
      <w:tr w14:paraId="1AE97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42" w:hRule="exact"/>
          <w:jc w:val="center"/>
        </w:trPr>
        <w:tc>
          <w:tcPr>
            <w:tcW w:w="2476" w:type="dxa"/>
            <w:vAlign w:val="center"/>
          </w:tcPr>
          <w:p w14:paraId="187566D6">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Баланс государственного бюджета</w:t>
            </w:r>
          </w:p>
        </w:tc>
        <w:tc>
          <w:tcPr>
            <w:tcW w:w="7577" w:type="dxa"/>
            <w:vAlign w:val="center"/>
          </w:tcPr>
          <w:p w14:paraId="6AF6D8D6">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(Anita et al., 2022)</w:t>
            </w:r>
          </w:p>
        </w:tc>
      </w:tr>
      <w:tr w14:paraId="6537C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907" w:hRule="exact"/>
          <w:jc w:val="center"/>
        </w:trPr>
        <w:tc>
          <w:tcPr>
            <w:tcW w:w="2476" w:type="dxa"/>
            <w:vAlign w:val="center"/>
          </w:tcPr>
          <w:p w14:paraId="08F9C1B9">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Государственный долг</w:t>
            </w:r>
          </w:p>
        </w:tc>
        <w:tc>
          <w:tcPr>
            <w:tcW w:w="7577" w:type="dxa"/>
            <w:vAlign w:val="center"/>
          </w:tcPr>
          <w:p w14:paraId="70897AC5">
            <w:pPr>
              <w:pStyle w:val="71"/>
              <w:widowControl/>
              <w:jc w:val="both"/>
              <w:rPr>
                <w:rFonts w:ascii="Times New Roman" w:hAnsi="Times New Roman" w:eastAsia="Times-Roman" w:cs="Times New Roman"/>
                <w:color w:val="000000"/>
                <w:sz w:val="28"/>
                <w:szCs w:val="28"/>
              </w:rPr>
            </w:pPr>
            <w:r>
              <w:rPr>
                <w:rFonts w:ascii="Times New Roman" w:hAnsi="Times New Roman" w:eastAsia="Times-Roman" w:cs="Times New Roman"/>
                <w:color w:val="000000"/>
                <w:sz w:val="28"/>
                <w:szCs w:val="28"/>
              </w:rPr>
              <w:t>(Anita et al., 2022; Foglia, 2022; Ahiase et al., 2023; Arham et al., 2020; Krasniqi-Pervetica &amp; Ahmeti, 2022)</w:t>
            </w:r>
          </w:p>
        </w:tc>
      </w:tr>
      <w:tr w14:paraId="13A21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23" w:hRule="exact"/>
          <w:jc w:val="center"/>
        </w:trPr>
        <w:tc>
          <w:tcPr>
            <w:tcW w:w="2476" w:type="dxa"/>
            <w:vAlign w:val="center"/>
          </w:tcPr>
          <w:p w14:paraId="284C8A1C">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Денежная масса</w:t>
            </w:r>
          </w:p>
        </w:tc>
        <w:tc>
          <w:tcPr>
            <w:tcW w:w="7577" w:type="dxa"/>
            <w:vAlign w:val="center"/>
          </w:tcPr>
          <w:p w14:paraId="1B5B2B8A">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(Anita et al., 2022)</w:t>
            </w:r>
          </w:p>
        </w:tc>
      </w:tr>
      <w:tr w14:paraId="546C5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33" w:hRule="exact"/>
          <w:jc w:val="center"/>
        </w:trPr>
        <w:tc>
          <w:tcPr>
            <w:tcW w:w="2476" w:type="dxa"/>
            <w:vAlign w:val="center"/>
          </w:tcPr>
          <w:p w14:paraId="4D8D3DD6">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Внутренний кредит</w:t>
            </w:r>
          </w:p>
        </w:tc>
        <w:tc>
          <w:tcPr>
            <w:tcW w:w="7577" w:type="dxa"/>
            <w:vAlign w:val="center"/>
          </w:tcPr>
          <w:p w14:paraId="3E8A22F8">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(Foglia, 2022)</w:t>
            </w:r>
          </w:p>
        </w:tc>
      </w:tr>
      <w:tr w14:paraId="0B189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53" w:hRule="exact"/>
          <w:jc w:val="center"/>
        </w:trPr>
        <w:tc>
          <w:tcPr>
            <w:tcW w:w="2476" w:type="dxa"/>
            <w:vAlign w:val="center"/>
          </w:tcPr>
          <w:p w14:paraId="5A6B21DE">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Соотношение кредитов в иностранной валюте</w:t>
            </w:r>
          </w:p>
        </w:tc>
        <w:tc>
          <w:tcPr>
            <w:tcW w:w="7577" w:type="dxa"/>
            <w:vAlign w:val="center"/>
          </w:tcPr>
          <w:p w14:paraId="5AFF3171">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(Tanasković &amp; Jandrić, 2015)</w:t>
            </w:r>
          </w:p>
        </w:tc>
      </w:tr>
      <w:tr w14:paraId="0ADF8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687" w:hRule="exact"/>
          <w:jc w:val="center"/>
        </w:trPr>
        <w:tc>
          <w:tcPr>
            <w:tcW w:w="2476" w:type="dxa"/>
            <w:vAlign w:val="center"/>
          </w:tcPr>
          <w:p w14:paraId="49469CFB">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Объем импорта</w:t>
            </w:r>
          </w:p>
        </w:tc>
        <w:tc>
          <w:tcPr>
            <w:tcW w:w="7577" w:type="dxa"/>
            <w:vAlign w:val="center"/>
          </w:tcPr>
          <w:p w14:paraId="35013874">
            <w:pPr>
              <w:pStyle w:val="71"/>
              <w:widowControl/>
              <w:jc w:val="both"/>
              <w:rPr>
                <w:rFonts w:ascii="Times New Roman" w:hAnsi="Times New Roman" w:eastAsia="Times-Roman" w:cs="Times New Roman"/>
                <w:color w:val="000000"/>
                <w:sz w:val="28"/>
                <w:szCs w:val="28"/>
                <w:shd w:val="clear" w:color="auto" w:fill="FFFFFF"/>
                <w:lang w:val="ru-RU"/>
              </w:rPr>
            </w:pPr>
            <w:r>
              <w:rPr>
                <w:rFonts w:ascii="Times New Roman" w:hAnsi="Times New Roman" w:eastAsia="Times-Roman" w:cs="Times New Roman"/>
                <w:color w:val="000000"/>
                <w:sz w:val="28"/>
                <w:szCs w:val="28"/>
                <w:shd w:val="clear" w:color="auto" w:fill="FFFFFF"/>
                <w:lang w:val="ru-RU"/>
              </w:rPr>
              <w:t>(Vouldis &amp; Louzis, 2018)</w:t>
            </w:r>
          </w:p>
        </w:tc>
      </w:tr>
      <w:tr w14:paraId="36C9E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565" w:hRule="exact"/>
          <w:jc w:val="center"/>
        </w:trPr>
        <w:tc>
          <w:tcPr>
            <w:tcW w:w="2476" w:type="dxa"/>
            <w:vAlign w:val="center"/>
          </w:tcPr>
          <w:p w14:paraId="3CB8C751">
            <w:pPr>
              <w:pStyle w:val="71"/>
              <w:widowControl/>
              <w:jc w:val="both"/>
              <w:rPr>
                <w:rFonts w:ascii="Times New Roman" w:hAnsi="Times New Roman" w:eastAsia="Times-Roman" w:cs="Times New Roman"/>
                <w:color w:val="000000"/>
                <w:sz w:val="28"/>
                <w:szCs w:val="28"/>
                <w:lang w:val="ru-RU"/>
              </w:rPr>
            </w:pPr>
            <w:r>
              <w:rPr>
                <w:rFonts w:ascii="Times New Roman" w:hAnsi="Times New Roman" w:eastAsia="Times-Roman" w:cs="Times New Roman"/>
                <w:color w:val="000000"/>
                <w:sz w:val="28"/>
                <w:szCs w:val="28"/>
                <w:lang w:val="ru-RU"/>
              </w:rPr>
              <w:t>Потребление энергии</w:t>
            </w:r>
          </w:p>
        </w:tc>
        <w:tc>
          <w:tcPr>
            <w:tcW w:w="7577" w:type="dxa"/>
            <w:vAlign w:val="center"/>
          </w:tcPr>
          <w:p w14:paraId="17C334B6">
            <w:pPr>
              <w:pStyle w:val="71"/>
              <w:widowControl/>
              <w:jc w:val="both"/>
              <w:rPr>
                <w:rFonts w:ascii="Times New Roman" w:hAnsi="Times New Roman" w:eastAsia="Times-Roman" w:cs="Times New Roman"/>
                <w:color w:val="000000"/>
                <w:sz w:val="28"/>
                <w:szCs w:val="28"/>
                <w:shd w:val="clear" w:color="auto" w:fill="FFFFFF"/>
                <w:lang w:val="ru-RU"/>
              </w:rPr>
            </w:pPr>
            <w:r>
              <w:rPr>
                <w:rFonts w:ascii="Times New Roman" w:hAnsi="Times New Roman" w:eastAsia="Times-Roman" w:cs="Times New Roman"/>
                <w:color w:val="000000"/>
                <w:sz w:val="28"/>
                <w:szCs w:val="28"/>
                <w:shd w:val="clear" w:color="auto" w:fill="FFFFFF"/>
                <w:lang w:val="ru-RU"/>
              </w:rPr>
              <w:t>(Mehmood et al., 2019)</w:t>
            </w:r>
          </w:p>
        </w:tc>
      </w:tr>
    </w:tbl>
    <w:p w14:paraId="7B7488CC">
      <w:pPr>
        <w:pStyle w:val="32"/>
        <w:spacing w:after="0" w:line="240" w:lineRule="auto"/>
        <w:ind w:left="284"/>
        <w:jc w:val="both"/>
        <w:rPr>
          <w:rFonts w:ascii="Times New Roman" w:hAnsi="Times New Roman" w:cs="Times New Roman"/>
          <w:sz w:val="28"/>
          <w:szCs w:val="28"/>
        </w:rPr>
      </w:pPr>
    </w:p>
    <w:p w14:paraId="40B10002">
      <w:pPr>
        <w:rPr>
          <w:rFonts w:ascii="Times New Roman" w:hAnsi="Times New Roman" w:eastAsia="Times-Bold" w:cs="Times New Roman"/>
          <w:color w:val="000000"/>
          <w:sz w:val="28"/>
          <w:szCs w:val="28"/>
        </w:rPr>
      </w:pPr>
      <w:r>
        <w:rPr>
          <w:rFonts w:ascii="Times New Roman" w:hAnsi="Times New Roman" w:eastAsia="Times-Bold" w:cs="Times New Roman"/>
          <w:color w:val="000000"/>
          <w:sz w:val="28"/>
          <w:szCs w:val="28"/>
        </w:rPr>
        <w:br w:type="page"/>
      </w:r>
    </w:p>
    <w:p w14:paraId="615A16FB">
      <w:pPr>
        <w:spacing w:after="0" w:line="240" w:lineRule="auto"/>
        <w:jc w:val="right"/>
        <w:rPr>
          <w:rFonts w:ascii="Times New Roman" w:hAnsi="Times New Roman" w:eastAsia="Times-Bold" w:cs="Times New Roman"/>
          <w:color w:val="000000"/>
          <w:sz w:val="28"/>
          <w:szCs w:val="28"/>
        </w:rPr>
      </w:pPr>
      <w:r>
        <w:rPr>
          <w:rFonts w:ascii="Times New Roman" w:hAnsi="Times New Roman" w:eastAsia="Times-Bold" w:cs="Times New Roman"/>
          <w:color w:val="000000"/>
          <w:sz w:val="28"/>
          <w:szCs w:val="28"/>
        </w:rPr>
        <w:t>ПРИЛОЖЕНИЕ Б</w:t>
      </w:r>
    </w:p>
    <w:p w14:paraId="5830753F">
      <w:pPr>
        <w:spacing w:after="0" w:line="240" w:lineRule="auto"/>
        <w:jc w:val="right"/>
        <w:rPr>
          <w:rFonts w:ascii="Times New Roman" w:hAnsi="Times New Roman" w:eastAsia="Times-Bold" w:cs="Times New Roman"/>
          <w:b/>
          <w:bCs/>
          <w:color w:val="000000"/>
          <w:sz w:val="28"/>
          <w:szCs w:val="28"/>
        </w:rPr>
      </w:pPr>
    </w:p>
    <w:p w14:paraId="560ED876">
      <w:pPr>
        <w:spacing w:after="0" w:line="240" w:lineRule="auto"/>
        <w:jc w:val="center"/>
        <w:rPr>
          <w:rFonts w:ascii="Times New Roman" w:hAnsi="Times New Roman" w:eastAsia="Times-Bold" w:cs="Times New Roman"/>
          <w:b/>
          <w:bCs/>
          <w:color w:val="000000"/>
          <w:sz w:val="24"/>
          <w:szCs w:val="24"/>
        </w:rPr>
      </w:pPr>
      <w:r>
        <w:rPr>
          <w:rFonts w:ascii="Times New Roman" w:hAnsi="Times New Roman" w:cs="Times New Roman"/>
          <w:sz w:val="24"/>
          <w:szCs w:val="24"/>
        </w:rPr>
        <w:t>Выборка данных для анализа PLAS-SEM (полный массив данных предоставляется по запросу).</w:t>
      </w:r>
    </w:p>
    <w:tbl>
      <w:tblPr>
        <w:tblStyle w:val="7"/>
        <w:tblW w:w="10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80" w:type="dxa"/>
          <w:bottom w:w="80" w:type="dxa"/>
          <w:right w:w="80" w:type="dxa"/>
        </w:tblCellMar>
      </w:tblPr>
      <w:tblGrid>
        <w:gridCol w:w="652"/>
        <w:gridCol w:w="706"/>
        <w:gridCol w:w="595"/>
        <w:gridCol w:w="698"/>
        <w:gridCol w:w="697"/>
        <w:gridCol w:w="838"/>
        <w:gridCol w:w="698"/>
        <w:gridCol w:w="697"/>
        <w:gridCol w:w="558"/>
        <w:gridCol w:w="698"/>
        <w:gridCol w:w="539"/>
        <w:gridCol w:w="717"/>
        <w:gridCol w:w="750"/>
        <w:gridCol w:w="837"/>
        <w:gridCol w:w="785"/>
      </w:tblGrid>
      <w:tr w14:paraId="400C3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4" w:hRule="exact"/>
          <w:jc w:val="center"/>
        </w:trPr>
        <w:tc>
          <w:tcPr>
            <w:tcW w:w="652" w:type="dxa"/>
            <w:vAlign w:val="center"/>
          </w:tcPr>
          <w:p w14:paraId="12931A43">
            <w:pPr>
              <w:pStyle w:val="71"/>
              <w:widowControl/>
              <w:jc w:val="both"/>
              <w:rPr>
                <w:rFonts w:ascii="Times New Roman" w:hAnsi="Times New Roman" w:eastAsia="Times-Bold" w:cs="Times New Roman"/>
                <w:color w:val="000000"/>
                <w:sz w:val="20"/>
                <w:szCs w:val="20"/>
                <w:shd w:val="clear" w:color="auto" w:fill="FFFF00"/>
                <w:lang w:val="ru-RU"/>
              </w:rPr>
            </w:pPr>
            <w:r>
              <w:rPr>
                <w:rFonts w:ascii="Times New Roman" w:hAnsi="Times New Roman" w:eastAsia="Times-Bold" w:cs="Times New Roman"/>
                <w:color w:val="000000"/>
                <w:sz w:val="20"/>
                <w:szCs w:val="20"/>
                <w:shd w:val="clear" w:color="auto" w:fill="FFFF00"/>
                <w:lang w:val="ru-RU"/>
              </w:rPr>
              <w:t>Year</w:t>
            </w:r>
          </w:p>
        </w:tc>
        <w:tc>
          <w:tcPr>
            <w:tcW w:w="706" w:type="dxa"/>
            <w:vAlign w:val="center"/>
          </w:tcPr>
          <w:p w14:paraId="30632554">
            <w:pPr>
              <w:pStyle w:val="71"/>
              <w:widowControl/>
              <w:jc w:val="both"/>
              <w:rPr>
                <w:rFonts w:ascii="Times New Roman" w:hAnsi="Times New Roman" w:eastAsia="Times-Bold" w:cs="Times New Roman"/>
                <w:color w:val="000000"/>
                <w:sz w:val="20"/>
                <w:szCs w:val="20"/>
                <w:lang w:val="ru-RU"/>
              </w:rPr>
            </w:pPr>
            <w:r>
              <w:rPr>
                <w:rFonts w:ascii="Times New Roman" w:hAnsi="Times New Roman" w:eastAsia="Times-Bold" w:cs="Times New Roman"/>
                <w:color w:val="000000"/>
                <w:sz w:val="20"/>
                <w:szCs w:val="20"/>
                <w:lang w:val="ru-RU"/>
              </w:rPr>
              <w:t>GDP (USD Billion)</w:t>
            </w:r>
          </w:p>
        </w:tc>
        <w:tc>
          <w:tcPr>
            <w:tcW w:w="595" w:type="dxa"/>
            <w:vAlign w:val="center"/>
          </w:tcPr>
          <w:p w14:paraId="669BC8B4">
            <w:pPr>
              <w:pStyle w:val="71"/>
              <w:widowControl/>
              <w:jc w:val="both"/>
              <w:rPr>
                <w:rFonts w:ascii="Times New Roman" w:hAnsi="Times New Roman" w:eastAsia="Times-Bold" w:cs="Times New Roman"/>
                <w:color w:val="000000"/>
                <w:sz w:val="20"/>
                <w:szCs w:val="20"/>
                <w:lang w:val="ru-RU"/>
              </w:rPr>
            </w:pPr>
            <w:r>
              <w:rPr>
                <w:rFonts w:ascii="Times New Roman" w:hAnsi="Times New Roman" w:eastAsia="Times-Bold" w:cs="Times New Roman"/>
                <w:color w:val="000000"/>
                <w:sz w:val="20"/>
                <w:szCs w:val="20"/>
                <w:lang w:val="ru-RU"/>
              </w:rPr>
              <w:t>GDP Growth (%)</w:t>
            </w:r>
          </w:p>
        </w:tc>
        <w:tc>
          <w:tcPr>
            <w:tcW w:w="698" w:type="dxa"/>
            <w:vAlign w:val="center"/>
          </w:tcPr>
          <w:p w14:paraId="016F7C48">
            <w:pPr>
              <w:pStyle w:val="71"/>
              <w:widowControl/>
              <w:jc w:val="both"/>
              <w:rPr>
                <w:rFonts w:ascii="Times New Roman" w:hAnsi="Times New Roman" w:eastAsia="Times-Bold" w:cs="Times New Roman"/>
                <w:color w:val="000000"/>
                <w:sz w:val="20"/>
                <w:szCs w:val="20"/>
                <w:lang w:val="ru-RU"/>
              </w:rPr>
            </w:pPr>
            <w:r>
              <w:rPr>
                <w:rFonts w:ascii="Times New Roman" w:hAnsi="Times New Roman" w:eastAsia="Times-Bold" w:cs="Times New Roman"/>
                <w:color w:val="000000"/>
                <w:sz w:val="20"/>
                <w:szCs w:val="20"/>
                <w:lang w:val="ru-RU"/>
              </w:rPr>
              <w:t>Inflation Rate (%)</w:t>
            </w:r>
          </w:p>
        </w:tc>
        <w:tc>
          <w:tcPr>
            <w:tcW w:w="697" w:type="dxa"/>
            <w:vAlign w:val="center"/>
          </w:tcPr>
          <w:p w14:paraId="2CFF964C">
            <w:pPr>
              <w:pStyle w:val="71"/>
              <w:widowControl/>
              <w:jc w:val="both"/>
              <w:rPr>
                <w:rFonts w:ascii="Times New Roman" w:hAnsi="Times New Roman" w:eastAsia="Times-Bold" w:cs="Times New Roman"/>
                <w:color w:val="000000"/>
                <w:sz w:val="20"/>
                <w:szCs w:val="20"/>
                <w:lang w:val="ru-RU"/>
              </w:rPr>
            </w:pPr>
            <w:r>
              <w:rPr>
                <w:rFonts w:ascii="Times New Roman" w:hAnsi="Times New Roman" w:eastAsia="Times-Bold" w:cs="Times New Roman"/>
                <w:color w:val="000000"/>
                <w:sz w:val="20"/>
                <w:szCs w:val="20"/>
                <w:lang w:val="ru-RU"/>
              </w:rPr>
              <w:t>Unemployment Rate (%)</w:t>
            </w:r>
          </w:p>
        </w:tc>
        <w:tc>
          <w:tcPr>
            <w:tcW w:w="838" w:type="dxa"/>
            <w:vAlign w:val="center"/>
          </w:tcPr>
          <w:p w14:paraId="6435A7AB">
            <w:pPr>
              <w:pStyle w:val="71"/>
              <w:widowControl/>
              <w:jc w:val="both"/>
              <w:rPr>
                <w:rFonts w:ascii="Times New Roman" w:hAnsi="Times New Roman" w:eastAsia="Times-Bold" w:cs="Times New Roman"/>
                <w:color w:val="000000"/>
                <w:sz w:val="20"/>
                <w:szCs w:val="20"/>
                <w:lang w:val="ru-RU"/>
              </w:rPr>
            </w:pPr>
            <w:r>
              <w:rPr>
                <w:rFonts w:ascii="Times New Roman" w:hAnsi="Times New Roman" w:eastAsia="Times-Bold" w:cs="Times New Roman"/>
                <w:color w:val="000000"/>
                <w:sz w:val="20"/>
                <w:szCs w:val="20"/>
                <w:lang w:val="ru-RU"/>
              </w:rPr>
              <w:t>Exchange Rate (KZT/USD)</w:t>
            </w:r>
          </w:p>
        </w:tc>
        <w:tc>
          <w:tcPr>
            <w:tcW w:w="698" w:type="dxa"/>
            <w:vAlign w:val="center"/>
          </w:tcPr>
          <w:p w14:paraId="796E2A17">
            <w:pPr>
              <w:pStyle w:val="71"/>
              <w:widowControl/>
              <w:jc w:val="both"/>
              <w:rPr>
                <w:rFonts w:ascii="Times New Roman" w:hAnsi="Times New Roman" w:eastAsia="Times-Bold" w:cs="Times New Roman"/>
                <w:color w:val="000000"/>
                <w:sz w:val="20"/>
                <w:szCs w:val="20"/>
              </w:rPr>
            </w:pPr>
            <w:r>
              <w:rPr>
                <w:rFonts w:ascii="Times New Roman" w:hAnsi="Times New Roman" w:eastAsia="Times-Bold" w:cs="Times New Roman"/>
                <w:color w:val="000000"/>
                <w:sz w:val="20"/>
                <w:szCs w:val="20"/>
              </w:rPr>
              <w:t>Current Account Balance (% of GDP)</w:t>
            </w:r>
          </w:p>
        </w:tc>
        <w:tc>
          <w:tcPr>
            <w:tcW w:w="697" w:type="dxa"/>
            <w:vAlign w:val="center"/>
          </w:tcPr>
          <w:p w14:paraId="1251AA25">
            <w:pPr>
              <w:pStyle w:val="71"/>
              <w:widowControl/>
              <w:jc w:val="both"/>
              <w:rPr>
                <w:rFonts w:ascii="Times New Roman" w:hAnsi="Times New Roman" w:eastAsia="Times-Bold" w:cs="Times New Roman"/>
                <w:color w:val="000000"/>
                <w:sz w:val="20"/>
                <w:szCs w:val="20"/>
                <w:lang w:val="ru-RU"/>
              </w:rPr>
            </w:pPr>
            <w:r>
              <w:rPr>
                <w:rFonts w:ascii="Times New Roman" w:hAnsi="Times New Roman" w:eastAsia="Times-Bold" w:cs="Times New Roman"/>
                <w:color w:val="000000"/>
                <w:sz w:val="20"/>
                <w:szCs w:val="20"/>
                <w:lang w:val="ru-RU"/>
              </w:rPr>
              <w:t>Public Debt (% of GDP)</w:t>
            </w:r>
          </w:p>
        </w:tc>
        <w:tc>
          <w:tcPr>
            <w:tcW w:w="558" w:type="dxa"/>
            <w:vAlign w:val="center"/>
          </w:tcPr>
          <w:p w14:paraId="61F91598">
            <w:pPr>
              <w:pStyle w:val="71"/>
              <w:widowControl/>
              <w:jc w:val="both"/>
              <w:rPr>
                <w:rFonts w:ascii="Times New Roman" w:hAnsi="Times New Roman" w:eastAsia="Times-Bold" w:cs="Times New Roman"/>
                <w:color w:val="000000"/>
                <w:sz w:val="20"/>
                <w:szCs w:val="20"/>
                <w:lang w:val="ru-RU"/>
              </w:rPr>
            </w:pPr>
            <w:r>
              <w:rPr>
                <w:rFonts w:ascii="Times New Roman" w:hAnsi="Times New Roman" w:eastAsia="Times-Bold" w:cs="Times New Roman"/>
                <w:color w:val="000000"/>
                <w:sz w:val="20"/>
                <w:szCs w:val="20"/>
                <w:lang w:val="ru-RU"/>
              </w:rPr>
              <w:t>Quintile Coefficient</w:t>
            </w:r>
          </w:p>
        </w:tc>
        <w:tc>
          <w:tcPr>
            <w:tcW w:w="698" w:type="dxa"/>
            <w:vAlign w:val="center"/>
          </w:tcPr>
          <w:p w14:paraId="2BBE655A">
            <w:pPr>
              <w:pStyle w:val="71"/>
              <w:widowControl/>
              <w:jc w:val="both"/>
              <w:rPr>
                <w:rFonts w:ascii="Times New Roman" w:hAnsi="Times New Roman" w:eastAsia="Times-Bold" w:cs="Times New Roman"/>
                <w:color w:val="000000"/>
                <w:sz w:val="20"/>
                <w:szCs w:val="20"/>
                <w:lang w:val="ru-RU"/>
              </w:rPr>
            </w:pPr>
            <w:r>
              <w:rPr>
                <w:rFonts w:ascii="Times New Roman" w:hAnsi="Times New Roman" w:eastAsia="Times-Bold" w:cs="Times New Roman"/>
                <w:color w:val="000000"/>
                <w:sz w:val="20"/>
                <w:szCs w:val="20"/>
                <w:lang w:val="ru-RU"/>
              </w:rPr>
              <w:t>Gini Index</w:t>
            </w:r>
          </w:p>
        </w:tc>
        <w:tc>
          <w:tcPr>
            <w:tcW w:w="539" w:type="dxa"/>
            <w:vAlign w:val="center"/>
          </w:tcPr>
          <w:p w14:paraId="4242EE35">
            <w:pPr>
              <w:pStyle w:val="71"/>
              <w:widowControl/>
              <w:jc w:val="both"/>
              <w:rPr>
                <w:rFonts w:ascii="Times New Roman" w:hAnsi="Times New Roman" w:eastAsia="Times-Bold" w:cs="Times New Roman"/>
                <w:color w:val="000000"/>
                <w:sz w:val="20"/>
                <w:szCs w:val="20"/>
                <w:lang w:val="ru-RU"/>
              </w:rPr>
            </w:pPr>
            <w:r>
              <w:rPr>
                <w:rFonts w:ascii="Times New Roman" w:hAnsi="Times New Roman" w:eastAsia="Times-Bold" w:cs="Times New Roman"/>
                <w:color w:val="000000"/>
                <w:sz w:val="20"/>
                <w:szCs w:val="20"/>
                <w:lang w:val="ru-RU"/>
              </w:rPr>
              <w:t>Total Credits (USD Billion)</w:t>
            </w:r>
          </w:p>
        </w:tc>
        <w:tc>
          <w:tcPr>
            <w:tcW w:w="717" w:type="dxa"/>
            <w:vAlign w:val="center"/>
          </w:tcPr>
          <w:p w14:paraId="1CB95028">
            <w:pPr>
              <w:pStyle w:val="71"/>
              <w:widowControl/>
              <w:jc w:val="both"/>
              <w:rPr>
                <w:rFonts w:ascii="Times New Roman" w:hAnsi="Times New Roman" w:eastAsia="Times-Bold" w:cs="Times New Roman"/>
                <w:color w:val="000000"/>
                <w:sz w:val="20"/>
                <w:szCs w:val="20"/>
                <w:lang w:val="ru-RU"/>
              </w:rPr>
            </w:pPr>
            <w:r>
              <w:rPr>
                <w:rFonts w:ascii="Times New Roman" w:hAnsi="Times New Roman" w:eastAsia="Times-Bold" w:cs="Times New Roman"/>
                <w:color w:val="000000"/>
                <w:sz w:val="20"/>
                <w:szCs w:val="20"/>
                <w:lang w:val="ru-RU"/>
              </w:rPr>
              <w:t>Household Deposits (USD Billion)</w:t>
            </w:r>
          </w:p>
        </w:tc>
        <w:tc>
          <w:tcPr>
            <w:tcW w:w="750" w:type="dxa"/>
            <w:vAlign w:val="center"/>
          </w:tcPr>
          <w:p w14:paraId="0C44CD66">
            <w:pPr>
              <w:pStyle w:val="71"/>
              <w:widowControl/>
              <w:jc w:val="both"/>
              <w:rPr>
                <w:rFonts w:ascii="Times New Roman" w:hAnsi="Times New Roman" w:eastAsia="Times-Bold" w:cs="Times New Roman"/>
                <w:color w:val="000000"/>
                <w:sz w:val="20"/>
                <w:szCs w:val="20"/>
                <w:lang w:val="ru-RU"/>
              </w:rPr>
            </w:pPr>
            <w:r>
              <w:rPr>
                <w:rFonts w:ascii="Times New Roman" w:hAnsi="Times New Roman" w:eastAsia="Times-Bold" w:cs="Times New Roman"/>
                <w:color w:val="000000"/>
                <w:sz w:val="20"/>
                <w:szCs w:val="20"/>
                <w:lang w:val="ru-RU"/>
              </w:rPr>
              <w:t>Total Deposits (USD Billion)</w:t>
            </w:r>
          </w:p>
        </w:tc>
        <w:tc>
          <w:tcPr>
            <w:tcW w:w="837" w:type="dxa"/>
            <w:vAlign w:val="center"/>
          </w:tcPr>
          <w:p w14:paraId="468884BE">
            <w:pPr>
              <w:pStyle w:val="71"/>
              <w:widowControl/>
              <w:jc w:val="both"/>
              <w:rPr>
                <w:rFonts w:ascii="Times New Roman" w:hAnsi="Times New Roman" w:eastAsia="Times-Bold" w:cs="Times New Roman"/>
                <w:color w:val="000000"/>
                <w:sz w:val="20"/>
                <w:szCs w:val="20"/>
              </w:rPr>
            </w:pPr>
            <w:r>
              <w:rPr>
                <w:rFonts w:ascii="Times New Roman" w:hAnsi="Times New Roman" w:eastAsia="Times-Bold" w:cs="Times New Roman"/>
                <w:color w:val="000000"/>
                <w:sz w:val="20"/>
                <w:szCs w:val="20"/>
              </w:rPr>
              <w:t>Bad Credits—Private Individuals (USD Billion)</w:t>
            </w:r>
          </w:p>
        </w:tc>
        <w:tc>
          <w:tcPr>
            <w:tcW w:w="785" w:type="dxa"/>
            <w:vAlign w:val="center"/>
          </w:tcPr>
          <w:p w14:paraId="7E5939D2">
            <w:pPr>
              <w:pStyle w:val="71"/>
              <w:widowControl/>
              <w:jc w:val="both"/>
              <w:rPr>
                <w:rFonts w:ascii="Times New Roman" w:hAnsi="Times New Roman" w:eastAsia="Times-Bold" w:cs="Times New Roman"/>
                <w:color w:val="000000"/>
                <w:sz w:val="20"/>
                <w:szCs w:val="20"/>
              </w:rPr>
            </w:pPr>
            <w:r>
              <w:rPr>
                <w:rFonts w:ascii="Times New Roman" w:hAnsi="Times New Roman" w:eastAsia="Times-Bold" w:cs="Times New Roman"/>
                <w:color w:val="000000"/>
                <w:sz w:val="20"/>
                <w:szCs w:val="20"/>
              </w:rPr>
              <w:t>Bad Credits—Legal Companies (USD Billion)</w:t>
            </w:r>
          </w:p>
        </w:tc>
      </w:tr>
      <w:tr w14:paraId="1F6B9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20" w:hRule="exact"/>
          <w:jc w:val="center"/>
        </w:trPr>
        <w:tc>
          <w:tcPr>
            <w:tcW w:w="652" w:type="dxa"/>
            <w:vAlign w:val="center"/>
          </w:tcPr>
          <w:p w14:paraId="2F45606B">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2004</w:t>
            </w:r>
          </w:p>
        </w:tc>
        <w:tc>
          <w:tcPr>
            <w:tcW w:w="706" w:type="dxa"/>
            <w:vAlign w:val="center"/>
          </w:tcPr>
          <w:p w14:paraId="1390C2A3">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26.3</w:t>
            </w:r>
          </w:p>
        </w:tc>
        <w:tc>
          <w:tcPr>
            <w:tcW w:w="595" w:type="dxa"/>
            <w:vAlign w:val="center"/>
          </w:tcPr>
          <w:p w14:paraId="3387B1EB">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9.6</w:t>
            </w:r>
          </w:p>
        </w:tc>
        <w:tc>
          <w:tcPr>
            <w:tcW w:w="698" w:type="dxa"/>
            <w:vAlign w:val="center"/>
          </w:tcPr>
          <w:p w14:paraId="77C161E1">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6.8</w:t>
            </w:r>
          </w:p>
        </w:tc>
        <w:tc>
          <w:tcPr>
            <w:tcW w:w="697" w:type="dxa"/>
            <w:vAlign w:val="center"/>
          </w:tcPr>
          <w:p w14:paraId="50D4E8F4">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8.4</w:t>
            </w:r>
          </w:p>
        </w:tc>
        <w:tc>
          <w:tcPr>
            <w:tcW w:w="838" w:type="dxa"/>
            <w:vAlign w:val="center"/>
          </w:tcPr>
          <w:p w14:paraId="12F9A7FE">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136</w:t>
            </w:r>
          </w:p>
        </w:tc>
        <w:tc>
          <w:tcPr>
            <w:tcW w:w="698" w:type="dxa"/>
            <w:vAlign w:val="center"/>
          </w:tcPr>
          <w:p w14:paraId="0EAE7C77">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2.2</w:t>
            </w:r>
          </w:p>
        </w:tc>
        <w:tc>
          <w:tcPr>
            <w:tcW w:w="697" w:type="dxa"/>
            <w:vAlign w:val="center"/>
          </w:tcPr>
          <w:p w14:paraId="56E995C1">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12.3</w:t>
            </w:r>
          </w:p>
        </w:tc>
        <w:tc>
          <w:tcPr>
            <w:tcW w:w="558" w:type="dxa"/>
            <w:vAlign w:val="center"/>
          </w:tcPr>
          <w:p w14:paraId="5A22F39D">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4.2</w:t>
            </w:r>
          </w:p>
        </w:tc>
        <w:tc>
          <w:tcPr>
            <w:tcW w:w="698" w:type="dxa"/>
            <w:vAlign w:val="center"/>
          </w:tcPr>
          <w:p w14:paraId="09E8BA76">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32.7</w:t>
            </w:r>
          </w:p>
        </w:tc>
        <w:tc>
          <w:tcPr>
            <w:tcW w:w="539" w:type="dxa"/>
            <w:vAlign w:val="center"/>
          </w:tcPr>
          <w:p w14:paraId="4045EDF9">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0.8</w:t>
            </w:r>
          </w:p>
        </w:tc>
        <w:tc>
          <w:tcPr>
            <w:tcW w:w="717" w:type="dxa"/>
            <w:vAlign w:val="center"/>
          </w:tcPr>
          <w:p w14:paraId="55C750A2">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5</w:t>
            </w:r>
          </w:p>
        </w:tc>
        <w:tc>
          <w:tcPr>
            <w:tcW w:w="750" w:type="dxa"/>
            <w:vAlign w:val="center"/>
          </w:tcPr>
          <w:p w14:paraId="5A6D3543">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w:t>
            </w:r>
          </w:p>
        </w:tc>
        <w:tc>
          <w:tcPr>
            <w:tcW w:w="837" w:type="dxa"/>
            <w:vAlign w:val="center"/>
          </w:tcPr>
          <w:p w14:paraId="2AA12016">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6</w:t>
            </w:r>
          </w:p>
        </w:tc>
        <w:tc>
          <w:tcPr>
            <w:tcW w:w="785" w:type="dxa"/>
            <w:vAlign w:val="center"/>
          </w:tcPr>
          <w:p w14:paraId="0258B02E">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0.2</w:t>
            </w:r>
          </w:p>
        </w:tc>
      </w:tr>
      <w:tr w14:paraId="60F0F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20" w:hRule="exact"/>
          <w:jc w:val="center"/>
        </w:trPr>
        <w:tc>
          <w:tcPr>
            <w:tcW w:w="652" w:type="dxa"/>
            <w:vAlign w:val="center"/>
          </w:tcPr>
          <w:p w14:paraId="7D0397B6">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2005</w:t>
            </w:r>
          </w:p>
        </w:tc>
        <w:tc>
          <w:tcPr>
            <w:tcW w:w="706" w:type="dxa"/>
            <w:vAlign w:val="center"/>
          </w:tcPr>
          <w:p w14:paraId="0DE00D2B">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32.9</w:t>
            </w:r>
          </w:p>
        </w:tc>
        <w:tc>
          <w:tcPr>
            <w:tcW w:w="595" w:type="dxa"/>
            <w:vAlign w:val="center"/>
          </w:tcPr>
          <w:p w14:paraId="6765DB66">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9.7</w:t>
            </w:r>
          </w:p>
        </w:tc>
        <w:tc>
          <w:tcPr>
            <w:tcW w:w="698" w:type="dxa"/>
            <w:vAlign w:val="center"/>
          </w:tcPr>
          <w:p w14:paraId="499EBB69">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7.5</w:t>
            </w:r>
          </w:p>
        </w:tc>
        <w:tc>
          <w:tcPr>
            <w:tcW w:w="697" w:type="dxa"/>
            <w:vAlign w:val="center"/>
          </w:tcPr>
          <w:p w14:paraId="69887F70">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8.1</w:t>
            </w:r>
          </w:p>
        </w:tc>
        <w:tc>
          <w:tcPr>
            <w:tcW w:w="838" w:type="dxa"/>
            <w:vAlign w:val="center"/>
          </w:tcPr>
          <w:p w14:paraId="348DD2CA">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133.8</w:t>
            </w:r>
          </w:p>
        </w:tc>
        <w:tc>
          <w:tcPr>
            <w:tcW w:w="698" w:type="dxa"/>
            <w:vAlign w:val="center"/>
          </w:tcPr>
          <w:p w14:paraId="3FDC66D3">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2.1</w:t>
            </w:r>
          </w:p>
        </w:tc>
        <w:tc>
          <w:tcPr>
            <w:tcW w:w="697" w:type="dxa"/>
            <w:vAlign w:val="center"/>
          </w:tcPr>
          <w:p w14:paraId="05618585">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11.9</w:t>
            </w:r>
          </w:p>
        </w:tc>
        <w:tc>
          <w:tcPr>
            <w:tcW w:w="558" w:type="dxa"/>
            <w:vAlign w:val="center"/>
          </w:tcPr>
          <w:p w14:paraId="094C0321">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4.1</w:t>
            </w:r>
          </w:p>
        </w:tc>
        <w:tc>
          <w:tcPr>
            <w:tcW w:w="698" w:type="dxa"/>
            <w:vAlign w:val="center"/>
          </w:tcPr>
          <w:p w14:paraId="4420CB3A">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32.5</w:t>
            </w:r>
          </w:p>
        </w:tc>
        <w:tc>
          <w:tcPr>
            <w:tcW w:w="539" w:type="dxa"/>
            <w:vAlign w:val="center"/>
          </w:tcPr>
          <w:p w14:paraId="3921396D">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0.9</w:t>
            </w:r>
          </w:p>
        </w:tc>
        <w:tc>
          <w:tcPr>
            <w:tcW w:w="717" w:type="dxa"/>
            <w:vAlign w:val="center"/>
          </w:tcPr>
          <w:p w14:paraId="4AA4DDC5">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6.2</w:t>
            </w:r>
          </w:p>
        </w:tc>
        <w:tc>
          <w:tcPr>
            <w:tcW w:w="750" w:type="dxa"/>
            <w:vAlign w:val="center"/>
          </w:tcPr>
          <w:p w14:paraId="31DC99DF">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2.5</w:t>
            </w:r>
          </w:p>
        </w:tc>
        <w:tc>
          <w:tcPr>
            <w:tcW w:w="837" w:type="dxa"/>
            <w:vAlign w:val="center"/>
          </w:tcPr>
          <w:p w14:paraId="7707C88A">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7.2</w:t>
            </w:r>
          </w:p>
        </w:tc>
        <w:tc>
          <w:tcPr>
            <w:tcW w:w="785" w:type="dxa"/>
            <w:vAlign w:val="center"/>
          </w:tcPr>
          <w:p w14:paraId="00A54FBF">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0.3</w:t>
            </w:r>
          </w:p>
        </w:tc>
      </w:tr>
      <w:tr w14:paraId="4DFFC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20" w:hRule="exact"/>
          <w:jc w:val="center"/>
        </w:trPr>
        <w:tc>
          <w:tcPr>
            <w:tcW w:w="652" w:type="dxa"/>
            <w:vAlign w:val="center"/>
          </w:tcPr>
          <w:p w14:paraId="185B4DE5">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2006</w:t>
            </w:r>
          </w:p>
        </w:tc>
        <w:tc>
          <w:tcPr>
            <w:tcW w:w="706" w:type="dxa"/>
            <w:vAlign w:val="center"/>
          </w:tcPr>
          <w:p w14:paraId="01C7FECC">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44.3</w:t>
            </w:r>
          </w:p>
        </w:tc>
        <w:tc>
          <w:tcPr>
            <w:tcW w:w="595" w:type="dxa"/>
            <w:vAlign w:val="center"/>
          </w:tcPr>
          <w:p w14:paraId="708678DA">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9.6</w:t>
            </w:r>
          </w:p>
        </w:tc>
        <w:tc>
          <w:tcPr>
            <w:tcW w:w="698" w:type="dxa"/>
            <w:vAlign w:val="center"/>
          </w:tcPr>
          <w:p w14:paraId="71D72B7F">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8.6</w:t>
            </w:r>
          </w:p>
        </w:tc>
        <w:tc>
          <w:tcPr>
            <w:tcW w:w="697" w:type="dxa"/>
            <w:vAlign w:val="center"/>
          </w:tcPr>
          <w:p w14:paraId="66AC920F">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7.8</w:t>
            </w:r>
          </w:p>
        </w:tc>
        <w:tc>
          <w:tcPr>
            <w:tcW w:w="838" w:type="dxa"/>
            <w:vAlign w:val="center"/>
          </w:tcPr>
          <w:p w14:paraId="056C2B16">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126.1</w:t>
            </w:r>
          </w:p>
        </w:tc>
        <w:tc>
          <w:tcPr>
            <w:tcW w:w="698" w:type="dxa"/>
            <w:vAlign w:val="center"/>
          </w:tcPr>
          <w:p w14:paraId="21BD921B">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2.8</w:t>
            </w:r>
          </w:p>
        </w:tc>
        <w:tc>
          <w:tcPr>
            <w:tcW w:w="697" w:type="dxa"/>
            <w:vAlign w:val="center"/>
          </w:tcPr>
          <w:p w14:paraId="009AE89C">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10.5</w:t>
            </w:r>
          </w:p>
        </w:tc>
        <w:tc>
          <w:tcPr>
            <w:tcW w:w="558" w:type="dxa"/>
            <w:vAlign w:val="center"/>
          </w:tcPr>
          <w:p w14:paraId="51DA5122">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w:t>
            </w:r>
          </w:p>
        </w:tc>
        <w:tc>
          <w:tcPr>
            <w:tcW w:w="698" w:type="dxa"/>
            <w:vAlign w:val="center"/>
          </w:tcPr>
          <w:p w14:paraId="3F67627D">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32.3</w:t>
            </w:r>
          </w:p>
        </w:tc>
        <w:tc>
          <w:tcPr>
            <w:tcW w:w="539" w:type="dxa"/>
            <w:vAlign w:val="center"/>
          </w:tcPr>
          <w:p w14:paraId="7C3A323E">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w:t>
            </w:r>
          </w:p>
        </w:tc>
        <w:tc>
          <w:tcPr>
            <w:tcW w:w="717" w:type="dxa"/>
            <w:vAlign w:val="center"/>
          </w:tcPr>
          <w:p w14:paraId="5FA676BF">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7.8</w:t>
            </w:r>
          </w:p>
        </w:tc>
        <w:tc>
          <w:tcPr>
            <w:tcW w:w="750" w:type="dxa"/>
            <w:vAlign w:val="center"/>
          </w:tcPr>
          <w:p w14:paraId="102671E7">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3.1</w:t>
            </w:r>
          </w:p>
        </w:tc>
        <w:tc>
          <w:tcPr>
            <w:tcW w:w="837" w:type="dxa"/>
            <w:vAlign w:val="center"/>
          </w:tcPr>
          <w:p w14:paraId="2DEC6FB4">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8.5</w:t>
            </w:r>
          </w:p>
        </w:tc>
        <w:tc>
          <w:tcPr>
            <w:tcW w:w="785" w:type="dxa"/>
            <w:vAlign w:val="center"/>
          </w:tcPr>
          <w:p w14:paraId="62861C7D">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0.4</w:t>
            </w:r>
          </w:p>
        </w:tc>
      </w:tr>
      <w:tr w14:paraId="22E9B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20" w:hRule="exact"/>
          <w:jc w:val="center"/>
        </w:trPr>
        <w:tc>
          <w:tcPr>
            <w:tcW w:w="652" w:type="dxa"/>
            <w:vAlign w:val="center"/>
          </w:tcPr>
          <w:p w14:paraId="68A55A69">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2007</w:t>
            </w:r>
          </w:p>
        </w:tc>
        <w:tc>
          <w:tcPr>
            <w:tcW w:w="706" w:type="dxa"/>
            <w:vAlign w:val="center"/>
          </w:tcPr>
          <w:p w14:paraId="2A8A5865">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58.4</w:t>
            </w:r>
          </w:p>
        </w:tc>
        <w:tc>
          <w:tcPr>
            <w:tcW w:w="595" w:type="dxa"/>
            <w:vAlign w:val="center"/>
          </w:tcPr>
          <w:p w14:paraId="186DE3E6">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8.5</w:t>
            </w:r>
          </w:p>
        </w:tc>
        <w:tc>
          <w:tcPr>
            <w:tcW w:w="698" w:type="dxa"/>
            <w:vAlign w:val="center"/>
          </w:tcPr>
          <w:p w14:paraId="4ACCB3CA">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10.8</w:t>
            </w:r>
          </w:p>
        </w:tc>
        <w:tc>
          <w:tcPr>
            <w:tcW w:w="697" w:type="dxa"/>
            <w:vAlign w:val="center"/>
          </w:tcPr>
          <w:p w14:paraId="2A1A1FEE">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7.3</w:t>
            </w:r>
          </w:p>
        </w:tc>
        <w:tc>
          <w:tcPr>
            <w:tcW w:w="838" w:type="dxa"/>
            <w:vAlign w:val="center"/>
          </w:tcPr>
          <w:p w14:paraId="4747B53E">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122.5</w:t>
            </w:r>
          </w:p>
        </w:tc>
        <w:tc>
          <w:tcPr>
            <w:tcW w:w="698" w:type="dxa"/>
            <w:vAlign w:val="center"/>
          </w:tcPr>
          <w:p w14:paraId="2500E5D0">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5.2</w:t>
            </w:r>
          </w:p>
        </w:tc>
        <w:tc>
          <w:tcPr>
            <w:tcW w:w="697" w:type="dxa"/>
            <w:vAlign w:val="center"/>
          </w:tcPr>
          <w:p w14:paraId="2E7D31AF">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8.7</w:t>
            </w:r>
          </w:p>
        </w:tc>
        <w:tc>
          <w:tcPr>
            <w:tcW w:w="558" w:type="dxa"/>
            <w:vAlign w:val="center"/>
          </w:tcPr>
          <w:p w14:paraId="13E7C73E">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3.9</w:t>
            </w:r>
          </w:p>
        </w:tc>
        <w:tc>
          <w:tcPr>
            <w:tcW w:w="698" w:type="dxa"/>
            <w:vAlign w:val="center"/>
          </w:tcPr>
          <w:p w14:paraId="3DD33FA2">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32</w:t>
            </w:r>
          </w:p>
        </w:tc>
        <w:tc>
          <w:tcPr>
            <w:tcW w:w="539" w:type="dxa"/>
            <w:vAlign w:val="center"/>
          </w:tcPr>
          <w:p w14:paraId="6C3D06D6">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1.2</w:t>
            </w:r>
          </w:p>
        </w:tc>
        <w:tc>
          <w:tcPr>
            <w:tcW w:w="717" w:type="dxa"/>
            <w:vAlign w:val="center"/>
          </w:tcPr>
          <w:p w14:paraId="7C3C298A">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9.1</w:t>
            </w:r>
          </w:p>
        </w:tc>
        <w:tc>
          <w:tcPr>
            <w:tcW w:w="750" w:type="dxa"/>
            <w:vAlign w:val="center"/>
          </w:tcPr>
          <w:p w14:paraId="2B127F42">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3.8</w:t>
            </w:r>
          </w:p>
        </w:tc>
        <w:tc>
          <w:tcPr>
            <w:tcW w:w="837" w:type="dxa"/>
            <w:vAlign w:val="center"/>
          </w:tcPr>
          <w:p w14:paraId="7FA8BEA5">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10</w:t>
            </w:r>
          </w:p>
        </w:tc>
        <w:tc>
          <w:tcPr>
            <w:tcW w:w="785" w:type="dxa"/>
            <w:vAlign w:val="center"/>
          </w:tcPr>
          <w:p w14:paraId="07A6BE93">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0.5</w:t>
            </w:r>
          </w:p>
        </w:tc>
      </w:tr>
      <w:tr w14:paraId="39BAA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20" w:hRule="exact"/>
          <w:jc w:val="center"/>
        </w:trPr>
        <w:tc>
          <w:tcPr>
            <w:tcW w:w="652" w:type="dxa"/>
            <w:vAlign w:val="center"/>
          </w:tcPr>
          <w:p w14:paraId="7C76CAF5">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2008</w:t>
            </w:r>
          </w:p>
        </w:tc>
        <w:tc>
          <w:tcPr>
            <w:tcW w:w="706" w:type="dxa"/>
            <w:vAlign w:val="center"/>
          </w:tcPr>
          <w:p w14:paraId="745523D8">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70.2</w:t>
            </w:r>
          </w:p>
        </w:tc>
        <w:tc>
          <w:tcPr>
            <w:tcW w:w="595" w:type="dxa"/>
            <w:vAlign w:val="center"/>
          </w:tcPr>
          <w:p w14:paraId="014D05A4">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3.2</w:t>
            </w:r>
          </w:p>
        </w:tc>
        <w:tc>
          <w:tcPr>
            <w:tcW w:w="698" w:type="dxa"/>
            <w:vAlign w:val="center"/>
          </w:tcPr>
          <w:p w14:paraId="02DE14E9">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18.6</w:t>
            </w:r>
          </w:p>
        </w:tc>
        <w:tc>
          <w:tcPr>
            <w:tcW w:w="697" w:type="dxa"/>
            <w:vAlign w:val="center"/>
          </w:tcPr>
          <w:p w14:paraId="1CD4E831">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6.6</w:t>
            </w:r>
          </w:p>
        </w:tc>
        <w:tc>
          <w:tcPr>
            <w:tcW w:w="838" w:type="dxa"/>
            <w:vAlign w:val="center"/>
          </w:tcPr>
          <w:p w14:paraId="2EDC71F5">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120.3</w:t>
            </w:r>
          </w:p>
        </w:tc>
        <w:tc>
          <w:tcPr>
            <w:tcW w:w="698" w:type="dxa"/>
            <w:vAlign w:val="center"/>
          </w:tcPr>
          <w:p w14:paraId="5A0CA080">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3.4</w:t>
            </w:r>
          </w:p>
        </w:tc>
        <w:tc>
          <w:tcPr>
            <w:tcW w:w="697" w:type="dxa"/>
            <w:vAlign w:val="center"/>
          </w:tcPr>
          <w:p w14:paraId="3176448D">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9.1</w:t>
            </w:r>
          </w:p>
        </w:tc>
        <w:tc>
          <w:tcPr>
            <w:tcW w:w="558" w:type="dxa"/>
            <w:vAlign w:val="center"/>
          </w:tcPr>
          <w:p w14:paraId="2130A28D">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3.8</w:t>
            </w:r>
          </w:p>
        </w:tc>
        <w:tc>
          <w:tcPr>
            <w:tcW w:w="698" w:type="dxa"/>
            <w:vAlign w:val="center"/>
          </w:tcPr>
          <w:p w14:paraId="61D8C014">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31.8</w:t>
            </w:r>
          </w:p>
        </w:tc>
        <w:tc>
          <w:tcPr>
            <w:tcW w:w="539" w:type="dxa"/>
            <w:vAlign w:val="center"/>
          </w:tcPr>
          <w:p w14:paraId="534DBCB2">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1.4</w:t>
            </w:r>
          </w:p>
        </w:tc>
        <w:tc>
          <w:tcPr>
            <w:tcW w:w="717" w:type="dxa"/>
            <w:vAlign w:val="center"/>
          </w:tcPr>
          <w:p w14:paraId="684CD50C">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11</w:t>
            </w:r>
          </w:p>
        </w:tc>
        <w:tc>
          <w:tcPr>
            <w:tcW w:w="750" w:type="dxa"/>
            <w:vAlign w:val="center"/>
          </w:tcPr>
          <w:p w14:paraId="66962C23">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4.2</w:t>
            </w:r>
          </w:p>
        </w:tc>
        <w:tc>
          <w:tcPr>
            <w:tcW w:w="837" w:type="dxa"/>
            <w:vAlign w:val="center"/>
          </w:tcPr>
          <w:p w14:paraId="2A282171">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11.5</w:t>
            </w:r>
          </w:p>
        </w:tc>
        <w:tc>
          <w:tcPr>
            <w:tcW w:w="785" w:type="dxa"/>
            <w:vAlign w:val="center"/>
          </w:tcPr>
          <w:p w14:paraId="6097C703">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0.6</w:t>
            </w:r>
          </w:p>
        </w:tc>
      </w:tr>
      <w:tr w14:paraId="2A4F6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20" w:hRule="exact"/>
          <w:jc w:val="center"/>
        </w:trPr>
        <w:tc>
          <w:tcPr>
            <w:tcW w:w="652" w:type="dxa"/>
            <w:vAlign w:val="center"/>
          </w:tcPr>
          <w:p w14:paraId="49547540">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2009</w:t>
            </w:r>
          </w:p>
        </w:tc>
        <w:tc>
          <w:tcPr>
            <w:tcW w:w="706" w:type="dxa"/>
            <w:vAlign w:val="center"/>
          </w:tcPr>
          <w:p w14:paraId="4822EC18">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75.9</w:t>
            </w:r>
          </w:p>
        </w:tc>
        <w:tc>
          <w:tcPr>
            <w:tcW w:w="595" w:type="dxa"/>
            <w:vAlign w:val="center"/>
          </w:tcPr>
          <w:p w14:paraId="7EC8385F">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1.2</w:t>
            </w:r>
          </w:p>
        </w:tc>
        <w:tc>
          <w:tcPr>
            <w:tcW w:w="698" w:type="dxa"/>
            <w:vAlign w:val="center"/>
          </w:tcPr>
          <w:p w14:paraId="622784AD">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7.3</w:t>
            </w:r>
          </w:p>
        </w:tc>
        <w:tc>
          <w:tcPr>
            <w:tcW w:w="697" w:type="dxa"/>
            <w:vAlign w:val="center"/>
          </w:tcPr>
          <w:p w14:paraId="2119DDE8">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6.3</w:t>
            </w:r>
          </w:p>
        </w:tc>
        <w:tc>
          <w:tcPr>
            <w:tcW w:w="838" w:type="dxa"/>
            <w:vAlign w:val="center"/>
          </w:tcPr>
          <w:p w14:paraId="7862C6D3">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147.5</w:t>
            </w:r>
          </w:p>
        </w:tc>
        <w:tc>
          <w:tcPr>
            <w:tcW w:w="698" w:type="dxa"/>
            <w:vAlign w:val="center"/>
          </w:tcPr>
          <w:p w14:paraId="007279AD">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−3.5</w:t>
            </w:r>
          </w:p>
        </w:tc>
        <w:tc>
          <w:tcPr>
            <w:tcW w:w="697" w:type="dxa"/>
            <w:vAlign w:val="center"/>
          </w:tcPr>
          <w:p w14:paraId="42B2A06A">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8.5</w:t>
            </w:r>
          </w:p>
        </w:tc>
        <w:tc>
          <w:tcPr>
            <w:tcW w:w="558" w:type="dxa"/>
            <w:vAlign w:val="center"/>
          </w:tcPr>
          <w:p w14:paraId="59C0CFAF">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3.8</w:t>
            </w:r>
          </w:p>
        </w:tc>
        <w:tc>
          <w:tcPr>
            <w:tcW w:w="698" w:type="dxa"/>
            <w:vAlign w:val="center"/>
          </w:tcPr>
          <w:p w14:paraId="54EC5553">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31.5</w:t>
            </w:r>
          </w:p>
        </w:tc>
        <w:tc>
          <w:tcPr>
            <w:tcW w:w="539" w:type="dxa"/>
            <w:vAlign w:val="center"/>
          </w:tcPr>
          <w:p w14:paraId="09922873">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1.8</w:t>
            </w:r>
          </w:p>
        </w:tc>
        <w:tc>
          <w:tcPr>
            <w:tcW w:w="717" w:type="dxa"/>
            <w:vAlign w:val="center"/>
          </w:tcPr>
          <w:p w14:paraId="47266858">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13.5</w:t>
            </w:r>
          </w:p>
        </w:tc>
        <w:tc>
          <w:tcPr>
            <w:tcW w:w="750" w:type="dxa"/>
            <w:vAlign w:val="center"/>
          </w:tcPr>
          <w:p w14:paraId="277DC406">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5</w:t>
            </w:r>
          </w:p>
        </w:tc>
        <w:tc>
          <w:tcPr>
            <w:tcW w:w="837" w:type="dxa"/>
            <w:vAlign w:val="center"/>
          </w:tcPr>
          <w:p w14:paraId="1ED5DBAB">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13.8</w:t>
            </w:r>
          </w:p>
        </w:tc>
        <w:tc>
          <w:tcPr>
            <w:tcW w:w="785" w:type="dxa"/>
            <w:vAlign w:val="center"/>
          </w:tcPr>
          <w:p w14:paraId="0D58FF86">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0.7</w:t>
            </w:r>
          </w:p>
        </w:tc>
      </w:tr>
      <w:tr w14:paraId="6B69C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20" w:hRule="exact"/>
          <w:jc w:val="center"/>
        </w:trPr>
        <w:tc>
          <w:tcPr>
            <w:tcW w:w="652" w:type="dxa"/>
            <w:vAlign w:val="center"/>
          </w:tcPr>
          <w:p w14:paraId="433C15CD">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2010</w:t>
            </w:r>
          </w:p>
        </w:tc>
        <w:tc>
          <w:tcPr>
            <w:tcW w:w="706" w:type="dxa"/>
            <w:vAlign w:val="center"/>
          </w:tcPr>
          <w:p w14:paraId="731D1EDA">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93.9</w:t>
            </w:r>
          </w:p>
        </w:tc>
        <w:tc>
          <w:tcPr>
            <w:tcW w:w="595" w:type="dxa"/>
            <w:vAlign w:val="center"/>
          </w:tcPr>
          <w:p w14:paraId="3F35990A">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7.3</w:t>
            </w:r>
          </w:p>
        </w:tc>
        <w:tc>
          <w:tcPr>
            <w:tcW w:w="698" w:type="dxa"/>
            <w:vAlign w:val="center"/>
          </w:tcPr>
          <w:p w14:paraId="063CFA9D">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6.2</w:t>
            </w:r>
          </w:p>
        </w:tc>
        <w:tc>
          <w:tcPr>
            <w:tcW w:w="697" w:type="dxa"/>
            <w:vAlign w:val="center"/>
          </w:tcPr>
          <w:p w14:paraId="6C6714AD">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5.8</w:t>
            </w:r>
          </w:p>
        </w:tc>
        <w:tc>
          <w:tcPr>
            <w:tcW w:w="838" w:type="dxa"/>
            <w:vAlign w:val="center"/>
          </w:tcPr>
          <w:p w14:paraId="4991212A">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147.3</w:t>
            </w:r>
          </w:p>
        </w:tc>
        <w:tc>
          <w:tcPr>
            <w:tcW w:w="698" w:type="dxa"/>
            <w:vAlign w:val="center"/>
          </w:tcPr>
          <w:p w14:paraId="5FB22CE3">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−2.9</w:t>
            </w:r>
          </w:p>
        </w:tc>
        <w:tc>
          <w:tcPr>
            <w:tcW w:w="697" w:type="dxa"/>
            <w:vAlign w:val="center"/>
          </w:tcPr>
          <w:p w14:paraId="5170D821">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8.8</w:t>
            </w:r>
          </w:p>
        </w:tc>
        <w:tc>
          <w:tcPr>
            <w:tcW w:w="558" w:type="dxa"/>
            <w:vAlign w:val="center"/>
          </w:tcPr>
          <w:p w14:paraId="712057C1">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3.9</w:t>
            </w:r>
          </w:p>
        </w:tc>
        <w:tc>
          <w:tcPr>
            <w:tcW w:w="698" w:type="dxa"/>
            <w:vAlign w:val="center"/>
          </w:tcPr>
          <w:p w14:paraId="00D38B4A">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31.2</w:t>
            </w:r>
          </w:p>
        </w:tc>
        <w:tc>
          <w:tcPr>
            <w:tcW w:w="539" w:type="dxa"/>
            <w:vAlign w:val="center"/>
          </w:tcPr>
          <w:p w14:paraId="4E93593E">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2.1</w:t>
            </w:r>
          </w:p>
        </w:tc>
        <w:tc>
          <w:tcPr>
            <w:tcW w:w="717" w:type="dxa"/>
            <w:vAlign w:val="center"/>
          </w:tcPr>
          <w:p w14:paraId="05D384AF">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15.8</w:t>
            </w:r>
          </w:p>
        </w:tc>
        <w:tc>
          <w:tcPr>
            <w:tcW w:w="750" w:type="dxa"/>
            <w:vAlign w:val="center"/>
          </w:tcPr>
          <w:p w14:paraId="1E95CE65">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5.8</w:t>
            </w:r>
          </w:p>
        </w:tc>
        <w:tc>
          <w:tcPr>
            <w:tcW w:w="837" w:type="dxa"/>
            <w:vAlign w:val="center"/>
          </w:tcPr>
          <w:p w14:paraId="741BC198">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16</w:t>
            </w:r>
          </w:p>
        </w:tc>
        <w:tc>
          <w:tcPr>
            <w:tcW w:w="785" w:type="dxa"/>
            <w:vAlign w:val="center"/>
          </w:tcPr>
          <w:p w14:paraId="67DEDA4E">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0.9</w:t>
            </w:r>
          </w:p>
        </w:tc>
      </w:tr>
      <w:tr w14:paraId="1669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20" w:hRule="exact"/>
          <w:jc w:val="center"/>
        </w:trPr>
        <w:tc>
          <w:tcPr>
            <w:tcW w:w="652" w:type="dxa"/>
            <w:vAlign w:val="center"/>
          </w:tcPr>
          <w:p w14:paraId="53EBCA6E">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2011</w:t>
            </w:r>
          </w:p>
        </w:tc>
        <w:tc>
          <w:tcPr>
            <w:tcW w:w="706" w:type="dxa"/>
            <w:vAlign w:val="center"/>
          </w:tcPr>
          <w:p w14:paraId="17C1C67D">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149.1</w:t>
            </w:r>
          </w:p>
        </w:tc>
        <w:tc>
          <w:tcPr>
            <w:tcW w:w="595" w:type="dxa"/>
            <w:vAlign w:val="center"/>
          </w:tcPr>
          <w:p w14:paraId="7FE86BCB">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7.5</w:t>
            </w:r>
          </w:p>
        </w:tc>
        <w:tc>
          <w:tcPr>
            <w:tcW w:w="698" w:type="dxa"/>
            <w:vAlign w:val="center"/>
          </w:tcPr>
          <w:p w14:paraId="127C4867">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8.3</w:t>
            </w:r>
          </w:p>
        </w:tc>
        <w:tc>
          <w:tcPr>
            <w:tcW w:w="697" w:type="dxa"/>
            <w:vAlign w:val="center"/>
          </w:tcPr>
          <w:p w14:paraId="44F2626C">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5.4</w:t>
            </w:r>
          </w:p>
        </w:tc>
        <w:tc>
          <w:tcPr>
            <w:tcW w:w="838" w:type="dxa"/>
            <w:vAlign w:val="center"/>
          </w:tcPr>
          <w:p w14:paraId="21B69C42">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145.5</w:t>
            </w:r>
          </w:p>
        </w:tc>
        <w:tc>
          <w:tcPr>
            <w:tcW w:w="698" w:type="dxa"/>
            <w:vAlign w:val="center"/>
          </w:tcPr>
          <w:p w14:paraId="75954D57">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−5.4</w:t>
            </w:r>
          </w:p>
        </w:tc>
        <w:tc>
          <w:tcPr>
            <w:tcW w:w="697" w:type="dxa"/>
            <w:vAlign w:val="center"/>
          </w:tcPr>
          <w:p w14:paraId="7BC4F9BD">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9</w:t>
            </w:r>
          </w:p>
        </w:tc>
        <w:tc>
          <w:tcPr>
            <w:tcW w:w="558" w:type="dxa"/>
            <w:vAlign w:val="center"/>
          </w:tcPr>
          <w:p w14:paraId="4EADC0AB">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w:t>
            </w:r>
          </w:p>
        </w:tc>
        <w:tc>
          <w:tcPr>
            <w:tcW w:w="698" w:type="dxa"/>
            <w:vAlign w:val="center"/>
          </w:tcPr>
          <w:p w14:paraId="7AC54772">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31</w:t>
            </w:r>
          </w:p>
        </w:tc>
        <w:tc>
          <w:tcPr>
            <w:tcW w:w="539" w:type="dxa"/>
            <w:vAlign w:val="center"/>
          </w:tcPr>
          <w:p w14:paraId="7D52CCC2">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w:t>
            </w:r>
          </w:p>
        </w:tc>
        <w:tc>
          <w:tcPr>
            <w:tcW w:w="717" w:type="dxa"/>
            <w:vAlign w:val="center"/>
          </w:tcPr>
          <w:p w14:paraId="6C86217D">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20.2</w:t>
            </w:r>
          </w:p>
        </w:tc>
        <w:tc>
          <w:tcPr>
            <w:tcW w:w="750" w:type="dxa"/>
            <w:vAlign w:val="center"/>
          </w:tcPr>
          <w:p w14:paraId="70BFB1B7">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6.5</w:t>
            </w:r>
          </w:p>
        </w:tc>
        <w:tc>
          <w:tcPr>
            <w:tcW w:w="837" w:type="dxa"/>
            <w:vAlign w:val="center"/>
          </w:tcPr>
          <w:p w14:paraId="0511BCAF">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18.5</w:t>
            </w:r>
          </w:p>
        </w:tc>
        <w:tc>
          <w:tcPr>
            <w:tcW w:w="785" w:type="dxa"/>
            <w:vAlign w:val="center"/>
          </w:tcPr>
          <w:p w14:paraId="14803B27">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1.2</w:t>
            </w:r>
          </w:p>
        </w:tc>
      </w:tr>
      <w:tr w14:paraId="7483F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20" w:hRule="exact"/>
          <w:jc w:val="center"/>
        </w:trPr>
        <w:tc>
          <w:tcPr>
            <w:tcW w:w="652" w:type="dxa"/>
            <w:vAlign w:val="center"/>
          </w:tcPr>
          <w:p w14:paraId="7A068604">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2012</w:t>
            </w:r>
          </w:p>
        </w:tc>
        <w:tc>
          <w:tcPr>
            <w:tcW w:w="706" w:type="dxa"/>
            <w:vAlign w:val="center"/>
          </w:tcPr>
          <w:p w14:paraId="67504688">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202</w:t>
            </w:r>
          </w:p>
        </w:tc>
        <w:tc>
          <w:tcPr>
            <w:tcW w:w="595" w:type="dxa"/>
            <w:vAlign w:val="center"/>
          </w:tcPr>
          <w:p w14:paraId="0DAEABA5">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4.8</w:t>
            </w:r>
          </w:p>
        </w:tc>
        <w:tc>
          <w:tcPr>
            <w:tcW w:w="698" w:type="dxa"/>
            <w:vAlign w:val="center"/>
          </w:tcPr>
          <w:p w14:paraId="00FBA36D">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5.1</w:t>
            </w:r>
          </w:p>
        </w:tc>
        <w:tc>
          <w:tcPr>
            <w:tcW w:w="697" w:type="dxa"/>
            <w:vAlign w:val="center"/>
          </w:tcPr>
          <w:p w14:paraId="50B92ED7">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5.3</w:t>
            </w:r>
          </w:p>
        </w:tc>
        <w:tc>
          <w:tcPr>
            <w:tcW w:w="838" w:type="dxa"/>
            <w:vAlign w:val="center"/>
          </w:tcPr>
          <w:p w14:paraId="6B46C851">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149.1</w:t>
            </w:r>
          </w:p>
        </w:tc>
        <w:tc>
          <w:tcPr>
            <w:tcW w:w="698" w:type="dxa"/>
            <w:vAlign w:val="center"/>
          </w:tcPr>
          <w:p w14:paraId="157FCB68">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−2.8</w:t>
            </w:r>
          </w:p>
        </w:tc>
        <w:tc>
          <w:tcPr>
            <w:tcW w:w="697" w:type="dxa"/>
            <w:vAlign w:val="center"/>
          </w:tcPr>
          <w:p w14:paraId="62AB118C">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11</w:t>
            </w:r>
          </w:p>
        </w:tc>
        <w:tc>
          <w:tcPr>
            <w:tcW w:w="558" w:type="dxa"/>
            <w:vAlign w:val="center"/>
          </w:tcPr>
          <w:p w14:paraId="57CD0D9C">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w:t>
            </w:r>
          </w:p>
        </w:tc>
        <w:tc>
          <w:tcPr>
            <w:tcW w:w="698" w:type="dxa"/>
            <w:vAlign w:val="center"/>
          </w:tcPr>
          <w:p w14:paraId="70900D22">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31.5</w:t>
            </w:r>
          </w:p>
        </w:tc>
        <w:tc>
          <w:tcPr>
            <w:tcW w:w="539" w:type="dxa"/>
            <w:vAlign w:val="center"/>
          </w:tcPr>
          <w:p w14:paraId="6154CE08">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4.5</w:t>
            </w:r>
          </w:p>
        </w:tc>
        <w:tc>
          <w:tcPr>
            <w:tcW w:w="717" w:type="dxa"/>
            <w:vAlign w:val="center"/>
          </w:tcPr>
          <w:p w14:paraId="0D70EC57">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24</w:t>
            </w:r>
          </w:p>
        </w:tc>
        <w:tc>
          <w:tcPr>
            <w:tcW w:w="750" w:type="dxa"/>
            <w:vAlign w:val="center"/>
          </w:tcPr>
          <w:p w14:paraId="40277A81">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7.8</w:t>
            </w:r>
          </w:p>
        </w:tc>
        <w:tc>
          <w:tcPr>
            <w:tcW w:w="837" w:type="dxa"/>
            <w:vAlign w:val="center"/>
          </w:tcPr>
          <w:p w14:paraId="459389D8">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20</w:t>
            </w:r>
          </w:p>
        </w:tc>
        <w:tc>
          <w:tcPr>
            <w:tcW w:w="785" w:type="dxa"/>
            <w:vAlign w:val="center"/>
          </w:tcPr>
          <w:p w14:paraId="481BFB49">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1.5</w:t>
            </w:r>
          </w:p>
        </w:tc>
      </w:tr>
      <w:tr w14:paraId="0DF9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20" w:hRule="exact"/>
          <w:jc w:val="center"/>
        </w:trPr>
        <w:tc>
          <w:tcPr>
            <w:tcW w:w="652" w:type="dxa"/>
            <w:vAlign w:val="center"/>
          </w:tcPr>
          <w:p w14:paraId="055597DB">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2013</w:t>
            </w:r>
          </w:p>
        </w:tc>
        <w:tc>
          <w:tcPr>
            <w:tcW w:w="706" w:type="dxa"/>
            <w:vAlign w:val="center"/>
          </w:tcPr>
          <w:p w14:paraId="3FAF70D2">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236.6</w:t>
            </w:r>
          </w:p>
        </w:tc>
        <w:tc>
          <w:tcPr>
            <w:tcW w:w="595" w:type="dxa"/>
            <w:vAlign w:val="center"/>
          </w:tcPr>
          <w:p w14:paraId="4887EDF9">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6</w:t>
            </w:r>
          </w:p>
        </w:tc>
        <w:tc>
          <w:tcPr>
            <w:tcW w:w="698" w:type="dxa"/>
            <w:vAlign w:val="center"/>
          </w:tcPr>
          <w:p w14:paraId="21C14073">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4.8</w:t>
            </w:r>
          </w:p>
        </w:tc>
        <w:tc>
          <w:tcPr>
            <w:tcW w:w="697" w:type="dxa"/>
            <w:vAlign w:val="center"/>
          </w:tcPr>
          <w:p w14:paraId="0DD25133">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5.1</w:t>
            </w:r>
          </w:p>
        </w:tc>
        <w:tc>
          <w:tcPr>
            <w:tcW w:w="838" w:type="dxa"/>
            <w:vAlign w:val="center"/>
          </w:tcPr>
          <w:p w14:paraId="5881C7B3">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153.6</w:t>
            </w:r>
          </w:p>
        </w:tc>
        <w:tc>
          <w:tcPr>
            <w:tcW w:w="698" w:type="dxa"/>
            <w:vAlign w:val="center"/>
          </w:tcPr>
          <w:p w14:paraId="05D70462">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−2.1</w:t>
            </w:r>
          </w:p>
        </w:tc>
        <w:tc>
          <w:tcPr>
            <w:tcW w:w="697" w:type="dxa"/>
            <w:vAlign w:val="center"/>
          </w:tcPr>
          <w:p w14:paraId="24CFDBBA">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13.2</w:t>
            </w:r>
          </w:p>
        </w:tc>
        <w:tc>
          <w:tcPr>
            <w:tcW w:w="558" w:type="dxa"/>
            <w:vAlign w:val="center"/>
          </w:tcPr>
          <w:p w14:paraId="552D23EB">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4.1</w:t>
            </w:r>
          </w:p>
        </w:tc>
        <w:tc>
          <w:tcPr>
            <w:tcW w:w="698" w:type="dxa"/>
            <w:vAlign w:val="center"/>
          </w:tcPr>
          <w:p w14:paraId="3FC7D4CC">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31.8</w:t>
            </w:r>
          </w:p>
        </w:tc>
        <w:tc>
          <w:tcPr>
            <w:tcW w:w="539" w:type="dxa"/>
            <w:vAlign w:val="center"/>
          </w:tcPr>
          <w:p w14:paraId="703B7B8F">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4.8</w:t>
            </w:r>
          </w:p>
        </w:tc>
        <w:tc>
          <w:tcPr>
            <w:tcW w:w="717" w:type="dxa"/>
            <w:vAlign w:val="center"/>
          </w:tcPr>
          <w:p w14:paraId="35001AE8">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26.5</w:t>
            </w:r>
          </w:p>
        </w:tc>
        <w:tc>
          <w:tcPr>
            <w:tcW w:w="750" w:type="dxa"/>
            <w:vAlign w:val="center"/>
          </w:tcPr>
          <w:p w14:paraId="6014F6CB">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8.5</w:t>
            </w:r>
          </w:p>
        </w:tc>
        <w:tc>
          <w:tcPr>
            <w:tcW w:w="837" w:type="dxa"/>
            <w:vAlign w:val="center"/>
          </w:tcPr>
          <w:p w14:paraId="1F4CB2A6">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22.5</w:t>
            </w:r>
          </w:p>
        </w:tc>
        <w:tc>
          <w:tcPr>
            <w:tcW w:w="785" w:type="dxa"/>
            <w:vAlign w:val="center"/>
          </w:tcPr>
          <w:p w14:paraId="5C6E492B">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1.6</w:t>
            </w:r>
          </w:p>
        </w:tc>
      </w:tr>
      <w:tr w14:paraId="123AB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20" w:hRule="exact"/>
          <w:jc w:val="center"/>
        </w:trPr>
        <w:tc>
          <w:tcPr>
            <w:tcW w:w="652" w:type="dxa"/>
            <w:vAlign w:val="center"/>
          </w:tcPr>
          <w:p w14:paraId="46069649">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2014</w:t>
            </w:r>
          </w:p>
        </w:tc>
        <w:tc>
          <w:tcPr>
            <w:tcW w:w="706" w:type="dxa"/>
            <w:vAlign w:val="center"/>
          </w:tcPr>
          <w:p w14:paraId="05C04F55">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221.4</w:t>
            </w:r>
          </w:p>
        </w:tc>
        <w:tc>
          <w:tcPr>
            <w:tcW w:w="595" w:type="dxa"/>
            <w:vAlign w:val="center"/>
          </w:tcPr>
          <w:p w14:paraId="3DB01711">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4.2</w:t>
            </w:r>
          </w:p>
        </w:tc>
        <w:tc>
          <w:tcPr>
            <w:tcW w:w="698" w:type="dxa"/>
            <w:vAlign w:val="center"/>
          </w:tcPr>
          <w:p w14:paraId="2771C0F1">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5.7</w:t>
            </w:r>
          </w:p>
        </w:tc>
        <w:tc>
          <w:tcPr>
            <w:tcW w:w="697" w:type="dxa"/>
            <w:vAlign w:val="center"/>
          </w:tcPr>
          <w:p w14:paraId="5203A841">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5</w:t>
            </w:r>
          </w:p>
        </w:tc>
        <w:tc>
          <w:tcPr>
            <w:tcW w:w="838" w:type="dxa"/>
            <w:vAlign w:val="center"/>
          </w:tcPr>
          <w:p w14:paraId="715AA31F">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188.9</w:t>
            </w:r>
          </w:p>
        </w:tc>
        <w:tc>
          <w:tcPr>
            <w:tcW w:w="698" w:type="dxa"/>
            <w:vAlign w:val="center"/>
          </w:tcPr>
          <w:p w14:paraId="3D30D07A">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−3.1</w:t>
            </w:r>
          </w:p>
        </w:tc>
        <w:tc>
          <w:tcPr>
            <w:tcW w:w="697" w:type="dxa"/>
            <w:vAlign w:val="center"/>
          </w:tcPr>
          <w:p w14:paraId="14BAA7AC">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15.1</w:t>
            </w:r>
          </w:p>
        </w:tc>
        <w:tc>
          <w:tcPr>
            <w:tcW w:w="558" w:type="dxa"/>
            <w:vAlign w:val="center"/>
          </w:tcPr>
          <w:p w14:paraId="57BF32AC">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4.1</w:t>
            </w:r>
          </w:p>
        </w:tc>
        <w:tc>
          <w:tcPr>
            <w:tcW w:w="698" w:type="dxa"/>
            <w:vAlign w:val="center"/>
          </w:tcPr>
          <w:p w14:paraId="5D07CB5F">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32.1</w:t>
            </w:r>
          </w:p>
        </w:tc>
        <w:tc>
          <w:tcPr>
            <w:tcW w:w="539" w:type="dxa"/>
            <w:vAlign w:val="center"/>
          </w:tcPr>
          <w:p w14:paraId="0F11E204">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4.2</w:t>
            </w:r>
          </w:p>
        </w:tc>
        <w:tc>
          <w:tcPr>
            <w:tcW w:w="717" w:type="dxa"/>
            <w:vAlign w:val="center"/>
          </w:tcPr>
          <w:p w14:paraId="3C187983">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29</w:t>
            </w:r>
          </w:p>
        </w:tc>
        <w:tc>
          <w:tcPr>
            <w:tcW w:w="750" w:type="dxa"/>
            <w:vAlign w:val="center"/>
          </w:tcPr>
          <w:p w14:paraId="11FA6A10">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9.2</w:t>
            </w:r>
          </w:p>
        </w:tc>
        <w:tc>
          <w:tcPr>
            <w:tcW w:w="837" w:type="dxa"/>
            <w:vAlign w:val="center"/>
          </w:tcPr>
          <w:p w14:paraId="4EC3A8A0">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24.8</w:t>
            </w:r>
          </w:p>
        </w:tc>
        <w:tc>
          <w:tcPr>
            <w:tcW w:w="785" w:type="dxa"/>
            <w:vAlign w:val="center"/>
          </w:tcPr>
          <w:p w14:paraId="4328E089">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1.4</w:t>
            </w:r>
          </w:p>
        </w:tc>
      </w:tr>
      <w:tr w14:paraId="14C76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20" w:hRule="exact"/>
          <w:jc w:val="center"/>
        </w:trPr>
        <w:tc>
          <w:tcPr>
            <w:tcW w:w="652" w:type="dxa"/>
            <w:vAlign w:val="center"/>
          </w:tcPr>
          <w:p w14:paraId="725ED823">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2015</w:t>
            </w:r>
          </w:p>
        </w:tc>
        <w:tc>
          <w:tcPr>
            <w:tcW w:w="706" w:type="dxa"/>
            <w:vAlign w:val="center"/>
          </w:tcPr>
          <w:p w14:paraId="3B969BCB">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184.4</w:t>
            </w:r>
          </w:p>
        </w:tc>
        <w:tc>
          <w:tcPr>
            <w:tcW w:w="595" w:type="dxa"/>
            <w:vAlign w:val="center"/>
          </w:tcPr>
          <w:p w14:paraId="1BE395F0">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1.2</w:t>
            </w:r>
          </w:p>
        </w:tc>
        <w:tc>
          <w:tcPr>
            <w:tcW w:w="698" w:type="dxa"/>
            <w:vAlign w:val="center"/>
          </w:tcPr>
          <w:p w14:paraId="04FBCDD7">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7.8</w:t>
            </w:r>
          </w:p>
        </w:tc>
        <w:tc>
          <w:tcPr>
            <w:tcW w:w="697" w:type="dxa"/>
            <w:vAlign w:val="center"/>
          </w:tcPr>
          <w:p w14:paraId="4B1466AE">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5</w:t>
            </w:r>
          </w:p>
        </w:tc>
        <w:tc>
          <w:tcPr>
            <w:tcW w:w="838" w:type="dxa"/>
            <w:vAlign w:val="center"/>
          </w:tcPr>
          <w:p w14:paraId="68B3F62D">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222.2</w:t>
            </w:r>
          </w:p>
        </w:tc>
        <w:tc>
          <w:tcPr>
            <w:tcW w:w="698" w:type="dxa"/>
            <w:vAlign w:val="center"/>
          </w:tcPr>
          <w:p w14:paraId="5AF81BCD">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−6.5</w:t>
            </w:r>
          </w:p>
        </w:tc>
        <w:tc>
          <w:tcPr>
            <w:tcW w:w="697" w:type="dxa"/>
            <w:vAlign w:val="center"/>
          </w:tcPr>
          <w:p w14:paraId="7B4F602F">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17</w:t>
            </w:r>
          </w:p>
        </w:tc>
        <w:tc>
          <w:tcPr>
            <w:tcW w:w="558" w:type="dxa"/>
            <w:vAlign w:val="center"/>
          </w:tcPr>
          <w:p w14:paraId="2F29EDAD">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4.2</w:t>
            </w:r>
          </w:p>
        </w:tc>
        <w:tc>
          <w:tcPr>
            <w:tcW w:w="698" w:type="dxa"/>
            <w:vAlign w:val="center"/>
          </w:tcPr>
          <w:p w14:paraId="768FD066">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32.5</w:t>
            </w:r>
          </w:p>
        </w:tc>
        <w:tc>
          <w:tcPr>
            <w:tcW w:w="539" w:type="dxa"/>
            <w:vAlign w:val="center"/>
          </w:tcPr>
          <w:p w14:paraId="063ACEFF">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3.7</w:t>
            </w:r>
          </w:p>
        </w:tc>
        <w:tc>
          <w:tcPr>
            <w:tcW w:w="717" w:type="dxa"/>
            <w:vAlign w:val="center"/>
          </w:tcPr>
          <w:p w14:paraId="1923BC85">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31.5</w:t>
            </w:r>
          </w:p>
        </w:tc>
        <w:tc>
          <w:tcPr>
            <w:tcW w:w="750" w:type="dxa"/>
            <w:vAlign w:val="center"/>
          </w:tcPr>
          <w:p w14:paraId="0B03F06B">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10</w:t>
            </w:r>
          </w:p>
        </w:tc>
        <w:tc>
          <w:tcPr>
            <w:tcW w:w="837" w:type="dxa"/>
            <w:vAlign w:val="center"/>
          </w:tcPr>
          <w:p w14:paraId="312AF1E5">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27.2</w:t>
            </w:r>
          </w:p>
        </w:tc>
        <w:tc>
          <w:tcPr>
            <w:tcW w:w="785" w:type="dxa"/>
            <w:vAlign w:val="center"/>
          </w:tcPr>
          <w:p w14:paraId="578E9A6F">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1.3</w:t>
            </w:r>
          </w:p>
        </w:tc>
      </w:tr>
      <w:tr w14:paraId="60B1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20" w:hRule="exact"/>
          <w:jc w:val="center"/>
        </w:trPr>
        <w:tc>
          <w:tcPr>
            <w:tcW w:w="652" w:type="dxa"/>
            <w:vAlign w:val="center"/>
          </w:tcPr>
          <w:p w14:paraId="42139058">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2016</w:t>
            </w:r>
          </w:p>
        </w:tc>
        <w:tc>
          <w:tcPr>
            <w:tcW w:w="706" w:type="dxa"/>
            <w:vAlign w:val="center"/>
          </w:tcPr>
          <w:p w14:paraId="039553AB">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137.3</w:t>
            </w:r>
          </w:p>
        </w:tc>
        <w:tc>
          <w:tcPr>
            <w:tcW w:w="595" w:type="dxa"/>
            <w:vAlign w:val="center"/>
          </w:tcPr>
          <w:p w14:paraId="12B7767B">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4.1</w:t>
            </w:r>
          </w:p>
        </w:tc>
        <w:tc>
          <w:tcPr>
            <w:tcW w:w="698" w:type="dxa"/>
            <w:vAlign w:val="center"/>
          </w:tcPr>
          <w:p w14:paraId="2348F85E">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13.6</w:t>
            </w:r>
          </w:p>
        </w:tc>
        <w:tc>
          <w:tcPr>
            <w:tcW w:w="697" w:type="dxa"/>
            <w:vAlign w:val="center"/>
          </w:tcPr>
          <w:p w14:paraId="416D0404">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5.1</w:t>
            </w:r>
          </w:p>
        </w:tc>
        <w:tc>
          <w:tcPr>
            <w:tcW w:w="838" w:type="dxa"/>
            <w:vAlign w:val="center"/>
          </w:tcPr>
          <w:p w14:paraId="0E3FED71">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342.2</w:t>
            </w:r>
          </w:p>
        </w:tc>
        <w:tc>
          <w:tcPr>
            <w:tcW w:w="698" w:type="dxa"/>
            <w:vAlign w:val="center"/>
          </w:tcPr>
          <w:p w14:paraId="4584AF50">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−3.4</w:t>
            </w:r>
          </w:p>
        </w:tc>
        <w:tc>
          <w:tcPr>
            <w:tcW w:w="697" w:type="dxa"/>
            <w:vAlign w:val="center"/>
          </w:tcPr>
          <w:p w14:paraId="0E4670CC">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19.8</w:t>
            </w:r>
          </w:p>
        </w:tc>
        <w:tc>
          <w:tcPr>
            <w:tcW w:w="558" w:type="dxa"/>
            <w:vAlign w:val="center"/>
          </w:tcPr>
          <w:p w14:paraId="3F6208B1">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4.3</w:t>
            </w:r>
          </w:p>
        </w:tc>
        <w:tc>
          <w:tcPr>
            <w:tcW w:w="698" w:type="dxa"/>
            <w:vAlign w:val="center"/>
          </w:tcPr>
          <w:p w14:paraId="2EF44C30">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32.8</w:t>
            </w:r>
          </w:p>
        </w:tc>
        <w:tc>
          <w:tcPr>
            <w:tcW w:w="539" w:type="dxa"/>
            <w:vAlign w:val="center"/>
          </w:tcPr>
          <w:p w14:paraId="6D1B97C4">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3.5</w:t>
            </w:r>
          </w:p>
        </w:tc>
        <w:tc>
          <w:tcPr>
            <w:tcW w:w="717" w:type="dxa"/>
            <w:vAlign w:val="center"/>
          </w:tcPr>
          <w:p w14:paraId="569A1B3C">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32</w:t>
            </w:r>
          </w:p>
        </w:tc>
        <w:tc>
          <w:tcPr>
            <w:tcW w:w="750" w:type="dxa"/>
            <w:vAlign w:val="center"/>
          </w:tcPr>
          <w:p w14:paraId="7113AF53">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10.8</w:t>
            </w:r>
          </w:p>
        </w:tc>
        <w:tc>
          <w:tcPr>
            <w:tcW w:w="837" w:type="dxa"/>
            <w:vAlign w:val="center"/>
          </w:tcPr>
          <w:p w14:paraId="1B39FDE3">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28.5</w:t>
            </w:r>
          </w:p>
        </w:tc>
        <w:tc>
          <w:tcPr>
            <w:tcW w:w="785" w:type="dxa"/>
            <w:vAlign w:val="center"/>
          </w:tcPr>
          <w:p w14:paraId="1ACDB553">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1.2</w:t>
            </w:r>
          </w:p>
        </w:tc>
      </w:tr>
      <w:tr w14:paraId="5EA33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20" w:hRule="exact"/>
          <w:jc w:val="center"/>
        </w:trPr>
        <w:tc>
          <w:tcPr>
            <w:tcW w:w="652" w:type="dxa"/>
            <w:vAlign w:val="center"/>
          </w:tcPr>
          <w:p w14:paraId="24B9595C">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2017</w:t>
            </w:r>
          </w:p>
        </w:tc>
        <w:tc>
          <w:tcPr>
            <w:tcW w:w="706" w:type="dxa"/>
            <w:vAlign w:val="center"/>
          </w:tcPr>
          <w:p w14:paraId="75A5DF75">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160.8</w:t>
            </w:r>
          </w:p>
        </w:tc>
        <w:tc>
          <w:tcPr>
            <w:tcW w:w="595" w:type="dxa"/>
            <w:vAlign w:val="center"/>
          </w:tcPr>
          <w:p w14:paraId="777A7ED1">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4.2</w:t>
            </w:r>
          </w:p>
        </w:tc>
        <w:tc>
          <w:tcPr>
            <w:tcW w:w="698" w:type="dxa"/>
            <w:vAlign w:val="center"/>
          </w:tcPr>
          <w:p w14:paraId="316006BF">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11</w:t>
            </w:r>
          </w:p>
        </w:tc>
        <w:tc>
          <w:tcPr>
            <w:tcW w:w="697" w:type="dxa"/>
            <w:vAlign w:val="center"/>
          </w:tcPr>
          <w:p w14:paraId="4BEF99BD">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4.9</w:t>
            </w:r>
          </w:p>
        </w:tc>
        <w:tc>
          <w:tcPr>
            <w:tcW w:w="838" w:type="dxa"/>
            <w:vAlign w:val="center"/>
          </w:tcPr>
          <w:p w14:paraId="41E9C505">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326</w:t>
            </w:r>
          </w:p>
        </w:tc>
        <w:tc>
          <w:tcPr>
            <w:tcW w:w="698" w:type="dxa"/>
            <w:vAlign w:val="center"/>
          </w:tcPr>
          <w:p w14:paraId="40383718">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−0.1</w:t>
            </w:r>
          </w:p>
        </w:tc>
        <w:tc>
          <w:tcPr>
            <w:tcW w:w="697" w:type="dxa"/>
            <w:vAlign w:val="center"/>
          </w:tcPr>
          <w:p w14:paraId="47A66B3C">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21.3</w:t>
            </w:r>
          </w:p>
        </w:tc>
        <w:tc>
          <w:tcPr>
            <w:tcW w:w="558" w:type="dxa"/>
            <w:vAlign w:val="center"/>
          </w:tcPr>
          <w:p w14:paraId="566CBCA1">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4.3</w:t>
            </w:r>
          </w:p>
        </w:tc>
        <w:tc>
          <w:tcPr>
            <w:tcW w:w="698" w:type="dxa"/>
            <w:vAlign w:val="center"/>
          </w:tcPr>
          <w:p w14:paraId="248D528B">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33</w:t>
            </w:r>
          </w:p>
        </w:tc>
        <w:tc>
          <w:tcPr>
            <w:tcW w:w="539" w:type="dxa"/>
            <w:vAlign w:val="center"/>
          </w:tcPr>
          <w:p w14:paraId="5CA4611B">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3.2</w:t>
            </w:r>
          </w:p>
        </w:tc>
        <w:tc>
          <w:tcPr>
            <w:tcW w:w="717" w:type="dxa"/>
            <w:vAlign w:val="center"/>
          </w:tcPr>
          <w:p w14:paraId="292E3502">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33</w:t>
            </w:r>
          </w:p>
        </w:tc>
        <w:tc>
          <w:tcPr>
            <w:tcW w:w="750" w:type="dxa"/>
            <w:vAlign w:val="center"/>
          </w:tcPr>
          <w:p w14:paraId="6CB44C4A">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11.2</w:t>
            </w:r>
          </w:p>
        </w:tc>
        <w:tc>
          <w:tcPr>
            <w:tcW w:w="837" w:type="dxa"/>
            <w:vAlign w:val="center"/>
          </w:tcPr>
          <w:p w14:paraId="5BDFA66C">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30</w:t>
            </w:r>
          </w:p>
        </w:tc>
        <w:tc>
          <w:tcPr>
            <w:tcW w:w="785" w:type="dxa"/>
            <w:vAlign w:val="center"/>
          </w:tcPr>
          <w:p w14:paraId="2E005AAC">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1.1</w:t>
            </w:r>
          </w:p>
        </w:tc>
      </w:tr>
      <w:tr w14:paraId="12441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20" w:hRule="exact"/>
          <w:jc w:val="center"/>
        </w:trPr>
        <w:tc>
          <w:tcPr>
            <w:tcW w:w="652" w:type="dxa"/>
            <w:vAlign w:val="center"/>
          </w:tcPr>
          <w:p w14:paraId="37C2CC8B">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2018</w:t>
            </w:r>
          </w:p>
        </w:tc>
        <w:tc>
          <w:tcPr>
            <w:tcW w:w="706" w:type="dxa"/>
            <w:vAlign w:val="center"/>
          </w:tcPr>
          <w:p w14:paraId="472DD0B4">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179.3</w:t>
            </w:r>
          </w:p>
        </w:tc>
        <w:tc>
          <w:tcPr>
            <w:tcW w:w="595" w:type="dxa"/>
            <w:vAlign w:val="center"/>
          </w:tcPr>
          <w:p w14:paraId="43AC6BEC">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4.1</w:t>
            </w:r>
          </w:p>
        </w:tc>
        <w:tc>
          <w:tcPr>
            <w:tcW w:w="698" w:type="dxa"/>
            <w:vAlign w:val="center"/>
          </w:tcPr>
          <w:p w14:paraId="48B5111A">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6</w:t>
            </w:r>
          </w:p>
        </w:tc>
        <w:tc>
          <w:tcPr>
            <w:tcW w:w="697" w:type="dxa"/>
            <w:vAlign w:val="center"/>
          </w:tcPr>
          <w:p w14:paraId="655E0083">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4.8</w:t>
            </w:r>
          </w:p>
        </w:tc>
        <w:tc>
          <w:tcPr>
            <w:tcW w:w="838" w:type="dxa"/>
            <w:vAlign w:val="center"/>
          </w:tcPr>
          <w:p w14:paraId="62469B46">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344.7</w:t>
            </w:r>
          </w:p>
        </w:tc>
        <w:tc>
          <w:tcPr>
            <w:tcW w:w="698" w:type="dxa"/>
            <w:vAlign w:val="center"/>
          </w:tcPr>
          <w:p w14:paraId="49BFA5AB">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−0.5</w:t>
            </w:r>
          </w:p>
        </w:tc>
        <w:tc>
          <w:tcPr>
            <w:tcW w:w="697" w:type="dxa"/>
            <w:vAlign w:val="center"/>
          </w:tcPr>
          <w:p w14:paraId="584377C6">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20.9</w:t>
            </w:r>
          </w:p>
        </w:tc>
        <w:tc>
          <w:tcPr>
            <w:tcW w:w="558" w:type="dxa"/>
            <w:vAlign w:val="center"/>
          </w:tcPr>
          <w:p w14:paraId="2F56BAED">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4.2</w:t>
            </w:r>
          </w:p>
        </w:tc>
        <w:tc>
          <w:tcPr>
            <w:tcW w:w="698" w:type="dxa"/>
            <w:vAlign w:val="center"/>
          </w:tcPr>
          <w:p w14:paraId="2D4DE154">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33.2</w:t>
            </w:r>
          </w:p>
        </w:tc>
        <w:tc>
          <w:tcPr>
            <w:tcW w:w="539" w:type="dxa"/>
            <w:vAlign w:val="center"/>
          </w:tcPr>
          <w:p w14:paraId="1FCA1515">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2.8</w:t>
            </w:r>
          </w:p>
        </w:tc>
        <w:tc>
          <w:tcPr>
            <w:tcW w:w="717" w:type="dxa"/>
            <w:vAlign w:val="center"/>
          </w:tcPr>
          <w:p w14:paraId="269777A2">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34.5</w:t>
            </w:r>
          </w:p>
        </w:tc>
        <w:tc>
          <w:tcPr>
            <w:tcW w:w="750" w:type="dxa"/>
            <w:vAlign w:val="center"/>
          </w:tcPr>
          <w:p w14:paraId="1BD553C0">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12</w:t>
            </w:r>
          </w:p>
        </w:tc>
        <w:tc>
          <w:tcPr>
            <w:tcW w:w="837" w:type="dxa"/>
            <w:vAlign w:val="center"/>
          </w:tcPr>
          <w:p w14:paraId="61FAB4AE">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31.8</w:t>
            </w:r>
          </w:p>
        </w:tc>
        <w:tc>
          <w:tcPr>
            <w:tcW w:w="785" w:type="dxa"/>
            <w:vAlign w:val="center"/>
          </w:tcPr>
          <w:p w14:paraId="69F25F6F">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w:t>
            </w:r>
          </w:p>
        </w:tc>
      </w:tr>
      <w:tr w14:paraId="37D6A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20" w:hRule="exact"/>
          <w:jc w:val="center"/>
        </w:trPr>
        <w:tc>
          <w:tcPr>
            <w:tcW w:w="652" w:type="dxa"/>
            <w:vAlign w:val="center"/>
          </w:tcPr>
          <w:p w14:paraId="596F3416">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2019</w:t>
            </w:r>
          </w:p>
        </w:tc>
        <w:tc>
          <w:tcPr>
            <w:tcW w:w="706" w:type="dxa"/>
            <w:vAlign w:val="center"/>
          </w:tcPr>
          <w:p w14:paraId="1A2E1FCA">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181.7</w:t>
            </w:r>
          </w:p>
        </w:tc>
        <w:tc>
          <w:tcPr>
            <w:tcW w:w="595" w:type="dxa"/>
            <w:vAlign w:val="center"/>
          </w:tcPr>
          <w:p w14:paraId="76863C28">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4.5</w:t>
            </w:r>
          </w:p>
        </w:tc>
        <w:tc>
          <w:tcPr>
            <w:tcW w:w="698" w:type="dxa"/>
            <w:vAlign w:val="center"/>
          </w:tcPr>
          <w:p w14:paraId="16BEB814">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5.3</w:t>
            </w:r>
          </w:p>
        </w:tc>
        <w:tc>
          <w:tcPr>
            <w:tcW w:w="697" w:type="dxa"/>
            <w:vAlign w:val="center"/>
          </w:tcPr>
          <w:p w14:paraId="2DA8A052">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4.8</w:t>
            </w:r>
          </w:p>
        </w:tc>
        <w:tc>
          <w:tcPr>
            <w:tcW w:w="838" w:type="dxa"/>
            <w:vAlign w:val="center"/>
          </w:tcPr>
          <w:p w14:paraId="391B4773">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382.6</w:t>
            </w:r>
          </w:p>
        </w:tc>
        <w:tc>
          <w:tcPr>
            <w:tcW w:w="698" w:type="dxa"/>
            <w:vAlign w:val="center"/>
          </w:tcPr>
          <w:p w14:paraId="6690E290">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−2.8</w:t>
            </w:r>
          </w:p>
        </w:tc>
        <w:tc>
          <w:tcPr>
            <w:tcW w:w="697" w:type="dxa"/>
            <w:vAlign w:val="center"/>
          </w:tcPr>
          <w:p w14:paraId="5F509BB5">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21.5</w:t>
            </w:r>
          </w:p>
        </w:tc>
        <w:tc>
          <w:tcPr>
            <w:tcW w:w="558" w:type="dxa"/>
            <w:vAlign w:val="center"/>
          </w:tcPr>
          <w:p w14:paraId="32725016">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4.2</w:t>
            </w:r>
          </w:p>
        </w:tc>
        <w:tc>
          <w:tcPr>
            <w:tcW w:w="698" w:type="dxa"/>
            <w:vAlign w:val="center"/>
          </w:tcPr>
          <w:p w14:paraId="667733F5">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33.5</w:t>
            </w:r>
          </w:p>
        </w:tc>
        <w:tc>
          <w:tcPr>
            <w:tcW w:w="539" w:type="dxa"/>
            <w:vAlign w:val="center"/>
          </w:tcPr>
          <w:p w14:paraId="0611214A">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2.5</w:t>
            </w:r>
          </w:p>
        </w:tc>
        <w:tc>
          <w:tcPr>
            <w:tcW w:w="717" w:type="dxa"/>
            <w:vAlign w:val="center"/>
          </w:tcPr>
          <w:p w14:paraId="5A36BAD8">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36</w:t>
            </w:r>
          </w:p>
        </w:tc>
        <w:tc>
          <w:tcPr>
            <w:tcW w:w="750" w:type="dxa"/>
            <w:vAlign w:val="center"/>
          </w:tcPr>
          <w:p w14:paraId="00AADBB2">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13</w:t>
            </w:r>
          </w:p>
        </w:tc>
        <w:tc>
          <w:tcPr>
            <w:tcW w:w="837" w:type="dxa"/>
            <w:vAlign w:val="center"/>
          </w:tcPr>
          <w:p w14:paraId="35BAEC5E">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33.5</w:t>
            </w:r>
          </w:p>
        </w:tc>
        <w:tc>
          <w:tcPr>
            <w:tcW w:w="785" w:type="dxa"/>
            <w:vAlign w:val="center"/>
          </w:tcPr>
          <w:p w14:paraId="5F0AAE89">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0.9</w:t>
            </w:r>
          </w:p>
        </w:tc>
      </w:tr>
      <w:tr w14:paraId="4EF7B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20" w:hRule="exact"/>
          <w:jc w:val="center"/>
        </w:trPr>
        <w:tc>
          <w:tcPr>
            <w:tcW w:w="652" w:type="dxa"/>
            <w:vAlign w:val="center"/>
          </w:tcPr>
          <w:p w14:paraId="40043C04">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2020</w:t>
            </w:r>
          </w:p>
        </w:tc>
        <w:tc>
          <w:tcPr>
            <w:tcW w:w="706" w:type="dxa"/>
            <w:vAlign w:val="center"/>
          </w:tcPr>
          <w:p w14:paraId="7D7F2FB4">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171</w:t>
            </w:r>
          </w:p>
        </w:tc>
        <w:tc>
          <w:tcPr>
            <w:tcW w:w="595" w:type="dxa"/>
            <w:vAlign w:val="center"/>
          </w:tcPr>
          <w:p w14:paraId="13560CD2">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−2.5</w:t>
            </w:r>
          </w:p>
        </w:tc>
        <w:tc>
          <w:tcPr>
            <w:tcW w:w="698" w:type="dxa"/>
            <w:vAlign w:val="center"/>
          </w:tcPr>
          <w:p w14:paraId="673694A7">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6.8</w:t>
            </w:r>
          </w:p>
        </w:tc>
        <w:tc>
          <w:tcPr>
            <w:tcW w:w="697" w:type="dxa"/>
            <w:vAlign w:val="center"/>
          </w:tcPr>
          <w:p w14:paraId="33F1A5A2">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5</w:t>
            </w:r>
          </w:p>
        </w:tc>
        <w:tc>
          <w:tcPr>
            <w:tcW w:w="838" w:type="dxa"/>
            <w:vAlign w:val="center"/>
          </w:tcPr>
          <w:p w14:paraId="586BFEF5">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412</w:t>
            </w:r>
          </w:p>
        </w:tc>
        <w:tc>
          <w:tcPr>
            <w:tcW w:w="698" w:type="dxa"/>
            <w:vAlign w:val="center"/>
          </w:tcPr>
          <w:p w14:paraId="4220E54E">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−3.6</w:t>
            </w:r>
          </w:p>
        </w:tc>
        <w:tc>
          <w:tcPr>
            <w:tcW w:w="697" w:type="dxa"/>
            <w:vAlign w:val="center"/>
          </w:tcPr>
          <w:p w14:paraId="0309B52F">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23.4</w:t>
            </w:r>
          </w:p>
        </w:tc>
        <w:tc>
          <w:tcPr>
            <w:tcW w:w="558" w:type="dxa"/>
            <w:vAlign w:val="center"/>
          </w:tcPr>
          <w:p w14:paraId="2678895E">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4.3</w:t>
            </w:r>
          </w:p>
        </w:tc>
        <w:tc>
          <w:tcPr>
            <w:tcW w:w="698" w:type="dxa"/>
            <w:vAlign w:val="center"/>
          </w:tcPr>
          <w:p w14:paraId="793AA4F4">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33.8</w:t>
            </w:r>
          </w:p>
        </w:tc>
        <w:tc>
          <w:tcPr>
            <w:tcW w:w="539" w:type="dxa"/>
            <w:vAlign w:val="center"/>
          </w:tcPr>
          <w:p w14:paraId="59D71242">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2.3</w:t>
            </w:r>
          </w:p>
        </w:tc>
        <w:tc>
          <w:tcPr>
            <w:tcW w:w="717" w:type="dxa"/>
            <w:vAlign w:val="center"/>
          </w:tcPr>
          <w:p w14:paraId="2AE4644A">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38</w:t>
            </w:r>
          </w:p>
        </w:tc>
        <w:tc>
          <w:tcPr>
            <w:tcW w:w="750" w:type="dxa"/>
            <w:vAlign w:val="center"/>
          </w:tcPr>
          <w:p w14:paraId="16E83D75">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14.5</w:t>
            </w:r>
          </w:p>
        </w:tc>
        <w:tc>
          <w:tcPr>
            <w:tcW w:w="837" w:type="dxa"/>
            <w:vAlign w:val="center"/>
          </w:tcPr>
          <w:p w14:paraId="668A6B6C">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35.2</w:t>
            </w:r>
          </w:p>
        </w:tc>
        <w:tc>
          <w:tcPr>
            <w:tcW w:w="785" w:type="dxa"/>
            <w:vAlign w:val="center"/>
          </w:tcPr>
          <w:p w14:paraId="6747F7BB">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0.85</w:t>
            </w:r>
          </w:p>
        </w:tc>
      </w:tr>
      <w:tr w14:paraId="47890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20" w:hRule="exact"/>
          <w:jc w:val="center"/>
        </w:trPr>
        <w:tc>
          <w:tcPr>
            <w:tcW w:w="652" w:type="dxa"/>
            <w:vAlign w:val="center"/>
          </w:tcPr>
          <w:p w14:paraId="10493DF2">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2021</w:t>
            </w:r>
          </w:p>
        </w:tc>
        <w:tc>
          <w:tcPr>
            <w:tcW w:w="706" w:type="dxa"/>
            <w:vAlign w:val="center"/>
          </w:tcPr>
          <w:p w14:paraId="64DA1659">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197</w:t>
            </w:r>
          </w:p>
        </w:tc>
        <w:tc>
          <w:tcPr>
            <w:tcW w:w="595" w:type="dxa"/>
            <w:vAlign w:val="center"/>
          </w:tcPr>
          <w:p w14:paraId="1D983F55">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w:t>
            </w:r>
          </w:p>
        </w:tc>
        <w:tc>
          <w:tcPr>
            <w:tcW w:w="698" w:type="dxa"/>
            <w:vAlign w:val="center"/>
          </w:tcPr>
          <w:p w14:paraId="74C2620A">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8</w:t>
            </w:r>
          </w:p>
        </w:tc>
        <w:tc>
          <w:tcPr>
            <w:tcW w:w="697" w:type="dxa"/>
            <w:vAlign w:val="center"/>
          </w:tcPr>
          <w:p w14:paraId="60380262">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4.9</w:t>
            </w:r>
          </w:p>
        </w:tc>
        <w:tc>
          <w:tcPr>
            <w:tcW w:w="838" w:type="dxa"/>
            <w:vAlign w:val="center"/>
          </w:tcPr>
          <w:p w14:paraId="5FC0410B">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421.1</w:t>
            </w:r>
          </w:p>
        </w:tc>
        <w:tc>
          <w:tcPr>
            <w:tcW w:w="698" w:type="dxa"/>
            <w:vAlign w:val="center"/>
          </w:tcPr>
          <w:p w14:paraId="6D8C1BDC">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2.5</w:t>
            </w:r>
          </w:p>
        </w:tc>
        <w:tc>
          <w:tcPr>
            <w:tcW w:w="697" w:type="dxa"/>
            <w:vAlign w:val="center"/>
          </w:tcPr>
          <w:p w14:paraId="3315B119">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24</w:t>
            </w:r>
          </w:p>
        </w:tc>
        <w:tc>
          <w:tcPr>
            <w:tcW w:w="558" w:type="dxa"/>
            <w:vAlign w:val="center"/>
          </w:tcPr>
          <w:p w14:paraId="6237CE64">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4.3</w:t>
            </w:r>
          </w:p>
        </w:tc>
        <w:tc>
          <w:tcPr>
            <w:tcW w:w="698" w:type="dxa"/>
            <w:vAlign w:val="center"/>
          </w:tcPr>
          <w:p w14:paraId="11F5C905">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34</w:t>
            </w:r>
          </w:p>
        </w:tc>
        <w:tc>
          <w:tcPr>
            <w:tcW w:w="539" w:type="dxa"/>
            <w:vAlign w:val="center"/>
          </w:tcPr>
          <w:p w14:paraId="1D2D6D81">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w:t>
            </w:r>
          </w:p>
        </w:tc>
        <w:tc>
          <w:tcPr>
            <w:tcW w:w="717" w:type="dxa"/>
            <w:vAlign w:val="center"/>
          </w:tcPr>
          <w:p w14:paraId="72CEB98A">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40.5</w:t>
            </w:r>
          </w:p>
        </w:tc>
        <w:tc>
          <w:tcPr>
            <w:tcW w:w="750" w:type="dxa"/>
            <w:vAlign w:val="center"/>
          </w:tcPr>
          <w:p w14:paraId="7FB0CE80">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15.5</w:t>
            </w:r>
          </w:p>
        </w:tc>
        <w:tc>
          <w:tcPr>
            <w:tcW w:w="837" w:type="dxa"/>
            <w:vAlign w:val="center"/>
          </w:tcPr>
          <w:p w14:paraId="3CEF0FF1">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37</w:t>
            </w:r>
          </w:p>
        </w:tc>
        <w:tc>
          <w:tcPr>
            <w:tcW w:w="785" w:type="dxa"/>
            <w:vAlign w:val="center"/>
          </w:tcPr>
          <w:p w14:paraId="3A436BBD">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0.8</w:t>
            </w:r>
          </w:p>
        </w:tc>
      </w:tr>
      <w:tr w14:paraId="62E5E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20" w:hRule="exact"/>
          <w:jc w:val="center"/>
        </w:trPr>
        <w:tc>
          <w:tcPr>
            <w:tcW w:w="652" w:type="dxa"/>
            <w:vAlign w:val="center"/>
          </w:tcPr>
          <w:p w14:paraId="6FDE5B6B">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2022</w:t>
            </w:r>
          </w:p>
        </w:tc>
        <w:tc>
          <w:tcPr>
            <w:tcW w:w="706" w:type="dxa"/>
            <w:vAlign w:val="center"/>
          </w:tcPr>
          <w:p w14:paraId="40661334">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220.6</w:t>
            </w:r>
          </w:p>
        </w:tc>
        <w:tc>
          <w:tcPr>
            <w:tcW w:w="595" w:type="dxa"/>
            <w:vAlign w:val="center"/>
          </w:tcPr>
          <w:p w14:paraId="26FB8B22">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3.5</w:t>
            </w:r>
          </w:p>
        </w:tc>
        <w:tc>
          <w:tcPr>
            <w:tcW w:w="698" w:type="dxa"/>
            <w:vAlign w:val="center"/>
          </w:tcPr>
          <w:p w14:paraId="1B1557A5">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14</w:t>
            </w:r>
          </w:p>
        </w:tc>
        <w:tc>
          <w:tcPr>
            <w:tcW w:w="697" w:type="dxa"/>
            <w:vAlign w:val="center"/>
          </w:tcPr>
          <w:p w14:paraId="1CD00293">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4.8</w:t>
            </w:r>
          </w:p>
        </w:tc>
        <w:tc>
          <w:tcPr>
            <w:tcW w:w="838" w:type="dxa"/>
            <w:vAlign w:val="center"/>
          </w:tcPr>
          <w:p w14:paraId="72FF8CA1">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447.7</w:t>
            </w:r>
          </w:p>
        </w:tc>
        <w:tc>
          <w:tcPr>
            <w:tcW w:w="698" w:type="dxa"/>
            <w:vAlign w:val="center"/>
          </w:tcPr>
          <w:p w14:paraId="50C2E46A">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3.4</w:t>
            </w:r>
          </w:p>
        </w:tc>
        <w:tc>
          <w:tcPr>
            <w:tcW w:w="697" w:type="dxa"/>
            <w:vAlign w:val="center"/>
          </w:tcPr>
          <w:p w14:paraId="5FC18DF3">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25.2</w:t>
            </w:r>
          </w:p>
        </w:tc>
        <w:tc>
          <w:tcPr>
            <w:tcW w:w="558" w:type="dxa"/>
            <w:vAlign w:val="center"/>
          </w:tcPr>
          <w:p w14:paraId="1F6F7C25">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4.4</w:t>
            </w:r>
          </w:p>
        </w:tc>
        <w:tc>
          <w:tcPr>
            <w:tcW w:w="698" w:type="dxa"/>
            <w:vAlign w:val="center"/>
          </w:tcPr>
          <w:p w14:paraId="12FA5B41">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34.2</w:t>
            </w:r>
          </w:p>
        </w:tc>
        <w:tc>
          <w:tcPr>
            <w:tcW w:w="539" w:type="dxa"/>
            <w:vAlign w:val="center"/>
          </w:tcPr>
          <w:p w14:paraId="298B8EDA">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1.9</w:t>
            </w:r>
          </w:p>
        </w:tc>
        <w:tc>
          <w:tcPr>
            <w:tcW w:w="717" w:type="dxa"/>
            <w:vAlign w:val="center"/>
          </w:tcPr>
          <w:p w14:paraId="69F40A8C">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42</w:t>
            </w:r>
          </w:p>
        </w:tc>
        <w:tc>
          <w:tcPr>
            <w:tcW w:w="750" w:type="dxa"/>
            <w:vAlign w:val="center"/>
          </w:tcPr>
          <w:p w14:paraId="52459664">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16</w:t>
            </w:r>
          </w:p>
        </w:tc>
        <w:tc>
          <w:tcPr>
            <w:tcW w:w="837" w:type="dxa"/>
            <w:vAlign w:val="center"/>
          </w:tcPr>
          <w:p w14:paraId="52A76BFE">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38.5</w:t>
            </w:r>
          </w:p>
        </w:tc>
        <w:tc>
          <w:tcPr>
            <w:tcW w:w="785" w:type="dxa"/>
            <w:vAlign w:val="center"/>
          </w:tcPr>
          <w:p w14:paraId="7BE6DE2A">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0.75</w:t>
            </w:r>
          </w:p>
        </w:tc>
      </w:tr>
      <w:tr w14:paraId="5D1A4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80" w:type="dxa"/>
            <w:bottom w:w="80" w:type="dxa"/>
            <w:right w:w="80" w:type="dxa"/>
          </w:tblCellMar>
        </w:tblPrEx>
        <w:trPr>
          <w:trHeight w:val="320" w:hRule="exact"/>
          <w:jc w:val="center"/>
        </w:trPr>
        <w:tc>
          <w:tcPr>
            <w:tcW w:w="652" w:type="dxa"/>
            <w:vAlign w:val="center"/>
          </w:tcPr>
          <w:p w14:paraId="297018FF">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2023</w:t>
            </w:r>
          </w:p>
        </w:tc>
        <w:tc>
          <w:tcPr>
            <w:tcW w:w="706" w:type="dxa"/>
            <w:vAlign w:val="center"/>
          </w:tcPr>
          <w:p w14:paraId="4C7BBA04">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237</w:t>
            </w:r>
          </w:p>
        </w:tc>
        <w:tc>
          <w:tcPr>
            <w:tcW w:w="595" w:type="dxa"/>
            <w:vAlign w:val="center"/>
          </w:tcPr>
          <w:p w14:paraId="419BFAF4">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4.2</w:t>
            </w:r>
          </w:p>
        </w:tc>
        <w:tc>
          <w:tcPr>
            <w:tcW w:w="698" w:type="dxa"/>
            <w:vAlign w:val="center"/>
          </w:tcPr>
          <w:p w14:paraId="17F731C5">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13</w:t>
            </w:r>
          </w:p>
        </w:tc>
        <w:tc>
          <w:tcPr>
            <w:tcW w:w="697" w:type="dxa"/>
            <w:vAlign w:val="center"/>
          </w:tcPr>
          <w:p w14:paraId="013CFEDA">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4.8</w:t>
            </w:r>
          </w:p>
        </w:tc>
        <w:tc>
          <w:tcPr>
            <w:tcW w:w="838" w:type="dxa"/>
            <w:vAlign w:val="center"/>
          </w:tcPr>
          <w:p w14:paraId="1C09B216">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460.5</w:t>
            </w:r>
          </w:p>
        </w:tc>
        <w:tc>
          <w:tcPr>
            <w:tcW w:w="698" w:type="dxa"/>
            <w:vAlign w:val="center"/>
          </w:tcPr>
          <w:p w14:paraId="3B01B502">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4.1</w:t>
            </w:r>
          </w:p>
        </w:tc>
        <w:tc>
          <w:tcPr>
            <w:tcW w:w="697" w:type="dxa"/>
            <w:vAlign w:val="center"/>
          </w:tcPr>
          <w:p w14:paraId="4B89E9DA">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26.5</w:t>
            </w:r>
          </w:p>
        </w:tc>
        <w:tc>
          <w:tcPr>
            <w:tcW w:w="558" w:type="dxa"/>
            <w:vAlign w:val="center"/>
          </w:tcPr>
          <w:p w14:paraId="04DD235F">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4.4</w:t>
            </w:r>
          </w:p>
        </w:tc>
        <w:tc>
          <w:tcPr>
            <w:tcW w:w="698" w:type="dxa"/>
            <w:vAlign w:val="center"/>
          </w:tcPr>
          <w:p w14:paraId="32A29874">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34.5</w:t>
            </w:r>
          </w:p>
        </w:tc>
        <w:tc>
          <w:tcPr>
            <w:tcW w:w="539" w:type="dxa"/>
            <w:vAlign w:val="center"/>
          </w:tcPr>
          <w:p w14:paraId="22BF62AC">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1.7</w:t>
            </w:r>
          </w:p>
        </w:tc>
        <w:tc>
          <w:tcPr>
            <w:tcW w:w="717" w:type="dxa"/>
            <w:vAlign w:val="center"/>
          </w:tcPr>
          <w:p w14:paraId="233933BB">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43.5</w:t>
            </w:r>
          </w:p>
        </w:tc>
        <w:tc>
          <w:tcPr>
            <w:tcW w:w="750" w:type="dxa"/>
            <w:vAlign w:val="center"/>
          </w:tcPr>
          <w:p w14:paraId="64825F34">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17</w:t>
            </w:r>
          </w:p>
        </w:tc>
        <w:tc>
          <w:tcPr>
            <w:tcW w:w="837" w:type="dxa"/>
            <w:vAlign w:val="center"/>
          </w:tcPr>
          <w:p w14:paraId="788B38A9">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40</w:t>
            </w:r>
          </w:p>
        </w:tc>
        <w:tc>
          <w:tcPr>
            <w:tcW w:w="785" w:type="dxa"/>
            <w:vAlign w:val="center"/>
          </w:tcPr>
          <w:p w14:paraId="1009A562">
            <w:pPr>
              <w:pStyle w:val="71"/>
              <w:widowControl/>
              <w:jc w:val="both"/>
              <w:rPr>
                <w:rFonts w:ascii="Times New Roman" w:hAnsi="Times New Roman" w:eastAsia="Times-Roman" w:cs="Times New Roman"/>
                <w:color w:val="000000"/>
                <w:sz w:val="20"/>
                <w:szCs w:val="20"/>
                <w:lang w:val="ru-RU"/>
              </w:rPr>
            </w:pPr>
            <w:r>
              <w:rPr>
                <w:rFonts w:ascii="Times New Roman" w:hAnsi="Times New Roman" w:eastAsia="Times-Roman" w:cs="Times New Roman"/>
                <w:color w:val="000000"/>
                <w:sz w:val="20"/>
                <w:szCs w:val="20"/>
                <w:lang w:val="ru-RU"/>
              </w:rPr>
              <w:t>0.7</w:t>
            </w:r>
          </w:p>
        </w:tc>
      </w:tr>
    </w:tbl>
    <w:p w14:paraId="546EE814">
      <w:pPr>
        <w:spacing w:after="0" w:line="240" w:lineRule="auto"/>
        <w:jc w:val="both"/>
        <w:rPr>
          <w:rFonts w:ascii="Times New Roman" w:hAnsi="Times New Roman" w:eastAsia="Times-Roman" w:cs="Times New Roman"/>
          <w:color w:val="000000"/>
          <w:sz w:val="28"/>
          <w:szCs w:val="28"/>
        </w:rPr>
      </w:pPr>
    </w:p>
    <w:p w14:paraId="3DCA1CC2">
      <w:pPr>
        <w:spacing w:after="0" w:line="240" w:lineRule="auto"/>
        <w:jc w:val="both"/>
        <w:rPr>
          <w:rFonts w:ascii="Times New Roman" w:hAnsi="Times New Roman" w:eastAsia="Times-Roman" w:cs="Times New Roman"/>
          <w:color w:val="000000"/>
          <w:sz w:val="28"/>
          <w:szCs w:val="28"/>
        </w:rPr>
      </w:pPr>
    </w:p>
    <w:p w14:paraId="0DBE21FC">
      <w:pPr>
        <w:autoSpaceDE w:val="0"/>
        <w:autoSpaceDN w:val="0"/>
        <w:adjustRightInd w:val="0"/>
        <w:spacing w:after="0" w:line="240" w:lineRule="auto"/>
        <w:contextualSpacing/>
        <w:jc w:val="right"/>
        <w:rPr>
          <w:rFonts w:ascii="Times New Roman" w:hAnsi="Times New Roman" w:cs="Times New Roman"/>
          <w:color w:val="000000"/>
          <w:sz w:val="28"/>
          <w:szCs w:val="28"/>
        </w:rPr>
      </w:pPr>
    </w:p>
    <w:p w14:paraId="522A7C6A">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14:paraId="42F3CD5E">
      <w:pPr>
        <w:autoSpaceDE w:val="0"/>
        <w:autoSpaceDN w:val="0"/>
        <w:adjustRightInd w:val="0"/>
        <w:spacing w:after="0" w:line="240" w:lineRule="auto"/>
        <w:contextualSpacing/>
        <w:jc w:val="right"/>
        <w:rPr>
          <w:rFonts w:ascii="Times New Roman" w:hAnsi="Times New Roman" w:cs="Times New Roman"/>
          <w:color w:val="000000"/>
          <w:sz w:val="28"/>
          <w:szCs w:val="28"/>
        </w:rPr>
      </w:pPr>
      <w:r>
        <w:rPr>
          <w:rFonts w:ascii="Times New Roman" w:hAnsi="Times New Roman" w:cs="Times New Roman"/>
          <w:color w:val="000000"/>
          <w:sz w:val="28"/>
          <w:szCs w:val="28"/>
        </w:rPr>
        <w:t>ПРИЛОЖЕНИЕ В</w:t>
      </w:r>
    </w:p>
    <w:p w14:paraId="1E1A6757">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p>
    <w:p w14:paraId="75FB466D">
      <w:pPr>
        <w:autoSpaceDE w:val="0"/>
        <w:autoSpaceDN w:val="0"/>
        <w:adjustRightInd w:val="0"/>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Нормативно-правовая база развития вторичного рынка проблемных активов</w:t>
      </w:r>
    </w:p>
    <w:p w14:paraId="43C9AAED">
      <w:pPr>
        <w:autoSpaceDE w:val="0"/>
        <w:autoSpaceDN w:val="0"/>
        <w:adjustRightInd w:val="0"/>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drawing>
          <wp:inline distT="0" distB="0" distL="0" distR="0">
            <wp:extent cx="6096000" cy="4105275"/>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Рисунок 228"/>
                    <pic:cNvPicPr>
                      <a:picLocks noChangeAspect="1" noChangeArrowheads="1"/>
                    </pic:cNvPicPr>
                  </pic:nvPicPr>
                  <pic:blipFill>
                    <a:blip r:embed="rId1246">
                      <a:extLst>
                        <a:ext uri="{28A0092B-C50C-407E-A947-70E740481C1C}">
                          <a14:useLocalDpi xmlns:a14="http://schemas.microsoft.com/office/drawing/2010/main" val="0"/>
                        </a:ext>
                      </a:extLst>
                    </a:blip>
                    <a:srcRect/>
                    <a:stretch>
                      <a:fillRect/>
                    </a:stretch>
                  </pic:blipFill>
                  <pic:spPr>
                    <a:xfrm>
                      <a:off x="0" y="0"/>
                      <a:ext cx="6096000" cy="4105275"/>
                    </a:xfrm>
                    <a:prstGeom prst="rect">
                      <a:avLst/>
                    </a:prstGeom>
                    <a:noFill/>
                    <a:ln>
                      <a:noFill/>
                    </a:ln>
                  </pic:spPr>
                </pic:pic>
              </a:graphicData>
            </a:graphic>
          </wp:inline>
        </w:drawing>
      </w:r>
    </w:p>
    <w:bookmarkEnd w:id="33"/>
    <w:p w14:paraId="2AAF0C28">
      <w:pPr>
        <w:autoSpaceDE w:val="0"/>
        <w:autoSpaceDN w:val="0"/>
        <w:adjustRightInd w:val="0"/>
        <w:spacing w:after="0" w:line="240" w:lineRule="auto"/>
        <w:contextualSpacing/>
        <w:jc w:val="both"/>
        <w:rPr>
          <w:rFonts w:ascii="Times New Roman" w:hAnsi="Times New Roman" w:cs="Times New Roman"/>
          <w:color w:val="000000"/>
          <w:sz w:val="28"/>
          <w:szCs w:val="28"/>
        </w:rPr>
        <w:sectPr>
          <w:footerReference r:id="rId5" w:type="default"/>
          <w:type w:val="continuous"/>
          <w:pgSz w:w="11906" w:h="16838"/>
          <w:pgMar w:top="1134" w:right="567" w:bottom="1134" w:left="1701" w:header="709" w:footer="709" w:gutter="0"/>
          <w:pgNumType w:start="1"/>
          <w:cols w:space="708" w:num="1"/>
          <w:titlePg/>
          <w:docGrid w:linePitch="360" w:charSpace="0"/>
        </w:sectPr>
      </w:pPr>
    </w:p>
    <w:p w14:paraId="18722E01">
      <w:pPr>
        <w:autoSpaceDE w:val="0"/>
        <w:autoSpaceDN w:val="0"/>
        <w:adjustRightInd w:val="0"/>
        <w:spacing w:after="0" w:line="240" w:lineRule="auto"/>
        <w:contextualSpacing/>
        <w:jc w:val="both"/>
        <w:rPr>
          <w:rFonts w:ascii="Times New Roman" w:hAnsi="Times New Roman" w:cs="Times New Roman"/>
          <w:color w:val="000000"/>
          <w:sz w:val="28"/>
          <w:szCs w:val="28"/>
          <w:lang w:val="kk-KZ"/>
        </w:rPr>
      </w:pPr>
    </w:p>
    <w:sectPr>
      <w:pgSz w:w="16838" w:h="11906" w:orient="landscape"/>
      <w:pgMar w:top="1701" w:right="1134" w:bottom="567" w:left="1134" w:header="709" w:footer="709" w:gutter="0"/>
      <w:pgNumType w:start="2"/>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Liberation Serif">
    <w:altName w:val="Times New Roman"/>
    <w:panose1 w:val="00000000000000000000"/>
    <w:charset w:val="00"/>
    <w:family w:val="roman"/>
    <w:pitch w:val="default"/>
    <w:sig w:usb0="00000000" w:usb1="00000000" w:usb2="00000000" w:usb3="00000000" w:csb0="00000000" w:csb1="00000000"/>
  </w:font>
  <w:font w:name="NSimSun">
    <w:panose1 w:val="02010609030101010101"/>
    <w:charset w:val="86"/>
    <w:family w:val="modern"/>
    <w:pitch w:val="default"/>
    <w:sig w:usb0="00000203" w:usb1="288F0000" w:usb2="00000006" w:usb3="00000000" w:csb0="00040001" w:csb1="00000000"/>
  </w:font>
  <w:font w:name="Lucida Sans">
    <w:panose1 w:val="020B0602030504020204"/>
    <w:charset w:val="00"/>
    <w:family w:val="swiss"/>
    <w:pitch w:val="default"/>
    <w:sig w:usb0="00000003" w:usb1="00000000" w:usb2="00000000" w:usb3="00000000" w:csb0="20000001" w:csb1="00000000"/>
  </w:font>
  <w:font w:name="Times-Italic">
    <w:altName w:val="Times New Roman"/>
    <w:panose1 w:val="00000000000000000000"/>
    <w:charset w:val="00"/>
    <w:family w:val="auto"/>
    <w:pitch w:val="default"/>
    <w:sig w:usb0="00000000" w:usb1="00000000" w:usb2="00000000" w:usb3="00000000" w:csb0="00000000" w:csb1="00000000"/>
  </w:font>
  <w:font w:name="Liberation Sans">
    <w:altName w:val="Arial"/>
    <w:panose1 w:val="00000000000000000000"/>
    <w:charset w:val="00"/>
    <w:family w:val="swiss"/>
    <w:pitch w:val="default"/>
    <w:sig w:usb0="00000000" w:usb1="00000000" w:usb2="00000000" w:usb3="00000000" w:csb0="00000000" w:csb1="00000000"/>
  </w:font>
  <w:font w:name="Microsoft YaHei">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Times-Roman">
    <w:altName w:val="Times New Roman"/>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Calibri">
    <w:panose1 w:val="020F0502020204030204"/>
    <w:charset w:val="01"/>
    <w:family w:val="auto"/>
    <w:pitch w:val="default"/>
    <w:sig w:usb0="E4002EFF" w:usb1="C2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Times-Bold">
    <w:altName w:val="Times New Roman"/>
    <w:panose1 w:val="00000000000000000000"/>
    <w:charset w:val="00"/>
    <w:family w:val="auto"/>
    <w:pitch w:val="default"/>
    <w:sig w:usb0="00000000" w:usb1="00000000" w:usb2="00000000" w:usb3="00000000" w:csb0="00000000" w:csb1="00000000"/>
  </w:font>
  <w:font w:name="Palatino Linotype">
    <w:panose1 w:val="02040502050505030304"/>
    <w:charset w:val="CC"/>
    <w:family w:val="roman"/>
    <w:pitch w:val="default"/>
    <w:sig w:usb0="E0000287" w:usb1="40000013" w:usb2="00000000" w:usb3="00000000" w:csb0="2000019F" w:csb1="00000000"/>
  </w:font>
  <w:font w:name="Times-BoldItalic">
    <w:altName w:val="Times New Roman"/>
    <w:panose1 w:val="00000000000000000000"/>
    <w:charset w:val="00"/>
    <w:family w:val="auto"/>
    <w:pitch w:val="default"/>
    <w:sig w:usb0="00000000" w:usb1="00000000" w:usb2="00000000" w:usb3="00000000" w:csb0="00000000" w:csb1="00000000"/>
  </w:font>
  <w:font w:name="Cambria Math">
    <w:panose1 w:val="02040503050406030204"/>
    <w:charset w:val="CC"/>
    <w:family w:val="roman"/>
    <w:pitch w:val="default"/>
    <w:sig w:usb0="E00006FF" w:usb1="420024FF" w:usb2="02000000" w:usb3="00000000" w:csb0="2000019F" w:csb1="00000000"/>
  </w:font>
  <w:font w:name="Verdana">
    <w:panose1 w:val="020B0604030504040204"/>
    <w:charset w:val="CC"/>
    <w:family w:val="swiss"/>
    <w:pitch w:val="default"/>
    <w:sig w:usb0="A00006FF" w:usb1="4000205B" w:usb2="00000010" w:usb3="00000000" w:csb0="2000019F"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92278926"/>
      <w:docPartObj>
        <w:docPartGallery w:val="autotext"/>
      </w:docPartObj>
    </w:sdtPr>
    <w:sdtContent>
      <w:p w14:paraId="7F7D05ED">
        <w:pPr>
          <w:pStyle w:val="27"/>
          <w:jc w:val="center"/>
        </w:pPr>
        <w:r>
          <w:fldChar w:fldCharType="begin"/>
        </w:r>
        <w:r>
          <w:instrText xml:space="preserve">PAGE   \* MERGEFORMAT</w:instrText>
        </w:r>
        <w:r>
          <w:fldChar w:fldCharType="separate"/>
        </w:r>
        <w:r>
          <w:t>2</w:t>
        </w:r>
        <w:r>
          <w:fldChar w:fldCharType="end"/>
        </w:r>
      </w:p>
    </w:sdtContent>
  </w:sdt>
  <w:p w14:paraId="6F4C7BEA">
    <w:pPr>
      <w:pStyle w:val="2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before="0" w:after="0" w:line="276" w:lineRule="auto"/>
      </w:pPr>
      <w:r>
        <w:separator/>
      </w:r>
    </w:p>
  </w:footnote>
  <w:footnote w:type="continuationSeparator" w:id="5">
    <w:p>
      <w:pPr>
        <w:spacing w:before="0" w:after="0" w:line="276" w:lineRule="auto"/>
      </w:pPr>
      <w:r>
        <w:continuationSeparator/>
      </w:r>
    </w:p>
  </w:footnote>
  <w:footnote w:id="0">
    <w:p w14:paraId="4495FC2F">
      <w:pPr>
        <w:pStyle w:val="21"/>
        <w:jc w:val="both"/>
        <w:rPr>
          <w:rFonts w:ascii="Times New Roman" w:hAnsi="Times New Roman" w:cs="Times New Roman"/>
        </w:rPr>
      </w:pPr>
      <w:r>
        <w:rPr>
          <w:rStyle w:val="8"/>
          <w:rFonts w:ascii="Times New Roman" w:hAnsi="Times New Roman" w:cs="Times New Roman"/>
        </w:rPr>
        <w:footnoteRef/>
      </w:r>
      <w:r>
        <w:rPr>
          <w:rFonts w:ascii="Times New Roman" w:hAnsi="Times New Roman" w:cs="Times New Roman"/>
        </w:rPr>
        <w:t xml:space="preserve"> Напомним, что в</w:t>
      </w:r>
      <w:r>
        <w:rPr>
          <w:rFonts w:ascii="Times New Roman" w:hAnsi="Times New Roman" w:eastAsia="Calibri" w:cs="Times New Roman"/>
        </w:rPr>
        <w:t xml:space="preserve"> настоящее время в Казахстане функцию экономического агента </w:t>
      </w:r>
      <m:oMath>
        <m:r>
          <m:rPr>
            <m:nor/>
          </m:rPr>
          <w:rPr>
            <w:rFonts w:ascii="Times New Roman" w:hAnsi="Times New Roman" w:eastAsia="Calibri" w:cs="Times New Roman"/>
            <w:i/>
          </w:rPr>
          <m:t>d</m:t>
        </m:r>
      </m:oMath>
      <w:r>
        <w:rPr>
          <w:rFonts w:ascii="Times New Roman" w:hAnsi="Times New Roman" w:eastAsia="Calibri" w:cs="Times New Roman"/>
        </w:rPr>
        <w:t xml:space="preserve"> выполняет </w:t>
      </w:r>
      <w:r>
        <w:rPr>
          <w:rFonts w:ascii="Times New Roman" w:hAnsi="Times New Roman" w:cs="Times New Roman"/>
        </w:rPr>
        <w:t>АО "Фонд проблемных кредитов"</w:t>
      </w:r>
      <w:r>
        <w:rPr>
          <w:rFonts w:ascii="Times New Roman" w:hAnsi="Times New Roman" w:eastAsia="Calibri" w:cs="Times New Roman"/>
        </w:rPr>
        <w:t>.</w:t>
      </w:r>
    </w:p>
  </w:footnote>
  <w:footnote w:id="1">
    <w:p w14:paraId="48F87050">
      <w:pPr>
        <w:pStyle w:val="37"/>
        <w:ind w:firstLine="0"/>
      </w:pPr>
      <w:r>
        <w:rPr>
          <w:rStyle w:val="8"/>
        </w:rPr>
        <w:footnoteRef/>
      </w:r>
      <w:r>
        <w:t xml:space="preserve"> </w:t>
      </w:r>
      <w:r>
        <w:rPr>
          <w:rFonts w:eastAsia="Calibri"/>
          <w:lang w:eastAsia="en-US"/>
        </w:rPr>
        <w:t xml:space="preserve">Полагая, что в Казахстане минимальные требования к капиталу </w:t>
      </w:r>
      <w:r>
        <w:rPr>
          <w:position w:val="-10"/>
        </w:rPr>
        <w:object>
          <v:shape id="_x0000_i1443" o:spt="75" type="#_x0000_t75" style="height:15.75pt;width:43.5pt;" o:ole="t" filled="f" o:preferrelative="t" stroked="f" coordsize="21600,21600">
            <v:path/>
            <v:fill on="f" focussize="0,0"/>
            <v:stroke on="f" joinstyle="miter"/>
            <v:imagedata r:id="rId2" o:title=""/>
            <o:lock v:ext="edit" aspectratio="t"/>
            <w10:wrap type="none"/>
            <w10:anchorlock/>
          </v:shape>
          <o:OLEObject Type="Embed" ProgID="Equation.DSMT4" ShapeID="_x0000_i1443" DrawAspect="Content" ObjectID="_1468075725" r:id="rId1">
            <o:LockedField>false</o:LockedField>
          </o:OLEObject>
        </w:object>
      </w:r>
      <w:r>
        <w:t>,</w:t>
      </w:r>
      <w:r>
        <w:rPr>
          <w:rFonts w:eastAsia="Calibri"/>
          <w:lang w:eastAsia="en-US"/>
        </w:rPr>
        <w:t xml:space="preserve"> вероятность погашения рискованного актива </w:t>
      </w:r>
      <w:r>
        <w:rPr>
          <w:position w:val="-10"/>
        </w:rPr>
        <w:object>
          <v:shape id="_x0000_i1444" o:spt="75" type="#_x0000_t75" style="height:15.75pt;width:44.25pt;" o:ole="t" filled="f" o:preferrelative="t" stroked="f" coordsize="21600,21600">
            <v:path/>
            <v:fill on="f" focussize="0,0"/>
            <v:stroke on="f" joinstyle="miter"/>
            <v:imagedata r:id="rId4" o:title=""/>
            <o:lock v:ext="edit" aspectratio="t"/>
            <w10:wrap type="none"/>
            <w10:anchorlock/>
          </v:shape>
          <o:OLEObject Type="Embed" ProgID="Equation.DSMT4" ShapeID="_x0000_i1444" DrawAspect="Content" ObjectID="_1468075726" r:id="rId3">
            <o:LockedField>false</o:LockedField>
          </o:OLEObject>
        </w:object>
      </w:r>
      <w:r>
        <w:t>.</w:t>
      </w:r>
      <w:r>
        <w:rPr>
          <w:rFonts w:eastAsia="Calibri"/>
          <w:lang w:eastAsia="en-US"/>
        </w:rPr>
        <w:t xml:space="preserve"> Тогда чтобы нарушить (42) доходность по новым кредитам должна быть выше </w:t>
      </w:r>
      <w:r>
        <w:rPr>
          <w:position w:val="-6"/>
        </w:rPr>
        <w:object>
          <v:shape id="_x0000_i1445" o:spt="75" type="#_x0000_t75" style="height:13.5pt;width:37.5pt;" o:ole="t" filled="f" o:preferrelative="t" stroked="f" coordsize="21600,21600">
            <v:path/>
            <v:fill on="f" focussize="0,0"/>
            <v:stroke on="f" joinstyle="miter"/>
            <v:imagedata r:id="rId6" o:title=""/>
            <o:lock v:ext="edit" aspectratio="t"/>
            <w10:wrap type="none"/>
            <w10:anchorlock/>
          </v:shape>
          <o:OLEObject Type="Embed" ProgID="Equation.DSMT4" ShapeID="_x0000_i1445" DrawAspect="Content" ObjectID="_1468075727" r:id="rId5">
            <o:LockedField>false</o:LockedField>
          </o:OLEObject>
        </w:object>
      </w:r>
      <w:r>
        <w:rPr>
          <w:rFonts w:eastAsia="Calibri"/>
          <w:lang w:eastAsia="en-US"/>
        </w:rPr>
        <w:t xml:space="preserve">. При увеличении </w:t>
      </w:r>
      <w:r>
        <w:rPr>
          <w:position w:val="-10"/>
        </w:rPr>
        <w:object>
          <v:shape id="_x0000_i1446" o:spt="75" type="#_x0000_t75" style="height:13.5pt;width:12pt;" o:ole="t" filled="f" o:preferrelative="t" stroked="f" coordsize="21600,21600">
            <v:path/>
            <v:fill on="f" focussize="0,0"/>
            <v:stroke on="f" joinstyle="miter"/>
            <v:imagedata r:id="rId8" o:title=""/>
            <o:lock v:ext="edit" aspectratio="t"/>
            <w10:wrap type="none"/>
            <w10:anchorlock/>
          </v:shape>
          <o:OLEObject Type="Embed" ProgID="Equation.DSMT4" ShapeID="_x0000_i1446" DrawAspect="Content" ObjectID="_1468075728" r:id="rId7">
            <o:LockedField>false</o:LockedField>
          </o:OLEObject>
        </w:object>
      </w:r>
      <w:r>
        <w:rPr>
          <w:rFonts w:eastAsia="Calibri"/>
          <w:lang w:eastAsia="en-US"/>
        </w:rPr>
        <w:t xml:space="preserve"> максимум </w:t>
      </w:r>
      <w:r>
        <w:rPr>
          <w:position w:val="-6"/>
        </w:rPr>
        <w:object>
          <v:shape id="_x0000_i1447" o:spt="75" type="#_x0000_t75" style="height:11.25pt;width:9.75pt;" o:ole="t" filled="f" o:preferrelative="t" stroked="f" coordsize="21600,21600">
            <v:path/>
            <v:fill on="f" focussize="0,0"/>
            <v:stroke on="f" joinstyle="miter"/>
            <v:imagedata r:id="rId10" o:title=""/>
            <o:lock v:ext="edit" aspectratio="t"/>
            <w10:wrap type="none"/>
            <w10:anchorlock/>
          </v:shape>
          <o:OLEObject Type="Embed" ProgID="Equation.DSMT4" ShapeID="_x0000_i1447" DrawAspect="Content" ObjectID="_1468075729" r:id="rId9">
            <o:LockedField>false</o:LockedField>
          </o:OLEObject>
        </w:object>
      </w:r>
      <w:r>
        <w:rPr>
          <w:rFonts w:eastAsia="Calibri"/>
          <w:lang w:eastAsia="en-US"/>
        </w:rPr>
        <w:t xml:space="preserve"> возрастает, а при уменьшении </w:t>
      </w:r>
      <w:r>
        <w:rPr>
          <w:position w:val="-10"/>
        </w:rPr>
        <w:object>
          <v:shape id="_x0000_i1448" o:spt="75" type="#_x0000_t75" style="height:13.5pt;width:12pt;" o:ole="t" filled="f" o:preferrelative="t" stroked="f" coordsize="21600,21600">
            <v:path/>
            <v:fill on="f" focussize="0,0"/>
            <v:stroke on="f" joinstyle="miter"/>
            <v:imagedata r:id="rId8" o:title=""/>
            <o:lock v:ext="edit" aspectratio="t"/>
            <w10:wrap type="none"/>
            <w10:anchorlock/>
          </v:shape>
          <o:OLEObject Type="Embed" ProgID="Equation.DSMT4" ShapeID="_x0000_i1448" DrawAspect="Content" ObjectID="_1468075730" r:id="rId11">
            <o:LockedField>false</o:LockedField>
          </o:OLEObject>
        </w:object>
      </w:r>
      <w:r>
        <w:rPr>
          <w:rFonts w:eastAsia="Calibri"/>
          <w:lang w:eastAsia="en-US"/>
        </w:rPr>
        <w:t xml:space="preserve"> максимум </w:t>
      </w:r>
      <w:r>
        <w:rPr>
          <w:position w:val="-6"/>
        </w:rPr>
        <w:object>
          <v:shape id="_x0000_i1449" o:spt="75" type="#_x0000_t75" style="height:11.25pt;width:9.75pt;" o:ole="t" filled="f" o:preferrelative="t" stroked="f" coordsize="21600,21600">
            <v:path/>
            <v:fill on="f" focussize="0,0"/>
            <v:stroke on="f" joinstyle="miter"/>
            <v:imagedata r:id="rId10" o:title=""/>
            <o:lock v:ext="edit" aspectratio="t"/>
            <w10:wrap type="none"/>
            <w10:anchorlock/>
          </v:shape>
          <o:OLEObject Type="Embed" ProgID="Equation.DSMT4" ShapeID="_x0000_i1449" DrawAspect="Content" ObjectID="_1468075731" r:id="rId12">
            <o:LockedField>false</o:LockedField>
          </o:OLEObject>
        </w:object>
      </w:r>
      <w:r>
        <w:rPr>
          <w:rFonts w:eastAsia="Calibri"/>
          <w:lang w:eastAsia="en-US"/>
        </w:rPr>
        <w:t xml:space="preserve"> падает.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59A5B4"/>
    <w:multiLevelType w:val="multilevel"/>
    <w:tmpl w:val="8859A5B4"/>
    <w:lvl w:ilvl="0" w:tentative="0">
      <w:start w:val="1"/>
      <w:numFmt w:val="decimal"/>
      <w:lvlText w:val="%1)"/>
      <w:lvlJc w:val="left"/>
      <w:pPr>
        <w:ind w:left="1418" w:hanging="360"/>
      </w:pPr>
      <w:rPr>
        <w:rFonts w:ascii="Times New Roman" w:hAnsi="Times New Roman" w:cs="Times New Roman" w:eastAsiaTheme="minorHAnsi"/>
      </w:rPr>
    </w:lvl>
    <w:lvl w:ilvl="1" w:tentative="0">
      <w:start w:val="1"/>
      <w:numFmt w:val="lowerLetter"/>
      <w:lvlText w:val="%2."/>
      <w:lvlJc w:val="left"/>
      <w:pPr>
        <w:ind w:left="2138" w:hanging="360"/>
      </w:pPr>
    </w:lvl>
    <w:lvl w:ilvl="2" w:tentative="0">
      <w:start w:val="1"/>
      <w:numFmt w:val="lowerRoman"/>
      <w:lvlText w:val="%3."/>
      <w:lvlJc w:val="right"/>
      <w:pPr>
        <w:ind w:left="2858" w:hanging="180"/>
      </w:pPr>
    </w:lvl>
    <w:lvl w:ilvl="3" w:tentative="0">
      <w:start w:val="1"/>
      <w:numFmt w:val="decimal"/>
      <w:lvlText w:val="%4."/>
      <w:lvlJc w:val="left"/>
      <w:pPr>
        <w:ind w:left="3578" w:hanging="360"/>
      </w:pPr>
    </w:lvl>
    <w:lvl w:ilvl="4" w:tentative="0">
      <w:start w:val="1"/>
      <w:numFmt w:val="lowerLetter"/>
      <w:lvlText w:val="%5."/>
      <w:lvlJc w:val="left"/>
      <w:pPr>
        <w:ind w:left="4298" w:hanging="360"/>
      </w:pPr>
    </w:lvl>
    <w:lvl w:ilvl="5" w:tentative="0">
      <w:start w:val="1"/>
      <w:numFmt w:val="lowerRoman"/>
      <w:lvlText w:val="%6."/>
      <w:lvlJc w:val="right"/>
      <w:pPr>
        <w:ind w:left="5018" w:hanging="180"/>
      </w:pPr>
    </w:lvl>
    <w:lvl w:ilvl="6" w:tentative="0">
      <w:start w:val="1"/>
      <w:numFmt w:val="decimal"/>
      <w:lvlText w:val="%7."/>
      <w:lvlJc w:val="left"/>
      <w:pPr>
        <w:ind w:left="5738" w:hanging="360"/>
      </w:pPr>
    </w:lvl>
    <w:lvl w:ilvl="7" w:tentative="0">
      <w:start w:val="1"/>
      <w:numFmt w:val="lowerLetter"/>
      <w:lvlText w:val="%8."/>
      <w:lvlJc w:val="left"/>
      <w:pPr>
        <w:ind w:left="6458" w:hanging="360"/>
      </w:pPr>
    </w:lvl>
    <w:lvl w:ilvl="8" w:tentative="0">
      <w:start w:val="1"/>
      <w:numFmt w:val="lowerRoman"/>
      <w:lvlText w:val="%9."/>
      <w:lvlJc w:val="right"/>
      <w:pPr>
        <w:ind w:left="7178" w:hanging="180"/>
      </w:pPr>
    </w:lvl>
  </w:abstractNum>
  <w:abstractNum w:abstractNumId="1">
    <w:nsid w:val="C6ABB572"/>
    <w:multiLevelType w:val="multilevel"/>
    <w:tmpl w:val="C6ABB572"/>
    <w:lvl w:ilvl="0" w:tentative="0">
      <w:start w:val="1"/>
      <w:numFmt w:val="decimal"/>
      <w:suff w:val="space"/>
      <w:lvlText w:val="%1)"/>
      <w:lvlJc w:val="left"/>
    </w:lvl>
    <w:lvl w:ilvl="1" w:tentative="0">
      <w:start w:val="1"/>
      <w:numFmt w:val="lowerLetter"/>
      <w:lvlText w:val="%2)"/>
      <w:lvlJc w:val="left"/>
      <w:pPr>
        <w:tabs>
          <w:tab w:val="left" w:pos="840"/>
        </w:tabs>
        <w:ind w:left="840" w:hanging="420"/>
      </w:pPr>
      <w:rPr>
        <w:rFonts w:hint="default"/>
      </w:rPr>
    </w:lvl>
    <w:lvl w:ilvl="2" w:tentative="0">
      <w:start w:val="1"/>
      <w:numFmt w:val="lowerRoman"/>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decimal"/>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Roman"/>
      <w:lvlText w:val="%9."/>
      <w:lvlJc w:val="left"/>
      <w:pPr>
        <w:tabs>
          <w:tab w:val="left" w:pos="3780"/>
        </w:tabs>
        <w:ind w:left="3780" w:hanging="420"/>
      </w:pPr>
      <w:rPr>
        <w:rFonts w:hint="default"/>
      </w:rPr>
    </w:lvl>
  </w:abstractNum>
  <w:abstractNum w:abstractNumId="2">
    <w:nsid w:val="CED9579A"/>
    <w:multiLevelType w:val="multilevel"/>
    <w:tmpl w:val="CED9579A"/>
    <w:lvl w:ilvl="0" w:tentative="0">
      <w:start w:val="1"/>
      <w:numFmt w:val="decimal"/>
      <w:lvlText w:val="%1)"/>
      <w:lvlJc w:val="left"/>
      <w:pPr>
        <w:ind w:left="927" w:hanging="360"/>
      </w:pPr>
      <w:rPr>
        <w:rFonts w:ascii="Times New Roman" w:hAnsi="Times New Roman" w:cs="Times New Roman" w:eastAsiaTheme="minorHAnsi"/>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3">
    <w:nsid w:val="02BF1597"/>
    <w:multiLevelType w:val="multilevel"/>
    <w:tmpl w:val="02BF1597"/>
    <w:lvl w:ilvl="0" w:tentative="0">
      <w:start w:val="1"/>
      <w:numFmt w:val="decimal"/>
      <w:lvlText w:val="%1."/>
      <w:lvlJc w:val="left"/>
      <w:pPr>
        <w:tabs>
          <w:tab w:val="left" w:pos="502"/>
        </w:tabs>
        <w:ind w:left="502"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082646D2"/>
    <w:multiLevelType w:val="multilevel"/>
    <w:tmpl w:val="082646D2"/>
    <w:lvl w:ilvl="0" w:tentative="0">
      <w:start w:val="1"/>
      <w:numFmt w:val="bullet"/>
      <w:lvlText w:val="-"/>
      <w:lvlJc w:val="left"/>
      <w:pPr>
        <w:ind w:left="1429" w:hanging="360"/>
      </w:pPr>
      <w:rPr>
        <w:rFonts w:hint="default" w:ascii="Times New Roman" w:hAnsi="Times New Roman" w:cs="Times New Roman" w:eastAsiaTheme="minorHAnsi"/>
        <w:color w:val="auto"/>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5">
    <w:nsid w:val="0898C130"/>
    <w:multiLevelType w:val="multilevel"/>
    <w:tmpl w:val="0898C130"/>
    <w:lvl w:ilvl="0" w:tentative="0">
      <w:start w:val="1"/>
      <w:numFmt w:val="decimal"/>
      <w:lvlText w:val="%1)"/>
      <w:lvlJc w:val="left"/>
      <w:pPr>
        <w:tabs>
          <w:tab w:val="left" w:pos="720"/>
        </w:tabs>
        <w:ind w:left="720" w:hanging="360"/>
      </w:pPr>
      <w:rPr>
        <w:rFonts w:ascii="Times New Roman" w:hAnsi="Times New Roman" w:cs="Times New Roman" w:eastAsiaTheme="minorHAnsi"/>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09E68E68"/>
    <w:multiLevelType w:val="multilevel"/>
    <w:tmpl w:val="09E68E68"/>
    <w:lvl w:ilvl="0" w:tentative="0">
      <w:start w:val="1"/>
      <w:numFmt w:val="decimal"/>
      <w:lvlText w:val="%1)"/>
      <w:lvlJc w:val="left"/>
      <w:pPr>
        <w:ind w:left="786" w:hanging="360"/>
      </w:pPr>
      <w:rPr>
        <w:rFonts w:ascii="Times New Roman" w:hAnsi="Times New Roman" w:cs="Times New Roman" w:eastAsiaTheme="minorHAnsi"/>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7">
    <w:nsid w:val="0BBE3C28"/>
    <w:multiLevelType w:val="multilevel"/>
    <w:tmpl w:val="0BBE3C28"/>
    <w:lvl w:ilvl="0" w:tentative="0">
      <w:start w:val="1"/>
      <w:numFmt w:val="decimal"/>
      <w:lvlText w:val="%1)"/>
      <w:lvlJc w:val="left"/>
      <w:pPr>
        <w:ind w:left="644" w:hanging="360"/>
      </w:pPr>
      <w:rPr>
        <w:rFonts w:ascii="Times New Roman" w:hAnsi="Times New Roman" w:eastAsia="Times New Roman" w:cs="Times New Roman"/>
      </w:r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8">
    <w:nsid w:val="0EF874B9"/>
    <w:multiLevelType w:val="multilevel"/>
    <w:tmpl w:val="0EF874B9"/>
    <w:lvl w:ilvl="0" w:tentative="0">
      <w:start w:val="1"/>
      <w:numFmt w:val="decimal"/>
      <w:lvlText w:val="%1)"/>
      <w:lvlJc w:val="left"/>
      <w:pPr>
        <w:tabs>
          <w:tab w:val="left" w:pos="720"/>
        </w:tabs>
        <w:ind w:left="720" w:hanging="360"/>
      </w:pPr>
      <w:rPr>
        <w:rFonts w:ascii="Times New Roman" w:hAnsi="Times New Roman" w:cs="Times New Roman" w:eastAsiaTheme="minorHAnsi"/>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0F7D515A"/>
    <w:multiLevelType w:val="multilevel"/>
    <w:tmpl w:val="0F7D515A"/>
    <w:lvl w:ilvl="0" w:tentative="0">
      <w:start w:val="18"/>
      <w:numFmt w:val="decimal"/>
      <w:lvlText w:val="%1."/>
      <w:lvlJc w:val="left"/>
      <w:pPr>
        <w:tabs>
          <w:tab w:val="left" w:pos="720"/>
        </w:tabs>
        <w:ind w:left="720" w:hanging="360"/>
      </w:pPr>
    </w:lvl>
    <w:lvl w:ilvl="1" w:tentative="0">
      <w:start w:val="1"/>
      <w:numFmt w:val="decimal"/>
      <w:lvlText w:val="%2)"/>
      <w:lvlJc w:val="left"/>
      <w:pPr>
        <w:ind w:left="1440" w:hanging="360"/>
      </w:pPr>
      <w:rPr>
        <w:rFonts w:hint="default"/>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1F8020B0"/>
    <w:multiLevelType w:val="multilevel"/>
    <w:tmpl w:val="1F8020B0"/>
    <w:lvl w:ilvl="0" w:tentative="0">
      <w:start w:val="1"/>
      <w:numFmt w:val="decimal"/>
      <w:lvlText w:val="%1)"/>
      <w:lvlJc w:val="left"/>
      <w:pPr>
        <w:ind w:left="927" w:hanging="360"/>
      </w:pPr>
      <w:rPr>
        <w:rFonts w:ascii="Times New Roman" w:hAnsi="Times New Roman" w:cs="Times New Roman" w:eastAsiaTheme="minorHAnsi"/>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11">
    <w:nsid w:val="24272CE1"/>
    <w:multiLevelType w:val="multilevel"/>
    <w:tmpl w:val="24272CE1"/>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12">
    <w:nsid w:val="317C1490"/>
    <w:multiLevelType w:val="multilevel"/>
    <w:tmpl w:val="317C1490"/>
    <w:lvl w:ilvl="0" w:tentative="0">
      <w:start w:val="1"/>
      <w:numFmt w:val="bullet"/>
      <w:lvlText w:val="-"/>
      <w:lvlJc w:val="left"/>
      <w:pPr>
        <w:tabs>
          <w:tab w:val="left" w:pos="720"/>
        </w:tabs>
        <w:ind w:left="720" w:hanging="360"/>
      </w:pPr>
      <w:rPr>
        <w:rFonts w:hint="default" w:ascii="Times New Roman" w:hAnsi="Times New Roman" w:cs="Times New Roman" w:eastAsiaTheme="minorHAnsi"/>
        <w:color w:val="auto"/>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3">
    <w:nsid w:val="33871106"/>
    <w:multiLevelType w:val="multilevel"/>
    <w:tmpl w:val="33871106"/>
    <w:lvl w:ilvl="0" w:tentative="0">
      <w:start w:val="1"/>
      <w:numFmt w:val="decimal"/>
      <w:lvlText w:val="%1"/>
      <w:lvlJc w:val="left"/>
      <w:pPr>
        <w:ind w:left="786" w:hanging="360"/>
      </w:pPr>
      <w:rPr>
        <w:rFonts w:ascii="Times New Roman" w:hAnsi="Times New Roman" w:eastAsia="Calibri" w:cs="Times New Roman"/>
        <w:b w:val="0"/>
        <w:bCs w:val="0"/>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14">
    <w:nsid w:val="3985DAFA"/>
    <w:multiLevelType w:val="multilevel"/>
    <w:tmpl w:val="3985DAFA"/>
    <w:lvl w:ilvl="0" w:tentative="0">
      <w:start w:val="1"/>
      <w:numFmt w:val="decimal"/>
      <w:lvlText w:val="%1)"/>
      <w:lvlJc w:val="left"/>
      <w:pPr>
        <w:ind w:left="927" w:hanging="360"/>
      </w:pPr>
      <w:rPr>
        <w:rFonts w:ascii="Times New Roman" w:hAnsi="Times New Roman" w:cs="Times New Roman" w:eastAsiaTheme="minorHAnsi"/>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15">
    <w:nsid w:val="39C155A8"/>
    <w:multiLevelType w:val="multilevel"/>
    <w:tmpl w:val="39C155A8"/>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3A163A63"/>
    <w:multiLevelType w:val="multilevel"/>
    <w:tmpl w:val="3A163A63"/>
    <w:lvl w:ilvl="0" w:tentative="0">
      <w:start w:val="1"/>
      <w:numFmt w:val="decimal"/>
      <w:lvlText w:val="%1)"/>
      <w:lvlJc w:val="left"/>
      <w:pPr>
        <w:ind w:left="927" w:hanging="360"/>
      </w:pPr>
      <w:rPr>
        <w:rFonts w:ascii="Times New Roman" w:hAnsi="Times New Roman" w:cs="Times New Roman" w:eastAsiaTheme="minorHAnsi"/>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17">
    <w:nsid w:val="488F6700"/>
    <w:multiLevelType w:val="multilevel"/>
    <w:tmpl w:val="488F6700"/>
    <w:lvl w:ilvl="0" w:tentative="0">
      <w:start w:val="1"/>
      <w:numFmt w:val="decimal"/>
      <w:lvlText w:val="%1)"/>
      <w:lvlJc w:val="left"/>
      <w:pPr>
        <w:tabs>
          <w:tab w:val="left" w:pos="720"/>
        </w:tabs>
        <w:ind w:left="720" w:hanging="360"/>
      </w:pPr>
      <w:rPr>
        <w:rFonts w:ascii="Times New Roman" w:hAnsi="Times New Roman" w:eastAsia="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8">
    <w:nsid w:val="49197590"/>
    <w:multiLevelType w:val="multilevel"/>
    <w:tmpl w:val="49197590"/>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9">
    <w:nsid w:val="4D225964"/>
    <w:multiLevelType w:val="multilevel"/>
    <w:tmpl w:val="4D225964"/>
    <w:lvl w:ilvl="0" w:tentative="0">
      <w:start w:val="1"/>
      <w:numFmt w:val="decimal"/>
      <w:lvlText w:val="%1"/>
      <w:lvlJc w:val="left"/>
      <w:pPr>
        <w:ind w:left="375" w:hanging="375"/>
      </w:pPr>
      <w:rPr>
        <w:rFonts w:hint="default"/>
      </w:rPr>
    </w:lvl>
    <w:lvl w:ilvl="1" w:tentative="0">
      <w:start w:val="1"/>
      <w:numFmt w:val="decimal"/>
      <w:lvlText w:val="%1.%2"/>
      <w:lvlJc w:val="left"/>
      <w:pPr>
        <w:ind w:left="801" w:hanging="375"/>
      </w:pPr>
      <w:rPr>
        <w:rFonts w:hint="default"/>
      </w:rPr>
    </w:lvl>
    <w:lvl w:ilvl="2" w:tentative="0">
      <w:start w:val="1"/>
      <w:numFmt w:val="decimal"/>
      <w:lvlText w:val="%1.%2.%3"/>
      <w:lvlJc w:val="left"/>
      <w:pPr>
        <w:ind w:left="2138" w:hanging="720"/>
      </w:pPr>
      <w:rPr>
        <w:rFonts w:hint="default"/>
      </w:rPr>
    </w:lvl>
    <w:lvl w:ilvl="3" w:tentative="0">
      <w:start w:val="1"/>
      <w:numFmt w:val="decimal"/>
      <w:lvlText w:val="%1.%2.%3.%4"/>
      <w:lvlJc w:val="left"/>
      <w:pPr>
        <w:ind w:left="3207" w:hanging="1080"/>
      </w:pPr>
      <w:rPr>
        <w:rFonts w:hint="default"/>
      </w:rPr>
    </w:lvl>
    <w:lvl w:ilvl="4" w:tentative="0">
      <w:start w:val="1"/>
      <w:numFmt w:val="decimal"/>
      <w:lvlText w:val="%1.%2.%3.%4.%5"/>
      <w:lvlJc w:val="left"/>
      <w:pPr>
        <w:ind w:left="3916" w:hanging="1080"/>
      </w:pPr>
      <w:rPr>
        <w:rFonts w:hint="default"/>
      </w:rPr>
    </w:lvl>
    <w:lvl w:ilvl="5" w:tentative="0">
      <w:start w:val="1"/>
      <w:numFmt w:val="decimal"/>
      <w:lvlText w:val="%1.%2.%3.%4.%5.%6"/>
      <w:lvlJc w:val="left"/>
      <w:pPr>
        <w:ind w:left="4985" w:hanging="1440"/>
      </w:pPr>
      <w:rPr>
        <w:rFonts w:hint="default"/>
      </w:rPr>
    </w:lvl>
    <w:lvl w:ilvl="6" w:tentative="0">
      <w:start w:val="1"/>
      <w:numFmt w:val="decimal"/>
      <w:lvlText w:val="%1.%2.%3.%4.%5.%6.%7"/>
      <w:lvlJc w:val="left"/>
      <w:pPr>
        <w:ind w:left="5694" w:hanging="1440"/>
      </w:pPr>
      <w:rPr>
        <w:rFonts w:hint="default"/>
      </w:rPr>
    </w:lvl>
    <w:lvl w:ilvl="7" w:tentative="0">
      <w:start w:val="1"/>
      <w:numFmt w:val="decimal"/>
      <w:lvlText w:val="%1.%2.%3.%4.%5.%6.%7.%8"/>
      <w:lvlJc w:val="left"/>
      <w:pPr>
        <w:ind w:left="6763" w:hanging="1800"/>
      </w:pPr>
      <w:rPr>
        <w:rFonts w:hint="default"/>
      </w:rPr>
    </w:lvl>
    <w:lvl w:ilvl="8" w:tentative="0">
      <w:start w:val="1"/>
      <w:numFmt w:val="decimal"/>
      <w:lvlText w:val="%1.%2.%3.%4.%5.%6.%7.%8.%9"/>
      <w:lvlJc w:val="left"/>
      <w:pPr>
        <w:ind w:left="7832" w:hanging="2160"/>
      </w:pPr>
      <w:rPr>
        <w:rFonts w:hint="default"/>
      </w:rPr>
    </w:lvl>
  </w:abstractNum>
  <w:abstractNum w:abstractNumId="20">
    <w:nsid w:val="58323D10"/>
    <w:multiLevelType w:val="multilevel"/>
    <w:tmpl w:val="58323D10"/>
    <w:lvl w:ilvl="0" w:tentative="0">
      <w:start w:val="4"/>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60614286"/>
    <w:multiLevelType w:val="multilevel"/>
    <w:tmpl w:val="60614286"/>
    <w:lvl w:ilvl="0" w:tentative="0">
      <w:start w:val="1"/>
      <w:numFmt w:val="decimal"/>
      <w:lvlText w:val="%1)"/>
      <w:lvlJc w:val="left"/>
      <w:pPr>
        <w:tabs>
          <w:tab w:val="left" w:pos="786"/>
        </w:tabs>
        <w:ind w:left="786" w:hanging="360"/>
      </w:pPr>
      <w:rPr>
        <w:rFonts w:ascii="Times New Roman" w:hAnsi="Times New Roman" w:eastAsia="Times New Roman" w:cs="Times New Roman"/>
      </w:rPr>
    </w:lvl>
    <w:lvl w:ilvl="1" w:tentative="0">
      <w:start w:val="1"/>
      <w:numFmt w:val="decimal"/>
      <w:lvlText w:val="%2."/>
      <w:lvlJc w:val="left"/>
      <w:pPr>
        <w:tabs>
          <w:tab w:val="left" w:pos="1506"/>
        </w:tabs>
        <w:ind w:left="1506" w:hanging="360"/>
      </w:pPr>
    </w:lvl>
    <w:lvl w:ilvl="2" w:tentative="0">
      <w:start w:val="1"/>
      <w:numFmt w:val="decimal"/>
      <w:lvlText w:val="%3."/>
      <w:lvlJc w:val="left"/>
      <w:pPr>
        <w:tabs>
          <w:tab w:val="left" w:pos="2226"/>
        </w:tabs>
        <w:ind w:left="2226" w:hanging="360"/>
      </w:pPr>
    </w:lvl>
    <w:lvl w:ilvl="3" w:tentative="0">
      <w:start w:val="1"/>
      <w:numFmt w:val="decimal"/>
      <w:lvlText w:val="%4."/>
      <w:lvlJc w:val="left"/>
      <w:pPr>
        <w:tabs>
          <w:tab w:val="left" w:pos="2946"/>
        </w:tabs>
        <w:ind w:left="2946" w:hanging="360"/>
      </w:pPr>
    </w:lvl>
    <w:lvl w:ilvl="4" w:tentative="0">
      <w:start w:val="1"/>
      <w:numFmt w:val="decimal"/>
      <w:lvlText w:val="%5."/>
      <w:lvlJc w:val="left"/>
      <w:pPr>
        <w:tabs>
          <w:tab w:val="left" w:pos="3666"/>
        </w:tabs>
        <w:ind w:left="3666" w:hanging="360"/>
      </w:pPr>
    </w:lvl>
    <w:lvl w:ilvl="5" w:tentative="0">
      <w:start w:val="1"/>
      <w:numFmt w:val="decimal"/>
      <w:lvlText w:val="%6."/>
      <w:lvlJc w:val="left"/>
      <w:pPr>
        <w:tabs>
          <w:tab w:val="left" w:pos="4386"/>
        </w:tabs>
        <w:ind w:left="4386" w:hanging="360"/>
      </w:pPr>
    </w:lvl>
    <w:lvl w:ilvl="6" w:tentative="0">
      <w:start w:val="1"/>
      <w:numFmt w:val="decimal"/>
      <w:lvlText w:val="%7."/>
      <w:lvlJc w:val="left"/>
      <w:pPr>
        <w:tabs>
          <w:tab w:val="left" w:pos="5106"/>
        </w:tabs>
        <w:ind w:left="5106" w:hanging="360"/>
      </w:pPr>
    </w:lvl>
    <w:lvl w:ilvl="7" w:tentative="0">
      <w:start w:val="1"/>
      <w:numFmt w:val="decimal"/>
      <w:lvlText w:val="%8."/>
      <w:lvlJc w:val="left"/>
      <w:pPr>
        <w:tabs>
          <w:tab w:val="left" w:pos="5826"/>
        </w:tabs>
        <w:ind w:left="5826" w:hanging="360"/>
      </w:pPr>
    </w:lvl>
    <w:lvl w:ilvl="8" w:tentative="0">
      <w:start w:val="1"/>
      <w:numFmt w:val="decimal"/>
      <w:lvlText w:val="%9."/>
      <w:lvlJc w:val="left"/>
      <w:pPr>
        <w:tabs>
          <w:tab w:val="left" w:pos="6546"/>
        </w:tabs>
        <w:ind w:left="6546" w:hanging="360"/>
      </w:pPr>
    </w:lvl>
  </w:abstractNum>
  <w:abstractNum w:abstractNumId="22">
    <w:nsid w:val="76492B89"/>
    <w:multiLevelType w:val="multilevel"/>
    <w:tmpl w:val="76492B89"/>
    <w:lvl w:ilvl="0" w:tentative="0">
      <w:start w:val="1"/>
      <w:numFmt w:val="decimal"/>
      <w:lvlText w:val="%1)"/>
      <w:lvlJc w:val="left"/>
      <w:pPr>
        <w:tabs>
          <w:tab w:val="left" w:pos="720"/>
        </w:tabs>
        <w:ind w:left="720" w:hanging="360"/>
      </w:pPr>
      <w:rPr>
        <w:rFonts w:ascii="Times New Roman" w:hAnsi="Times New Roman" w:eastAsia="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0"/>
  </w:num>
  <w:num w:numId="2">
    <w:abstractNumId w:val="8"/>
  </w:num>
  <w:num w:numId="3">
    <w:abstractNumId w:val="5"/>
  </w:num>
  <w:num w:numId="4">
    <w:abstractNumId w:val="19"/>
  </w:num>
  <w:num w:numId="5">
    <w:abstractNumId w:val="4"/>
  </w:num>
  <w:num w:numId="6">
    <w:abstractNumId w:val="17"/>
  </w:num>
  <w:num w:numId="7">
    <w:abstractNumId w:val="22"/>
  </w:num>
  <w:num w:numId="8">
    <w:abstractNumId w:val="12"/>
  </w:num>
  <w:num w:numId="9">
    <w:abstractNumId w:val="1"/>
  </w:num>
  <w:num w:numId="10">
    <w:abstractNumId w:val="7"/>
  </w:num>
  <w:num w:numId="11">
    <w:abstractNumId w:val="3"/>
  </w:num>
  <w:num w:numId="12">
    <w:abstractNumId w:val="21"/>
  </w:num>
  <w:num w:numId="13">
    <w:abstractNumId w:val="9"/>
  </w:num>
  <w:num w:numId="14">
    <w:abstractNumId w:val="15"/>
  </w:num>
  <w:num w:numId="15">
    <w:abstractNumId w:val="11"/>
  </w:num>
  <w:num w:numId="16">
    <w:abstractNumId w:val="2"/>
  </w:num>
  <w:num w:numId="17">
    <w:abstractNumId w:val="0"/>
  </w:num>
  <w:num w:numId="18">
    <w:abstractNumId w:val="14"/>
  </w:num>
  <w:num w:numId="19">
    <w:abstractNumId w:val="16"/>
  </w:num>
  <w:num w:numId="20">
    <w:abstractNumId w:val="10"/>
  </w:num>
  <w:num w:numId="21">
    <w:abstractNumId w:val="6"/>
  </w:num>
  <w:num w:numId="22">
    <w:abstractNumId w:val="18"/>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formatting="1" w:enforcement="0"/>
  <w:defaultTabStop w:val="708"/>
  <w:characterSpacingControl w:val="doNotCompress"/>
  <w:footnotePr>
    <w:footnote w:id="4"/>
    <w:footnote w:id="5"/>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F88"/>
    <w:rsid w:val="00001D80"/>
    <w:rsid w:val="00010DB7"/>
    <w:rsid w:val="00011B85"/>
    <w:rsid w:val="000123B6"/>
    <w:rsid w:val="00012F31"/>
    <w:rsid w:val="00013131"/>
    <w:rsid w:val="000139A4"/>
    <w:rsid w:val="0001514C"/>
    <w:rsid w:val="00015E3A"/>
    <w:rsid w:val="00015FD4"/>
    <w:rsid w:val="000165D1"/>
    <w:rsid w:val="00016FA9"/>
    <w:rsid w:val="0002015B"/>
    <w:rsid w:val="00020D86"/>
    <w:rsid w:val="00021DA1"/>
    <w:rsid w:val="00022144"/>
    <w:rsid w:val="00022265"/>
    <w:rsid w:val="000222B9"/>
    <w:rsid w:val="00023D49"/>
    <w:rsid w:val="00024B01"/>
    <w:rsid w:val="0002593D"/>
    <w:rsid w:val="00027AFB"/>
    <w:rsid w:val="0003481F"/>
    <w:rsid w:val="00034979"/>
    <w:rsid w:val="00034A55"/>
    <w:rsid w:val="00040E06"/>
    <w:rsid w:val="0004128F"/>
    <w:rsid w:val="000418A2"/>
    <w:rsid w:val="00041E95"/>
    <w:rsid w:val="000433DA"/>
    <w:rsid w:val="00043455"/>
    <w:rsid w:val="00044C71"/>
    <w:rsid w:val="00046DE1"/>
    <w:rsid w:val="00047978"/>
    <w:rsid w:val="00047A0F"/>
    <w:rsid w:val="00051A33"/>
    <w:rsid w:val="00052ADA"/>
    <w:rsid w:val="0005326B"/>
    <w:rsid w:val="00053B02"/>
    <w:rsid w:val="000564AB"/>
    <w:rsid w:val="0006096C"/>
    <w:rsid w:val="000623FF"/>
    <w:rsid w:val="00062866"/>
    <w:rsid w:val="00064B80"/>
    <w:rsid w:val="00065898"/>
    <w:rsid w:val="00066D7A"/>
    <w:rsid w:val="00075412"/>
    <w:rsid w:val="000765AA"/>
    <w:rsid w:val="00080D42"/>
    <w:rsid w:val="00081494"/>
    <w:rsid w:val="00083E9F"/>
    <w:rsid w:val="00084E7A"/>
    <w:rsid w:val="00086335"/>
    <w:rsid w:val="00087498"/>
    <w:rsid w:val="00092C90"/>
    <w:rsid w:val="00097847"/>
    <w:rsid w:val="000A0A37"/>
    <w:rsid w:val="000A1912"/>
    <w:rsid w:val="000A4249"/>
    <w:rsid w:val="000A4FE2"/>
    <w:rsid w:val="000A5548"/>
    <w:rsid w:val="000A7057"/>
    <w:rsid w:val="000A7FED"/>
    <w:rsid w:val="000B0F9E"/>
    <w:rsid w:val="000B215D"/>
    <w:rsid w:val="000B621D"/>
    <w:rsid w:val="000B6779"/>
    <w:rsid w:val="000B7F4E"/>
    <w:rsid w:val="000C0750"/>
    <w:rsid w:val="000C0B51"/>
    <w:rsid w:val="000C1D7A"/>
    <w:rsid w:val="000C1DBA"/>
    <w:rsid w:val="000C394C"/>
    <w:rsid w:val="000C5FF5"/>
    <w:rsid w:val="000D24FC"/>
    <w:rsid w:val="000D3962"/>
    <w:rsid w:val="000D488B"/>
    <w:rsid w:val="000D4B6C"/>
    <w:rsid w:val="000D7139"/>
    <w:rsid w:val="000E12DB"/>
    <w:rsid w:val="000E1636"/>
    <w:rsid w:val="000E50E4"/>
    <w:rsid w:val="000E5F45"/>
    <w:rsid w:val="000E6A83"/>
    <w:rsid w:val="000E6EFE"/>
    <w:rsid w:val="000E779B"/>
    <w:rsid w:val="000F0501"/>
    <w:rsid w:val="000F255F"/>
    <w:rsid w:val="000F2C8C"/>
    <w:rsid w:val="000F3023"/>
    <w:rsid w:val="000F7C4F"/>
    <w:rsid w:val="00101390"/>
    <w:rsid w:val="0010140B"/>
    <w:rsid w:val="001016E3"/>
    <w:rsid w:val="00102072"/>
    <w:rsid w:val="001053EF"/>
    <w:rsid w:val="00105D53"/>
    <w:rsid w:val="00111AF0"/>
    <w:rsid w:val="00112057"/>
    <w:rsid w:val="00113CC3"/>
    <w:rsid w:val="0011465D"/>
    <w:rsid w:val="001206D7"/>
    <w:rsid w:val="00121576"/>
    <w:rsid w:val="00121E16"/>
    <w:rsid w:val="00123029"/>
    <w:rsid w:val="001234FB"/>
    <w:rsid w:val="00123547"/>
    <w:rsid w:val="0012525A"/>
    <w:rsid w:val="00125C09"/>
    <w:rsid w:val="0012658E"/>
    <w:rsid w:val="00130234"/>
    <w:rsid w:val="00133850"/>
    <w:rsid w:val="001347B7"/>
    <w:rsid w:val="0013481F"/>
    <w:rsid w:val="00135D23"/>
    <w:rsid w:val="00142B1B"/>
    <w:rsid w:val="00142CF0"/>
    <w:rsid w:val="0014337B"/>
    <w:rsid w:val="001467FB"/>
    <w:rsid w:val="0014768F"/>
    <w:rsid w:val="00150A5E"/>
    <w:rsid w:val="00150F0A"/>
    <w:rsid w:val="00153760"/>
    <w:rsid w:val="0015414A"/>
    <w:rsid w:val="00157D70"/>
    <w:rsid w:val="0016322A"/>
    <w:rsid w:val="00164F96"/>
    <w:rsid w:val="001668B0"/>
    <w:rsid w:val="001679DA"/>
    <w:rsid w:val="00170B1A"/>
    <w:rsid w:val="0017105A"/>
    <w:rsid w:val="00172425"/>
    <w:rsid w:val="001725D4"/>
    <w:rsid w:val="001762E4"/>
    <w:rsid w:val="00177B4A"/>
    <w:rsid w:val="00182CAC"/>
    <w:rsid w:val="00183743"/>
    <w:rsid w:val="00184D31"/>
    <w:rsid w:val="0018647D"/>
    <w:rsid w:val="00186743"/>
    <w:rsid w:val="00187883"/>
    <w:rsid w:val="001958CF"/>
    <w:rsid w:val="0019728C"/>
    <w:rsid w:val="00197CF6"/>
    <w:rsid w:val="00197D54"/>
    <w:rsid w:val="001A0339"/>
    <w:rsid w:val="001A1326"/>
    <w:rsid w:val="001A1539"/>
    <w:rsid w:val="001A28FE"/>
    <w:rsid w:val="001A30AB"/>
    <w:rsid w:val="001A4515"/>
    <w:rsid w:val="001A4AEA"/>
    <w:rsid w:val="001A63A2"/>
    <w:rsid w:val="001B21E5"/>
    <w:rsid w:val="001B29AC"/>
    <w:rsid w:val="001B3C98"/>
    <w:rsid w:val="001C0606"/>
    <w:rsid w:val="001C387B"/>
    <w:rsid w:val="001D097C"/>
    <w:rsid w:val="001D3012"/>
    <w:rsid w:val="001D32F6"/>
    <w:rsid w:val="001D3524"/>
    <w:rsid w:val="001D366E"/>
    <w:rsid w:val="001D3B12"/>
    <w:rsid w:val="001D5994"/>
    <w:rsid w:val="001D7251"/>
    <w:rsid w:val="001E1761"/>
    <w:rsid w:val="001E2043"/>
    <w:rsid w:val="001E256D"/>
    <w:rsid w:val="001E2E4A"/>
    <w:rsid w:val="001E31E8"/>
    <w:rsid w:val="001E59C9"/>
    <w:rsid w:val="001E5DF8"/>
    <w:rsid w:val="001E6398"/>
    <w:rsid w:val="001E6930"/>
    <w:rsid w:val="001F2743"/>
    <w:rsid w:val="001F3FFB"/>
    <w:rsid w:val="001F6245"/>
    <w:rsid w:val="001F653A"/>
    <w:rsid w:val="001F778D"/>
    <w:rsid w:val="002002EA"/>
    <w:rsid w:val="00200631"/>
    <w:rsid w:val="00200B00"/>
    <w:rsid w:val="00201CAE"/>
    <w:rsid w:val="00202130"/>
    <w:rsid w:val="002024D4"/>
    <w:rsid w:val="0020428E"/>
    <w:rsid w:val="00204D98"/>
    <w:rsid w:val="00207781"/>
    <w:rsid w:val="00210FC8"/>
    <w:rsid w:val="00211755"/>
    <w:rsid w:val="002118E9"/>
    <w:rsid w:val="00214A18"/>
    <w:rsid w:val="00214C49"/>
    <w:rsid w:val="00215715"/>
    <w:rsid w:val="00215C02"/>
    <w:rsid w:val="00220C34"/>
    <w:rsid w:val="00222746"/>
    <w:rsid w:val="0022723E"/>
    <w:rsid w:val="00227D7E"/>
    <w:rsid w:val="00230879"/>
    <w:rsid w:val="002316CB"/>
    <w:rsid w:val="0023634D"/>
    <w:rsid w:val="00237C4F"/>
    <w:rsid w:val="00240377"/>
    <w:rsid w:val="00241021"/>
    <w:rsid w:val="002422A9"/>
    <w:rsid w:val="002443E7"/>
    <w:rsid w:val="0024492A"/>
    <w:rsid w:val="00245B2B"/>
    <w:rsid w:val="00245FCA"/>
    <w:rsid w:val="00246C7F"/>
    <w:rsid w:val="002511B3"/>
    <w:rsid w:val="00251399"/>
    <w:rsid w:val="0025305A"/>
    <w:rsid w:val="0025449F"/>
    <w:rsid w:val="002545A5"/>
    <w:rsid w:val="00256619"/>
    <w:rsid w:val="0025702C"/>
    <w:rsid w:val="00257F32"/>
    <w:rsid w:val="00260334"/>
    <w:rsid w:val="002607B9"/>
    <w:rsid w:val="00260FF1"/>
    <w:rsid w:val="0026286D"/>
    <w:rsid w:val="00263316"/>
    <w:rsid w:val="00264486"/>
    <w:rsid w:val="00267353"/>
    <w:rsid w:val="002673A7"/>
    <w:rsid w:val="00272401"/>
    <w:rsid w:val="00272AB1"/>
    <w:rsid w:val="00273A4C"/>
    <w:rsid w:val="0027430F"/>
    <w:rsid w:val="00274B6A"/>
    <w:rsid w:val="002754B5"/>
    <w:rsid w:val="002769A1"/>
    <w:rsid w:val="002830E4"/>
    <w:rsid w:val="002870B3"/>
    <w:rsid w:val="0028723A"/>
    <w:rsid w:val="002872B9"/>
    <w:rsid w:val="00290AC4"/>
    <w:rsid w:val="002937B0"/>
    <w:rsid w:val="00294794"/>
    <w:rsid w:val="002953BF"/>
    <w:rsid w:val="002A1104"/>
    <w:rsid w:val="002A160B"/>
    <w:rsid w:val="002A3CA4"/>
    <w:rsid w:val="002A3ECC"/>
    <w:rsid w:val="002B04B7"/>
    <w:rsid w:val="002B4851"/>
    <w:rsid w:val="002B4AA2"/>
    <w:rsid w:val="002B5B29"/>
    <w:rsid w:val="002B66A1"/>
    <w:rsid w:val="002B788F"/>
    <w:rsid w:val="002C11F0"/>
    <w:rsid w:val="002C27F1"/>
    <w:rsid w:val="002C29D3"/>
    <w:rsid w:val="002C2A52"/>
    <w:rsid w:val="002C2EC6"/>
    <w:rsid w:val="002C3865"/>
    <w:rsid w:val="002C57FB"/>
    <w:rsid w:val="002C6954"/>
    <w:rsid w:val="002C7EBA"/>
    <w:rsid w:val="002D0020"/>
    <w:rsid w:val="002D05F9"/>
    <w:rsid w:val="002D13E6"/>
    <w:rsid w:val="002D3432"/>
    <w:rsid w:val="002D3B67"/>
    <w:rsid w:val="002D3F3F"/>
    <w:rsid w:val="002D6822"/>
    <w:rsid w:val="002D7753"/>
    <w:rsid w:val="002E0163"/>
    <w:rsid w:val="002E1137"/>
    <w:rsid w:val="002E2CDA"/>
    <w:rsid w:val="002F0582"/>
    <w:rsid w:val="002F0D83"/>
    <w:rsid w:val="002F18F6"/>
    <w:rsid w:val="002F244B"/>
    <w:rsid w:val="002F4D10"/>
    <w:rsid w:val="002F5DC1"/>
    <w:rsid w:val="0030433C"/>
    <w:rsid w:val="00304F4E"/>
    <w:rsid w:val="003059D0"/>
    <w:rsid w:val="00305FAA"/>
    <w:rsid w:val="003117AE"/>
    <w:rsid w:val="0031327A"/>
    <w:rsid w:val="00313BE7"/>
    <w:rsid w:val="00313E4C"/>
    <w:rsid w:val="00314CAF"/>
    <w:rsid w:val="00315778"/>
    <w:rsid w:val="0031686C"/>
    <w:rsid w:val="00316F59"/>
    <w:rsid w:val="00317425"/>
    <w:rsid w:val="00317B42"/>
    <w:rsid w:val="00317FC4"/>
    <w:rsid w:val="00321BF8"/>
    <w:rsid w:val="00322107"/>
    <w:rsid w:val="0032438E"/>
    <w:rsid w:val="003257BD"/>
    <w:rsid w:val="00326B1A"/>
    <w:rsid w:val="003270C1"/>
    <w:rsid w:val="003326F0"/>
    <w:rsid w:val="003331F2"/>
    <w:rsid w:val="00336D6E"/>
    <w:rsid w:val="003434D4"/>
    <w:rsid w:val="003436D0"/>
    <w:rsid w:val="00343B97"/>
    <w:rsid w:val="00343F2A"/>
    <w:rsid w:val="00344C50"/>
    <w:rsid w:val="00346153"/>
    <w:rsid w:val="003532AF"/>
    <w:rsid w:val="0035378C"/>
    <w:rsid w:val="00356122"/>
    <w:rsid w:val="00356EFE"/>
    <w:rsid w:val="0035714D"/>
    <w:rsid w:val="0036023D"/>
    <w:rsid w:val="00361325"/>
    <w:rsid w:val="00362AA7"/>
    <w:rsid w:val="00362DD5"/>
    <w:rsid w:val="00362E6B"/>
    <w:rsid w:val="00363278"/>
    <w:rsid w:val="00364FEC"/>
    <w:rsid w:val="00365885"/>
    <w:rsid w:val="00366777"/>
    <w:rsid w:val="00372991"/>
    <w:rsid w:val="00372E19"/>
    <w:rsid w:val="00373A51"/>
    <w:rsid w:val="0037451D"/>
    <w:rsid w:val="0037493E"/>
    <w:rsid w:val="00375CF5"/>
    <w:rsid w:val="00376389"/>
    <w:rsid w:val="003800E6"/>
    <w:rsid w:val="00382423"/>
    <w:rsid w:val="00382F60"/>
    <w:rsid w:val="00383642"/>
    <w:rsid w:val="00385802"/>
    <w:rsid w:val="00385B76"/>
    <w:rsid w:val="00387603"/>
    <w:rsid w:val="0039036B"/>
    <w:rsid w:val="00390E2A"/>
    <w:rsid w:val="00392A2B"/>
    <w:rsid w:val="00393591"/>
    <w:rsid w:val="0039384A"/>
    <w:rsid w:val="00395651"/>
    <w:rsid w:val="00397B47"/>
    <w:rsid w:val="003A3B68"/>
    <w:rsid w:val="003A45E2"/>
    <w:rsid w:val="003A482F"/>
    <w:rsid w:val="003A4A61"/>
    <w:rsid w:val="003B303B"/>
    <w:rsid w:val="003B44AC"/>
    <w:rsid w:val="003B46BB"/>
    <w:rsid w:val="003C0383"/>
    <w:rsid w:val="003C2DFE"/>
    <w:rsid w:val="003C44CF"/>
    <w:rsid w:val="003C589C"/>
    <w:rsid w:val="003C79EA"/>
    <w:rsid w:val="003D0A8A"/>
    <w:rsid w:val="003D2843"/>
    <w:rsid w:val="003D38C7"/>
    <w:rsid w:val="003E07A9"/>
    <w:rsid w:val="003E09DF"/>
    <w:rsid w:val="003E22DA"/>
    <w:rsid w:val="003E26FA"/>
    <w:rsid w:val="003E2842"/>
    <w:rsid w:val="003E304A"/>
    <w:rsid w:val="003E5050"/>
    <w:rsid w:val="003E5173"/>
    <w:rsid w:val="003E58B9"/>
    <w:rsid w:val="003E7CC4"/>
    <w:rsid w:val="003F08B9"/>
    <w:rsid w:val="004010E7"/>
    <w:rsid w:val="0040163D"/>
    <w:rsid w:val="00401F88"/>
    <w:rsid w:val="0040351D"/>
    <w:rsid w:val="004035A1"/>
    <w:rsid w:val="004037B5"/>
    <w:rsid w:val="00404550"/>
    <w:rsid w:val="00404A8D"/>
    <w:rsid w:val="004050B0"/>
    <w:rsid w:val="004052A3"/>
    <w:rsid w:val="00405478"/>
    <w:rsid w:val="00405EF3"/>
    <w:rsid w:val="0040655B"/>
    <w:rsid w:val="004066A6"/>
    <w:rsid w:val="004076FE"/>
    <w:rsid w:val="004079E8"/>
    <w:rsid w:val="00407F22"/>
    <w:rsid w:val="00410788"/>
    <w:rsid w:val="00410C30"/>
    <w:rsid w:val="004114E5"/>
    <w:rsid w:val="00411B63"/>
    <w:rsid w:val="00411EE1"/>
    <w:rsid w:val="00414BCD"/>
    <w:rsid w:val="004164E1"/>
    <w:rsid w:val="00417ABF"/>
    <w:rsid w:val="00420ACF"/>
    <w:rsid w:val="00421095"/>
    <w:rsid w:val="00421FE2"/>
    <w:rsid w:val="00422438"/>
    <w:rsid w:val="0042352E"/>
    <w:rsid w:val="0042645B"/>
    <w:rsid w:val="00427326"/>
    <w:rsid w:val="00431D1F"/>
    <w:rsid w:val="00432B9E"/>
    <w:rsid w:val="0043328B"/>
    <w:rsid w:val="00436726"/>
    <w:rsid w:val="00437DA7"/>
    <w:rsid w:val="00442A44"/>
    <w:rsid w:val="00443257"/>
    <w:rsid w:val="004438CD"/>
    <w:rsid w:val="00446239"/>
    <w:rsid w:val="00447CF9"/>
    <w:rsid w:val="00451031"/>
    <w:rsid w:val="004527E4"/>
    <w:rsid w:val="00454326"/>
    <w:rsid w:val="0046051F"/>
    <w:rsid w:val="00461B6D"/>
    <w:rsid w:val="0046383F"/>
    <w:rsid w:val="00463EC5"/>
    <w:rsid w:val="004642BF"/>
    <w:rsid w:val="0046436C"/>
    <w:rsid w:val="00465554"/>
    <w:rsid w:val="004658AA"/>
    <w:rsid w:val="00466E39"/>
    <w:rsid w:val="004706C9"/>
    <w:rsid w:val="004710F6"/>
    <w:rsid w:val="004713BF"/>
    <w:rsid w:val="00471EBF"/>
    <w:rsid w:val="00473411"/>
    <w:rsid w:val="0048045A"/>
    <w:rsid w:val="004829F5"/>
    <w:rsid w:val="00485A22"/>
    <w:rsid w:val="004870A5"/>
    <w:rsid w:val="0049167B"/>
    <w:rsid w:val="0049169D"/>
    <w:rsid w:val="00493FD3"/>
    <w:rsid w:val="00494F80"/>
    <w:rsid w:val="004A10DB"/>
    <w:rsid w:val="004A164D"/>
    <w:rsid w:val="004A23B8"/>
    <w:rsid w:val="004A46F4"/>
    <w:rsid w:val="004A5E6F"/>
    <w:rsid w:val="004B160B"/>
    <w:rsid w:val="004B1EDF"/>
    <w:rsid w:val="004B1FB4"/>
    <w:rsid w:val="004B22BB"/>
    <w:rsid w:val="004B52A8"/>
    <w:rsid w:val="004C0EE8"/>
    <w:rsid w:val="004C2592"/>
    <w:rsid w:val="004C55A1"/>
    <w:rsid w:val="004C6586"/>
    <w:rsid w:val="004C77A5"/>
    <w:rsid w:val="004C7F12"/>
    <w:rsid w:val="004D3269"/>
    <w:rsid w:val="004D3307"/>
    <w:rsid w:val="004D4FF7"/>
    <w:rsid w:val="004D5ED6"/>
    <w:rsid w:val="004D6FE0"/>
    <w:rsid w:val="004D7997"/>
    <w:rsid w:val="004D7A75"/>
    <w:rsid w:val="004E1231"/>
    <w:rsid w:val="004E151F"/>
    <w:rsid w:val="004E2E48"/>
    <w:rsid w:val="004E6750"/>
    <w:rsid w:val="004F0647"/>
    <w:rsid w:val="004F1A89"/>
    <w:rsid w:val="004F24C0"/>
    <w:rsid w:val="004F749D"/>
    <w:rsid w:val="00501E2D"/>
    <w:rsid w:val="00502AE0"/>
    <w:rsid w:val="00504A63"/>
    <w:rsid w:val="00504F11"/>
    <w:rsid w:val="005055D8"/>
    <w:rsid w:val="0050657D"/>
    <w:rsid w:val="00510CBC"/>
    <w:rsid w:val="005125D4"/>
    <w:rsid w:val="00512CE1"/>
    <w:rsid w:val="0051633C"/>
    <w:rsid w:val="00516EB1"/>
    <w:rsid w:val="005200C5"/>
    <w:rsid w:val="00521375"/>
    <w:rsid w:val="00522113"/>
    <w:rsid w:val="0052305C"/>
    <w:rsid w:val="00526AAB"/>
    <w:rsid w:val="00527091"/>
    <w:rsid w:val="00532CCE"/>
    <w:rsid w:val="005339F1"/>
    <w:rsid w:val="00533B9F"/>
    <w:rsid w:val="00537755"/>
    <w:rsid w:val="00540DE3"/>
    <w:rsid w:val="00541BBD"/>
    <w:rsid w:val="00541D3E"/>
    <w:rsid w:val="0054264B"/>
    <w:rsid w:val="00542A6B"/>
    <w:rsid w:val="0054458A"/>
    <w:rsid w:val="005449A4"/>
    <w:rsid w:val="0054639F"/>
    <w:rsid w:val="0054697C"/>
    <w:rsid w:val="00550140"/>
    <w:rsid w:val="00550F27"/>
    <w:rsid w:val="00551C06"/>
    <w:rsid w:val="00552226"/>
    <w:rsid w:val="005545BB"/>
    <w:rsid w:val="00555833"/>
    <w:rsid w:val="00560BD9"/>
    <w:rsid w:val="0056159D"/>
    <w:rsid w:val="00561AFB"/>
    <w:rsid w:val="00570EF0"/>
    <w:rsid w:val="005720E3"/>
    <w:rsid w:val="00573DE6"/>
    <w:rsid w:val="005755E0"/>
    <w:rsid w:val="00577A7D"/>
    <w:rsid w:val="00577B0F"/>
    <w:rsid w:val="005809A8"/>
    <w:rsid w:val="00582444"/>
    <w:rsid w:val="005830EF"/>
    <w:rsid w:val="005836DE"/>
    <w:rsid w:val="00583B61"/>
    <w:rsid w:val="005847AF"/>
    <w:rsid w:val="0058492E"/>
    <w:rsid w:val="00584F3C"/>
    <w:rsid w:val="0058621B"/>
    <w:rsid w:val="005869C8"/>
    <w:rsid w:val="00592688"/>
    <w:rsid w:val="0059407D"/>
    <w:rsid w:val="00595B3D"/>
    <w:rsid w:val="00595EF0"/>
    <w:rsid w:val="00597EC1"/>
    <w:rsid w:val="005A008E"/>
    <w:rsid w:val="005A0565"/>
    <w:rsid w:val="005A0582"/>
    <w:rsid w:val="005A335A"/>
    <w:rsid w:val="005A3724"/>
    <w:rsid w:val="005A6AC5"/>
    <w:rsid w:val="005A7F39"/>
    <w:rsid w:val="005A7FE7"/>
    <w:rsid w:val="005B04F9"/>
    <w:rsid w:val="005B1257"/>
    <w:rsid w:val="005B130F"/>
    <w:rsid w:val="005B171C"/>
    <w:rsid w:val="005B2AFD"/>
    <w:rsid w:val="005B2D49"/>
    <w:rsid w:val="005B5175"/>
    <w:rsid w:val="005C1F7B"/>
    <w:rsid w:val="005C2E56"/>
    <w:rsid w:val="005C4186"/>
    <w:rsid w:val="005C4BC9"/>
    <w:rsid w:val="005D2F0E"/>
    <w:rsid w:val="005D4001"/>
    <w:rsid w:val="005D48AC"/>
    <w:rsid w:val="005D5156"/>
    <w:rsid w:val="005E0458"/>
    <w:rsid w:val="005E1A6B"/>
    <w:rsid w:val="005E3A87"/>
    <w:rsid w:val="005E514E"/>
    <w:rsid w:val="005E53FF"/>
    <w:rsid w:val="005E56AA"/>
    <w:rsid w:val="005F01F2"/>
    <w:rsid w:val="005F1EC8"/>
    <w:rsid w:val="005F2698"/>
    <w:rsid w:val="005F488D"/>
    <w:rsid w:val="005F6222"/>
    <w:rsid w:val="0060025B"/>
    <w:rsid w:val="006023ED"/>
    <w:rsid w:val="00603120"/>
    <w:rsid w:val="00604432"/>
    <w:rsid w:val="00605002"/>
    <w:rsid w:val="00606CBD"/>
    <w:rsid w:val="00607484"/>
    <w:rsid w:val="00607C78"/>
    <w:rsid w:val="006113D6"/>
    <w:rsid w:val="0061154D"/>
    <w:rsid w:val="00611F97"/>
    <w:rsid w:val="00612736"/>
    <w:rsid w:val="00612C18"/>
    <w:rsid w:val="00615F66"/>
    <w:rsid w:val="00620456"/>
    <w:rsid w:val="00621242"/>
    <w:rsid w:val="00622226"/>
    <w:rsid w:val="006229A0"/>
    <w:rsid w:val="0062409C"/>
    <w:rsid w:val="006240BF"/>
    <w:rsid w:val="006248D7"/>
    <w:rsid w:val="00625D58"/>
    <w:rsid w:val="00627124"/>
    <w:rsid w:val="00630C67"/>
    <w:rsid w:val="00631A36"/>
    <w:rsid w:val="00632E1B"/>
    <w:rsid w:val="00633D91"/>
    <w:rsid w:val="0063460F"/>
    <w:rsid w:val="00640650"/>
    <w:rsid w:val="00640744"/>
    <w:rsid w:val="00644540"/>
    <w:rsid w:val="00646B78"/>
    <w:rsid w:val="006472F7"/>
    <w:rsid w:val="0065059C"/>
    <w:rsid w:val="0065141D"/>
    <w:rsid w:val="00651524"/>
    <w:rsid w:val="00652188"/>
    <w:rsid w:val="00653332"/>
    <w:rsid w:val="006553FE"/>
    <w:rsid w:val="00655D07"/>
    <w:rsid w:val="00657527"/>
    <w:rsid w:val="00660A63"/>
    <w:rsid w:val="00660D44"/>
    <w:rsid w:val="006631ED"/>
    <w:rsid w:val="00663A3B"/>
    <w:rsid w:val="00664E5E"/>
    <w:rsid w:val="006650EE"/>
    <w:rsid w:val="00665720"/>
    <w:rsid w:val="00665BB0"/>
    <w:rsid w:val="00666C95"/>
    <w:rsid w:val="00667BB4"/>
    <w:rsid w:val="0067029A"/>
    <w:rsid w:val="00670535"/>
    <w:rsid w:val="006705B8"/>
    <w:rsid w:val="00672BB7"/>
    <w:rsid w:val="00673BA4"/>
    <w:rsid w:val="0067544F"/>
    <w:rsid w:val="00677109"/>
    <w:rsid w:val="00677215"/>
    <w:rsid w:val="00677E73"/>
    <w:rsid w:val="006811F4"/>
    <w:rsid w:val="00681A36"/>
    <w:rsid w:val="00681C5E"/>
    <w:rsid w:val="00682047"/>
    <w:rsid w:val="006868C8"/>
    <w:rsid w:val="00695884"/>
    <w:rsid w:val="006A1C3A"/>
    <w:rsid w:val="006A227C"/>
    <w:rsid w:val="006A38D2"/>
    <w:rsid w:val="006A3B11"/>
    <w:rsid w:val="006A464A"/>
    <w:rsid w:val="006A4B0D"/>
    <w:rsid w:val="006A57A2"/>
    <w:rsid w:val="006A647A"/>
    <w:rsid w:val="006A6D58"/>
    <w:rsid w:val="006A6F1D"/>
    <w:rsid w:val="006B00BA"/>
    <w:rsid w:val="006B099A"/>
    <w:rsid w:val="006B2351"/>
    <w:rsid w:val="006B2D9B"/>
    <w:rsid w:val="006B3D0F"/>
    <w:rsid w:val="006B4C5A"/>
    <w:rsid w:val="006B5584"/>
    <w:rsid w:val="006B69DB"/>
    <w:rsid w:val="006B6ABB"/>
    <w:rsid w:val="006C0454"/>
    <w:rsid w:val="006C06A3"/>
    <w:rsid w:val="006C075F"/>
    <w:rsid w:val="006C1527"/>
    <w:rsid w:val="006C4164"/>
    <w:rsid w:val="006C7A94"/>
    <w:rsid w:val="006D095E"/>
    <w:rsid w:val="006D15B1"/>
    <w:rsid w:val="006D18B4"/>
    <w:rsid w:val="006E246B"/>
    <w:rsid w:val="006E3509"/>
    <w:rsid w:val="006E3A3C"/>
    <w:rsid w:val="006E3D76"/>
    <w:rsid w:val="006E3ED4"/>
    <w:rsid w:val="006E3EF5"/>
    <w:rsid w:val="006F1A5B"/>
    <w:rsid w:val="006F2EAA"/>
    <w:rsid w:val="006F3273"/>
    <w:rsid w:val="006F3645"/>
    <w:rsid w:val="006F4A85"/>
    <w:rsid w:val="006F6413"/>
    <w:rsid w:val="006F6C2D"/>
    <w:rsid w:val="006F6D22"/>
    <w:rsid w:val="00700933"/>
    <w:rsid w:val="00705E07"/>
    <w:rsid w:val="007062CB"/>
    <w:rsid w:val="0070648B"/>
    <w:rsid w:val="0070678C"/>
    <w:rsid w:val="00707937"/>
    <w:rsid w:val="00710378"/>
    <w:rsid w:val="00710F4A"/>
    <w:rsid w:val="0071187D"/>
    <w:rsid w:val="007140E1"/>
    <w:rsid w:val="007153F0"/>
    <w:rsid w:val="0071647D"/>
    <w:rsid w:val="00716ECF"/>
    <w:rsid w:val="00717706"/>
    <w:rsid w:val="00717730"/>
    <w:rsid w:val="007202E6"/>
    <w:rsid w:val="007206F4"/>
    <w:rsid w:val="0072203C"/>
    <w:rsid w:val="0072230A"/>
    <w:rsid w:val="00724EBD"/>
    <w:rsid w:val="0072545A"/>
    <w:rsid w:val="00725CC8"/>
    <w:rsid w:val="00726222"/>
    <w:rsid w:val="007312AB"/>
    <w:rsid w:val="00731FF1"/>
    <w:rsid w:val="00732E40"/>
    <w:rsid w:val="007442AD"/>
    <w:rsid w:val="00744F57"/>
    <w:rsid w:val="00746D03"/>
    <w:rsid w:val="007473C1"/>
    <w:rsid w:val="00747E64"/>
    <w:rsid w:val="00747F10"/>
    <w:rsid w:val="00755006"/>
    <w:rsid w:val="00757198"/>
    <w:rsid w:val="0075746D"/>
    <w:rsid w:val="00762F28"/>
    <w:rsid w:val="007637A3"/>
    <w:rsid w:val="00765B18"/>
    <w:rsid w:val="00766DEF"/>
    <w:rsid w:val="0076796F"/>
    <w:rsid w:val="00767F72"/>
    <w:rsid w:val="007725E7"/>
    <w:rsid w:val="007763C2"/>
    <w:rsid w:val="007810FD"/>
    <w:rsid w:val="00781F8D"/>
    <w:rsid w:val="00782C15"/>
    <w:rsid w:val="00783D4E"/>
    <w:rsid w:val="007843C8"/>
    <w:rsid w:val="00785257"/>
    <w:rsid w:val="00787AF9"/>
    <w:rsid w:val="007900C5"/>
    <w:rsid w:val="007905E3"/>
    <w:rsid w:val="007922E9"/>
    <w:rsid w:val="0079340A"/>
    <w:rsid w:val="0079547E"/>
    <w:rsid w:val="007A0285"/>
    <w:rsid w:val="007A3702"/>
    <w:rsid w:val="007A446F"/>
    <w:rsid w:val="007A5BB2"/>
    <w:rsid w:val="007A67D9"/>
    <w:rsid w:val="007C0806"/>
    <w:rsid w:val="007C1FE7"/>
    <w:rsid w:val="007C41C0"/>
    <w:rsid w:val="007C4F02"/>
    <w:rsid w:val="007C51D0"/>
    <w:rsid w:val="007D0247"/>
    <w:rsid w:val="007D1872"/>
    <w:rsid w:val="007D1D61"/>
    <w:rsid w:val="007D1EFF"/>
    <w:rsid w:val="007D2946"/>
    <w:rsid w:val="007D3A0D"/>
    <w:rsid w:val="007D4735"/>
    <w:rsid w:val="007D4EFA"/>
    <w:rsid w:val="007D4F64"/>
    <w:rsid w:val="007D6DEF"/>
    <w:rsid w:val="007D6FFD"/>
    <w:rsid w:val="007E02CF"/>
    <w:rsid w:val="007E0F11"/>
    <w:rsid w:val="007E111A"/>
    <w:rsid w:val="007E2FD8"/>
    <w:rsid w:val="007E34A9"/>
    <w:rsid w:val="007E4E74"/>
    <w:rsid w:val="007E541B"/>
    <w:rsid w:val="007E5425"/>
    <w:rsid w:val="007E5771"/>
    <w:rsid w:val="007E5AC4"/>
    <w:rsid w:val="007E6608"/>
    <w:rsid w:val="007E7633"/>
    <w:rsid w:val="007E7BB7"/>
    <w:rsid w:val="007F0EC2"/>
    <w:rsid w:val="007F155E"/>
    <w:rsid w:val="007F1D42"/>
    <w:rsid w:val="007F3433"/>
    <w:rsid w:val="007F3D05"/>
    <w:rsid w:val="007F4865"/>
    <w:rsid w:val="007F5774"/>
    <w:rsid w:val="007F70DE"/>
    <w:rsid w:val="007F7422"/>
    <w:rsid w:val="00803B90"/>
    <w:rsid w:val="0080402C"/>
    <w:rsid w:val="00804DE9"/>
    <w:rsid w:val="00806480"/>
    <w:rsid w:val="00810F20"/>
    <w:rsid w:val="00812AB6"/>
    <w:rsid w:val="008131F6"/>
    <w:rsid w:val="00813B1B"/>
    <w:rsid w:val="0081407B"/>
    <w:rsid w:val="00814D5E"/>
    <w:rsid w:val="00820BE2"/>
    <w:rsid w:val="008231E4"/>
    <w:rsid w:val="00825FA8"/>
    <w:rsid w:val="0082676F"/>
    <w:rsid w:val="00826864"/>
    <w:rsid w:val="00826F88"/>
    <w:rsid w:val="0082770B"/>
    <w:rsid w:val="008278A7"/>
    <w:rsid w:val="008306A7"/>
    <w:rsid w:val="00831796"/>
    <w:rsid w:val="00831DC7"/>
    <w:rsid w:val="00832100"/>
    <w:rsid w:val="008365B7"/>
    <w:rsid w:val="0084232F"/>
    <w:rsid w:val="00842B9F"/>
    <w:rsid w:val="008458F7"/>
    <w:rsid w:val="00846DB7"/>
    <w:rsid w:val="00847884"/>
    <w:rsid w:val="008479EE"/>
    <w:rsid w:val="00851022"/>
    <w:rsid w:val="008515E7"/>
    <w:rsid w:val="008563EA"/>
    <w:rsid w:val="008623A3"/>
    <w:rsid w:val="00862B65"/>
    <w:rsid w:val="00863B59"/>
    <w:rsid w:val="00864CB7"/>
    <w:rsid w:val="00865081"/>
    <w:rsid w:val="0086559B"/>
    <w:rsid w:val="0086651A"/>
    <w:rsid w:val="00867B9E"/>
    <w:rsid w:val="00867FCF"/>
    <w:rsid w:val="008701B4"/>
    <w:rsid w:val="008717E3"/>
    <w:rsid w:val="00871E14"/>
    <w:rsid w:val="00872FEA"/>
    <w:rsid w:val="0087341F"/>
    <w:rsid w:val="00873F31"/>
    <w:rsid w:val="00877913"/>
    <w:rsid w:val="00880366"/>
    <w:rsid w:val="008818E3"/>
    <w:rsid w:val="00881CB6"/>
    <w:rsid w:val="00882B90"/>
    <w:rsid w:val="00883666"/>
    <w:rsid w:val="008849E2"/>
    <w:rsid w:val="00884F6C"/>
    <w:rsid w:val="00890F38"/>
    <w:rsid w:val="00892A76"/>
    <w:rsid w:val="0089304A"/>
    <w:rsid w:val="00893A3D"/>
    <w:rsid w:val="008950C9"/>
    <w:rsid w:val="00896ACD"/>
    <w:rsid w:val="008A058A"/>
    <w:rsid w:val="008A2206"/>
    <w:rsid w:val="008A46E3"/>
    <w:rsid w:val="008A4D0A"/>
    <w:rsid w:val="008A4FFC"/>
    <w:rsid w:val="008A53E4"/>
    <w:rsid w:val="008A5D59"/>
    <w:rsid w:val="008A6082"/>
    <w:rsid w:val="008A674D"/>
    <w:rsid w:val="008A6B5B"/>
    <w:rsid w:val="008B018E"/>
    <w:rsid w:val="008B208B"/>
    <w:rsid w:val="008B4198"/>
    <w:rsid w:val="008B78A0"/>
    <w:rsid w:val="008C1681"/>
    <w:rsid w:val="008C1919"/>
    <w:rsid w:val="008C1E51"/>
    <w:rsid w:val="008C1F88"/>
    <w:rsid w:val="008C28DF"/>
    <w:rsid w:val="008C2AF0"/>
    <w:rsid w:val="008C3709"/>
    <w:rsid w:val="008C3E5B"/>
    <w:rsid w:val="008C5344"/>
    <w:rsid w:val="008C5834"/>
    <w:rsid w:val="008C6B88"/>
    <w:rsid w:val="008C6C22"/>
    <w:rsid w:val="008D1E3F"/>
    <w:rsid w:val="008D37EB"/>
    <w:rsid w:val="008D47A4"/>
    <w:rsid w:val="008D7190"/>
    <w:rsid w:val="008D77C1"/>
    <w:rsid w:val="008E1CF8"/>
    <w:rsid w:val="008E3D5B"/>
    <w:rsid w:val="008F55F5"/>
    <w:rsid w:val="0090043D"/>
    <w:rsid w:val="00901002"/>
    <w:rsid w:val="0090317F"/>
    <w:rsid w:val="009059D9"/>
    <w:rsid w:val="00911C5A"/>
    <w:rsid w:val="00911F2C"/>
    <w:rsid w:val="009125A0"/>
    <w:rsid w:val="00912BC2"/>
    <w:rsid w:val="00912BD1"/>
    <w:rsid w:val="009142A2"/>
    <w:rsid w:val="00916FDE"/>
    <w:rsid w:val="0091749B"/>
    <w:rsid w:val="00917C53"/>
    <w:rsid w:val="00917DB5"/>
    <w:rsid w:val="0092334D"/>
    <w:rsid w:val="009236C2"/>
    <w:rsid w:val="00925F6C"/>
    <w:rsid w:val="009306F9"/>
    <w:rsid w:val="009320AB"/>
    <w:rsid w:val="00932A18"/>
    <w:rsid w:val="009344FB"/>
    <w:rsid w:val="00934639"/>
    <w:rsid w:val="0093525C"/>
    <w:rsid w:val="009357F2"/>
    <w:rsid w:val="00937747"/>
    <w:rsid w:val="0094213F"/>
    <w:rsid w:val="00944972"/>
    <w:rsid w:val="00944DB1"/>
    <w:rsid w:val="0095209F"/>
    <w:rsid w:val="009529EA"/>
    <w:rsid w:val="00953B9F"/>
    <w:rsid w:val="0096059D"/>
    <w:rsid w:val="00960C4C"/>
    <w:rsid w:val="00960E98"/>
    <w:rsid w:val="0096288F"/>
    <w:rsid w:val="00963962"/>
    <w:rsid w:val="0096628B"/>
    <w:rsid w:val="0096652D"/>
    <w:rsid w:val="00967E37"/>
    <w:rsid w:val="00970F98"/>
    <w:rsid w:val="0097279E"/>
    <w:rsid w:val="0097333E"/>
    <w:rsid w:val="0097394D"/>
    <w:rsid w:val="00974091"/>
    <w:rsid w:val="00974330"/>
    <w:rsid w:val="00977457"/>
    <w:rsid w:val="00977B15"/>
    <w:rsid w:val="0098010C"/>
    <w:rsid w:val="00980243"/>
    <w:rsid w:val="009819D6"/>
    <w:rsid w:val="00982718"/>
    <w:rsid w:val="00982883"/>
    <w:rsid w:val="00982953"/>
    <w:rsid w:val="00984765"/>
    <w:rsid w:val="00987602"/>
    <w:rsid w:val="00987E65"/>
    <w:rsid w:val="00991964"/>
    <w:rsid w:val="00991CDD"/>
    <w:rsid w:val="009937CB"/>
    <w:rsid w:val="0099501B"/>
    <w:rsid w:val="00995A8A"/>
    <w:rsid w:val="00996A13"/>
    <w:rsid w:val="0099768A"/>
    <w:rsid w:val="009A0849"/>
    <w:rsid w:val="009A0F6B"/>
    <w:rsid w:val="009A1912"/>
    <w:rsid w:val="009A382D"/>
    <w:rsid w:val="009A5138"/>
    <w:rsid w:val="009A7009"/>
    <w:rsid w:val="009B10D9"/>
    <w:rsid w:val="009B1DDD"/>
    <w:rsid w:val="009B2CF0"/>
    <w:rsid w:val="009B35B0"/>
    <w:rsid w:val="009B437E"/>
    <w:rsid w:val="009B4748"/>
    <w:rsid w:val="009B4B7D"/>
    <w:rsid w:val="009B4EC9"/>
    <w:rsid w:val="009B504C"/>
    <w:rsid w:val="009B6999"/>
    <w:rsid w:val="009B6A7D"/>
    <w:rsid w:val="009C0605"/>
    <w:rsid w:val="009C17F9"/>
    <w:rsid w:val="009C2814"/>
    <w:rsid w:val="009C2A8C"/>
    <w:rsid w:val="009C5F5F"/>
    <w:rsid w:val="009C63EE"/>
    <w:rsid w:val="009D038A"/>
    <w:rsid w:val="009D2596"/>
    <w:rsid w:val="009D3DB0"/>
    <w:rsid w:val="009D5983"/>
    <w:rsid w:val="009D6923"/>
    <w:rsid w:val="009D778C"/>
    <w:rsid w:val="009D7FEC"/>
    <w:rsid w:val="009E066B"/>
    <w:rsid w:val="009E0F40"/>
    <w:rsid w:val="009E179E"/>
    <w:rsid w:val="009E2254"/>
    <w:rsid w:val="009E255D"/>
    <w:rsid w:val="009E2E33"/>
    <w:rsid w:val="009E354E"/>
    <w:rsid w:val="009E3B3A"/>
    <w:rsid w:val="009E3F8C"/>
    <w:rsid w:val="009F22DD"/>
    <w:rsid w:val="009F2A8F"/>
    <w:rsid w:val="009F4268"/>
    <w:rsid w:val="009F4F76"/>
    <w:rsid w:val="009F5714"/>
    <w:rsid w:val="009F73EB"/>
    <w:rsid w:val="009F7854"/>
    <w:rsid w:val="009F7984"/>
    <w:rsid w:val="00A01BFB"/>
    <w:rsid w:val="00A02137"/>
    <w:rsid w:val="00A02347"/>
    <w:rsid w:val="00A03535"/>
    <w:rsid w:val="00A05D03"/>
    <w:rsid w:val="00A05D29"/>
    <w:rsid w:val="00A07324"/>
    <w:rsid w:val="00A11E7D"/>
    <w:rsid w:val="00A134A6"/>
    <w:rsid w:val="00A14DC7"/>
    <w:rsid w:val="00A21ECF"/>
    <w:rsid w:val="00A224D1"/>
    <w:rsid w:val="00A23007"/>
    <w:rsid w:val="00A26D3A"/>
    <w:rsid w:val="00A30C65"/>
    <w:rsid w:val="00A3188A"/>
    <w:rsid w:val="00A31B0B"/>
    <w:rsid w:val="00A33986"/>
    <w:rsid w:val="00A34CDD"/>
    <w:rsid w:val="00A3620B"/>
    <w:rsid w:val="00A36898"/>
    <w:rsid w:val="00A41373"/>
    <w:rsid w:val="00A4147B"/>
    <w:rsid w:val="00A41729"/>
    <w:rsid w:val="00A4561A"/>
    <w:rsid w:val="00A45D5A"/>
    <w:rsid w:val="00A51C15"/>
    <w:rsid w:val="00A520D0"/>
    <w:rsid w:val="00A531B9"/>
    <w:rsid w:val="00A552C8"/>
    <w:rsid w:val="00A55676"/>
    <w:rsid w:val="00A56E6D"/>
    <w:rsid w:val="00A57850"/>
    <w:rsid w:val="00A6196C"/>
    <w:rsid w:val="00A61B03"/>
    <w:rsid w:val="00A63E6A"/>
    <w:rsid w:val="00A63F0B"/>
    <w:rsid w:val="00A65A24"/>
    <w:rsid w:val="00A678D6"/>
    <w:rsid w:val="00A7096D"/>
    <w:rsid w:val="00A70F46"/>
    <w:rsid w:val="00A721B5"/>
    <w:rsid w:val="00A73377"/>
    <w:rsid w:val="00A74CF6"/>
    <w:rsid w:val="00A80813"/>
    <w:rsid w:val="00A83B00"/>
    <w:rsid w:val="00A842BB"/>
    <w:rsid w:val="00A84F79"/>
    <w:rsid w:val="00A85E89"/>
    <w:rsid w:val="00A86345"/>
    <w:rsid w:val="00A87FBD"/>
    <w:rsid w:val="00A90FE6"/>
    <w:rsid w:val="00A93DD4"/>
    <w:rsid w:val="00A9700D"/>
    <w:rsid w:val="00AA01D2"/>
    <w:rsid w:val="00AA028D"/>
    <w:rsid w:val="00AA02D3"/>
    <w:rsid w:val="00AA0846"/>
    <w:rsid w:val="00AA135D"/>
    <w:rsid w:val="00AA28AF"/>
    <w:rsid w:val="00AA34A7"/>
    <w:rsid w:val="00AA3902"/>
    <w:rsid w:val="00AA405F"/>
    <w:rsid w:val="00AA5350"/>
    <w:rsid w:val="00AA5E7B"/>
    <w:rsid w:val="00AB0AEF"/>
    <w:rsid w:val="00AB2F66"/>
    <w:rsid w:val="00AB51AA"/>
    <w:rsid w:val="00AB5EA3"/>
    <w:rsid w:val="00AB7137"/>
    <w:rsid w:val="00AC00E1"/>
    <w:rsid w:val="00AC119B"/>
    <w:rsid w:val="00AC14AA"/>
    <w:rsid w:val="00AC2550"/>
    <w:rsid w:val="00AC2770"/>
    <w:rsid w:val="00AC2DCE"/>
    <w:rsid w:val="00AC440B"/>
    <w:rsid w:val="00AC44A6"/>
    <w:rsid w:val="00AC4A44"/>
    <w:rsid w:val="00AC5ED2"/>
    <w:rsid w:val="00AC5FB8"/>
    <w:rsid w:val="00AD0876"/>
    <w:rsid w:val="00AD4683"/>
    <w:rsid w:val="00AD7BF0"/>
    <w:rsid w:val="00AD7CD3"/>
    <w:rsid w:val="00AD7ED3"/>
    <w:rsid w:val="00AE1826"/>
    <w:rsid w:val="00AE3C16"/>
    <w:rsid w:val="00AE5687"/>
    <w:rsid w:val="00AF03FB"/>
    <w:rsid w:val="00AF11BD"/>
    <w:rsid w:val="00AF2B33"/>
    <w:rsid w:val="00AF798C"/>
    <w:rsid w:val="00B00056"/>
    <w:rsid w:val="00B00159"/>
    <w:rsid w:val="00B035A2"/>
    <w:rsid w:val="00B051AD"/>
    <w:rsid w:val="00B06B07"/>
    <w:rsid w:val="00B06CCB"/>
    <w:rsid w:val="00B06E99"/>
    <w:rsid w:val="00B07C1D"/>
    <w:rsid w:val="00B160B2"/>
    <w:rsid w:val="00B218EF"/>
    <w:rsid w:val="00B21C87"/>
    <w:rsid w:val="00B24C3F"/>
    <w:rsid w:val="00B35748"/>
    <w:rsid w:val="00B41AD4"/>
    <w:rsid w:val="00B428B6"/>
    <w:rsid w:val="00B42ED0"/>
    <w:rsid w:val="00B4570A"/>
    <w:rsid w:val="00B45BF7"/>
    <w:rsid w:val="00B4663B"/>
    <w:rsid w:val="00B50A41"/>
    <w:rsid w:val="00B52DD3"/>
    <w:rsid w:val="00B52F63"/>
    <w:rsid w:val="00B61139"/>
    <w:rsid w:val="00B614B0"/>
    <w:rsid w:val="00B6233E"/>
    <w:rsid w:val="00B632EB"/>
    <w:rsid w:val="00B671EB"/>
    <w:rsid w:val="00B6731E"/>
    <w:rsid w:val="00B6789E"/>
    <w:rsid w:val="00B7141A"/>
    <w:rsid w:val="00B71D1A"/>
    <w:rsid w:val="00B73497"/>
    <w:rsid w:val="00B75D06"/>
    <w:rsid w:val="00B85464"/>
    <w:rsid w:val="00B85676"/>
    <w:rsid w:val="00B85F56"/>
    <w:rsid w:val="00B91E51"/>
    <w:rsid w:val="00B92D24"/>
    <w:rsid w:val="00B92F8E"/>
    <w:rsid w:val="00B9560D"/>
    <w:rsid w:val="00B96261"/>
    <w:rsid w:val="00BA0541"/>
    <w:rsid w:val="00BA3D46"/>
    <w:rsid w:val="00BA3ED6"/>
    <w:rsid w:val="00BA40B6"/>
    <w:rsid w:val="00BA4808"/>
    <w:rsid w:val="00BA549C"/>
    <w:rsid w:val="00BA5C3C"/>
    <w:rsid w:val="00BB154B"/>
    <w:rsid w:val="00BB300D"/>
    <w:rsid w:val="00BB6BE6"/>
    <w:rsid w:val="00BC58A4"/>
    <w:rsid w:val="00BC6202"/>
    <w:rsid w:val="00BD3D29"/>
    <w:rsid w:val="00BD4096"/>
    <w:rsid w:val="00BD5E86"/>
    <w:rsid w:val="00BD6696"/>
    <w:rsid w:val="00BD75A5"/>
    <w:rsid w:val="00BE2663"/>
    <w:rsid w:val="00BE29EB"/>
    <w:rsid w:val="00BE38B7"/>
    <w:rsid w:val="00BE42B0"/>
    <w:rsid w:val="00BE6D6A"/>
    <w:rsid w:val="00BF17D6"/>
    <w:rsid w:val="00BF1A37"/>
    <w:rsid w:val="00BF1FAF"/>
    <w:rsid w:val="00BF3D3B"/>
    <w:rsid w:val="00BF5C5F"/>
    <w:rsid w:val="00BF7360"/>
    <w:rsid w:val="00C0070F"/>
    <w:rsid w:val="00C0328A"/>
    <w:rsid w:val="00C0444F"/>
    <w:rsid w:val="00C04D95"/>
    <w:rsid w:val="00C06A8D"/>
    <w:rsid w:val="00C07C58"/>
    <w:rsid w:val="00C10280"/>
    <w:rsid w:val="00C10460"/>
    <w:rsid w:val="00C11D1F"/>
    <w:rsid w:val="00C132B4"/>
    <w:rsid w:val="00C14258"/>
    <w:rsid w:val="00C14BB0"/>
    <w:rsid w:val="00C22C76"/>
    <w:rsid w:val="00C237E5"/>
    <w:rsid w:val="00C26E78"/>
    <w:rsid w:val="00C30D51"/>
    <w:rsid w:val="00C3127A"/>
    <w:rsid w:val="00C3139A"/>
    <w:rsid w:val="00C322D5"/>
    <w:rsid w:val="00C37F7F"/>
    <w:rsid w:val="00C400CE"/>
    <w:rsid w:val="00C41AF9"/>
    <w:rsid w:val="00C41F36"/>
    <w:rsid w:val="00C4395B"/>
    <w:rsid w:val="00C46A99"/>
    <w:rsid w:val="00C47D36"/>
    <w:rsid w:val="00C50624"/>
    <w:rsid w:val="00C5075A"/>
    <w:rsid w:val="00C50DD9"/>
    <w:rsid w:val="00C50F21"/>
    <w:rsid w:val="00C519DF"/>
    <w:rsid w:val="00C51BE0"/>
    <w:rsid w:val="00C55175"/>
    <w:rsid w:val="00C562C6"/>
    <w:rsid w:val="00C57A5A"/>
    <w:rsid w:val="00C60217"/>
    <w:rsid w:val="00C61665"/>
    <w:rsid w:val="00C61742"/>
    <w:rsid w:val="00C62522"/>
    <w:rsid w:val="00C625C9"/>
    <w:rsid w:val="00C62D1B"/>
    <w:rsid w:val="00C65A1D"/>
    <w:rsid w:val="00C65B16"/>
    <w:rsid w:val="00C661BB"/>
    <w:rsid w:val="00C664E2"/>
    <w:rsid w:val="00C71638"/>
    <w:rsid w:val="00C7629B"/>
    <w:rsid w:val="00C8026D"/>
    <w:rsid w:val="00C80F62"/>
    <w:rsid w:val="00C80FC4"/>
    <w:rsid w:val="00C83551"/>
    <w:rsid w:val="00C850AD"/>
    <w:rsid w:val="00C86441"/>
    <w:rsid w:val="00C9118E"/>
    <w:rsid w:val="00C91605"/>
    <w:rsid w:val="00C92E6A"/>
    <w:rsid w:val="00C94283"/>
    <w:rsid w:val="00C9458C"/>
    <w:rsid w:val="00C9497A"/>
    <w:rsid w:val="00CA05E1"/>
    <w:rsid w:val="00CA0637"/>
    <w:rsid w:val="00CA17A1"/>
    <w:rsid w:val="00CA2D36"/>
    <w:rsid w:val="00CA34A0"/>
    <w:rsid w:val="00CA3AA8"/>
    <w:rsid w:val="00CA3EB9"/>
    <w:rsid w:val="00CA3F69"/>
    <w:rsid w:val="00CA5120"/>
    <w:rsid w:val="00CA54B9"/>
    <w:rsid w:val="00CA5C5A"/>
    <w:rsid w:val="00CB15D9"/>
    <w:rsid w:val="00CB1B0F"/>
    <w:rsid w:val="00CB2CA9"/>
    <w:rsid w:val="00CB4475"/>
    <w:rsid w:val="00CB64B1"/>
    <w:rsid w:val="00CB6834"/>
    <w:rsid w:val="00CC046B"/>
    <w:rsid w:val="00CC0ABC"/>
    <w:rsid w:val="00CC1172"/>
    <w:rsid w:val="00CC1206"/>
    <w:rsid w:val="00CC1775"/>
    <w:rsid w:val="00CC4BFA"/>
    <w:rsid w:val="00CC67A0"/>
    <w:rsid w:val="00CD1830"/>
    <w:rsid w:val="00CD211B"/>
    <w:rsid w:val="00CD3D29"/>
    <w:rsid w:val="00CD4D5E"/>
    <w:rsid w:val="00CD6D79"/>
    <w:rsid w:val="00CE269C"/>
    <w:rsid w:val="00CE29FE"/>
    <w:rsid w:val="00CE4FC4"/>
    <w:rsid w:val="00CE5ADB"/>
    <w:rsid w:val="00CE64CD"/>
    <w:rsid w:val="00CF0D49"/>
    <w:rsid w:val="00CF2C13"/>
    <w:rsid w:val="00CF4D39"/>
    <w:rsid w:val="00CF528A"/>
    <w:rsid w:val="00CF68D3"/>
    <w:rsid w:val="00CF694B"/>
    <w:rsid w:val="00D015BA"/>
    <w:rsid w:val="00D0186D"/>
    <w:rsid w:val="00D024E7"/>
    <w:rsid w:val="00D0256D"/>
    <w:rsid w:val="00D03827"/>
    <w:rsid w:val="00D03F4A"/>
    <w:rsid w:val="00D05ECC"/>
    <w:rsid w:val="00D07A13"/>
    <w:rsid w:val="00D10567"/>
    <w:rsid w:val="00D11AAE"/>
    <w:rsid w:val="00D13742"/>
    <w:rsid w:val="00D1427B"/>
    <w:rsid w:val="00D149E5"/>
    <w:rsid w:val="00D1706B"/>
    <w:rsid w:val="00D2351E"/>
    <w:rsid w:val="00D23854"/>
    <w:rsid w:val="00D238FA"/>
    <w:rsid w:val="00D23F08"/>
    <w:rsid w:val="00D25198"/>
    <w:rsid w:val="00D256A7"/>
    <w:rsid w:val="00D25FBB"/>
    <w:rsid w:val="00D305DA"/>
    <w:rsid w:val="00D34682"/>
    <w:rsid w:val="00D34AD9"/>
    <w:rsid w:val="00D34CE3"/>
    <w:rsid w:val="00D35E90"/>
    <w:rsid w:val="00D367CF"/>
    <w:rsid w:val="00D37D9E"/>
    <w:rsid w:val="00D43C05"/>
    <w:rsid w:val="00D4503C"/>
    <w:rsid w:val="00D45394"/>
    <w:rsid w:val="00D45B6C"/>
    <w:rsid w:val="00D51A3E"/>
    <w:rsid w:val="00D51F96"/>
    <w:rsid w:val="00D53404"/>
    <w:rsid w:val="00D54BCD"/>
    <w:rsid w:val="00D54E95"/>
    <w:rsid w:val="00D55B4F"/>
    <w:rsid w:val="00D57269"/>
    <w:rsid w:val="00D603BD"/>
    <w:rsid w:val="00D60409"/>
    <w:rsid w:val="00D613E5"/>
    <w:rsid w:val="00D6191D"/>
    <w:rsid w:val="00D61946"/>
    <w:rsid w:val="00D621C5"/>
    <w:rsid w:val="00D62962"/>
    <w:rsid w:val="00D633CE"/>
    <w:rsid w:val="00D63880"/>
    <w:rsid w:val="00D64534"/>
    <w:rsid w:val="00D64C0E"/>
    <w:rsid w:val="00D66157"/>
    <w:rsid w:val="00D70F12"/>
    <w:rsid w:val="00D7239D"/>
    <w:rsid w:val="00D75BA5"/>
    <w:rsid w:val="00D76E59"/>
    <w:rsid w:val="00D77934"/>
    <w:rsid w:val="00D819D9"/>
    <w:rsid w:val="00D84024"/>
    <w:rsid w:val="00D860F5"/>
    <w:rsid w:val="00D86CF7"/>
    <w:rsid w:val="00D86EDA"/>
    <w:rsid w:val="00D87059"/>
    <w:rsid w:val="00D918D4"/>
    <w:rsid w:val="00D956C6"/>
    <w:rsid w:val="00D95896"/>
    <w:rsid w:val="00D97332"/>
    <w:rsid w:val="00D97EC7"/>
    <w:rsid w:val="00DA07B4"/>
    <w:rsid w:val="00DA16AA"/>
    <w:rsid w:val="00DA1797"/>
    <w:rsid w:val="00DA1D6A"/>
    <w:rsid w:val="00DA2BF6"/>
    <w:rsid w:val="00DA7028"/>
    <w:rsid w:val="00DB1910"/>
    <w:rsid w:val="00DB2192"/>
    <w:rsid w:val="00DB3811"/>
    <w:rsid w:val="00DB4326"/>
    <w:rsid w:val="00DB503B"/>
    <w:rsid w:val="00DB51EA"/>
    <w:rsid w:val="00DC0086"/>
    <w:rsid w:val="00DC0463"/>
    <w:rsid w:val="00DC12EE"/>
    <w:rsid w:val="00DC2A6B"/>
    <w:rsid w:val="00DC4ADF"/>
    <w:rsid w:val="00DC7346"/>
    <w:rsid w:val="00DC79DB"/>
    <w:rsid w:val="00DC7EAB"/>
    <w:rsid w:val="00DD0AAC"/>
    <w:rsid w:val="00DD4FAE"/>
    <w:rsid w:val="00DD52FA"/>
    <w:rsid w:val="00DD6D2C"/>
    <w:rsid w:val="00DE37DE"/>
    <w:rsid w:val="00DE3CAA"/>
    <w:rsid w:val="00DE552C"/>
    <w:rsid w:val="00DF2D56"/>
    <w:rsid w:val="00DF377E"/>
    <w:rsid w:val="00DF593D"/>
    <w:rsid w:val="00DF5E09"/>
    <w:rsid w:val="00DF5FB1"/>
    <w:rsid w:val="00DF6FB1"/>
    <w:rsid w:val="00DF74EC"/>
    <w:rsid w:val="00E00314"/>
    <w:rsid w:val="00E034AC"/>
    <w:rsid w:val="00E07616"/>
    <w:rsid w:val="00E0792A"/>
    <w:rsid w:val="00E11065"/>
    <w:rsid w:val="00E11661"/>
    <w:rsid w:val="00E11AC2"/>
    <w:rsid w:val="00E13F1B"/>
    <w:rsid w:val="00E14831"/>
    <w:rsid w:val="00E15CC1"/>
    <w:rsid w:val="00E212C3"/>
    <w:rsid w:val="00E228EC"/>
    <w:rsid w:val="00E230E1"/>
    <w:rsid w:val="00E24B04"/>
    <w:rsid w:val="00E24C0B"/>
    <w:rsid w:val="00E2789D"/>
    <w:rsid w:val="00E300D1"/>
    <w:rsid w:val="00E30B77"/>
    <w:rsid w:val="00E30F32"/>
    <w:rsid w:val="00E31373"/>
    <w:rsid w:val="00E34ECB"/>
    <w:rsid w:val="00E4169E"/>
    <w:rsid w:val="00E4200E"/>
    <w:rsid w:val="00E42AA4"/>
    <w:rsid w:val="00E43F5F"/>
    <w:rsid w:val="00E440E0"/>
    <w:rsid w:val="00E4414E"/>
    <w:rsid w:val="00E44CB7"/>
    <w:rsid w:val="00E45FEA"/>
    <w:rsid w:val="00E4611E"/>
    <w:rsid w:val="00E472AD"/>
    <w:rsid w:val="00E50230"/>
    <w:rsid w:val="00E51CAF"/>
    <w:rsid w:val="00E520A9"/>
    <w:rsid w:val="00E52187"/>
    <w:rsid w:val="00E55ACE"/>
    <w:rsid w:val="00E55CA3"/>
    <w:rsid w:val="00E63A8F"/>
    <w:rsid w:val="00E64149"/>
    <w:rsid w:val="00E64388"/>
    <w:rsid w:val="00E6665F"/>
    <w:rsid w:val="00E70B9B"/>
    <w:rsid w:val="00E7224B"/>
    <w:rsid w:val="00E74099"/>
    <w:rsid w:val="00E74479"/>
    <w:rsid w:val="00E7527E"/>
    <w:rsid w:val="00E7569E"/>
    <w:rsid w:val="00E77520"/>
    <w:rsid w:val="00E77DD4"/>
    <w:rsid w:val="00E80699"/>
    <w:rsid w:val="00E80995"/>
    <w:rsid w:val="00E8185E"/>
    <w:rsid w:val="00E819A1"/>
    <w:rsid w:val="00E81CB8"/>
    <w:rsid w:val="00E820F1"/>
    <w:rsid w:val="00E83125"/>
    <w:rsid w:val="00E835E3"/>
    <w:rsid w:val="00E83D48"/>
    <w:rsid w:val="00E854F9"/>
    <w:rsid w:val="00E90AB5"/>
    <w:rsid w:val="00E91E5B"/>
    <w:rsid w:val="00E92100"/>
    <w:rsid w:val="00E93AE8"/>
    <w:rsid w:val="00E948A0"/>
    <w:rsid w:val="00E95CE4"/>
    <w:rsid w:val="00E96018"/>
    <w:rsid w:val="00E97CCC"/>
    <w:rsid w:val="00EA08DC"/>
    <w:rsid w:val="00EA33A8"/>
    <w:rsid w:val="00EA3B38"/>
    <w:rsid w:val="00EA3D48"/>
    <w:rsid w:val="00EA50AB"/>
    <w:rsid w:val="00EA6793"/>
    <w:rsid w:val="00EA7ECB"/>
    <w:rsid w:val="00EB341F"/>
    <w:rsid w:val="00EB43E0"/>
    <w:rsid w:val="00EB5BAE"/>
    <w:rsid w:val="00EC00BF"/>
    <w:rsid w:val="00EC4D07"/>
    <w:rsid w:val="00EC5369"/>
    <w:rsid w:val="00EC650C"/>
    <w:rsid w:val="00EC6525"/>
    <w:rsid w:val="00EC67ED"/>
    <w:rsid w:val="00EC7DD5"/>
    <w:rsid w:val="00ED0FDA"/>
    <w:rsid w:val="00ED4117"/>
    <w:rsid w:val="00ED488A"/>
    <w:rsid w:val="00ED49F0"/>
    <w:rsid w:val="00ED4AC7"/>
    <w:rsid w:val="00ED6B74"/>
    <w:rsid w:val="00ED70CE"/>
    <w:rsid w:val="00ED746C"/>
    <w:rsid w:val="00EE0F5F"/>
    <w:rsid w:val="00EE2804"/>
    <w:rsid w:val="00EE2FA3"/>
    <w:rsid w:val="00EE43A8"/>
    <w:rsid w:val="00EE60F2"/>
    <w:rsid w:val="00EE7B22"/>
    <w:rsid w:val="00EF035C"/>
    <w:rsid w:val="00EF3126"/>
    <w:rsid w:val="00EF3BE5"/>
    <w:rsid w:val="00EF4FAC"/>
    <w:rsid w:val="00EF53D5"/>
    <w:rsid w:val="00EF5A35"/>
    <w:rsid w:val="00EF707B"/>
    <w:rsid w:val="00F01C9C"/>
    <w:rsid w:val="00F032DC"/>
    <w:rsid w:val="00F04084"/>
    <w:rsid w:val="00F045EE"/>
    <w:rsid w:val="00F04966"/>
    <w:rsid w:val="00F04E38"/>
    <w:rsid w:val="00F05BBB"/>
    <w:rsid w:val="00F05EA3"/>
    <w:rsid w:val="00F06C0F"/>
    <w:rsid w:val="00F10034"/>
    <w:rsid w:val="00F117EA"/>
    <w:rsid w:val="00F13D7D"/>
    <w:rsid w:val="00F22176"/>
    <w:rsid w:val="00F22468"/>
    <w:rsid w:val="00F24661"/>
    <w:rsid w:val="00F26A6E"/>
    <w:rsid w:val="00F2749D"/>
    <w:rsid w:val="00F34A51"/>
    <w:rsid w:val="00F363C4"/>
    <w:rsid w:val="00F40AB3"/>
    <w:rsid w:val="00F41892"/>
    <w:rsid w:val="00F4291E"/>
    <w:rsid w:val="00F42BD6"/>
    <w:rsid w:val="00F43317"/>
    <w:rsid w:val="00F44FE7"/>
    <w:rsid w:val="00F45B8C"/>
    <w:rsid w:val="00F4708C"/>
    <w:rsid w:val="00F47F22"/>
    <w:rsid w:val="00F50766"/>
    <w:rsid w:val="00F526A9"/>
    <w:rsid w:val="00F5692B"/>
    <w:rsid w:val="00F6117E"/>
    <w:rsid w:val="00F61B66"/>
    <w:rsid w:val="00F61D31"/>
    <w:rsid w:val="00F6267D"/>
    <w:rsid w:val="00F632D8"/>
    <w:rsid w:val="00F6490A"/>
    <w:rsid w:val="00F658FF"/>
    <w:rsid w:val="00F679EF"/>
    <w:rsid w:val="00F679F8"/>
    <w:rsid w:val="00F7038D"/>
    <w:rsid w:val="00F70716"/>
    <w:rsid w:val="00F70863"/>
    <w:rsid w:val="00F70ECC"/>
    <w:rsid w:val="00F72C83"/>
    <w:rsid w:val="00F73D2C"/>
    <w:rsid w:val="00F7656A"/>
    <w:rsid w:val="00F77112"/>
    <w:rsid w:val="00F77E77"/>
    <w:rsid w:val="00F822FA"/>
    <w:rsid w:val="00F82576"/>
    <w:rsid w:val="00F82A7C"/>
    <w:rsid w:val="00F834A6"/>
    <w:rsid w:val="00F83A2E"/>
    <w:rsid w:val="00F845FE"/>
    <w:rsid w:val="00F86C17"/>
    <w:rsid w:val="00F878F5"/>
    <w:rsid w:val="00F927ED"/>
    <w:rsid w:val="00F9368D"/>
    <w:rsid w:val="00F93C07"/>
    <w:rsid w:val="00F93EA1"/>
    <w:rsid w:val="00F97492"/>
    <w:rsid w:val="00FA24DA"/>
    <w:rsid w:val="00FA3574"/>
    <w:rsid w:val="00FA3EBF"/>
    <w:rsid w:val="00FA461E"/>
    <w:rsid w:val="00FA47C2"/>
    <w:rsid w:val="00FA497A"/>
    <w:rsid w:val="00FA5446"/>
    <w:rsid w:val="00FA566B"/>
    <w:rsid w:val="00FA56B9"/>
    <w:rsid w:val="00FA6CA1"/>
    <w:rsid w:val="00FA7833"/>
    <w:rsid w:val="00FB023A"/>
    <w:rsid w:val="00FB16C8"/>
    <w:rsid w:val="00FB4693"/>
    <w:rsid w:val="00FB4DF0"/>
    <w:rsid w:val="00FB581B"/>
    <w:rsid w:val="00FB59AA"/>
    <w:rsid w:val="00FB6003"/>
    <w:rsid w:val="00FB6E98"/>
    <w:rsid w:val="00FB7A4E"/>
    <w:rsid w:val="00FC3E98"/>
    <w:rsid w:val="00FC4219"/>
    <w:rsid w:val="00FC6C3D"/>
    <w:rsid w:val="00FD0302"/>
    <w:rsid w:val="00FD1D1F"/>
    <w:rsid w:val="00FD1F92"/>
    <w:rsid w:val="00FD2B68"/>
    <w:rsid w:val="00FD3527"/>
    <w:rsid w:val="00FD53FC"/>
    <w:rsid w:val="00FD6C80"/>
    <w:rsid w:val="00FE2920"/>
    <w:rsid w:val="00FE2E08"/>
    <w:rsid w:val="00FE3C02"/>
    <w:rsid w:val="00FE45C1"/>
    <w:rsid w:val="00FE7300"/>
    <w:rsid w:val="00FF1AD3"/>
    <w:rsid w:val="00FF228A"/>
    <w:rsid w:val="00FF4A63"/>
    <w:rsid w:val="00FF52EF"/>
    <w:rsid w:val="00FF54C2"/>
    <w:rsid w:val="00FF6210"/>
    <w:rsid w:val="01FF4AA3"/>
    <w:rsid w:val="02BE046F"/>
    <w:rsid w:val="032656D9"/>
    <w:rsid w:val="049B24DD"/>
    <w:rsid w:val="0647627C"/>
    <w:rsid w:val="06AA3FCE"/>
    <w:rsid w:val="07747AFE"/>
    <w:rsid w:val="0B183F48"/>
    <w:rsid w:val="0DAA1D31"/>
    <w:rsid w:val="0DF94CD7"/>
    <w:rsid w:val="0F99252A"/>
    <w:rsid w:val="11EC30EE"/>
    <w:rsid w:val="15225E1E"/>
    <w:rsid w:val="16870788"/>
    <w:rsid w:val="177E563F"/>
    <w:rsid w:val="177E6AAD"/>
    <w:rsid w:val="185E63CD"/>
    <w:rsid w:val="1B4674E5"/>
    <w:rsid w:val="1B747E00"/>
    <w:rsid w:val="1C0F37C1"/>
    <w:rsid w:val="1C645D38"/>
    <w:rsid w:val="1D752239"/>
    <w:rsid w:val="20E70EC5"/>
    <w:rsid w:val="24877D1C"/>
    <w:rsid w:val="2E620EB2"/>
    <w:rsid w:val="2FF54801"/>
    <w:rsid w:val="30FB0D4B"/>
    <w:rsid w:val="320262BB"/>
    <w:rsid w:val="33571383"/>
    <w:rsid w:val="3480604E"/>
    <w:rsid w:val="34C01B21"/>
    <w:rsid w:val="373F65F1"/>
    <w:rsid w:val="3B7364AD"/>
    <w:rsid w:val="3DD302DB"/>
    <w:rsid w:val="3DE5069A"/>
    <w:rsid w:val="3E520C49"/>
    <w:rsid w:val="3F521BC5"/>
    <w:rsid w:val="42D27207"/>
    <w:rsid w:val="434D0855"/>
    <w:rsid w:val="440C0766"/>
    <w:rsid w:val="46364BE4"/>
    <w:rsid w:val="47652B81"/>
    <w:rsid w:val="478B1BE0"/>
    <w:rsid w:val="49BF3909"/>
    <w:rsid w:val="4A1B668D"/>
    <w:rsid w:val="4AFB201B"/>
    <w:rsid w:val="4DE25069"/>
    <w:rsid w:val="4E150AA4"/>
    <w:rsid w:val="50D332EF"/>
    <w:rsid w:val="51B56722"/>
    <w:rsid w:val="536962F2"/>
    <w:rsid w:val="539929C2"/>
    <w:rsid w:val="549F209D"/>
    <w:rsid w:val="565B534F"/>
    <w:rsid w:val="58797CA9"/>
    <w:rsid w:val="5937646A"/>
    <w:rsid w:val="594A0260"/>
    <w:rsid w:val="5B926F1D"/>
    <w:rsid w:val="5E655AE5"/>
    <w:rsid w:val="5F706866"/>
    <w:rsid w:val="5F8D1984"/>
    <w:rsid w:val="61C90881"/>
    <w:rsid w:val="61FA45B9"/>
    <w:rsid w:val="66741797"/>
    <w:rsid w:val="67963DAE"/>
    <w:rsid w:val="68594107"/>
    <w:rsid w:val="688B12A0"/>
    <w:rsid w:val="68BA2AD4"/>
    <w:rsid w:val="69D81C0D"/>
    <w:rsid w:val="6A3F48B5"/>
    <w:rsid w:val="6C5C23AC"/>
    <w:rsid w:val="6D6F091A"/>
    <w:rsid w:val="6E2A4E9B"/>
    <w:rsid w:val="72CA2877"/>
    <w:rsid w:val="77CE5F40"/>
    <w:rsid w:val="78CA0FE6"/>
    <w:rsid w:val="7C2D01DF"/>
    <w:rsid w:val="7DE70C73"/>
    <w:rsid w:val="7F131AEC"/>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qFormat="1" w:uiPriority="99" w:name="annotation text"/>
    <w:lsdException w:qFormat="1" w:uiPriority="0"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0" w:semiHidden="0" w:name="footnote reference"/>
    <w:lsdException w:qFormat="1" w:uiPriority="99" w:name="annotation reference"/>
    <w:lsdException w:uiPriority="99" w:name="line number"/>
    <w:lsdException w:uiPriority="99" w:name="page number"/>
    <w:lsdException w:qFormat="1" w:uiPriority="0" w:semiHidden="0" w:name="endnote reference"/>
    <w:lsdException w:qFormat="1" w:uiPriority="0"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46"/>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49"/>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link w:val="45"/>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lang w:eastAsia="ru-RU"/>
    </w:rPr>
  </w:style>
  <w:style w:type="paragraph" w:styleId="5">
    <w:name w:val="heading 4"/>
    <w:basedOn w:val="1"/>
    <w:next w:val="1"/>
    <w:link w:val="75"/>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footnote reference"/>
    <w:basedOn w:val="6"/>
    <w:unhideWhenUsed/>
    <w:qFormat/>
    <w:uiPriority w:val="0"/>
    <w:rPr>
      <w:vertAlign w:val="superscript"/>
    </w:rPr>
  </w:style>
  <w:style w:type="character" w:styleId="9">
    <w:name w:val="annotation reference"/>
    <w:basedOn w:val="6"/>
    <w:semiHidden/>
    <w:unhideWhenUsed/>
    <w:qFormat/>
    <w:uiPriority w:val="99"/>
    <w:rPr>
      <w:sz w:val="16"/>
      <w:szCs w:val="16"/>
    </w:rPr>
  </w:style>
  <w:style w:type="character" w:styleId="10">
    <w:name w:val="endnote reference"/>
    <w:basedOn w:val="6"/>
    <w:unhideWhenUsed/>
    <w:qFormat/>
    <w:uiPriority w:val="0"/>
    <w:rPr>
      <w:vertAlign w:val="superscript"/>
    </w:rPr>
  </w:style>
  <w:style w:type="character" w:styleId="11">
    <w:name w:val="Emphasis"/>
    <w:basedOn w:val="6"/>
    <w:qFormat/>
    <w:uiPriority w:val="20"/>
    <w:rPr>
      <w:i/>
      <w:iCs/>
    </w:rPr>
  </w:style>
  <w:style w:type="character" w:styleId="12">
    <w:name w:val="Hyperlink"/>
    <w:basedOn w:val="6"/>
    <w:unhideWhenUsed/>
    <w:qFormat/>
    <w:uiPriority w:val="99"/>
    <w:rPr>
      <w:color w:val="0000FF" w:themeColor="hyperlink"/>
      <w:u w:val="single"/>
      <w14:textFill>
        <w14:solidFill>
          <w14:schemeClr w14:val="hlink"/>
        </w14:solidFill>
      </w14:textFill>
    </w:rPr>
  </w:style>
  <w:style w:type="character" w:styleId="13">
    <w:name w:val="HTML Code"/>
    <w:basedOn w:val="6"/>
    <w:semiHidden/>
    <w:unhideWhenUsed/>
    <w:qFormat/>
    <w:uiPriority w:val="99"/>
    <w:rPr>
      <w:rFonts w:ascii="Courier New" w:hAnsi="Courier New" w:eastAsia="Times New Roman" w:cs="Courier New"/>
      <w:sz w:val="20"/>
      <w:szCs w:val="20"/>
    </w:rPr>
  </w:style>
  <w:style w:type="character" w:styleId="14">
    <w:name w:val="Strong"/>
    <w:basedOn w:val="6"/>
    <w:qFormat/>
    <w:uiPriority w:val="22"/>
    <w:rPr>
      <w:b/>
      <w:bCs/>
    </w:rPr>
  </w:style>
  <w:style w:type="paragraph" w:styleId="15">
    <w:name w:val="Balloon Text"/>
    <w:basedOn w:val="1"/>
    <w:link w:val="35"/>
    <w:semiHidden/>
    <w:unhideWhenUsed/>
    <w:qFormat/>
    <w:uiPriority w:val="99"/>
    <w:pPr>
      <w:spacing w:after="0" w:line="240" w:lineRule="auto"/>
    </w:pPr>
    <w:rPr>
      <w:rFonts w:ascii="Tahoma" w:hAnsi="Tahoma" w:cs="Tahoma"/>
      <w:sz w:val="16"/>
      <w:szCs w:val="16"/>
    </w:rPr>
  </w:style>
  <w:style w:type="paragraph" w:styleId="16">
    <w:name w:val="Body Text 2"/>
    <w:basedOn w:val="1"/>
    <w:link w:val="60"/>
    <w:semiHidden/>
    <w:unhideWhenUsed/>
    <w:qFormat/>
    <w:uiPriority w:val="99"/>
    <w:pPr>
      <w:spacing w:after="120" w:line="480" w:lineRule="auto"/>
    </w:pPr>
    <w:rPr>
      <w:rFonts w:ascii="Times New Roman" w:hAnsi="Times New Roman" w:eastAsia="Times New Roman" w:cs="Times New Roman"/>
      <w:sz w:val="24"/>
      <w:szCs w:val="24"/>
      <w:lang w:eastAsia="pl-PL"/>
    </w:rPr>
  </w:style>
  <w:style w:type="paragraph" w:styleId="17">
    <w:name w:val="endnote text"/>
    <w:basedOn w:val="1"/>
    <w:link w:val="39"/>
    <w:unhideWhenUsed/>
    <w:qFormat/>
    <w:uiPriority w:val="0"/>
    <w:pPr>
      <w:spacing w:after="0" w:line="240" w:lineRule="auto"/>
    </w:pPr>
    <w:rPr>
      <w:sz w:val="20"/>
      <w:szCs w:val="20"/>
    </w:rPr>
  </w:style>
  <w:style w:type="paragraph" w:styleId="18">
    <w:name w:val="caption"/>
    <w:basedOn w:val="1"/>
    <w:qFormat/>
    <w:uiPriority w:val="0"/>
    <w:pPr>
      <w:widowControl w:val="0"/>
      <w:suppressAutoHyphens/>
      <w:spacing w:after="0" w:line="240" w:lineRule="auto"/>
    </w:pPr>
    <w:rPr>
      <w:rFonts w:ascii="Liberation Serif" w:hAnsi="Liberation Serif" w:eastAsia="NSimSun" w:cs="Lucida Sans"/>
      <w:kern w:val="2"/>
      <w:sz w:val="24"/>
      <w:szCs w:val="24"/>
      <w:lang w:val="en-US" w:eastAsia="zh-CN" w:bidi="hi-IN"/>
    </w:rPr>
  </w:style>
  <w:style w:type="paragraph" w:styleId="19">
    <w:name w:val="annotation text"/>
    <w:basedOn w:val="1"/>
    <w:link w:val="62"/>
    <w:semiHidden/>
    <w:unhideWhenUsed/>
    <w:qFormat/>
    <w:uiPriority w:val="99"/>
    <w:pPr>
      <w:spacing w:after="0" w:line="240" w:lineRule="auto"/>
    </w:pPr>
    <w:rPr>
      <w:rFonts w:ascii="Times New Roman" w:hAnsi="Times New Roman" w:eastAsia="Times New Roman" w:cs="Times New Roman"/>
      <w:sz w:val="20"/>
      <w:szCs w:val="20"/>
      <w:lang w:eastAsia="pl-PL"/>
    </w:rPr>
  </w:style>
  <w:style w:type="paragraph" w:styleId="20">
    <w:name w:val="annotation subject"/>
    <w:basedOn w:val="19"/>
    <w:next w:val="19"/>
    <w:link w:val="63"/>
    <w:semiHidden/>
    <w:unhideWhenUsed/>
    <w:qFormat/>
    <w:uiPriority w:val="99"/>
    <w:rPr>
      <w:b/>
      <w:bCs/>
    </w:rPr>
  </w:style>
  <w:style w:type="paragraph" w:styleId="21">
    <w:name w:val="footnote text"/>
    <w:basedOn w:val="1"/>
    <w:link w:val="40"/>
    <w:unhideWhenUsed/>
    <w:qFormat/>
    <w:uiPriority w:val="0"/>
    <w:pPr>
      <w:spacing w:after="0" w:line="240" w:lineRule="auto"/>
    </w:pPr>
    <w:rPr>
      <w:sz w:val="20"/>
      <w:szCs w:val="20"/>
    </w:rPr>
  </w:style>
  <w:style w:type="paragraph" w:styleId="22">
    <w:name w:val="header"/>
    <w:basedOn w:val="1"/>
    <w:link w:val="33"/>
    <w:unhideWhenUsed/>
    <w:qFormat/>
    <w:uiPriority w:val="0"/>
    <w:pPr>
      <w:tabs>
        <w:tab w:val="center" w:pos="4677"/>
        <w:tab w:val="right" w:pos="9355"/>
      </w:tabs>
      <w:spacing w:after="0" w:line="240" w:lineRule="auto"/>
    </w:pPr>
  </w:style>
  <w:style w:type="paragraph" w:styleId="23">
    <w:name w:val="Body Text"/>
    <w:basedOn w:val="1"/>
    <w:link w:val="41"/>
    <w:qFormat/>
    <w:uiPriority w:val="0"/>
    <w:pPr>
      <w:widowControl w:val="0"/>
      <w:autoSpaceDE w:val="0"/>
      <w:autoSpaceDN w:val="0"/>
      <w:spacing w:after="0" w:line="240" w:lineRule="auto"/>
      <w:ind w:left="115"/>
      <w:jc w:val="both"/>
    </w:pPr>
    <w:rPr>
      <w:rFonts w:ascii="Times New Roman" w:hAnsi="Times New Roman" w:eastAsia="Times New Roman" w:cs="Times New Roman"/>
      <w:sz w:val="24"/>
      <w:szCs w:val="24"/>
      <w:lang w:val="en-US"/>
    </w:rPr>
  </w:style>
  <w:style w:type="paragraph" w:styleId="24">
    <w:name w:val="toc 1"/>
    <w:basedOn w:val="1"/>
    <w:next w:val="1"/>
    <w:autoRedefine/>
    <w:unhideWhenUsed/>
    <w:qFormat/>
    <w:uiPriority w:val="39"/>
    <w:pPr>
      <w:tabs>
        <w:tab w:val="right" w:leader="dot" w:pos="9628"/>
      </w:tabs>
      <w:spacing w:after="100"/>
    </w:pPr>
    <w:rPr>
      <w:rFonts w:ascii="Times New Roman" w:hAnsi="Times New Roman" w:eastAsia="Times-Italic" w:cs="Times New Roman"/>
      <w:i/>
      <w:iCs/>
      <w:sz w:val="28"/>
      <w:szCs w:val="28"/>
      <w:shd w:val="clear" w:color="auto" w:fill="FFFF00"/>
      <w:lang w:eastAsia="zh-CN"/>
    </w:rPr>
  </w:style>
  <w:style w:type="paragraph" w:styleId="25">
    <w:name w:val="toc 3"/>
    <w:basedOn w:val="1"/>
    <w:next w:val="1"/>
    <w:autoRedefine/>
    <w:unhideWhenUsed/>
    <w:qFormat/>
    <w:uiPriority w:val="39"/>
    <w:pPr>
      <w:spacing w:after="100"/>
      <w:ind w:left="440"/>
    </w:pPr>
  </w:style>
  <w:style w:type="paragraph" w:styleId="26">
    <w:name w:val="toc 2"/>
    <w:basedOn w:val="1"/>
    <w:next w:val="1"/>
    <w:autoRedefine/>
    <w:unhideWhenUsed/>
    <w:qFormat/>
    <w:uiPriority w:val="39"/>
    <w:pPr>
      <w:spacing w:after="100"/>
      <w:ind w:left="220"/>
    </w:pPr>
  </w:style>
  <w:style w:type="paragraph" w:styleId="27">
    <w:name w:val="footer"/>
    <w:basedOn w:val="1"/>
    <w:link w:val="34"/>
    <w:unhideWhenUsed/>
    <w:qFormat/>
    <w:uiPriority w:val="99"/>
    <w:pPr>
      <w:tabs>
        <w:tab w:val="center" w:pos="4677"/>
        <w:tab w:val="right" w:pos="9355"/>
      </w:tabs>
      <w:spacing w:after="0" w:line="240" w:lineRule="auto"/>
    </w:pPr>
  </w:style>
  <w:style w:type="paragraph" w:styleId="28">
    <w:name w:val="List"/>
    <w:basedOn w:val="29"/>
    <w:qFormat/>
    <w:uiPriority w:val="0"/>
  </w:style>
  <w:style w:type="paragraph" w:customStyle="1" w:styleId="29">
    <w:name w:val="Text Body"/>
    <w:basedOn w:val="1"/>
    <w:qFormat/>
    <w:uiPriority w:val="0"/>
    <w:pPr>
      <w:widowControl w:val="0"/>
      <w:suppressAutoHyphens/>
      <w:spacing w:after="0" w:line="240" w:lineRule="auto"/>
    </w:pPr>
    <w:rPr>
      <w:rFonts w:ascii="Liberation Serif" w:hAnsi="Liberation Serif" w:eastAsia="NSimSun" w:cs="Lucida Sans"/>
      <w:kern w:val="2"/>
      <w:sz w:val="24"/>
      <w:szCs w:val="24"/>
      <w:lang w:val="en-US" w:eastAsia="zh-CN" w:bidi="hi-IN"/>
    </w:rPr>
  </w:style>
  <w:style w:type="paragraph" w:styleId="30">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31">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2">
    <w:name w:val="List Paragraph"/>
    <w:basedOn w:val="1"/>
    <w:link w:val="36"/>
    <w:qFormat/>
    <w:uiPriority w:val="34"/>
    <w:pPr>
      <w:ind w:left="720"/>
      <w:contextualSpacing/>
    </w:pPr>
  </w:style>
  <w:style w:type="character" w:customStyle="1" w:styleId="33">
    <w:name w:val="Верхний колонтитул Знак"/>
    <w:basedOn w:val="6"/>
    <w:link w:val="22"/>
    <w:qFormat/>
    <w:uiPriority w:val="99"/>
  </w:style>
  <w:style w:type="character" w:customStyle="1" w:styleId="34">
    <w:name w:val="Нижний колонтитул Знак"/>
    <w:basedOn w:val="6"/>
    <w:link w:val="27"/>
    <w:qFormat/>
    <w:uiPriority w:val="99"/>
  </w:style>
  <w:style w:type="character" w:customStyle="1" w:styleId="35">
    <w:name w:val="Текст выноски Знак"/>
    <w:basedOn w:val="6"/>
    <w:link w:val="15"/>
    <w:semiHidden/>
    <w:qFormat/>
    <w:uiPriority w:val="99"/>
    <w:rPr>
      <w:rFonts w:ascii="Tahoma" w:hAnsi="Tahoma" w:cs="Tahoma"/>
      <w:sz w:val="16"/>
      <w:szCs w:val="16"/>
    </w:rPr>
  </w:style>
  <w:style w:type="character" w:customStyle="1" w:styleId="36">
    <w:name w:val="Абзац списка Знак"/>
    <w:link w:val="32"/>
    <w:qFormat/>
    <w:locked/>
    <w:uiPriority w:val="34"/>
  </w:style>
  <w:style w:type="paragraph" w:customStyle="1" w:styleId="37">
    <w:name w:val="MIBE_Text_Indent"/>
    <w:basedOn w:val="1"/>
    <w:qFormat/>
    <w:uiPriority w:val="0"/>
    <w:pPr>
      <w:spacing w:after="0" w:line="240" w:lineRule="auto"/>
      <w:ind w:firstLine="567"/>
      <w:jc w:val="both"/>
    </w:pPr>
    <w:rPr>
      <w:rFonts w:ascii="Times New Roman" w:hAnsi="Times New Roman" w:eastAsia="Times New Roman" w:cs="Times New Roman"/>
      <w:szCs w:val="24"/>
      <w:lang w:eastAsia="pl-PL"/>
    </w:rPr>
  </w:style>
  <w:style w:type="paragraph" w:customStyle="1" w:styleId="38">
    <w:name w:val="MIBE_Equation"/>
    <w:basedOn w:val="37"/>
    <w:qFormat/>
    <w:uiPriority w:val="0"/>
    <w:pPr>
      <w:tabs>
        <w:tab w:val="center" w:pos="3402"/>
        <w:tab w:val="right" w:pos="7371"/>
      </w:tabs>
      <w:spacing w:before="40" w:after="40"/>
      <w:ind w:firstLine="0"/>
    </w:pPr>
  </w:style>
  <w:style w:type="character" w:customStyle="1" w:styleId="39">
    <w:name w:val="Текст концевой сноски Знак"/>
    <w:basedOn w:val="6"/>
    <w:link w:val="17"/>
    <w:semiHidden/>
    <w:qFormat/>
    <w:uiPriority w:val="99"/>
    <w:rPr>
      <w:sz w:val="20"/>
      <w:szCs w:val="20"/>
    </w:rPr>
  </w:style>
  <w:style w:type="character" w:customStyle="1" w:styleId="40">
    <w:name w:val="Текст сноски Знак"/>
    <w:basedOn w:val="6"/>
    <w:link w:val="21"/>
    <w:qFormat/>
    <w:uiPriority w:val="99"/>
    <w:rPr>
      <w:sz w:val="20"/>
      <w:szCs w:val="20"/>
    </w:rPr>
  </w:style>
  <w:style w:type="character" w:customStyle="1" w:styleId="41">
    <w:name w:val="Основной текст Знак"/>
    <w:basedOn w:val="6"/>
    <w:link w:val="23"/>
    <w:qFormat/>
    <w:uiPriority w:val="99"/>
    <w:rPr>
      <w:rFonts w:ascii="Times New Roman" w:hAnsi="Times New Roman" w:eastAsia="Times New Roman" w:cs="Times New Roman"/>
      <w:sz w:val="24"/>
      <w:szCs w:val="24"/>
      <w:lang w:val="en-US"/>
    </w:rPr>
  </w:style>
  <w:style w:type="paragraph" w:customStyle="1" w:styleId="42">
    <w:name w:val="Заголовок 11"/>
    <w:basedOn w:val="1"/>
    <w:qFormat/>
    <w:uiPriority w:val="1"/>
    <w:pPr>
      <w:widowControl w:val="0"/>
      <w:autoSpaceDE w:val="0"/>
      <w:autoSpaceDN w:val="0"/>
      <w:spacing w:after="0" w:line="240" w:lineRule="auto"/>
      <w:ind w:left="115"/>
      <w:jc w:val="both"/>
      <w:outlineLvl w:val="1"/>
    </w:pPr>
    <w:rPr>
      <w:rFonts w:ascii="Times New Roman" w:hAnsi="Times New Roman" w:eastAsia="Times New Roman" w:cs="Times New Roman"/>
      <w:b/>
      <w:bCs/>
      <w:sz w:val="24"/>
      <w:szCs w:val="24"/>
      <w:lang w:val="en-US"/>
    </w:rPr>
  </w:style>
  <w:style w:type="table" w:customStyle="1" w:styleId="43">
    <w:name w:val="Table Normal"/>
    <w:semiHidden/>
    <w:unhideWhenUsed/>
    <w:qFormat/>
    <w:uiPriority w:val="2"/>
    <w:pPr>
      <w:widowControl w:val="0"/>
      <w:autoSpaceDE w:val="0"/>
      <w:autoSpaceDN w:val="0"/>
    </w:pPr>
    <w:rPr>
      <w:lang w:val="en-US"/>
    </w:rPr>
    <w:tblPr>
      <w:tblCellMar>
        <w:top w:w="0" w:type="dxa"/>
        <w:left w:w="0" w:type="dxa"/>
        <w:bottom w:w="0" w:type="dxa"/>
        <w:right w:w="0" w:type="dxa"/>
      </w:tblCellMar>
    </w:tblPr>
  </w:style>
  <w:style w:type="paragraph" w:customStyle="1" w:styleId="44">
    <w:name w:val="Table Paragraph"/>
    <w:basedOn w:val="1"/>
    <w:qFormat/>
    <w:uiPriority w:val="1"/>
    <w:pPr>
      <w:widowControl w:val="0"/>
      <w:autoSpaceDE w:val="0"/>
      <w:autoSpaceDN w:val="0"/>
      <w:spacing w:before="1" w:after="0" w:line="240" w:lineRule="auto"/>
      <w:ind w:left="236"/>
    </w:pPr>
    <w:rPr>
      <w:rFonts w:ascii="Times New Roman" w:hAnsi="Times New Roman" w:eastAsia="Times New Roman" w:cs="Times New Roman"/>
      <w:lang w:val="en-US"/>
    </w:rPr>
  </w:style>
  <w:style w:type="character" w:customStyle="1" w:styleId="45">
    <w:name w:val="Заголовок 3 Знак"/>
    <w:basedOn w:val="6"/>
    <w:link w:val="4"/>
    <w:qFormat/>
    <w:uiPriority w:val="9"/>
    <w:rPr>
      <w:rFonts w:ascii="Times New Roman" w:hAnsi="Times New Roman" w:eastAsia="Times New Roman" w:cs="Times New Roman"/>
      <w:b/>
      <w:bCs/>
      <w:sz w:val="27"/>
      <w:szCs w:val="27"/>
      <w:lang w:eastAsia="ru-RU"/>
    </w:rPr>
  </w:style>
  <w:style w:type="character" w:customStyle="1" w:styleId="46">
    <w:name w:val="Заголовок 1 Знак"/>
    <w:basedOn w:val="6"/>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47">
    <w:name w:val="Неразрешенное упоминание1"/>
    <w:basedOn w:val="6"/>
    <w:semiHidden/>
    <w:unhideWhenUsed/>
    <w:qFormat/>
    <w:uiPriority w:val="99"/>
    <w:rPr>
      <w:color w:val="605E5C"/>
      <w:shd w:val="clear" w:color="auto" w:fill="E1DFDD"/>
    </w:rPr>
  </w:style>
  <w:style w:type="paragraph" w:customStyle="1" w:styleId="48">
    <w:name w:val="Заголовок оглавления1"/>
    <w:basedOn w:val="2"/>
    <w:next w:val="1"/>
    <w:unhideWhenUsed/>
    <w:qFormat/>
    <w:uiPriority w:val="39"/>
    <w:pPr>
      <w:spacing w:before="240" w:line="259" w:lineRule="auto"/>
      <w:outlineLvl w:val="9"/>
    </w:pPr>
    <w:rPr>
      <w:b w:val="0"/>
      <w:bCs w:val="0"/>
      <w:sz w:val="32"/>
      <w:szCs w:val="32"/>
      <w:lang w:val="zh-CN" w:eastAsia="zh-CN"/>
    </w:rPr>
  </w:style>
  <w:style w:type="character" w:customStyle="1" w:styleId="49">
    <w:name w:val="Заголовок 2 Знак"/>
    <w:basedOn w:val="6"/>
    <w:link w:val="3"/>
    <w:qFormat/>
    <w:uiPriority w:val="9"/>
    <w:rPr>
      <w:rFonts w:asciiTheme="majorHAnsi" w:hAnsiTheme="majorHAnsi" w:eastAsiaTheme="majorEastAsia" w:cstheme="majorBidi"/>
      <w:color w:val="376092" w:themeColor="accent1" w:themeShade="BF"/>
      <w:sz w:val="26"/>
      <w:szCs w:val="26"/>
    </w:rPr>
  </w:style>
  <w:style w:type="paragraph" w:customStyle="1" w:styleId="50">
    <w:name w:val="MIBE_Subsection"/>
    <w:basedOn w:val="1"/>
    <w:next w:val="37"/>
    <w:qFormat/>
    <w:uiPriority w:val="0"/>
    <w:pPr>
      <w:keepNext/>
      <w:spacing w:before="120" w:after="120" w:line="240" w:lineRule="auto"/>
      <w:outlineLvl w:val="4"/>
    </w:pPr>
    <w:rPr>
      <w:rFonts w:ascii="Times New Roman" w:hAnsi="Times New Roman" w:eastAsia="Times New Roman" w:cs="Times New Roman"/>
      <w:b/>
      <w:lang w:bidi="he-IL"/>
    </w:rPr>
  </w:style>
  <w:style w:type="paragraph" w:customStyle="1" w:styleId="51">
    <w:name w:val="MIBE_Title"/>
    <w:basedOn w:val="23"/>
    <w:next w:val="1"/>
    <w:qFormat/>
    <w:uiPriority w:val="0"/>
    <w:pPr>
      <w:widowControl/>
      <w:autoSpaceDE/>
      <w:autoSpaceDN/>
      <w:spacing w:before="1080" w:after="600"/>
      <w:ind w:left="0"/>
      <w:jc w:val="center"/>
      <w:outlineLvl w:val="0"/>
    </w:pPr>
    <w:rPr>
      <w:b/>
      <w:caps/>
      <w:lang w:val="ru-RU" w:eastAsia="pl-PL"/>
    </w:rPr>
  </w:style>
  <w:style w:type="paragraph" w:customStyle="1" w:styleId="52">
    <w:name w:val="MIBE_Author"/>
    <w:basedOn w:val="1"/>
    <w:qFormat/>
    <w:uiPriority w:val="0"/>
    <w:pPr>
      <w:spacing w:after="0" w:line="240" w:lineRule="auto"/>
      <w:jc w:val="center"/>
      <w:outlineLvl w:val="1"/>
    </w:pPr>
    <w:rPr>
      <w:rFonts w:ascii="Times New Roman" w:hAnsi="Times New Roman" w:eastAsia="Times New Roman" w:cs="Times New Roman"/>
      <w:b/>
      <w:szCs w:val="24"/>
      <w:lang w:eastAsia="pl-PL"/>
    </w:rPr>
  </w:style>
  <w:style w:type="paragraph" w:customStyle="1" w:styleId="53">
    <w:name w:val="MIBE_Adress"/>
    <w:basedOn w:val="16"/>
    <w:next w:val="1"/>
    <w:qFormat/>
    <w:uiPriority w:val="0"/>
    <w:pPr>
      <w:spacing w:after="0" w:line="240" w:lineRule="auto"/>
      <w:jc w:val="center"/>
      <w:outlineLvl w:val="2"/>
    </w:pPr>
    <w:rPr>
      <w:sz w:val="22"/>
    </w:rPr>
  </w:style>
  <w:style w:type="paragraph" w:customStyle="1" w:styleId="54">
    <w:name w:val="MIBE_Abstract"/>
    <w:basedOn w:val="16"/>
    <w:next w:val="1"/>
    <w:qFormat/>
    <w:uiPriority w:val="0"/>
    <w:pPr>
      <w:spacing w:before="480" w:after="240" w:line="240" w:lineRule="auto"/>
      <w:ind w:left="567" w:right="567"/>
      <w:jc w:val="both"/>
    </w:pPr>
    <w:rPr>
      <w:sz w:val="20"/>
    </w:rPr>
  </w:style>
  <w:style w:type="paragraph" w:customStyle="1" w:styleId="55">
    <w:name w:val="MIBE_Section"/>
    <w:basedOn w:val="1"/>
    <w:next w:val="37"/>
    <w:qFormat/>
    <w:uiPriority w:val="0"/>
    <w:pPr>
      <w:keepNext/>
      <w:spacing w:before="240" w:after="240" w:line="240" w:lineRule="auto"/>
      <w:outlineLvl w:val="3"/>
    </w:pPr>
    <w:rPr>
      <w:rFonts w:ascii="Times New Roman" w:hAnsi="Times New Roman" w:eastAsia="Times New Roman" w:cs="Times New Roman"/>
      <w:caps/>
      <w:sz w:val="24"/>
      <w:szCs w:val="24"/>
      <w:lang w:val="en-US" w:eastAsia="pl-PL"/>
    </w:rPr>
  </w:style>
  <w:style w:type="paragraph" w:customStyle="1" w:styleId="56">
    <w:name w:val="MIBE_Figure_Source"/>
    <w:basedOn w:val="1"/>
    <w:qFormat/>
    <w:uiPriority w:val="0"/>
    <w:pPr>
      <w:tabs>
        <w:tab w:val="decimal" w:pos="569"/>
      </w:tabs>
      <w:spacing w:before="80" w:after="120" w:line="240" w:lineRule="auto"/>
    </w:pPr>
    <w:rPr>
      <w:rFonts w:ascii="Times New Roman" w:hAnsi="Times New Roman" w:eastAsia="Times New Roman" w:cs="Times New Roman"/>
      <w:sz w:val="20"/>
      <w:szCs w:val="20"/>
      <w:lang w:val="en-US" w:eastAsia="pl-PL"/>
    </w:rPr>
  </w:style>
  <w:style w:type="paragraph" w:customStyle="1" w:styleId="57">
    <w:name w:val="MIBE_References"/>
    <w:next w:val="1"/>
    <w:qFormat/>
    <w:uiPriority w:val="0"/>
    <w:pPr>
      <w:spacing w:before="20" w:after="20"/>
      <w:ind w:left="284" w:hanging="284"/>
      <w:jc w:val="both"/>
    </w:pPr>
    <w:rPr>
      <w:rFonts w:ascii="Times New Roman" w:hAnsi="Times New Roman" w:eastAsia="Times New Roman" w:cs="Times New Roman"/>
      <w:szCs w:val="24"/>
      <w:lang w:val="pl-PL" w:eastAsia="pl-PL" w:bidi="ar-SA"/>
    </w:rPr>
  </w:style>
  <w:style w:type="paragraph" w:customStyle="1" w:styleId="58">
    <w:name w:val="MIBE_Keywords"/>
    <w:basedOn w:val="54"/>
    <w:qFormat/>
    <w:uiPriority w:val="0"/>
    <w:pPr>
      <w:spacing w:before="240" w:after="720"/>
    </w:pPr>
  </w:style>
  <w:style w:type="paragraph" w:customStyle="1" w:styleId="59">
    <w:name w:val="MIBE_Figure_Title"/>
    <w:basedOn w:val="1"/>
    <w:next w:val="37"/>
    <w:qFormat/>
    <w:uiPriority w:val="0"/>
    <w:pPr>
      <w:keepNext/>
      <w:spacing w:before="180" w:after="80" w:line="240" w:lineRule="auto"/>
      <w:ind w:left="794" w:hanging="794"/>
    </w:pPr>
    <w:rPr>
      <w:rFonts w:ascii="Times New Roman" w:hAnsi="Times New Roman" w:eastAsia="Times New Roman" w:cs="Times New Roman"/>
      <w:sz w:val="20"/>
      <w:szCs w:val="20"/>
      <w:lang w:val="en-US" w:eastAsia="pl-PL"/>
    </w:rPr>
  </w:style>
  <w:style w:type="character" w:customStyle="1" w:styleId="60">
    <w:name w:val="Основной текст 2 Знак"/>
    <w:basedOn w:val="6"/>
    <w:link w:val="16"/>
    <w:semiHidden/>
    <w:qFormat/>
    <w:uiPriority w:val="99"/>
    <w:rPr>
      <w:rFonts w:ascii="Times New Roman" w:hAnsi="Times New Roman" w:eastAsia="Times New Roman" w:cs="Times New Roman"/>
      <w:sz w:val="24"/>
      <w:szCs w:val="24"/>
      <w:lang w:eastAsia="pl-PL"/>
    </w:rPr>
  </w:style>
  <w:style w:type="character" w:styleId="61">
    <w:name w:val="Placeholder Text"/>
    <w:basedOn w:val="6"/>
    <w:semiHidden/>
    <w:qFormat/>
    <w:uiPriority w:val="99"/>
    <w:rPr>
      <w:color w:val="808080"/>
    </w:rPr>
  </w:style>
  <w:style w:type="character" w:customStyle="1" w:styleId="62">
    <w:name w:val="Текст примечания Знак"/>
    <w:basedOn w:val="6"/>
    <w:link w:val="19"/>
    <w:semiHidden/>
    <w:qFormat/>
    <w:uiPriority w:val="99"/>
    <w:rPr>
      <w:rFonts w:ascii="Times New Roman" w:hAnsi="Times New Roman" w:eastAsia="Times New Roman" w:cs="Times New Roman"/>
      <w:sz w:val="20"/>
      <w:szCs w:val="20"/>
      <w:lang w:eastAsia="pl-PL"/>
    </w:rPr>
  </w:style>
  <w:style w:type="character" w:customStyle="1" w:styleId="63">
    <w:name w:val="Тема примечания Знак"/>
    <w:basedOn w:val="62"/>
    <w:link w:val="20"/>
    <w:semiHidden/>
    <w:qFormat/>
    <w:uiPriority w:val="99"/>
    <w:rPr>
      <w:rFonts w:ascii="Times New Roman" w:hAnsi="Times New Roman" w:eastAsia="Times New Roman" w:cs="Times New Roman"/>
      <w:b/>
      <w:bCs/>
      <w:sz w:val="20"/>
      <w:szCs w:val="20"/>
      <w:lang w:eastAsia="pl-PL"/>
    </w:rPr>
  </w:style>
  <w:style w:type="character" w:customStyle="1" w:styleId="64">
    <w:name w:val="Footnote_Symbol"/>
    <w:qFormat/>
    <w:uiPriority w:val="0"/>
    <w:rPr>
      <w:vertAlign w:val="superscript"/>
    </w:rPr>
  </w:style>
  <w:style w:type="character" w:customStyle="1" w:styleId="65">
    <w:name w:val="Endnote_Symbol"/>
    <w:qFormat/>
    <w:uiPriority w:val="0"/>
    <w:rPr>
      <w:vertAlign w:val="superscript"/>
    </w:rPr>
  </w:style>
  <w:style w:type="character" w:customStyle="1" w:styleId="66">
    <w:name w:val="Footnote Anchor"/>
    <w:qFormat/>
    <w:uiPriority w:val="0"/>
    <w:rPr>
      <w:vertAlign w:val="superscript"/>
    </w:rPr>
  </w:style>
  <w:style w:type="character" w:customStyle="1" w:styleId="67">
    <w:name w:val="Endnote Anchor"/>
    <w:qFormat/>
    <w:uiPriority w:val="0"/>
    <w:rPr>
      <w:vertAlign w:val="superscript"/>
    </w:rPr>
  </w:style>
  <w:style w:type="character" w:customStyle="1" w:styleId="68">
    <w:name w:val="Bullet_Symbols"/>
    <w:qFormat/>
    <w:uiPriority w:val="0"/>
  </w:style>
  <w:style w:type="paragraph" w:customStyle="1" w:styleId="69">
    <w:name w:val="Heading"/>
    <w:basedOn w:val="1"/>
    <w:next w:val="23"/>
    <w:qFormat/>
    <w:uiPriority w:val="0"/>
    <w:pPr>
      <w:keepNext/>
      <w:widowControl w:val="0"/>
      <w:suppressAutoHyphens/>
      <w:spacing w:before="240" w:after="120" w:line="240" w:lineRule="auto"/>
    </w:pPr>
    <w:rPr>
      <w:rFonts w:ascii="Liberation Sans" w:hAnsi="Liberation Sans" w:eastAsia="Microsoft YaHei" w:cs="Lucida Sans"/>
      <w:kern w:val="2"/>
      <w:sz w:val="28"/>
      <w:szCs w:val="28"/>
      <w:lang w:val="en-US" w:eastAsia="zh-CN" w:bidi="hi-IN"/>
    </w:rPr>
  </w:style>
  <w:style w:type="paragraph" w:customStyle="1" w:styleId="70">
    <w:name w:val="Index"/>
    <w:basedOn w:val="1"/>
    <w:qFormat/>
    <w:uiPriority w:val="0"/>
    <w:pPr>
      <w:widowControl w:val="0"/>
      <w:suppressAutoHyphens/>
      <w:spacing w:after="0" w:line="240" w:lineRule="auto"/>
    </w:pPr>
    <w:rPr>
      <w:rFonts w:ascii="Liberation Serif" w:hAnsi="Liberation Serif" w:eastAsia="NSimSun" w:cs="Lucida Sans"/>
      <w:kern w:val="2"/>
      <w:sz w:val="24"/>
      <w:szCs w:val="24"/>
      <w:lang w:val="en-US" w:eastAsia="zh-CN" w:bidi="hi-IN"/>
    </w:rPr>
  </w:style>
  <w:style w:type="paragraph" w:customStyle="1" w:styleId="71">
    <w:name w:val="Table Contents"/>
    <w:basedOn w:val="29"/>
    <w:qFormat/>
    <w:uiPriority w:val="0"/>
  </w:style>
  <w:style w:type="paragraph" w:customStyle="1" w:styleId="72">
    <w:name w:val="Table Heading"/>
    <w:basedOn w:val="71"/>
    <w:qFormat/>
    <w:uiPriority w:val="0"/>
  </w:style>
  <w:style w:type="paragraph" w:customStyle="1" w:styleId="73">
    <w:name w:val="Header and Footer"/>
    <w:basedOn w:val="1"/>
    <w:qFormat/>
    <w:uiPriority w:val="0"/>
    <w:pPr>
      <w:widowControl w:val="0"/>
      <w:suppressLineNumbers/>
      <w:tabs>
        <w:tab w:val="center" w:pos="4819"/>
        <w:tab w:val="right" w:pos="9638"/>
      </w:tabs>
      <w:suppressAutoHyphens/>
      <w:spacing w:after="0" w:line="240" w:lineRule="auto"/>
    </w:pPr>
    <w:rPr>
      <w:rFonts w:ascii="Liberation Serif" w:hAnsi="Liberation Serif" w:eastAsia="NSimSun" w:cs="Lucida Sans"/>
      <w:kern w:val="2"/>
      <w:sz w:val="24"/>
      <w:szCs w:val="24"/>
      <w:lang w:val="en-US" w:eastAsia="zh-CN" w:bidi="hi-IN"/>
    </w:rPr>
  </w:style>
  <w:style w:type="character" w:customStyle="1" w:styleId="74">
    <w:name w:val="vkekvd"/>
    <w:basedOn w:val="6"/>
    <w:qFormat/>
    <w:uiPriority w:val="0"/>
  </w:style>
  <w:style w:type="character" w:customStyle="1" w:styleId="75">
    <w:name w:val="Заголовок 4 Знак"/>
    <w:basedOn w:val="6"/>
    <w:link w:val="5"/>
    <w:semiHidden/>
    <w:qFormat/>
    <w:uiPriority w:val="9"/>
    <w:rPr>
      <w:rFonts w:asciiTheme="majorHAnsi" w:hAnsiTheme="majorHAnsi" w:eastAsiaTheme="majorEastAsia" w:cstheme="majorBidi"/>
      <w:i/>
      <w:iCs/>
      <w:color w:val="376092" w:themeColor="accent1" w:themeShade="BF"/>
    </w:rPr>
  </w:style>
  <w:style w:type="table" w:customStyle="1" w:styleId="76">
    <w:name w:val="Таблица-сетка 1 светлая1"/>
    <w:basedOn w:val="7"/>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77">
    <w:name w:val="whitespace-normal"/>
    <w:basedOn w:val="6"/>
    <w:qFormat/>
    <w:uiPriority w:val="0"/>
  </w:style>
</w:styles>
</file>

<file path=word/_rels/document.xml.rels><?xml version="1.0" encoding="UTF-8" standalone="yes"?>
<Relationships xmlns="http://schemas.openxmlformats.org/package/2006/relationships"><Relationship Id="rId999" Type="http://schemas.openxmlformats.org/officeDocument/2006/relationships/image" Target="media/image433.wmf"/><Relationship Id="rId998" Type="http://schemas.openxmlformats.org/officeDocument/2006/relationships/oleObject" Target="embeddings/oleObject551.bin"/><Relationship Id="rId997" Type="http://schemas.openxmlformats.org/officeDocument/2006/relationships/image" Target="media/image432.wmf"/><Relationship Id="rId996" Type="http://schemas.openxmlformats.org/officeDocument/2006/relationships/oleObject" Target="embeddings/oleObject550.bin"/><Relationship Id="rId995" Type="http://schemas.openxmlformats.org/officeDocument/2006/relationships/image" Target="media/image431.wmf"/><Relationship Id="rId994" Type="http://schemas.openxmlformats.org/officeDocument/2006/relationships/oleObject" Target="embeddings/oleObject549.bin"/><Relationship Id="rId993" Type="http://schemas.openxmlformats.org/officeDocument/2006/relationships/oleObject" Target="embeddings/oleObject548.bin"/><Relationship Id="rId992" Type="http://schemas.openxmlformats.org/officeDocument/2006/relationships/oleObject" Target="embeddings/oleObject547.bin"/><Relationship Id="rId991" Type="http://schemas.openxmlformats.org/officeDocument/2006/relationships/oleObject" Target="embeddings/oleObject546.bin"/><Relationship Id="rId990" Type="http://schemas.openxmlformats.org/officeDocument/2006/relationships/image" Target="media/image430.wmf"/><Relationship Id="rId99" Type="http://schemas.openxmlformats.org/officeDocument/2006/relationships/oleObject" Target="embeddings/oleObject38.bin"/><Relationship Id="rId989" Type="http://schemas.openxmlformats.org/officeDocument/2006/relationships/oleObject" Target="embeddings/oleObject545.bin"/><Relationship Id="rId988" Type="http://schemas.openxmlformats.org/officeDocument/2006/relationships/image" Target="media/image429.wmf"/><Relationship Id="rId987" Type="http://schemas.openxmlformats.org/officeDocument/2006/relationships/oleObject" Target="embeddings/oleObject544.bin"/><Relationship Id="rId986" Type="http://schemas.openxmlformats.org/officeDocument/2006/relationships/oleObject" Target="embeddings/oleObject543.bin"/><Relationship Id="rId985" Type="http://schemas.openxmlformats.org/officeDocument/2006/relationships/oleObject" Target="embeddings/oleObject542.bin"/><Relationship Id="rId984" Type="http://schemas.openxmlformats.org/officeDocument/2006/relationships/image" Target="media/image428.wmf"/><Relationship Id="rId983" Type="http://schemas.openxmlformats.org/officeDocument/2006/relationships/oleObject" Target="embeddings/oleObject541.bin"/><Relationship Id="rId982" Type="http://schemas.openxmlformats.org/officeDocument/2006/relationships/oleObject" Target="embeddings/oleObject540.bin"/><Relationship Id="rId981" Type="http://schemas.openxmlformats.org/officeDocument/2006/relationships/oleObject" Target="embeddings/oleObject539.bin"/><Relationship Id="rId980" Type="http://schemas.openxmlformats.org/officeDocument/2006/relationships/oleObject" Target="embeddings/oleObject538.bin"/><Relationship Id="rId98" Type="http://schemas.openxmlformats.org/officeDocument/2006/relationships/image" Target="media/image46.wmf"/><Relationship Id="rId979" Type="http://schemas.openxmlformats.org/officeDocument/2006/relationships/oleObject" Target="embeddings/oleObject537.bin"/><Relationship Id="rId978" Type="http://schemas.openxmlformats.org/officeDocument/2006/relationships/image" Target="media/image427.wmf"/><Relationship Id="rId977" Type="http://schemas.openxmlformats.org/officeDocument/2006/relationships/oleObject" Target="embeddings/oleObject536.bin"/><Relationship Id="rId976" Type="http://schemas.openxmlformats.org/officeDocument/2006/relationships/image" Target="media/image426.wmf"/><Relationship Id="rId975" Type="http://schemas.openxmlformats.org/officeDocument/2006/relationships/oleObject" Target="embeddings/oleObject535.bin"/><Relationship Id="rId974" Type="http://schemas.openxmlformats.org/officeDocument/2006/relationships/image" Target="media/image425.wmf"/><Relationship Id="rId973" Type="http://schemas.openxmlformats.org/officeDocument/2006/relationships/oleObject" Target="embeddings/oleObject534.bin"/><Relationship Id="rId972" Type="http://schemas.openxmlformats.org/officeDocument/2006/relationships/image" Target="media/image424.wmf"/><Relationship Id="rId971" Type="http://schemas.openxmlformats.org/officeDocument/2006/relationships/oleObject" Target="embeddings/oleObject533.bin"/><Relationship Id="rId970" Type="http://schemas.openxmlformats.org/officeDocument/2006/relationships/oleObject" Target="embeddings/oleObject532.bin"/><Relationship Id="rId97" Type="http://schemas.openxmlformats.org/officeDocument/2006/relationships/oleObject" Target="embeddings/oleObject37.bin"/><Relationship Id="rId969" Type="http://schemas.openxmlformats.org/officeDocument/2006/relationships/image" Target="media/image423.wmf"/><Relationship Id="rId968" Type="http://schemas.openxmlformats.org/officeDocument/2006/relationships/oleObject" Target="embeddings/oleObject531.bin"/><Relationship Id="rId967" Type="http://schemas.openxmlformats.org/officeDocument/2006/relationships/image" Target="media/image422.wmf"/><Relationship Id="rId966" Type="http://schemas.openxmlformats.org/officeDocument/2006/relationships/oleObject" Target="embeddings/oleObject530.bin"/><Relationship Id="rId965" Type="http://schemas.openxmlformats.org/officeDocument/2006/relationships/image" Target="media/image421.wmf"/><Relationship Id="rId964" Type="http://schemas.openxmlformats.org/officeDocument/2006/relationships/oleObject" Target="embeddings/oleObject529.bin"/><Relationship Id="rId963" Type="http://schemas.openxmlformats.org/officeDocument/2006/relationships/image" Target="media/image420.wmf"/><Relationship Id="rId962" Type="http://schemas.openxmlformats.org/officeDocument/2006/relationships/oleObject" Target="embeddings/oleObject528.bin"/><Relationship Id="rId961" Type="http://schemas.openxmlformats.org/officeDocument/2006/relationships/oleObject" Target="embeddings/oleObject527.bin"/><Relationship Id="rId960" Type="http://schemas.openxmlformats.org/officeDocument/2006/relationships/image" Target="media/image419.wmf"/><Relationship Id="rId96" Type="http://schemas.openxmlformats.org/officeDocument/2006/relationships/image" Target="media/image45.wmf"/><Relationship Id="rId959" Type="http://schemas.openxmlformats.org/officeDocument/2006/relationships/oleObject" Target="embeddings/oleObject526.bin"/><Relationship Id="rId958" Type="http://schemas.openxmlformats.org/officeDocument/2006/relationships/image" Target="media/image418.wmf"/><Relationship Id="rId957" Type="http://schemas.openxmlformats.org/officeDocument/2006/relationships/oleObject" Target="embeddings/oleObject525.bin"/><Relationship Id="rId956" Type="http://schemas.openxmlformats.org/officeDocument/2006/relationships/oleObject" Target="embeddings/oleObject524.bin"/><Relationship Id="rId955" Type="http://schemas.openxmlformats.org/officeDocument/2006/relationships/image" Target="media/image417.wmf"/><Relationship Id="rId954" Type="http://schemas.openxmlformats.org/officeDocument/2006/relationships/oleObject" Target="embeddings/oleObject523.bin"/><Relationship Id="rId953" Type="http://schemas.openxmlformats.org/officeDocument/2006/relationships/image" Target="media/image416.wmf"/><Relationship Id="rId952" Type="http://schemas.openxmlformats.org/officeDocument/2006/relationships/oleObject" Target="embeddings/oleObject522.bin"/><Relationship Id="rId951" Type="http://schemas.openxmlformats.org/officeDocument/2006/relationships/image" Target="media/image415.wmf"/><Relationship Id="rId950" Type="http://schemas.openxmlformats.org/officeDocument/2006/relationships/oleObject" Target="embeddings/oleObject521.bin"/><Relationship Id="rId95" Type="http://schemas.openxmlformats.org/officeDocument/2006/relationships/oleObject" Target="embeddings/oleObject36.bin"/><Relationship Id="rId949" Type="http://schemas.openxmlformats.org/officeDocument/2006/relationships/image" Target="media/image414.wmf"/><Relationship Id="rId948" Type="http://schemas.openxmlformats.org/officeDocument/2006/relationships/oleObject" Target="embeddings/oleObject520.bin"/><Relationship Id="rId947" Type="http://schemas.openxmlformats.org/officeDocument/2006/relationships/oleObject" Target="embeddings/oleObject519.bin"/><Relationship Id="rId946" Type="http://schemas.openxmlformats.org/officeDocument/2006/relationships/image" Target="media/image413.wmf"/><Relationship Id="rId945" Type="http://schemas.openxmlformats.org/officeDocument/2006/relationships/oleObject" Target="embeddings/oleObject518.bin"/><Relationship Id="rId944" Type="http://schemas.openxmlformats.org/officeDocument/2006/relationships/oleObject" Target="embeddings/oleObject517.bin"/><Relationship Id="rId943" Type="http://schemas.openxmlformats.org/officeDocument/2006/relationships/image" Target="media/image412.wmf"/><Relationship Id="rId942" Type="http://schemas.openxmlformats.org/officeDocument/2006/relationships/oleObject" Target="embeddings/oleObject516.bin"/><Relationship Id="rId941" Type="http://schemas.openxmlformats.org/officeDocument/2006/relationships/oleObject" Target="embeddings/oleObject515.bin"/><Relationship Id="rId940" Type="http://schemas.openxmlformats.org/officeDocument/2006/relationships/oleObject" Target="embeddings/oleObject514.bin"/><Relationship Id="rId94" Type="http://schemas.openxmlformats.org/officeDocument/2006/relationships/image" Target="media/image44.wmf"/><Relationship Id="rId939" Type="http://schemas.openxmlformats.org/officeDocument/2006/relationships/oleObject" Target="embeddings/oleObject513.bin"/><Relationship Id="rId938" Type="http://schemas.openxmlformats.org/officeDocument/2006/relationships/image" Target="media/image411.wmf"/><Relationship Id="rId937" Type="http://schemas.openxmlformats.org/officeDocument/2006/relationships/oleObject" Target="embeddings/oleObject512.bin"/><Relationship Id="rId936" Type="http://schemas.openxmlformats.org/officeDocument/2006/relationships/oleObject" Target="embeddings/oleObject511.bin"/><Relationship Id="rId935" Type="http://schemas.openxmlformats.org/officeDocument/2006/relationships/oleObject" Target="embeddings/oleObject510.bin"/><Relationship Id="rId934" Type="http://schemas.openxmlformats.org/officeDocument/2006/relationships/oleObject" Target="embeddings/oleObject509.bin"/><Relationship Id="rId933" Type="http://schemas.openxmlformats.org/officeDocument/2006/relationships/oleObject" Target="embeddings/oleObject508.bin"/><Relationship Id="rId932" Type="http://schemas.openxmlformats.org/officeDocument/2006/relationships/image" Target="media/image410.wmf"/><Relationship Id="rId931" Type="http://schemas.openxmlformats.org/officeDocument/2006/relationships/oleObject" Target="embeddings/oleObject507.bin"/><Relationship Id="rId930" Type="http://schemas.openxmlformats.org/officeDocument/2006/relationships/oleObject" Target="embeddings/oleObject506.bin"/><Relationship Id="rId93" Type="http://schemas.openxmlformats.org/officeDocument/2006/relationships/oleObject" Target="embeddings/oleObject35.bin"/><Relationship Id="rId929" Type="http://schemas.openxmlformats.org/officeDocument/2006/relationships/oleObject" Target="embeddings/oleObject505.bin"/><Relationship Id="rId928" Type="http://schemas.openxmlformats.org/officeDocument/2006/relationships/image" Target="media/image409.wmf"/><Relationship Id="rId927" Type="http://schemas.openxmlformats.org/officeDocument/2006/relationships/oleObject" Target="embeddings/oleObject504.bin"/><Relationship Id="rId926" Type="http://schemas.openxmlformats.org/officeDocument/2006/relationships/image" Target="media/image408.wmf"/><Relationship Id="rId925" Type="http://schemas.openxmlformats.org/officeDocument/2006/relationships/oleObject" Target="embeddings/oleObject503.bin"/><Relationship Id="rId924" Type="http://schemas.openxmlformats.org/officeDocument/2006/relationships/image" Target="media/image407.wmf"/><Relationship Id="rId923" Type="http://schemas.openxmlformats.org/officeDocument/2006/relationships/oleObject" Target="embeddings/oleObject502.bin"/><Relationship Id="rId922" Type="http://schemas.openxmlformats.org/officeDocument/2006/relationships/image" Target="media/image406.wmf"/><Relationship Id="rId921" Type="http://schemas.openxmlformats.org/officeDocument/2006/relationships/oleObject" Target="embeddings/oleObject501.bin"/><Relationship Id="rId920" Type="http://schemas.openxmlformats.org/officeDocument/2006/relationships/image" Target="media/image405.wmf"/><Relationship Id="rId92" Type="http://schemas.openxmlformats.org/officeDocument/2006/relationships/oleObject" Target="embeddings/oleObject34.bin"/><Relationship Id="rId919" Type="http://schemas.openxmlformats.org/officeDocument/2006/relationships/oleObject" Target="embeddings/oleObject500.bin"/><Relationship Id="rId918" Type="http://schemas.openxmlformats.org/officeDocument/2006/relationships/image" Target="media/image404.wmf"/><Relationship Id="rId917" Type="http://schemas.openxmlformats.org/officeDocument/2006/relationships/oleObject" Target="embeddings/oleObject499.bin"/><Relationship Id="rId916" Type="http://schemas.openxmlformats.org/officeDocument/2006/relationships/image" Target="media/image403.wmf"/><Relationship Id="rId915" Type="http://schemas.openxmlformats.org/officeDocument/2006/relationships/oleObject" Target="embeddings/oleObject498.bin"/><Relationship Id="rId914" Type="http://schemas.openxmlformats.org/officeDocument/2006/relationships/image" Target="media/image402.wmf"/><Relationship Id="rId913" Type="http://schemas.openxmlformats.org/officeDocument/2006/relationships/oleObject" Target="embeddings/oleObject497.bin"/><Relationship Id="rId912" Type="http://schemas.openxmlformats.org/officeDocument/2006/relationships/image" Target="media/image401.wmf"/><Relationship Id="rId911" Type="http://schemas.openxmlformats.org/officeDocument/2006/relationships/oleObject" Target="embeddings/oleObject496.bin"/><Relationship Id="rId910" Type="http://schemas.openxmlformats.org/officeDocument/2006/relationships/image" Target="media/image400.wmf"/><Relationship Id="rId91" Type="http://schemas.openxmlformats.org/officeDocument/2006/relationships/image" Target="media/image43.wmf"/><Relationship Id="rId909" Type="http://schemas.openxmlformats.org/officeDocument/2006/relationships/oleObject" Target="embeddings/oleObject495.bin"/><Relationship Id="rId908" Type="http://schemas.openxmlformats.org/officeDocument/2006/relationships/oleObject" Target="embeddings/oleObject494.bin"/><Relationship Id="rId907" Type="http://schemas.openxmlformats.org/officeDocument/2006/relationships/image" Target="media/image399.wmf"/><Relationship Id="rId906" Type="http://schemas.openxmlformats.org/officeDocument/2006/relationships/oleObject" Target="embeddings/oleObject493.bin"/><Relationship Id="rId905" Type="http://schemas.openxmlformats.org/officeDocument/2006/relationships/image" Target="media/image398.wmf"/><Relationship Id="rId904" Type="http://schemas.openxmlformats.org/officeDocument/2006/relationships/oleObject" Target="embeddings/oleObject492.bin"/><Relationship Id="rId903" Type="http://schemas.openxmlformats.org/officeDocument/2006/relationships/image" Target="media/image397.wmf"/><Relationship Id="rId902" Type="http://schemas.openxmlformats.org/officeDocument/2006/relationships/oleObject" Target="embeddings/oleObject491.bin"/><Relationship Id="rId901" Type="http://schemas.openxmlformats.org/officeDocument/2006/relationships/image" Target="media/image396.wmf"/><Relationship Id="rId900" Type="http://schemas.openxmlformats.org/officeDocument/2006/relationships/oleObject" Target="embeddings/oleObject490.bin"/><Relationship Id="rId90" Type="http://schemas.openxmlformats.org/officeDocument/2006/relationships/oleObject" Target="embeddings/oleObject33.bin"/><Relationship Id="rId9" Type="http://schemas.openxmlformats.org/officeDocument/2006/relationships/image" Target="media/image8.png"/><Relationship Id="rId899" Type="http://schemas.openxmlformats.org/officeDocument/2006/relationships/image" Target="media/image395.wmf"/><Relationship Id="rId898" Type="http://schemas.openxmlformats.org/officeDocument/2006/relationships/oleObject" Target="embeddings/oleObject489.bin"/><Relationship Id="rId897" Type="http://schemas.openxmlformats.org/officeDocument/2006/relationships/image" Target="media/image394.wmf"/><Relationship Id="rId896" Type="http://schemas.openxmlformats.org/officeDocument/2006/relationships/oleObject" Target="embeddings/oleObject488.bin"/><Relationship Id="rId895" Type="http://schemas.openxmlformats.org/officeDocument/2006/relationships/image" Target="media/image393.wmf"/><Relationship Id="rId894" Type="http://schemas.openxmlformats.org/officeDocument/2006/relationships/oleObject" Target="embeddings/oleObject487.bin"/><Relationship Id="rId893" Type="http://schemas.openxmlformats.org/officeDocument/2006/relationships/image" Target="media/image392.wmf"/><Relationship Id="rId892" Type="http://schemas.openxmlformats.org/officeDocument/2006/relationships/oleObject" Target="embeddings/oleObject486.bin"/><Relationship Id="rId891" Type="http://schemas.openxmlformats.org/officeDocument/2006/relationships/image" Target="media/image391.wmf"/><Relationship Id="rId890" Type="http://schemas.openxmlformats.org/officeDocument/2006/relationships/oleObject" Target="embeddings/oleObject485.bin"/><Relationship Id="rId89" Type="http://schemas.openxmlformats.org/officeDocument/2006/relationships/image" Target="media/image42.wmf"/><Relationship Id="rId889" Type="http://schemas.openxmlformats.org/officeDocument/2006/relationships/image" Target="media/image390.wmf"/><Relationship Id="rId888" Type="http://schemas.openxmlformats.org/officeDocument/2006/relationships/oleObject" Target="embeddings/oleObject484.bin"/><Relationship Id="rId887" Type="http://schemas.openxmlformats.org/officeDocument/2006/relationships/image" Target="media/image389.wmf"/><Relationship Id="rId886" Type="http://schemas.openxmlformats.org/officeDocument/2006/relationships/oleObject" Target="embeddings/oleObject483.bin"/><Relationship Id="rId885" Type="http://schemas.openxmlformats.org/officeDocument/2006/relationships/image" Target="media/image388.wmf"/><Relationship Id="rId884" Type="http://schemas.openxmlformats.org/officeDocument/2006/relationships/oleObject" Target="embeddings/oleObject482.bin"/><Relationship Id="rId883" Type="http://schemas.openxmlformats.org/officeDocument/2006/relationships/image" Target="media/image387.wmf"/><Relationship Id="rId882" Type="http://schemas.openxmlformats.org/officeDocument/2006/relationships/oleObject" Target="embeddings/oleObject481.bin"/><Relationship Id="rId881" Type="http://schemas.openxmlformats.org/officeDocument/2006/relationships/oleObject" Target="embeddings/oleObject480.bin"/><Relationship Id="rId880" Type="http://schemas.openxmlformats.org/officeDocument/2006/relationships/image" Target="media/image386.wmf"/><Relationship Id="rId88" Type="http://schemas.openxmlformats.org/officeDocument/2006/relationships/oleObject" Target="embeddings/oleObject32.bin"/><Relationship Id="rId879" Type="http://schemas.openxmlformats.org/officeDocument/2006/relationships/oleObject" Target="embeddings/oleObject479.bin"/><Relationship Id="rId878" Type="http://schemas.openxmlformats.org/officeDocument/2006/relationships/image" Target="media/image385.wmf"/><Relationship Id="rId877" Type="http://schemas.openxmlformats.org/officeDocument/2006/relationships/oleObject" Target="embeddings/oleObject478.bin"/><Relationship Id="rId876" Type="http://schemas.openxmlformats.org/officeDocument/2006/relationships/image" Target="media/image384.wmf"/><Relationship Id="rId875" Type="http://schemas.openxmlformats.org/officeDocument/2006/relationships/oleObject" Target="embeddings/oleObject477.bin"/><Relationship Id="rId874" Type="http://schemas.openxmlformats.org/officeDocument/2006/relationships/image" Target="media/image383.wmf"/><Relationship Id="rId873" Type="http://schemas.openxmlformats.org/officeDocument/2006/relationships/oleObject" Target="embeddings/oleObject476.bin"/><Relationship Id="rId872" Type="http://schemas.openxmlformats.org/officeDocument/2006/relationships/oleObject" Target="embeddings/oleObject475.bin"/><Relationship Id="rId871" Type="http://schemas.openxmlformats.org/officeDocument/2006/relationships/image" Target="media/image382.wmf"/><Relationship Id="rId870" Type="http://schemas.openxmlformats.org/officeDocument/2006/relationships/oleObject" Target="embeddings/oleObject474.bin"/><Relationship Id="rId87" Type="http://schemas.openxmlformats.org/officeDocument/2006/relationships/oleObject" Target="embeddings/oleObject31.bin"/><Relationship Id="rId869" Type="http://schemas.openxmlformats.org/officeDocument/2006/relationships/image" Target="media/image381.wmf"/><Relationship Id="rId868" Type="http://schemas.openxmlformats.org/officeDocument/2006/relationships/oleObject" Target="embeddings/oleObject473.bin"/><Relationship Id="rId867" Type="http://schemas.openxmlformats.org/officeDocument/2006/relationships/image" Target="media/image380.wmf"/><Relationship Id="rId866" Type="http://schemas.openxmlformats.org/officeDocument/2006/relationships/oleObject" Target="embeddings/oleObject472.bin"/><Relationship Id="rId865" Type="http://schemas.openxmlformats.org/officeDocument/2006/relationships/image" Target="media/image379.wmf"/><Relationship Id="rId864" Type="http://schemas.openxmlformats.org/officeDocument/2006/relationships/oleObject" Target="embeddings/oleObject471.bin"/><Relationship Id="rId863" Type="http://schemas.openxmlformats.org/officeDocument/2006/relationships/oleObject" Target="embeddings/oleObject470.bin"/><Relationship Id="rId862" Type="http://schemas.openxmlformats.org/officeDocument/2006/relationships/image" Target="media/image378.wmf"/><Relationship Id="rId861" Type="http://schemas.openxmlformats.org/officeDocument/2006/relationships/oleObject" Target="embeddings/oleObject469.bin"/><Relationship Id="rId860" Type="http://schemas.openxmlformats.org/officeDocument/2006/relationships/oleObject" Target="embeddings/oleObject468.bin"/><Relationship Id="rId86" Type="http://schemas.openxmlformats.org/officeDocument/2006/relationships/image" Target="media/image41.wmf"/><Relationship Id="rId859" Type="http://schemas.openxmlformats.org/officeDocument/2006/relationships/image" Target="media/image377.wmf"/><Relationship Id="rId858" Type="http://schemas.openxmlformats.org/officeDocument/2006/relationships/oleObject" Target="embeddings/oleObject467.bin"/><Relationship Id="rId857" Type="http://schemas.openxmlformats.org/officeDocument/2006/relationships/image" Target="media/image376.wmf"/><Relationship Id="rId856" Type="http://schemas.openxmlformats.org/officeDocument/2006/relationships/oleObject" Target="embeddings/oleObject466.bin"/><Relationship Id="rId855" Type="http://schemas.openxmlformats.org/officeDocument/2006/relationships/image" Target="media/image375.wmf"/><Relationship Id="rId854" Type="http://schemas.openxmlformats.org/officeDocument/2006/relationships/oleObject" Target="embeddings/oleObject465.bin"/><Relationship Id="rId853" Type="http://schemas.openxmlformats.org/officeDocument/2006/relationships/image" Target="media/image374.wmf"/><Relationship Id="rId852" Type="http://schemas.openxmlformats.org/officeDocument/2006/relationships/oleObject" Target="embeddings/oleObject464.bin"/><Relationship Id="rId851" Type="http://schemas.openxmlformats.org/officeDocument/2006/relationships/oleObject" Target="embeddings/oleObject463.bin"/><Relationship Id="rId850" Type="http://schemas.openxmlformats.org/officeDocument/2006/relationships/image" Target="media/image373.wmf"/><Relationship Id="rId85" Type="http://schemas.openxmlformats.org/officeDocument/2006/relationships/oleObject" Target="embeddings/oleObject30.bin"/><Relationship Id="rId849" Type="http://schemas.openxmlformats.org/officeDocument/2006/relationships/oleObject" Target="embeddings/oleObject462.bin"/><Relationship Id="rId848" Type="http://schemas.openxmlformats.org/officeDocument/2006/relationships/image" Target="media/image372.wmf"/><Relationship Id="rId847" Type="http://schemas.openxmlformats.org/officeDocument/2006/relationships/oleObject" Target="embeddings/oleObject461.bin"/><Relationship Id="rId846" Type="http://schemas.openxmlformats.org/officeDocument/2006/relationships/oleObject" Target="embeddings/oleObject460.bin"/><Relationship Id="rId845" Type="http://schemas.openxmlformats.org/officeDocument/2006/relationships/oleObject" Target="embeddings/oleObject459.bin"/><Relationship Id="rId844" Type="http://schemas.openxmlformats.org/officeDocument/2006/relationships/image" Target="media/image371.wmf"/><Relationship Id="rId843" Type="http://schemas.openxmlformats.org/officeDocument/2006/relationships/oleObject" Target="embeddings/oleObject458.bin"/><Relationship Id="rId842" Type="http://schemas.openxmlformats.org/officeDocument/2006/relationships/image" Target="media/image370.wmf"/><Relationship Id="rId841" Type="http://schemas.openxmlformats.org/officeDocument/2006/relationships/oleObject" Target="embeddings/oleObject457.bin"/><Relationship Id="rId840" Type="http://schemas.openxmlformats.org/officeDocument/2006/relationships/image" Target="media/image369.wmf"/><Relationship Id="rId84" Type="http://schemas.openxmlformats.org/officeDocument/2006/relationships/image" Target="media/image40.wmf"/><Relationship Id="rId839" Type="http://schemas.openxmlformats.org/officeDocument/2006/relationships/oleObject" Target="embeddings/oleObject456.bin"/><Relationship Id="rId838" Type="http://schemas.openxmlformats.org/officeDocument/2006/relationships/image" Target="media/image368.wmf"/><Relationship Id="rId837" Type="http://schemas.openxmlformats.org/officeDocument/2006/relationships/oleObject" Target="embeddings/oleObject455.bin"/><Relationship Id="rId836" Type="http://schemas.openxmlformats.org/officeDocument/2006/relationships/oleObject" Target="embeddings/oleObject454.bin"/><Relationship Id="rId835" Type="http://schemas.openxmlformats.org/officeDocument/2006/relationships/image" Target="media/image367.wmf"/><Relationship Id="rId834" Type="http://schemas.openxmlformats.org/officeDocument/2006/relationships/oleObject" Target="embeddings/oleObject453.bin"/><Relationship Id="rId833" Type="http://schemas.openxmlformats.org/officeDocument/2006/relationships/image" Target="media/image366.wmf"/><Relationship Id="rId832" Type="http://schemas.openxmlformats.org/officeDocument/2006/relationships/oleObject" Target="embeddings/oleObject452.bin"/><Relationship Id="rId831" Type="http://schemas.openxmlformats.org/officeDocument/2006/relationships/image" Target="media/image365.wmf"/><Relationship Id="rId830" Type="http://schemas.openxmlformats.org/officeDocument/2006/relationships/oleObject" Target="embeddings/oleObject451.bin"/><Relationship Id="rId83" Type="http://schemas.openxmlformats.org/officeDocument/2006/relationships/oleObject" Target="embeddings/oleObject29.bin"/><Relationship Id="rId829" Type="http://schemas.openxmlformats.org/officeDocument/2006/relationships/image" Target="media/image364.wmf"/><Relationship Id="rId828" Type="http://schemas.openxmlformats.org/officeDocument/2006/relationships/oleObject" Target="embeddings/oleObject450.bin"/><Relationship Id="rId827" Type="http://schemas.openxmlformats.org/officeDocument/2006/relationships/oleObject" Target="embeddings/oleObject449.bin"/><Relationship Id="rId826" Type="http://schemas.openxmlformats.org/officeDocument/2006/relationships/image" Target="media/image363.wmf"/><Relationship Id="rId825" Type="http://schemas.openxmlformats.org/officeDocument/2006/relationships/oleObject" Target="embeddings/oleObject448.bin"/><Relationship Id="rId824" Type="http://schemas.openxmlformats.org/officeDocument/2006/relationships/image" Target="media/image362.wmf"/><Relationship Id="rId823" Type="http://schemas.openxmlformats.org/officeDocument/2006/relationships/oleObject" Target="embeddings/oleObject447.bin"/><Relationship Id="rId822" Type="http://schemas.openxmlformats.org/officeDocument/2006/relationships/oleObject" Target="embeddings/oleObject446.bin"/><Relationship Id="rId821" Type="http://schemas.openxmlformats.org/officeDocument/2006/relationships/image" Target="media/image361.wmf"/><Relationship Id="rId820" Type="http://schemas.openxmlformats.org/officeDocument/2006/relationships/oleObject" Target="embeddings/oleObject445.bin"/><Relationship Id="rId82" Type="http://schemas.openxmlformats.org/officeDocument/2006/relationships/oleObject" Target="embeddings/oleObject28.bin"/><Relationship Id="rId819" Type="http://schemas.openxmlformats.org/officeDocument/2006/relationships/image" Target="media/image360.wmf"/><Relationship Id="rId818" Type="http://schemas.openxmlformats.org/officeDocument/2006/relationships/oleObject" Target="embeddings/oleObject444.bin"/><Relationship Id="rId817" Type="http://schemas.openxmlformats.org/officeDocument/2006/relationships/image" Target="media/image359.wmf"/><Relationship Id="rId816" Type="http://schemas.openxmlformats.org/officeDocument/2006/relationships/oleObject" Target="embeddings/oleObject443.bin"/><Relationship Id="rId815" Type="http://schemas.openxmlformats.org/officeDocument/2006/relationships/image" Target="media/image358.wmf"/><Relationship Id="rId814" Type="http://schemas.openxmlformats.org/officeDocument/2006/relationships/oleObject" Target="embeddings/oleObject442.bin"/><Relationship Id="rId813" Type="http://schemas.openxmlformats.org/officeDocument/2006/relationships/image" Target="media/image357.wmf"/><Relationship Id="rId812" Type="http://schemas.openxmlformats.org/officeDocument/2006/relationships/oleObject" Target="embeddings/oleObject441.bin"/><Relationship Id="rId811" Type="http://schemas.openxmlformats.org/officeDocument/2006/relationships/image" Target="media/image356.wmf"/><Relationship Id="rId810" Type="http://schemas.openxmlformats.org/officeDocument/2006/relationships/oleObject" Target="embeddings/oleObject440.bin"/><Relationship Id="rId81" Type="http://schemas.openxmlformats.org/officeDocument/2006/relationships/image" Target="media/image39.wmf"/><Relationship Id="rId809" Type="http://schemas.openxmlformats.org/officeDocument/2006/relationships/image" Target="media/image355.wmf"/><Relationship Id="rId808" Type="http://schemas.openxmlformats.org/officeDocument/2006/relationships/oleObject" Target="embeddings/oleObject439.bin"/><Relationship Id="rId807" Type="http://schemas.openxmlformats.org/officeDocument/2006/relationships/oleObject" Target="embeddings/oleObject438.bin"/><Relationship Id="rId806" Type="http://schemas.openxmlformats.org/officeDocument/2006/relationships/image" Target="media/image354.wmf"/><Relationship Id="rId805" Type="http://schemas.openxmlformats.org/officeDocument/2006/relationships/oleObject" Target="embeddings/oleObject437.bin"/><Relationship Id="rId804" Type="http://schemas.openxmlformats.org/officeDocument/2006/relationships/image" Target="media/image353.wmf"/><Relationship Id="rId803" Type="http://schemas.openxmlformats.org/officeDocument/2006/relationships/oleObject" Target="embeddings/oleObject436.bin"/><Relationship Id="rId802" Type="http://schemas.openxmlformats.org/officeDocument/2006/relationships/image" Target="media/image352.wmf"/><Relationship Id="rId801" Type="http://schemas.openxmlformats.org/officeDocument/2006/relationships/oleObject" Target="embeddings/oleObject435.bin"/><Relationship Id="rId800" Type="http://schemas.openxmlformats.org/officeDocument/2006/relationships/image" Target="media/image351.wmf"/><Relationship Id="rId80" Type="http://schemas.openxmlformats.org/officeDocument/2006/relationships/oleObject" Target="embeddings/oleObject27.bin"/><Relationship Id="rId8" Type="http://schemas.openxmlformats.org/officeDocument/2006/relationships/image" Target="media/image7.png"/><Relationship Id="rId799" Type="http://schemas.openxmlformats.org/officeDocument/2006/relationships/oleObject" Target="embeddings/oleObject434.bin"/><Relationship Id="rId798" Type="http://schemas.openxmlformats.org/officeDocument/2006/relationships/oleObject" Target="embeddings/oleObject433.bin"/><Relationship Id="rId797" Type="http://schemas.openxmlformats.org/officeDocument/2006/relationships/oleObject" Target="embeddings/oleObject432.bin"/><Relationship Id="rId796" Type="http://schemas.openxmlformats.org/officeDocument/2006/relationships/image" Target="media/image350.wmf"/><Relationship Id="rId795" Type="http://schemas.openxmlformats.org/officeDocument/2006/relationships/oleObject" Target="embeddings/oleObject431.bin"/><Relationship Id="rId794" Type="http://schemas.openxmlformats.org/officeDocument/2006/relationships/image" Target="media/image349.wmf"/><Relationship Id="rId793" Type="http://schemas.openxmlformats.org/officeDocument/2006/relationships/oleObject" Target="embeddings/oleObject430.bin"/><Relationship Id="rId792" Type="http://schemas.openxmlformats.org/officeDocument/2006/relationships/image" Target="media/image348.wmf"/><Relationship Id="rId791" Type="http://schemas.openxmlformats.org/officeDocument/2006/relationships/oleObject" Target="embeddings/oleObject429.bin"/><Relationship Id="rId790" Type="http://schemas.openxmlformats.org/officeDocument/2006/relationships/oleObject" Target="embeddings/oleObject428.bin"/><Relationship Id="rId79" Type="http://schemas.openxmlformats.org/officeDocument/2006/relationships/image" Target="media/image38.wmf"/><Relationship Id="rId789" Type="http://schemas.openxmlformats.org/officeDocument/2006/relationships/image" Target="media/image347.wmf"/><Relationship Id="rId788" Type="http://schemas.openxmlformats.org/officeDocument/2006/relationships/oleObject" Target="embeddings/oleObject427.bin"/><Relationship Id="rId787" Type="http://schemas.openxmlformats.org/officeDocument/2006/relationships/image" Target="media/image346.wmf"/><Relationship Id="rId786" Type="http://schemas.openxmlformats.org/officeDocument/2006/relationships/oleObject" Target="embeddings/oleObject426.bin"/><Relationship Id="rId785" Type="http://schemas.openxmlformats.org/officeDocument/2006/relationships/image" Target="media/image345.wmf"/><Relationship Id="rId784" Type="http://schemas.openxmlformats.org/officeDocument/2006/relationships/oleObject" Target="embeddings/oleObject425.bin"/><Relationship Id="rId783" Type="http://schemas.openxmlformats.org/officeDocument/2006/relationships/image" Target="media/image344.wmf"/><Relationship Id="rId782" Type="http://schemas.openxmlformats.org/officeDocument/2006/relationships/oleObject" Target="embeddings/oleObject424.bin"/><Relationship Id="rId781" Type="http://schemas.openxmlformats.org/officeDocument/2006/relationships/image" Target="media/image343.wmf"/><Relationship Id="rId780" Type="http://schemas.openxmlformats.org/officeDocument/2006/relationships/oleObject" Target="embeddings/oleObject423.bin"/><Relationship Id="rId78" Type="http://schemas.openxmlformats.org/officeDocument/2006/relationships/oleObject" Target="embeddings/oleObject26.bin"/><Relationship Id="rId779" Type="http://schemas.openxmlformats.org/officeDocument/2006/relationships/image" Target="media/image342.wmf"/><Relationship Id="rId778" Type="http://schemas.openxmlformats.org/officeDocument/2006/relationships/oleObject" Target="embeddings/oleObject422.bin"/><Relationship Id="rId777" Type="http://schemas.openxmlformats.org/officeDocument/2006/relationships/image" Target="media/image341.wmf"/><Relationship Id="rId776" Type="http://schemas.openxmlformats.org/officeDocument/2006/relationships/oleObject" Target="embeddings/oleObject421.bin"/><Relationship Id="rId775" Type="http://schemas.openxmlformats.org/officeDocument/2006/relationships/image" Target="media/image340.wmf"/><Relationship Id="rId774" Type="http://schemas.openxmlformats.org/officeDocument/2006/relationships/oleObject" Target="embeddings/oleObject420.bin"/><Relationship Id="rId773" Type="http://schemas.openxmlformats.org/officeDocument/2006/relationships/image" Target="media/image339.wmf"/><Relationship Id="rId772" Type="http://schemas.openxmlformats.org/officeDocument/2006/relationships/oleObject" Target="embeddings/oleObject419.bin"/><Relationship Id="rId771" Type="http://schemas.openxmlformats.org/officeDocument/2006/relationships/oleObject" Target="embeddings/oleObject418.bin"/><Relationship Id="rId770" Type="http://schemas.openxmlformats.org/officeDocument/2006/relationships/image" Target="media/image338.wmf"/><Relationship Id="rId77" Type="http://schemas.openxmlformats.org/officeDocument/2006/relationships/image" Target="media/image37.wmf"/><Relationship Id="rId769" Type="http://schemas.openxmlformats.org/officeDocument/2006/relationships/oleObject" Target="embeddings/oleObject417.bin"/><Relationship Id="rId768" Type="http://schemas.openxmlformats.org/officeDocument/2006/relationships/image" Target="media/image337.wmf"/><Relationship Id="rId767" Type="http://schemas.openxmlformats.org/officeDocument/2006/relationships/oleObject" Target="embeddings/oleObject416.bin"/><Relationship Id="rId766" Type="http://schemas.openxmlformats.org/officeDocument/2006/relationships/image" Target="media/image336.wmf"/><Relationship Id="rId765" Type="http://schemas.openxmlformats.org/officeDocument/2006/relationships/oleObject" Target="embeddings/oleObject415.bin"/><Relationship Id="rId764" Type="http://schemas.openxmlformats.org/officeDocument/2006/relationships/image" Target="media/image335.wmf"/><Relationship Id="rId763" Type="http://schemas.openxmlformats.org/officeDocument/2006/relationships/oleObject" Target="embeddings/oleObject414.bin"/><Relationship Id="rId762" Type="http://schemas.openxmlformats.org/officeDocument/2006/relationships/image" Target="media/image334.wmf"/><Relationship Id="rId761" Type="http://schemas.openxmlformats.org/officeDocument/2006/relationships/oleObject" Target="embeddings/oleObject413.bin"/><Relationship Id="rId760" Type="http://schemas.openxmlformats.org/officeDocument/2006/relationships/image" Target="media/image333.wmf"/><Relationship Id="rId76" Type="http://schemas.openxmlformats.org/officeDocument/2006/relationships/oleObject" Target="embeddings/oleObject25.bin"/><Relationship Id="rId759" Type="http://schemas.openxmlformats.org/officeDocument/2006/relationships/oleObject" Target="embeddings/oleObject412.bin"/><Relationship Id="rId758" Type="http://schemas.openxmlformats.org/officeDocument/2006/relationships/image" Target="media/image332.wmf"/><Relationship Id="rId757" Type="http://schemas.openxmlformats.org/officeDocument/2006/relationships/oleObject" Target="embeddings/oleObject411.bin"/><Relationship Id="rId756" Type="http://schemas.openxmlformats.org/officeDocument/2006/relationships/image" Target="media/image331.wmf"/><Relationship Id="rId755" Type="http://schemas.openxmlformats.org/officeDocument/2006/relationships/oleObject" Target="embeddings/oleObject410.bin"/><Relationship Id="rId754" Type="http://schemas.openxmlformats.org/officeDocument/2006/relationships/image" Target="media/image330.wmf"/><Relationship Id="rId753" Type="http://schemas.openxmlformats.org/officeDocument/2006/relationships/oleObject" Target="embeddings/oleObject409.bin"/><Relationship Id="rId752" Type="http://schemas.openxmlformats.org/officeDocument/2006/relationships/image" Target="media/image329.wmf"/><Relationship Id="rId751" Type="http://schemas.openxmlformats.org/officeDocument/2006/relationships/oleObject" Target="embeddings/oleObject408.bin"/><Relationship Id="rId750" Type="http://schemas.openxmlformats.org/officeDocument/2006/relationships/image" Target="media/image328.wmf"/><Relationship Id="rId75" Type="http://schemas.openxmlformats.org/officeDocument/2006/relationships/image" Target="media/image36.wmf"/><Relationship Id="rId749" Type="http://schemas.openxmlformats.org/officeDocument/2006/relationships/oleObject" Target="embeddings/oleObject407.bin"/><Relationship Id="rId748" Type="http://schemas.openxmlformats.org/officeDocument/2006/relationships/image" Target="media/image327.wmf"/><Relationship Id="rId747" Type="http://schemas.openxmlformats.org/officeDocument/2006/relationships/oleObject" Target="embeddings/oleObject406.bin"/><Relationship Id="rId746" Type="http://schemas.openxmlformats.org/officeDocument/2006/relationships/image" Target="media/image326.wmf"/><Relationship Id="rId745" Type="http://schemas.openxmlformats.org/officeDocument/2006/relationships/oleObject" Target="embeddings/oleObject405.bin"/><Relationship Id="rId744" Type="http://schemas.openxmlformats.org/officeDocument/2006/relationships/image" Target="media/image325.wmf"/><Relationship Id="rId743" Type="http://schemas.openxmlformats.org/officeDocument/2006/relationships/oleObject" Target="embeddings/oleObject404.bin"/><Relationship Id="rId742" Type="http://schemas.openxmlformats.org/officeDocument/2006/relationships/image" Target="media/image324.wmf"/><Relationship Id="rId741" Type="http://schemas.openxmlformats.org/officeDocument/2006/relationships/oleObject" Target="embeddings/oleObject403.bin"/><Relationship Id="rId740" Type="http://schemas.openxmlformats.org/officeDocument/2006/relationships/image" Target="media/image323.wmf"/><Relationship Id="rId74" Type="http://schemas.openxmlformats.org/officeDocument/2006/relationships/oleObject" Target="embeddings/oleObject24.bin"/><Relationship Id="rId739" Type="http://schemas.openxmlformats.org/officeDocument/2006/relationships/oleObject" Target="embeddings/oleObject402.bin"/><Relationship Id="rId738" Type="http://schemas.openxmlformats.org/officeDocument/2006/relationships/image" Target="media/image322.wmf"/><Relationship Id="rId737" Type="http://schemas.openxmlformats.org/officeDocument/2006/relationships/oleObject" Target="embeddings/oleObject401.bin"/><Relationship Id="rId736" Type="http://schemas.openxmlformats.org/officeDocument/2006/relationships/image" Target="media/image321.wmf"/><Relationship Id="rId735" Type="http://schemas.openxmlformats.org/officeDocument/2006/relationships/oleObject" Target="embeddings/oleObject400.bin"/><Relationship Id="rId734" Type="http://schemas.openxmlformats.org/officeDocument/2006/relationships/image" Target="media/image320.wmf"/><Relationship Id="rId733" Type="http://schemas.openxmlformats.org/officeDocument/2006/relationships/oleObject" Target="embeddings/oleObject399.bin"/><Relationship Id="rId732" Type="http://schemas.openxmlformats.org/officeDocument/2006/relationships/image" Target="media/image319.wmf"/><Relationship Id="rId731" Type="http://schemas.openxmlformats.org/officeDocument/2006/relationships/oleObject" Target="embeddings/oleObject398.bin"/><Relationship Id="rId730" Type="http://schemas.openxmlformats.org/officeDocument/2006/relationships/image" Target="media/image318.wmf"/><Relationship Id="rId73" Type="http://schemas.openxmlformats.org/officeDocument/2006/relationships/oleObject" Target="embeddings/oleObject23.bin"/><Relationship Id="rId729" Type="http://schemas.openxmlformats.org/officeDocument/2006/relationships/oleObject" Target="embeddings/oleObject397.bin"/><Relationship Id="rId728" Type="http://schemas.openxmlformats.org/officeDocument/2006/relationships/image" Target="media/image317.wmf"/><Relationship Id="rId727" Type="http://schemas.openxmlformats.org/officeDocument/2006/relationships/oleObject" Target="embeddings/oleObject396.bin"/><Relationship Id="rId726" Type="http://schemas.openxmlformats.org/officeDocument/2006/relationships/image" Target="media/image316.wmf"/><Relationship Id="rId725" Type="http://schemas.openxmlformats.org/officeDocument/2006/relationships/oleObject" Target="embeddings/oleObject395.bin"/><Relationship Id="rId724" Type="http://schemas.openxmlformats.org/officeDocument/2006/relationships/image" Target="media/image315.wmf"/><Relationship Id="rId723" Type="http://schemas.openxmlformats.org/officeDocument/2006/relationships/oleObject" Target="embeddings/oleObject394.bin"/><Relationship Id="rId722" Type="http://schemas.openxmlformats.org/officeDocument/2006/relationships/image" Target="media/image314.wmf"/><Relationship Id="rId721" Type="http://schemas.openxmlformats.org/officeDocument/2006/relationships/oleObject" Target="embeddings/oleObject393.bin"/><Relationship Id="rId720" Type="http://schemas.openxmlformats.org/officeDocument/2006/relationships/image" Target="media/image313.wmf"/><Relationship Id="rId72" Type="http://schemas.openxmlformats.org/officeDocument/2006/relationships/image" Target="media/image35.wmf"/><Relationship Id="rId719" Type="http://schemas.openxmlformats.org/officeDocument/2006/relationships/oleObject" Target="embeddings/oleObject392.bin"/><Relationship Id="rId718" Type="http://schemas.openxmlformats.org/officeDocument/2006/relationships/image" Target="media/image312.wmf"/><Relationship Id="rId717" Type="http://schemas.openxmlformats.org/officeDocument/2006/relationships/oleObject" Target="embeddings/oleObject391.bin"/><Relationship Id="rId716" Type="http://schemas.openxmlformats.org/officeDocument/2006/relationships/oleObject" Target="embeddings/oleObject390.bin"/><Relationship Id="rId715" Type="http://schemas.openxmlformats.org/officeDocument/2006/relationships/image" Target="media/image311.wmf"/><Relationship Id="rId714" Type="http://schemas.openxmlformats.org/officeDocument/2006/relationships/oleObject" Target="embeddings/oleObject389.bin"/><Relationship Id="rId713" Type="http://schemas.openxmlformats.org/officeDocument/2006/relationships/image" Target="media/image310.wmf"/><Relationship Id="rId712" Type="http://schemas.openxmlformats.org/officeDocument/2006/relationships/oleObject" Target="embeddings/oleObject388.bin"/><Relationship Id="rId711" Type="http://schemas.openxmlformats.org/officeDocument/2006/relationships/oleObject" Target="embeddings/oleObject387.bin"/><Relationship Id="rId710" Type="http://schemas.openxmlformats.org/officeDocument/2006/relationships/oleObject" Target="embeddings/oleObject386.bin"/><Relationship Id="rId71" Type="http://schemas.openxmlformats.org/officeDocument/2006/relationships/oleObject" Target="embeddings/oleObject22.bin"/><Relationship Id="rId709" Type="http://schemas.openxmlformats.org/officeDocument/2006/relationships/image" Target="media/image309.wmf"/><Relationship Id="rId708" Type="http://schemas.openxmlformats.org/officeDocument/2006/relationships/oleObject" Target="embeddings/oleObject385.bin"/><Relationship Id="rId707" Type="http://schemas.openxmlformats.org/officeDocument/2006/relationships/image" Target="media/image308.wmf"/><Relationship Id="rId706" Type="http://schemas.openxmlformats.org/officeDocument/2006/relationships/oleObject" Target="embeddings/oleObject384.bin"/><Relationship Id="rId705" Type="http://schemas.openxmlformats.org/officeDocument/2006/relationships/image" Target="media/image307.wmf"/><Relationship Id="rId704" Type="http://schemas.openxmlformats.org/officeDocument/2006/relationships/oleObject" Target="embeddings/oleObject383.bin"/><Relationship Id="rId703" Type="http://schemas.openxmlformats.org/officeDocument/2006/relationships/image" Target="media/image306.wmf"/><Relationship Id="rId702" Type="http://schemas.openxmlformats.org/officeDocument/2006/relationships/oleObject" Target="embeddings/oleObject382.bin"/><Relationship Id="rId701" Type="http://schemas.openxmlformats.org/officeDocument/2006/relationships/image" Target="media/image305.wmf"/><Relationship Id="rId700" Type="http://schemas.openxmlformats.org/officeDocument/2006/relationships/oleObject" Target="embeddings/oleObject381.bin"/><Relationship Id="rId70" Type="http://schemas.openxmlformats.org/officeDocument/2006/relationships/image" Target="media/image34.wmf"/><Relationship Id="rId7" Type="http://schemas.openxmlformats.org/officeDocument/2006/relationships/image" Target="media/image6.png"/><Relationship Id="rId699" Type="http://schemas.openxmlformats.org/officeDocument/2006/relationships/oleObject" Target="embeddings/oleObject380.bin"/><Relationship Id="rId698" Type="http://schemas.openxmlformats.org/officeDocument/2006/relationships/oleObject" Target="embeddings/oleObject379.bin"/><Relationship Id="rId697" Type="http://schemas.openxmlformats.org/officeDocument/2006/relationships/image" Target="media/image304.wmf"/><Relationship Id="rId696" Type="http://schemas.openxmlformats.org/officeDocument/2006/relationships/oleObject" Target="embeddings/oleObject378.bin"/><Relationship Id="rId695" Type="http://schemas.openxmlformats.org/officeDocument/2006/relationships/image" Target="media/image303.wmf"/><Relationship Id="rId694" Type="http://schemas.openxmlformats.org/officeDocument/2006/relationships/oleObject" Target="embeddings/oleObject377.bin"/><Relationship Id="rId693" Type="http://schemas.openxmlformats.org/officeDocument/2006/relationships/image" Target="media/image302.wmf"/><Relationship Id="rId692" Type="http://schemas.openxmlformats.org/officeDocument/2006/relationships/oleObject" Target="embeddings/oleObject376.bin"/><Relationship Id="rId691" Type="http://schemas.openxmlformats.org/officeDocument/2006/relationships/oleObject" Target="embeddings/oleObject375.bin"/><Relationship Id="rId690" Type="http://schemas.openxmlformats.org/officeDocument/2006/relationships/oleObject" Target="embeddings/oleObject374.bin"/><Relationship Id="rId69" Type="http://schemas.openxmlformats.org/officeDocument/2006/relationships/oleObject" Target="embeddings/oleObject21.bin"/><Relationship Id="rId689" Type="http://schemas.openxmlformats.org/officeDocument/2006/relationships/image" Target="media/image301.wmf"/><Relationship Id="rId688" Type="http://schemas.openxmlformats.org/officeDocument/2006/relationships/oleObject" Target="embeddings/oleObject373.bin"/><Relationship Id="rId687" Type="http://schemas.openxmlformats.org/officeDocument/2006/relationships/image" Target="media/image300.wmf"/><Relationship Id="rId686" Type="http://schemas.openxmlformats.org/officeDocument/2006/relationships/oleObject" Target="embeddings/oleObject372.bin"/><Relationship Id="rId685" Type="http://schemas.openxmlformats.org/officeDocument/2006/relationships/image" Target="media/image299.wmf"/><Relationship Id="rId684" Type="http://schemas.openxmlformats.org/officeDocument/2006/relationships/oleObject" Target="embeddings/oleObject371.bin"/><Relationship Id="rId683" Type="http://schemas.openxmlformats.org/officeDocument/2006/relationships/image" Target="media/image298.wmf"/><Relationship Id="rId682" Type="http://schemas.openxmlformats.org/officeDocument/2006/relationships/oleObject" Target="embeddings/oleObject370.bin"/><Relationship Id="rId681" Type="http://schemas.openxmlformats.org/officeDocument/2006/relationships/image" Target="media/image297.wmf"/><Relationship Id="rId680" Type="http://schemas.openxmlformats.org/officeDocument/2006/relationships/oleObject" Target="embeddings/oleObject369.bin"/><Relationship Id="rId68" Type="http://schemas.openxmlformats.org/officeDocument/2006/relationships/image" Target="media/image33.wmf"/><Relationship Id="rId679" Type="http://schemas.openxmlformats.org/officeDocument/2006/relationships/image" Target="media/image296.wmf"/><Relationship Id="rId678" Type="http://schemas.openxmlformats.org/officeDocument/2006/relationships/oleObject" Target="embeddings/oleObject368.bin"/><Relationship Id="rId677" Type="http://schemas.openxmlformats.org/officeDocument/2006/relationships/image" Target="media/image295.wmf"/><Relationship Id="rId676" Type="http://schemas.openxmlformats.org/officeDocument/2006/relationships/oleObject" Target="embeddings/oleObject367.bin"/><Relationship Id="rId675" Type="http://schemas.openxmlformats.org/officeDocument/2006/relationships/image" Target="media/image294.wmf"/><Relationship Id="rId674" Type="http://schemas.openxmlformats.org/officeDocument/2006/relationships/oleObject" Target="embeddings/oleObject366.bin"/><Relationship Id="rId673" Type="http://schemas.openxmlformats.org/officeDocument/2006/relationships/image" Target="media/image293.wmf"/><Relationship Id="rId672" Type="http://schemas.openxmlformats.org/officeDocument/2006/relationships/oleObject" Target="embeddings/oleObject365.bin"/><Relationship Id="rId671" Type="http://schemas.openxmlformats.org/officeDocument/2006/relationships/image" Target="media/image292.wmf"/><Relationship Id="rId670" Type="http://schemas.openxmlformats.org/officeDocument/2006/relationships/oleObject" Target="embeddings/oleObject364.bin"/><Relationship Id="rId67" Type="http://schemas.openxmlformats.org/officeDocument/2006/relationships/oleObject" Target="embeddings/oleObject20.bin"/><Relationship Id="rId669" Type="http://schemas.openxmlformats.org/officeDocument/2006/relationships/image" Target="media/image291.wmf"/><Relationship Id="rId668" Type="http://schemas.openxmlformats.org/officeDocument/2006/relationships/oleObject" Target="embeddings/oleObject363.bin"/><Relationship Id="rId667" Type="http://schemas.openxmlformats.org/officeDocument/2006/relationships/image" Target="media/image290.wmf"/><Relationship Id="rId666" Type="http://schemas.openxmlformats.org/officeDocument/2006/relationships/oleObject" Target="embeddings/oleObject362.bin"/><Relationship Id="rId665" Type="http://schemas.openxmlformats.org/officeDocument/2006/relationships/image" Target="media/image289.wmf"/><Relationship Id="rId664" Type="http://schemas.openxmlformats.org/officeDocument/2006/relationships/oleObject" Target="embeddings/oleObject361.bin"/><Relationship Id="rId663" Type="http://schemas.openxmlformats.org/officeDocument/2006/relationships/image" Target="media/image288.wmf"/><Relationship Id="rId662" Type="http://schemas.openxmlformats.org/officeDocument/2006/relationships/oleObject" Target="embeddings/oleObject360.bin"/><Relationship Id="rId661" Type="http://schemas.openxmlformats.org/officeDocument/2006/relationships/image" Target="media/image287.wmf"/><Relationship Id="rId660" Type="http://schemas.openxmlformats.org/officeDocument/2006/relationships/oleObject" Target="embeddings/oleObject359.bin"/><Relationship Id="rId66" Type="http://schemas.openxmlformats.org/officeDocument/2006/relationships/image" Target="media/image32.wmf"/><Relationship Id="rId659" Type="http://schemas.openxmlformats.org/officeDocument/2006/relationships/image" Target="media/image286.wmf"/><Relationship Id="rId658" Type="http://schemas.openxmlformats.org/officeDocument/2006/relationships/oleObject" Target="embeddings/oleObject358.bin"/><Relationship Id="rId657" Type="http://schemas.openxmlformats.org/officeDocument/2006/relationships/image" Target="media/image285.wmf"/><Relationship Id="rId656" Type="http://schemas.openxmlformats.org/officeDocument/2006/relationships/oleObject" Target="embeddings/oleObject357.bin"/><Relationship Id="rId655" Type="http://schemas.openxmlformats.org/officeDocument/2006/relationships/image" Target="media/image284.wmf"/><Relationship Id="rId654" Type="http://schemas.openxmlformats.org/officeDocument/2006/relationships/oleObject" Target="embeddings/oleObject356.bin"/><Relationship Id="rId653" Type="http://schemas.openxmlformats.org/officeDocument/2006/relationships/image" Target="media/image283.wmf"/><Relationship Id="rId652" Type="http://schemas.openxmlformats.org/officeDocument/2006/relationships/oleObject" Target="embeddings/oleObject355.bin"/><Relationship Id="rId651" Type="http://schemas.openxmlformats.org/officeDocument/2006/relationships/image" Target="media/image282.wmf"/><Relationship Id="rId650" Type="http://schemas.openxmlformats.org/officeDocument/2006/relationships/oleObject" Target="embeddings/oleObject354.bin"/><Relationship Id="rId65" Type="http://schemas.openxmlformats.org/officeDocument/2006/relationships/oleObject" Target="embeddings/oleObject19.bin"/><Relationship Id="rId649" Type="http://schemas.openxmlformats.org/officeDocument/2006/relationships/image" Target="media/image281.wmf"/><Relationship Id="rId648" Type="http://schemas.openxmlformats.org/officeDocument/2006/relationships/oleObject" Target="embeddings/oleObject353.bin"/><Relationship Id="rId647" Type="http://schemas.openxmlformats.org/officeDocument/2006/relationships/image" Target="media/image280.wmf"/><Relationship Id="rId646" Type="http://schemas.openxmlformats.org/officeDocument/2006/relationships/oleObject" Target="embeddings/oleObject352.bin"/><Relationship Id="rId645" Type="http://schemas.openxmlformats.org/officeDocument/2006/relationships/image" Target="media/image279.wmf"/><Relationship Id="rId644" Type="http://schemas.openxmlformats.org/officeDocument/2006/relationships/oleObject" Target="embeddings/oleObject351.bin"/><Relationship Id="rId643" Type="http://schemas.openxmlformats.org/officeDocument/2006/relationships/image" Target="media/image278.wmf"/><Relationship Id="rId642" Type="http://schemas.openxmlformats.org/officeDocument/2006/relationships/oleObject" Target="embeddings/oleObject350.bin"/><Relationship Id="rId641" Type="http://schemas.openxmlformats.org/officeDocument/2006/relationships/image" Target="media/image277.wmf"/><Relationship Id="rId640" Type="http://schemas.openxmlformats.org/officeDocument/2006/relationships/oleObject" Target="embeddings/oleObject349.bin"/><Relationship Id="rId64" Type="http://schemas.openxmlformats.org/officeDocument/2006/relationships/image" Target="media/image31.wmf"/><Relationship Id="rId639" Type="http://schemas.openxmlformats.org/officeDocument/2006/relationships/image" Target="media/image276.wmf"/><Relationship Id="rId638" Type="http://schemas.openxmlformats.org/officeDocument/2006/relationships/oleObject" Target="embeddings/oleObject348.bin"/><Relationship Id="rId637" Type="http://schemas.openxmlformats.org/officeDocument/2006/relationships/image" Target="media/image275.wmf"/><Relationship Id="rId636" Type="http://schemas.openxmlformats.org/officeDocument/2006/relationships/oleObject" Target="embeddings/oleObject347.bin"/><Relationship Id="rId635" Type="http://schemas.openxmlformats.org/officeDocument/2006/relationships/image" Target="media/image274.wmf"/><Relationship Id="rId634" Type="http://schemas.openxmlformats.org/officeDocument/2006/relationships/oleObject" Target="embeddings/oleObject346.bin"/><Relationship Id="rId633" Type="http://schemas.openxmlformats.org/officeDocument/2006/relationships/image" Target="media/image273.wmf"/><Relationship Id="rId632" Type="http://schemas.openxmlformats.org/officeDocument/2006/relationships/oleObject" Target="embeddings/oleObject345.bin"/><Relationship Id="rId631" Type="http://schemas.openxmlformats.org/officeDocument/2006/relationships/image" Target="media/image272.wmf"/><Relationship Id="rId630" Type="http://schemas.openxmlformats.org/officeDocument/2006/relationships/oleObject" Target="embeddings/oleObject344.bin"/><Relationship Id="rId63" Type="http://schemas.openxmlformats.org/officeDocument/2006/relationships/oleObject" Target="embeddings/oleObject18.bin"/><Relationship Id="rId629" Type="http://schemas.openxmlformats.org/officeDocument/2006/relationships/image" Target="media/image271.wmf"/><Relationship Id="rId628" Type="http://schemas.openxmlformats.org/officeDocument/2006/relationships/oleObject" Target="embeddings/oleObject343.bin"/><Relationship Id="rId627" Type="http://schemas.openxmlformats.org/officeDocument/2006/relationships/image" Target="media/image270.wmf"/><Relationship Id="rId626" Type="http://schemas.openxmlformats.org/officeDocument/2006/relationships/oleObject" Target="embeddings/oleObject342.bin"/><Relationship Id="rId625" Type="http://schemas.openxmlformats.org/officeDocument/2006/relationships/image" Target="media/image269.wmf"/><Relationship Id="rId624" Type="http://schemas.openxmlformats.org/officeDocument/2006/relationships/oleObject" Target="embeddings/oleObject341.bin"/><Relationship Id="rId623" Type="http://schemas.openxmlformats.org/officeDocument/2006/relationships/oleObject" Target="embeddings/oleObject340.bin"/><Relationship Id="rId622" Type="http://schemas.openxmlformats.org/officeDocument/2006/relationships/image" Target="media/image268.wmf"/><Relationship Id="rId621" Type="http://schemas.openxmlformats.org/officeDocument/2006/relationships/oleObject" Target="embeddings/oleObject339.bin"/><Relationship Id="rId620" Type="http://schemas.openxmlformats.org/officeDocument/2006/relationships/image" Target="media/image267.wmf"/><Relationship Id="rId62" Type="http://schemas.openxmlformats.org/officeDocument/2006/relationships/image" Target="media/image30.wmf"/><Relationship Id="rId619" Type="http://schemas.openxmlformats.org/officeDocument/2006/relationships/oleObject" Target="embeddings/oleObject338.bin"/><Relationship Id="rId618" Type="http://schemas.openxmlformats.org/officeDocument/2006/relationships/image" Target="media/image266.wmf"/><Relationship Id="rId617" Type="http://schemas.openxmlformats.org/officeDocument/2006/relationships/oleObject" Target="embeddings/oleObject337.bin"/><Relationship Id="rId616" Type="http://schemas.openxmlformats.org/officeDocument/2006/relationships/image" Target="media/image265.wmf"/><Relationship Id="rId615" Type="http://schemas.openxmlformats.org/officeDocument/2006/relationships/oleObject" Target="embeddings/oleObject336.bin"/><Relationship Id="rId614" Type="http://schemas.openxmlformats.org/officeDocument/2006/relationships/image" Target="media/image264.wmf"/><Relationship Id="rId613" Type="http://schemas.openxmlformats.org/officeDocument/2006/relationships/oleObject" Target="embeddings/oleObject335.bin"/><Relationship Id="rId612" Type="http://schemas.openxmlformats.org/officeDocument/2006/relationships/image" Target="media/image263.wmf"/><Relationship Id="rId611" Type="http://schemas.openxmlformats.org/officeDocument/2006/relationships/oleObject" Target="embeddings/oleObject334.bin"/><Relationship Id="rId610" Type="http://schemas.openxmlformats.org/officeDocument/2006/relationships/image" Target="media/image262.wmf"/><Relationship Id="rId61" Type="http://schemas.openxmlformats.org/officeDocument/2006/relationships/oleObject" Target="embeddings/oleObject17.bin"/><Relationship Id="rId609" Type="http://schemas.openxmlformats.org/officeDocument/2006/relationships/oleObject" Target="embeddings/oleObject333.bin"/><Relationship Id="rId608" Type="http://schemas.openxmlformats.org/officeDocument/2006/relationships/image" Target="media/image261.wmf"/><Relationship Id="rId607" Type="http://schemas.openxmlformats.org/officeDocument/2006/relationships/oleObject" Target="embeddings/oleObject332.bin"/><Relationship Id="rId606" Type="http://schemas.openxmlformats.org/officeDocument/2006/relationships/image" Target="media/image260.wmf"/><Relationship Id="rId605" Type="http://schemas.openxmlformats.org/officeDocument/2006/relationships/oleObject" Target="embeddings/oleObject331.bin"/><Relationship Id="rId604" Type="http://schemas.openxmlformats.org/officeDocument/2006/relationships/image" Target="media/image259.wmf"/><Relationship Id="rId603" Type="http://schemas.openxmlformats.org/officeDocument/2006/relationships/oleObject" Target="embeddings/oleObject330.bin"/><Relationship Id="rId602" Type="http://schemas.openxmlformats.org/officeDocument/2006/relationships/oleObject" Target="embeddings/oleObject329.bin"/><Relationship Id="rId601" Type="http://schemas.openxmlformats.org/officeDocument/2006/relationships/image" Target="media/image258.wmf"/><Relationship Id="rId600" Type="http://schemas.openxmlformats.org/officeDocument/2006/relationships/oleObject" Target="embeddings/oleObject328.bin"/><Relationship Id="rId60" Type="http://schemas.openxmlformats.org/officeDocument/2006/relationships/image" Target="media/image29.wmf"/><Relationship Id="rId6" Type="http://schemas.openxmlformats.org/officeDocument/2006/relationships/theme" Target="theme/theme1.xml"/><Relationship Id="rId599" Type="http://schemas.openxmlformats.org/officeDocument/2006/relationships/image" Target="media/image257.wmf"/><Relationship Id="rId598" Type="http://schemas.openxmlformats.org/officeDocument/2006/relationships/oleObject" Target="embeddings/oleObject327.bin"/><Relationship Id="rId597" Type="http://schemas.openxmlformats.org/officeDocument/2006/relationships/image" Target="media/image256.wmf"/><Relationship Id="rId596" Type="http://schemas.openxmlformats.org/officeDocument/2006/relationships/oleObject" Target="embeddings/oleObject326.bin"/><Relationship Id="rId595" Type="http://schemas.openxmlformats.org/officeDocument/2006/relationships/oleObject" Target="embeddings/oleObject325.bin"/><Relationship Id="rId594" Type="http://schemas.openxmlformats.org/officeDocument/2006/relationships/image" Target="media/image255.wmf"/><Relationship Id="rId593" Type="http://schemas.openxmlformats.org/officeDocument/2006/relationships/oleObject" Target="embeddings/oleObject324.bin"/><Relationship Id="rId592" Type="http://schemas.openxmlformats.org/officeDocument/2006/relationships/image" Target="media/image254.wmf"/><Relationship Id="rId591" Type="http://schemas.openxmlformats.org/officeDocument/2006/relationships/oleObject" Target="embeddings/oleObject323.bin"/><Relationship Id="rId590" Type="http://schemas.openxmlformats.org/officeDocument/2006/relationships/image" Target="media/image253.wmf"/><Relationship Id="rId59" Type="http://schemas.openxmlformats.org/officeDocument/2006/relationships/oleObject" Target="embeddings/oleObject16.bin"/><Relationship Id="rId589" Type="http://schemas.openxmlformats.org/officeDocument/2006/relationships/oleObject" Target="embeddings/oleObject322.bin"/><Relationship Id="rId588" Type="http://schemas.openxmlformats.org/officeDocument/2006/relationships/image" Target="media/image252.wmf"/><Relationship Id="rId587" Type="http://schemas.openxmlformats.org/officeDocument/2006/relationships/oleObject" Target="embeddings/oleObject321.bin"/><Relationship Id="rId586" Type="http://schemas.openxmlformats.org/officeDocument/2006/relationships/image" Target="media/image251.wmf"/><Relationship Id="rId585" Type="http://schemas.openxmlformats.org/officeDocument/2006/relationships/oleObject" Target="embeddings/oleObject320.bin"/><Relationship Id="rId584" Type="http://schemas.openxmlformats.org/officeDocument/2006/relationships/image" Target="media/image250.wmf"/><Relationship Id="rId583" Type="http://schemas.openxmlformats.org/officeDocument/2006/relationships/oleObject" Target="embeddings/oleObject319.bin"/><Relationship Id="rId582" Type="http://schemas.openxmlformats.org/officeDocument/2006/relationships/image" Target="media/image249.wmf"/><Relationship Id="rId581" Type="http://schemas.openxmlformats.org/officeDocument/2006/relationships/oleObject" Target="embeddings/oleObject318.bin"/><Relationship Id="rId580" Type="http://schemas.openxmlformats.org/officeDocument/2006/relationships/image" Target="media/image248.wmf"/><Relationship Id="rId58" Type="http://schemas.openxmlformats.org/officeDocument/2006/relationships/image" Target="media/image28.wmf"/><Relationship Id="rId579" Type="http://schemas.openxmlformats.org/officeDocument/2006/relationships/oleObject" Target="embeddings/oleObject317.bin"/><Relationship Id="rId578" Type="http://schemas.openxmlformats.org/officeDocument/2006/relationships/image" Target="media/image247.wmf"/><Relationship Id="rId577" Type="http://schemas.openxmlformats.org/officeDocument/2006/relationships/oleObject" Target="embeddings/oleObject316.bin"/><Relationship Id="rId576" Type="http://schemas.openxmlformats.org/officeDocument/2006/relationships/image" Target="media/image246.wmf"/><Relationship Id="rId575" Type="http://schemas.openxmlformats.org/officeDocument/2006/relationships/oleObject" Target="embeddings/oleObject315.bin"/><Relationship Id="rId574" Type="http://schemas.openxmlformats.org/officeDocument/2006/relationships/image" Target="media/image245.wmf"/><Relationship Id="rId573" Type="http://schemas.openxmlformats.org/officeDocument/2006/relationships/oleObject" Target="embeddings/oleObject314.bin"/><Relationship Id="rId572" Type="http://schemas.openxmlformats.org/officeDocument/2006/relationships/image" Target="media/image244.wmf"/><Relationship Id="rId571" Type="http://schemas.openxmlformats.org/officeDocument/2006/relationships/oleObject" Target="embeddings/oleObject313.bin"/><Relationship Id="rId570" Type="http://schemas.openxmlformats.org/officeDocument/2006/relationships/image" Target="media/image243.wmf"/><Relationship Id="rId57" Type="http://schemas.openxmlformats.org/officeDocument/2006/relationships/oleObject" Target="embeddings/oleObject15.bin"/><Relationship Id="rId569" Type="http://schemas.openxmlformats.org/officeDocument/2006/relationships/oleObject" Target="embeddings/oleObject312.bin"/><Relationship Id="rId568" Type="http://schemas.openxmlformats.org/officeDocument/2006/relationships/image" Target="media/image242.wmf"/><Relationship Id="rId567" Type="http://schemas.openxmlformats.org/officeDocument/2006/relationships/oleObject" Target="embeddings/oleObject311.bin"/><Relationship Id="rId566" Type="http://schemas.openxmlformats.org/officeDocument/2006/relationships/image" Target="media/image241.wmf"/><Relationship Id="rId565" Type="http://schemas.openxmlformats.org/officeDocument/2006/relationships/oleObject" Target="embeddings/oleObject310.bin"/><Relationship Id="rId564" Type="http://schemas.openxmlformats.org/officeDocument/2006/relationships/image" Target="media/image240.wmf"/><Relationship Id="rId563" Type="http://schemas.openxmlformats.org/officeDocument/2006/relationships/oleObject" Target="embeddings/oleObject309.bin"/><Relationship Id="rId562" Type="http://schemas.openxmlformats.org/officeDocument/2006/relationships/image" Target="media/image239.wmf"/><Relationship Id="rId561" Type="http://schemas.openxmlformats.org/officeDocument/2006/relationships/oleObject" Target="embeddings/oleObject308.bin"/><Relationship Id="rId560" Type="http://schemas.openxmlformats.org/officeDocument/2006/relationships/image" Target="media/image238.wmf"/><Relationship Id="rId56" Type="http://schemas.openxmlformats.org/officeDocument/2006/relationships/oleObject" Target="embeddings/oleObject14.bin"/><Relationship Id="rId559" Type="http://schemas.openxmlformats.org/officeDocument/2006/relationships/oleObject" Target="embeddings/oleObject307.bin"/><Relationship Id="rId558" Type="http://schemas.openxmlformats.org/officeDocument/2006/relationships/image" Target="media/image237.wmf"/><Relationship Id="rId557" Type="http://schemas.openxmlformats.org/officeDocument/2006/relationships/oleObject" Target="embeddings/oleObject306.bin"/><Relationship Id="rId556" Type="http://schemas.openxmlformats.org/officeDocument/2006/relationships/image" Target="media/image236.wmf"/><Relationship Id="rId555" Type="http://schemas.openxmlformats.org/officeDocument/2006/relationships/oleObject" Target="embeddings/oleObject305.bin"/><Relationship Id="rId554" Type="http://schemas.openxmlformats.org/officeDocument/2006/relationships/image" Target="media/image235.wmf"/><Relationship Id="rId553" Type="http://schemas.openxmlformats.org/officeDocument/2006/relationships/oleObject" Target="embeddings/oleObject304.bin"/><Relationship Id="rId552" Type="http://schemas.openxmlformats.org/officeDocument/2006/relationships/image" Target="media/image234.wmf"/><Relationship Id="rId551" Type="http://schemas.openxmlformats.org/officeDocument/2006/relationships/oleObject" Target="embeddings/oleObject303.bin"/><Relationship Id="rId550" Type="http://schemas.openxmlformats.org/officeDocument/2006/relationships/image" Target="media/image233.wmf"/><Relationship Id="rId55" Type="http://schemas.openxmlformats.org/officeDocument/2006/relationships/oleObject" Target="embeddings/oleObject13.bin"/><Relationship Id="rId549" Type="http://schemas.openxmlformats.org/officeDocument/2006/relationships/oleObject" Target="embeddings/oleObject302.bin"/><Relationship Id="rId548" Type="http://schemas.openxmlformats.org/officeDocument/2006/relationships/image" Target="media/image232.wmf"/><Relationship Id="rId547" Type="http://schemas.openxmlformats.org/officeDocument/2006/relationships/oleObject" Target="embeddings/oleObject301.bin"/><Relationship Id="rId546" Type="http://schemas.openxmlformats.org/officeDocument/2006/relationships/image" Target="media/image231.wmf"/><Relationship Id="rId545" Type="http://schemas.openxmlformats.org/officeDocument/2006/relationships/oleObject" Target="embeddings/oleObject300.bin"/><Relationship Id="rId544" Type="http://schemas.openxmlformats.org/officeDocument/2006/relationships/image" Target="media/image230.wmf"/><Relationship Id="rId543" Type="http://schemas.openxmlformats.org/officeDocument/2006/relationships/oleObject" Target="embeddings/oleObject299.bin"/><Relationship Id="rId542" Type="http://schemas.openxmlformats.org/officeDocument/2006/relationships/image" Target="media/image229.wmf"/><Relationship Id="rId541" Type="http://schemas.openxmlformats.org/officeDocument/2006/relationships/oleObject" Target="embeddings/oleObject298.bin"/><Relationship Id="rId540" Type="http://schemas.openxmlformats.org/officeDocument/2006/relationships/image" Target="media/image228.wmf"/><Relationship Id="rId54" Type="http://schemas.openxmlformats.org/officeDocument/2006/relationships/image" Target="media/image27.wmf"/><Relationship Id="rId539" Type="http://schemas.openxmlformats.org/officeDocument/2006/relationships/oleObject" Target="embeddings/oleObject297.bin"/><Relationship Id="rId538" Type="http://schemas.openxmlformats.org/officeDocument/2006/relationships/image" Target="media/image227.wmf"/><Relationship Id="rId537" Type="http://schemas.openxmlformats.org/officeDocument/2006/relationships/oleObject" Target="embeddings/oleObject296.bin"/><Relationship Id="rId536" Type="http://schemas.openxmlformats.org/officeDocument/2006/relationships/oleObject" Target="embeddings/oleObject295.bin"/><Relationship Id="rId535" Type="http://schemas.openxmlformats.org/officeDocument/2006/relationships/image" Target="media/image226.wmf"/><Relationship Id="rId534" Type="http://schemas.openxmlformats.org/officeDocument/2006/relationships/oleObject" Target="embeddings/oleObject294.bin"/><Relationship Id="rId533" Type="http://schemas.openxmlformats.org/officeDocument/2006/relationships/image" Target="media/image225.wmf"/><Relationship Id="rId532" Type="http://schemas.openxmlformats.org/officeDocument/2006/relationships/oleObject" Target="embeddings/oleObject293.bin"/><Relationship Id="rId531" Type="http://schemas.openxmlformats.org/officeDocument/2006/relationships/image" Target="media/image224.wmf"/><Relationship Id="rId530" Type="http://schemas.openxmlformats.org/officeDocument/2006/relationships/oleObject" Target="embeddings/oleObject292.bin"/><Relationship Id="rId53" Type="http://schemas.openxmlformats.org/officeDocument/2006/relationships/oleObject" Target="embeddings/oleObject12.bin"/><Relationship Id="rId529" Type="http://schemas.openxmlformats.org/officeDocument/2006/relationships/image" Target="media/image223.wmf"/><Relationship Id="rId528" Type="http://schemas.openxmlformats.org/officeDocument/2006/relationships/oleObject" Target="embeddings/oleObject291.bin"/><Relationship Id="rId527" Type="http://schemas.openxmlformats.org/officeDocument/2006/relationships/image" Target="media/image222.wmf"/><Relationship Id="rId526" Type="http://schemas.openxmlformats.org/officeDocument/2006/relationships/oleObject" Target="embeddings/oleObject290.bin"/><Relationship Id="rId525" Type="http://schemas.openxmlformats.org/officeDocument/2006/relationships/image" Target="media/image221.wmf"/><Relationship Id="rId524" Type="http://schemas.openxmlformats.org/officeDocument/2006/relationships/oleObject" Target="embeddings/oleObject289.bin"/><Relationship Id="rId523" Type="http://schemas.openxmlformats.org/officeDocument/2006/relationships/image" Target="media/image220.wmf"/><Relationship Id="rId522" Type="http://schemas.openxmlformats.org/officeDocument/2006/relationships/oleObject" Target="embeddings/oleObject288.bin"/><Relationship Id="rId521" Type="http://schemas.openxmlformats.org/officeDocument/2006/relationships/image" Target="media/image219.wmf"/><Relationship Id="rId520" Type="http://schemas.openxmlformats.org/officeDocument/2006/relationships/oleObject" Target="embeddings/oleObject287.bin"/><Relationship Id="rId52" Type="http://schemas.openxmlformats.org/officeDocument/2006/relationships/image" Target="media/image26.wmf"/><Relationship Id="rId519" Type="http://schemas.openxmlformats.org/officeDocument/2006/relationships/image" Target="media/image218.wmf"/><Relationship Id="rId518" Type="http://schemas.openxmlformats.org/officeDocument/2006/relationships/oleObject" Target="embeddings/oleObject286.bin"/><Relationship Id="rId517" Type="http://schemas.openxmlformats.org/officeDocument/2006/relationships/image" Target="media/image217.wmf"/><Relationship Id="rId516" Type="http://schemas.openxmlformats.org/officeDocument/2006/relationships/oleObject" Target="embeddings/oleObject285.bin"/><Relationship Id="rId515" Type="http://schemas.openxmlformats.org/officeDocument/2006/relationships/oleObject" Target="embeddings/oleObject284.bin"/><Relationship Id="rId514" Type="http://schemas.openxmlformats.org/officeDocument/2006/relationships/image" Target="media/image216.wmf"/><Relationship Id="rId513" Type="http://schemas.openxmlformats.org/officeDocument/2006/relationships/oleObject" Target="embeddings/oleObject283.bin"/><Relationship Id="rId512" Type="http://schemas.openxmlformats.org/officeDocument/2006/relationships/image" Target="media/image215.wmf"/><Relationship Id="rId511" Type="http://schemas.openxmlformats.org/officeDocument/2006/relationships/oleObject" Target="embeddings/oleObject282.bin"/><Relationship Id="rId510" Type="http://schemas.openxmlformats.org/officeDocument/2006/relationships/image" Target="media/image214.wmf"/><Relationship Id="rId51" Type="http://schemas.openxmlformats.org/officeDocument/2006/relationships/oleObject" Target="embeddings/oleObject11.bin"/><Relationship Id="rId509" Type="http://schemas.openxmlformats.org/officeDocument/2006/relationships/oleObject" Target="embeddings/oleObject281.bin"/><Relationship Id="rId508" Type="http://schemas.openxmlformats.org/officeDocument/2006/relationships/image" Target="media/image213.wmf"/><Relationship Id="rId507" Type="http://schemas.openxmlformats.org/officeDocument/2006/relationships/oleObject" Target="embeddings/oleObject280.bin"/><Relationship Id="rId506" Type="http://schemas.openxmlformats.org/officeDocument/2006/relationships/image" Target="media/image212.wmf"/><Relationship Id="rId505" Type="http://schemas.openxmlformats.org/officeDocument/2006/relationships/oleObject" Target="embeddings/oleObject279.bin"/><Relationship Id="rId504" Type="http://schemas.openxmlformats.org/officeDocument/2006/relationships/image" Target="media/image211.wmf"/><Relationship Id="rId503" Type="http://schemas.openxmlformats.org/officeDocument/2006/relationships/oleObject" Target="embeddings/oleObject278.bin"/><Relationship Id="rId502" Type="http://schemas.openxmlformats.org/officeDocument/2006/relationships/image" Target="media/image210.wmf"/><Relationship Id="rId501" Type="http://schemas.openxmlformats.org/officeDocument/2006/relationships/oleObject" Target="embeddings/oleObject277.bin"/><Relationship Id="rId500" Type="http://schemas.openxmlformats.org/officeDocument/2006/relationships/image" Target="media/image209.wmf"/><Relationship Id="rId50" Type="http://schemas.openxmlformats.org/officeDocument/2006/relationships/image" Target="media/image25.wmf"/><Relationship Id="rId5" Type="http://schemas.openxmlformats.org/officeDocument/2006/relationships/footer" Target="footer1.xml"/><Relationship Id="rId499" Type="http://schemas.openxmlformats.org/officeDocument/2006/relationships/oleObject" Target="embeddings/oleObject276.bin"/><Relationship Id="rId498" Type="http://schemas.openxmlformats.org/officeDocument/2006/relationships/oleObject" Target="embeddings/oleObject275.bin"/><Relationship Id="rId497" Type="http://schemas.openxmlformats.org/officeDocument/2006/relationships/image" Target="media/image208.wmf"/><Relationship Id="rId496" Type="http://schemas.openxmlformats.org/officeDocument/2006/relationships/oleObject" Target="embeddings/oleObject274.bin"/><Relationship Id="rId495" Type="http://schemas.openxmlformats.org/officeDocument/2006/relationships/image" Target="media/image207.wmf"/><Relationship Id="rId494" Type="http://schemas.openxmlformats.org/officeDocument/2006/relationships/oleObject" Target="embeddings/oleObject273.bin"/><Relationship Id="rId493" Type="http://schemas.openxmlformats.org/officeDocument/2006/relationships/oleObject" Target="embeddings/oleObject272.bin"/><Relationship Id="rId492" Type="http://schemas.openxmlformats.org/officeDocument/2006/relationships/image" Target="media/image206.wmf"/><Relationship Id="rId491" Type="http://schemas.openxmlformats.org/officeDocument/2006/relationships/oleObject" Target="embeddings/oleObject271.bin"/><Relationship Id="rId490" Type="http://schemas.openxmlformats.org/officeDocument/2006/relationships/oleObject" Target="embeddings/oleObject270.bin"/><Relationship Id="rId49" Type="http://schemas.openxmlformats.org/officeDocument/2006/relationships/oleObject" Target="embeddings/oleObject10.bin"/><Relationship Id="rId489" Type="http://schemas.openxmlformats.org/officeDocument/2006/relationships/oleObject" Target="embeddings/oleObject269.bin"/><Relationship Id="rId488" Type="http://schemas.openxmlformats.org/officeDocument/2006/relationships/image" Target="media/image205.wmf"/><Relationship Id="rId487" Type="http://schemas.openxmlformats.org/officeDocument/2006/relationships/oleObject" Target="embeddings/oleObject268.bin"/><Relationship Id="rId486" Type="http://schemas.openxmlformats.org/officeDocument/2006/relationships/image" Target="media/image204.wmf"/><Relationship Id="rId485" Type="http://schemas.openxmlformats.org/officeDocument/2006/relationships/oleObject" Target="embeddings/oleObject267.bin"/><Relationship Id="rId484" Type="http://schemas.openxmlformats.org/officeDocument/2006/relationships/oleObject" Target="embeddings/oleObject266.bin"/><Relationship Id="rId483" Type="http://schemas.openxmlformats.org/officeDocument/2006/relationships/image" Target="media/image203.wmf"/><Relationship Id="rId482" Type="http://schemas.openxmlformats.org/officeDocument/2006/relationships/oleObject" Target="embeddings/oleObject265.bin"/><Relationship Id="rId481" Type="http://schemas.openxmlformats.org/officeDocument/2006/relationships/oleObject" Target="embeddings/oleObject264.bin"/><Relationship Id="rId480" Type="http://schemas.openxmlformats.org/officeDocument/2006/relationships/oleObject" Target="embeddings/oleObject263.bin"/><Relationship Id="rId48" Type="http://schemas.openxmlformats.org/officeDocument/2006/relationships/image" Target="media/image24.wmf"/><Relationship Id="rId479" Type="http://schemas.openxmlformats.org/officeDocument/2006/relationships/oleObject" Target="embeddings/oleObject262.bin"/><Relationship Id="rId478" Type="http://schemas.openxmlformats.org/officeDocument/2006/relationships/image" Target="media/image202.wmf"/><Relationship Id="rId477" Type="http://schemas.openxmlformats.org/officeDocument/2006/relationships/oleObject" Target="embeddings/oleObject261.bin"/><Relationship Id="rId476" Type="http://schemas.openxmlformats.org/officeDocument/2006/relationships/image" Target="media/image201.wmf"/><Relationship Id="rId475" Type="http://schemas.openxmlformats.org/officeDocument/2006/relationships/oleObject" Target="embeddings/oleObject260.bin"/><Relationship Id="rId474" Type="http://schemas.openxmlformats.org/officeDocument/2006/relationships/image" Target="media/image200.wmf"/><Relationship Id="rId473" Type="http://schemas.openxmlformats.org/officeDocument/2006/relationships/oleObject" Target="embeddings/oleObject259.bin"/><Relationship Id="rId472" Type="http://schemas.openxmlformats.org/officeDocument/2006/relationships/image" Target="media/image199.wmf"/><Relationship Id="rId471" Type="http://schemas.openxmlformats.org/officeDocument/2006/relationships/oleObject" Target="embeddings/oleObject258.bin"/><Relationship Id="rId470" Type="http://schemas.openxmlformats.org/officeDocument/2006/relationships/image" Target="media/image198.wmf"/><Relationship Id="rId47" Type="http://schemas.openxmlformats.org/officeDocument/2006/relationships/oleObject" Target="embeddings/oleObject9.bin"/><Relationship Id="rId469" Type="http://schemas.openxmlformats.org/officeDocument/2006/relationships/oleObject" Target="embeddings/oleObject257.bin"/><Relationship Id="rId468" Type="http://schemas.openxmlformats.org/officeDocument/2006/relationships/image" Target="media/image197.wmf"/><Relationship Id="rId467" Type="http://schemas.openxmlformats.org/officeDocument/2006/relationships/oleObject" Target="embeddings/oleObject256.bin"/><Relationship Id="rId466" Type="http://schemas.openxmlformats.org/officeDocument/2006/relationships/image" Target="media/image196.wmf"/><Relationship Id="rId465" Type="http://schemas.openxmlformats.org/officeDocument/2006/relationships/oleObject" Target="embeddings/oleObject255.bin"/><Relationship Id="rId464" Type="http://schemas.openxmlformats.org/officeDocument/2006/relationships/image" Target="media/image195.wmf"/><Relationship Id="rId463" Type="http://schemas.openxmlformats.org/officeDocument/2006/relationships/oleObject" Target="embeddings/oleObject254.bin"/><Relationship Id="rId462" Type="http://schemas.openxmlformats.org/officeDocument/2006/relationships/image" Target="media/image194.wmf"/><Relationship Id="rId461" Type="http://schemas.openxmlformats.org/officeDocument/2006/relationships/oleObject" Target="embeddings/oleObject253.bin"/><Relationship Id="rId460" Type="http://schemas.openxmlformats.org/officeDocument/2006/relationships/image" Target="media/image193.wmf"/><Relationship Id="rId46" Type="http://schemas.openxmlformats.org/officeDocument/2006/relationships/image" Target="media/image23.wmf"/><Relationship Id="rId459" Type="http://schemas.openxmlformats.org/officeDocument/2006/relationships/oleObject" Target="embeddings/oleObject252.bin"/><Relationship Id="rId458" Type="http://schemas.openxmlformats.org/officeDocument/2006/relationships/image" Target="media/image192.wmf"/><Relationship Id="rId457" Type="http://schemas.openxmlformats.org/officeDocument/2006/relationships/oleObject" Target="embeddings/oleObject251.bin"/><Relationship Id="rId456" Type="http://schemas.openxmlformats.org/officeDocument/2006/relationships/image" Target="media/image191.wmf"/><Relationship Id="rId455" Type="http://schemas.openxmlformats.org/officeDocument/2006/relationships/oleObject" Target="embeddings/oleObject250.bin"/><Relationship Id="rId454" Type="http://schemas.openxmlformats.org/officeDocument/2006/relationships/image" Target="media/image190.wmf"/><Relationship Id="rId453" Type="http://schemas.openxmlformats.org/officeDocument/2006/relationships/oleObject" Target="embeddings/oleObject249.bin"/><Relationship Id="rId452" Type="http://schemas.openxmlformats.org/officeDocument/2006/relationships/image" Target="media/image189.wmf"/><Relationship Id="rId451" Type="http://schemas.openxmlformats.org/officeDocument/2006/relationships/oleObject" Target="embeddings/oleObject248.bin"/><Relationship Id="rId450" Type="http://schemas.openxmlformats.org/officeDocument/2006/relationships/image" Target="media/image188.wmf"/><Relationship Id="rId45" Type="http://schemas.openxmlformats.org/officeDocument/2006/relationships/oleObject" Target="embeddings/oleObject8.bin"/><Relationship Id="rId449" Type="http://schemas.openxmlformats.org/officeDocument/2006/relationships/oleObject" Target="embeddings/oleObject247.bin"/><Relationship Id="rId448" Type="http://schemas.openxmlformats.org/officeDocument/2006/relationships/image" Target="media/image187.wmf"/><Relationship Id="rId447" Type="http://schemas.openxmlformats.org/officeDocument/2006/relationships/oleObject" Target="embeddings/oleObject246.bin"/><Relationship Id="rId446" Type="http://schemas.openxmlformats.org/officeDocument/2006/relationships/image" Target="media/image186.wmf"/><Relationship Id="rId445" Type="http://schemas.openxmlformats.org/officeDocument/2006/relationships/oleObject" Target="embeddings/oleObject245.bin"/><Relationship Id="rId444" Type="http://schemas.openxmlformats.org/officeDocument/2006/relationships/image" Target="media/image185.wmf"/><Relationship Id="rId443" Type="http://schemas.openxmlformats.org/officeDocument/2006/relationships/oleObject" Target="embeddings/oleObject244.bin"/><Relationship Id="rId442" Type="http://schemas.openxmlformats.org/officeDocument/2006/relationships/image" Target="media/image184.wmf"/><Relationship Id="rId441" Type="http://schemas.openxmlformats.org/officeDocument/2006/relationships/oleObject" Target="embeddings/oleObject243.bin"/><Relationship Id="rId440" Type="http://schemas.openxmlformats.org/officeDocument/2006/relationships/image" Target="media/image183.wmf"/><Relationship Id="rId44" Type="http://schemas.openxmlformats.org/officeDocument/2006/relationships/image" Target="media/image22.jpeg"/><Relationship Id="rId439" Type="http://schemas.openxmlformats.org/officeDocument/2006/relationships/oleObject" Target="embeddings/oleObject242.bin"/><Relationship Id="rId438" Type="http://schemas.openxmlformats.org/officeDocument/2006/relationships/image" Target="media/image182.wmf"/><Relationship Id="rId437" Type="http://schemas.openxmlformats.org/officeDocument/2006/relationships/oleObject" Target="embeddings/oleObject241.bin"/><Relationship Id="rId436" Type="http://schemas.openxmlformats.org/officeDocument/2006/relationships/image" Target="media/image181.wmf"/><Relationship Id="rId435" Type="http://schemas.openxmlformats.org/officeDocument/2006/relationships/oleObject" Target="embeddings/oleObject240.bin"/><Relationship Id="rId434" Type="http://schemas.openxmlformats.org/officeDocument/2006/relationships/image" Target="media/image180.wmf"/><Relationship Id="rId433" Type="http://schemas.openxmlformats.org/officeDocument/2006/relationships/oleObject" Target="embeddings/oleObject239.bin"/><Relationship Id="rId432" Type="http://schemas.openxmlformats.org/officeDocument/2006/relationships/image" Target="media/image179.wmf"/><Relationship Id="rId431" Type="http://schemas.openxmlformats.org/officeDocument/2006/relationships/oleObject" Target="embeddings/oleObject238.bin"/><Relationship Id="rId430" Type="http://schemas.openxmlformats.org/officeDocument/2006/relationships/image" Target="media/image178.wmf"/><Relationship Id="rId43" Type="http://schemas.openxmlformats.org/officeDocument/2006/relationships/image" Target="media/image21.png"/><Relationship Id="rId429" Type="http://schemas.openxmlformats.org/officeDocument/2006/relationships/oleObject" Target="embeddings/oleObject237.bin"/><Relationship Id="rId428" Type="http://schemas.openxmlformats.org/officeDocument/2006/relationships/image" Target="media/image177.wmf"/><Relationship Id="rId427" Type="http://schemas.openxmlformats.org/officeDocument/2006/relationships/oleObject" Target="embeddings/oleObject236.bin"/><Relationship Id="rId426" Type="http://schemas.openxmlformats.org/officeDocument/2006/relationships/image" Target="media/image176.wmf"/><Relationship Id="rId425" Type="http://schemas.openxmlformats.org/officeDocument/2006/relationships/oleObject" Target="embeddings/oleObject235.bin"/><Relationship Id="rId424" Type="http://schemas.openxmlformats.org/officeDocument/2006/relationships/image" Target="media/image175.wmf"/><Relationship Id="rId423" Type="http://schemas.openxmlformats.org/officeDocument/2006/relationships/oleObject" Target="embeddings/oleObject234.bin"/><Relationship Id="rId422" Type="http://schemas.openxmlformats.org/officeDocument/2006/relationships/image" Target="media/image174.wmf"/><Relationship Id="rId421" Type="http://schemas.openxmlformats.org/officeDocument/2006/relationships/oleObject" Target="embeddings/oleObject233.bin"/><Relationship Id="rId420" Type="http://schemas.openxmlformats.org/officeDocument/2006/relationships/image" Target="media/image173.wmf"/><Relationship Id="rId42" Type="http://schemas.microsoft.com/office/2007/relationships/diagramDrawing" Target="diagrams/drawing4.xml"/><Relationship Id="rId419" Type="http://schemas.openxmlformats.org/officeDocument/2006/relationships/oleObject" Target="embeddings/oleObject232.bin"/><Relationship Id="rId418" Type="http://schemas.openxmlformats.org/officeDocument/2006/relationships/image" Target="media/image172.wmf"/><Relationship Id="rId417" Type="http://schemas.openxmlformats.org/officeDocument/2006/relationships/oleObject" Target="embeddings/oleObject231.bin"/><Relationship Id="rId416" Type="http://schemas.openxmlformats.org/officeDocument/2006/relationships/oleObject" Target="embeddings/oleObject230.bin"/><Relationship Id="rId415" Type="http://schemas.openxmlformats.org/officeDocument/2006/relationships/oleObject" Target="embeddings/oleObject229.bin"/><Relationship Id="rId414" Type="http://schemas.openxmlformats.org/officeDocument/2006/relationships/image" Target="media/image171.wmf"/><Relationship Id="rId413" Type="http://schemas.openxmlformats.org/officeDocument/2006/relationships/oleObject" Target="embeddings/oleObject228.bin"/><Relationship Id="rId412" Type="http://schemas.openxmlformats.org/officeDocument/2006/relationships/image" Target="media/image170.wmf"/><Relationship Id="rId411" Type="http://schemas.openxmlformats.org/officeDocument/2006/relationships/oleObject" Target="embeddings/oleObject227.bin"/><Relationship Id="rId410" Type="http://schemas.openxmlformats.org/officeDocument/2006/relationships/oleObject" Target="embeddings/oleObject226.bin"/><Relationship Id="rId41" Type="http://schemas.openxmlformats.org/officeDocument/2006/relationships/diagramColors" Target="diagrams/colors4.xml"/><Relationship Id="rId409" Type="http://schemas.openxmlformats.org/officeDocument/2006/relationships/oleObject" Target="embeddings/oleObject225.bin"/><Relationship Id="rId408" Type="http://schemas.openxmlformats.org/officeDocument/2006/relationships/image" Target="media/image169.wmf"/><Relationship Id="rId407" Type="http://schemas.openxmlformats.org/officeDocument/2006/relationships/oleObject" Target="embeddings/oleObject224.bin"/><Relationship Id="rId406" Type="http://schemas.openxmlformats.org/officeDocument/2006/relationships/image" Target="media/image168.wmf"/><Relationship Id="rId405" Type="http://schemas.openxmlformats.org/officeDocument/2006/relationships/oleObject" Target="embeddings/oleObject223.bin"/><Relationship Id="rId404" Type="http://schemas.openxmlformats.org/officeDocument/2006/relationships/oleObject" Target="embeddings/oleObject222.bin"/><Relationship Id="rId403" Type="http://schemas.openxmlformats.org/officeDocument/2006/relationships/oleObject" Target="embeddings/oleObject221.bin"/><Relationship Id="rId402" Type="http://schemas.openxmlformats.org/officeDocument/2006/relationships/image" Target="media/image167.wmf"/><Relationship Id="rId401" Type="http://schemas.openxmlformats.org/officeDocument/2006/relationships/oleObject" Target="embeddings/oleObject220.bin"/><Relationship Id="rId400" Type="http://schemas.openxmlformats.org/officeDocument/2006/relationships/image" Target="media/image166.wmf"/><Relationship Id="rId40" Type="http://schemas.openxmlformats.org/officeDocument/2006/relationships/diagramQuickStyle" Target="diagrams/quickStyle4.xml"/><Relationship Id="rId4" Type="http://schemas.openxmlformats.org/officeDocument/2006/relationships/endnotes" Target="endnotes.xml"/><Relationship Id="rId399" Type="http://schemas.openxmlformats.org/officeDocument/2006/relationships/oleObject" Target="embeddings/oleObject219.bin"/><Relationship Id="rId398" Type="http://schemas.openxmlformats.org/officeDocument/2006/relationships/image" Target="media/image165.wmf"/><Relationship Id="rId397" Type="http://schemas.openxmlformats.org/officeDocument/2006/relationships/oleObject" Target="embeddings/oleObject218.bin"/><Relationship Id="rId396" Type="http://schemas.openxmlformats.org/officeDocument/2006/relationships/oleObject" Target="embeddings/oleObject217.bin"/><Relationship Id="rId395" Type="http://schemas.openxmlformats.org/officeDocument/2006/relationships/oleObject" Target="embeddings/oleObject216.bin"/><Relationship Id="rId394" Type="http://schemas.openxmlformats.org/officeDocument/2006/relationships/image" Target="media/image164.wmf"/><Relationship Id="rId393" Type="http://schemas.openxmlformats.org/officeDocument/2006/relationships/oleObject" Target="embeddings/oleObject215.bin"/><Relationship Id="rId392" Type="http://schemas.openxmlformats.org/officeDocument/2006/relationships/oleObject" Target="embeddings/oleObject214.bin"/><Relationship Id="rId391" Type="http://schemas.openxmlformats.org/officeDocument/2006/relationships/image" Target="media/image163.wmf"/><Relationship Id="rId390" Type="http://schemas.openxmlformats.org/officeDocument/2006/relationships/oleObject" Target="embeddings/oleObject213.bin"/><Relationship Id="rId39" Type="http://schemas.openxmlformats.org/officeDocument/2006/relationships/diagramLayout" Target="diagrams/layout4.xml"/><Relationship Id="rId389" Type="http://schemas.openxmlformats.org/officeDocument/2006/relationships/image" Target="media/image162.wmf"/><Relationship Id="rId388" Type="http://schemas.openxmlformats.org/officeDocument/2006/relationships/oleObject" Target="embeddings/oleObject212.bin"/><Relationship Id="rId387" Type="http://schemas.openxmlformats.org/officeDocument/2006/relationships/oleObject" Target="embeddings/oleObject211.bin"/><Relationship Id="rId386" Type="http://schemas.openxmlformats.org/officeDocument/2006/relationships/oleObject" Target="embeddings/oleObject210.bin"/><Relationship Id="rId385" Type="http://schemas.openxmlformats.org/officeDocument/2006/relationships/image" Target="media/image161.wmf"/><Relationship Id="rId384" Type="http://schemas.openxmlformats.org/officeDocument/2006/relationships/oleObject" Target="embeddings/oleObject209.bin"/><Relationship Id="rId383" Type="http://schemas.openxmlformats.org/officeDocument/2006/relationships/oleObject" Target="embeddings/oleObject208.bin"/><Relationship Id="rId382" Type="http://schemas.openxmlformats.org/officeDocument/2006/relationships/image" Target="media/image160.wmf"/><Relationship Id="rId381" Type="http://schemas.openxmlformats.org/officeDocument/2006/relationships/oleObject" Target="embeddings/oleObject207.bin"/><Relationship Id="rId380" Type="http://schemas.openxmlformats.org/officeDocument/2006/relationships/image" Target="media/image159.wmf"/><Relationship Id="rId38" Type="http://schemas.openxmlformats.org/officeDocument/2006/relationships/diagramData" Target="diagrams/data4.xml"/><Relationship Id="rId379" Type="http://schemas.openxmlformats.org/officeDocument/2006/relationships/oleObject" Target="embeddings/oleObject206.bin"/><Relationship Id="rId378" Type="http://schemas.openxmlformats.org/officeDocument/2006/relationships/image" Target="media/image158.wmf"/><Relationship Id="rId377" Type="http://schemas.openxmlformats.org/officeDocument/2006/relationships/oleObject" Target="embeddings/oleObject205.bin"/><Relationship Id="rId376" Type="http://schemas.openxmlformats.org/officeDocument/2006/relationships/oleObject" Target="embeddings/oleObject204.bin"/><Relationship Id="rId375" Type="http://schemas.openxmlformats.org/officeDocument/2006/relationships/image" Target="media/image157.wmf"/><Relationship Id="rId374" Type="http://schemas.openxmlformats.org/officeDocument/2006/relationships/oleObject" Target="embeddings/oleObject203.bin"/><Relationship Id="rId373" Type="http://schemas.openxmlformats.org/officeDocument/2006/relationships/image" Target="media/image156.wmf"/><Relationship Id="rId372" Type="http://schemas.openxmlformats.org/officeDocument/2006/relationships/oleObject" Target="embeddings/oleObject202.bin"/><Relationship Id="rId371" Type="http://schemas.openxmlformats.org/officeDocument/2006/relationships/image" Target="media/image155.wmf"/><Relationship Id="rId370" Type="http://schemas.openxmlformats.org/officeDocument/2006/relationships/oleObject" Target="embeddings/oleObject201.bin"/><Relationship Id="rId37" Type="http://schemas.microsoft.com/office/2007/relationships/diagramDrawing" Target="diagrams/drawing3.xml"/><Relationship Id="rId369" Type="http://schemas.openxmlformats.org/officeDocument/2006/relationships/image" Target="media/image154.wmf"/><Relationship Id="rId368" Type="http://schemas.openxmlformats.org/officeDocument/2006/relationships/oleObject" Target="embeddings/oleObject200.bin"/><Relationship Id="rId367" Type="http://schemas.openxmlformats.org/officeDocument/2006/relationships/oleObject" Target="embeddings/oleObject199.bin"/><Relationship Id="rId366" Type="http://schemas.openxmlformats.org/officeDocument/2006/relationships/image" Target="media/image153.wmf"/><Relationship Id="rId365" Type="http://schemas.openxmlformats.org/officeDocument/2006/relationships/oleObject" Target="embeddings/oleObject198.bin"/><Relationship Id="rId364" Type="http://schemas.openxmlformats.org/officeDocument/2006/relationships/oleObject" Target="embeddings/oleObject197.bin"/><Relationship Id="rId363" Type="http://schemas.openxmlformats.org/officeDocument/2006/relationships/image" Target="media/image152.wmf"/><Relationship Id="rId362" Type="http://schemas.openxmlformats.org/officeDocument/2006/relationships/oleObject" Target="embeddings/oleObject196.bin"/><Relationship Id="rId361" Type="http://schemas.openxmlformats.org/officeDocument/2006/relationships/image" Target="media/image151.wmf"/><Relationship Id="rId360" Type="http://schemas.openxmlformats.org/officeDocument/2006/relationships/oleObject" Target="embeddings/oleObject195.bin"/><Relationship Id="rId36" Type="http://schemas.openxmlformats.org/officeDocument/2006/relationships/diagramColors" Target="diagrams/colors3.xml"/><Relationship Id="rId359" Type="http://schemas.openxmlformats.org/officeDocument/2006/relationships/image" Target="media/image150.wmf"/><Relationship Id="rId358" Type="http://schemas.openxmlformats.org/officeDocument/2006/relationships/oleObject" Target="embeddings/oleObject194.bin"/><Relationship Id="rId357" Type="http://schemas.openxmlformats.org/officeDocument/2006/relationships/image" Target="media/image149.wmf"/><Relationship Id="rId356" Type="http://schemas.openxmlformats.org/officeDocument/2006/relationships/oleObject" Target="embeddings/oleObject193.bin"/><Relationship Id="rId355" Type="http://schemas.openxmlformats.org/officeDocument/2006/relationships/oleObject" Target="embeddings/oleObject192.bin"/><Relationship Id="rId354" Type="http://schemas.openxmlformats.org/officeDocument/2006/relationships/image" Target="media/image148.wmf"/><Relationship Id="rId353" Type="http://schemas.openxmlformats.org/officeDocument/2006/relationships/oleObject" Target="embeddings/oleObject191.bin"/><Relationship Id="rId352" Type="http://schemas.openxmlformats.org/officeDocument/2006/relationships/oleObject" Target="embeddings/oleObject190.bin"/><Relationship Id="rId351" Type="http://schemas.openxmlformats.org/officeDocument/2006/relationships/oleObject" Target="embeddings/oleObject189.bin"/><Relationship Id="rId350" Type="http://schemas.openxmlformats.org/officeDocument/2006/relationships/oleObject" Target="embeddings/oleObject188.bin"/><Relationship Id="rId35" Type="http://schemas.openxmlformats.org/officeDocument/2006/relationships/diagramQuickStyle" Target="diagrams/quickStyle3.xml"/><Relationship Id="rId349" Type="http://schemas.openxmlformats.org/officeDocument/2006/relationships/image" Target="media/image147.wmf"/><Relationship Id="rId348" Type="http://schemas.openxmlformats.org/officeDocument/2006/relationships/oleObject" Target="embeddings/oleObject187.bin"/><Relationship Id="rId347" Type="http://schemas.openxmlformats.org/officeDocument/2006/relationships/image" Target="media/image146.wmf"/><Relationship Id="rId346" Type="http://schemas.openxmlformats.org/officeDocument/2006/relationships/oleObject" Target="embeddings/oleObject186.bin"/><Relationship Id="rId345" Type="http://schemas.openxmlformats.org/officeDocument/2006/relationships/oleObject" Target="embeddings/oleObject185.bin"/><Relationship Id="rId344" Type="http://schemas.openxmlformats.org/officeDocument/2006/relationships/image" Target="media/image145.wmf"/><Relationship Id="rId343" Type="http://schemas.openxmlformats.org/officeDocument/2006/relationships/oleObject" Target="embeddings/oleObject184.bin"/><Relationship Id="rId342" Type="http://schemas.openxmlformats.org/officeDocument/2006/relationships/image" Target="media/image144.wmf"/><Relationship Id="rId341" Type="http://schemas.openxmlformats.org/officeDocument/2006/relationships/oleObject" Target="embeddings/oleObject183.bin"/><Relationship Id="rId340" Type="http://schemas.openxmlformats.org/officeDocument/2006/relationships/oleObject" Target="embeddings/oleObject182.bin"/><Relationship Id="rId34" Type="http://schemas.openxmlformats.org/officeDocument/2006/relationships/diagramLayout" Target="diagrams/layout3.xml"/><Relationship Id="rId339" Type="http://schemas.openxmlformats.org/officeDocument/2006/relationships/image" Target="media/image143.wmf"/><Relationship Id="rId338" Type="http://schemas.openxmlformats.org/officeDocument/2006/relationships/oleObject" Target="embeddings/oleObject181.bin"/><Relationship Id="rId337" Type="http://schemas.openxmlformats.org/officeDocument/2006/relationships/image" Target="media/image142.wmf"/><Relationship Id="rId336" Type="http://schemas.openxmlformats.org/officeDocument/2006/relationships/oleObject" Target="embeddings/oleObject180.bin"/><Relationship Id="rId335" Type="http://schemas.openxmlformats.org/officeDocument/2006/relationships/oleObject" Target="embeddings/oleObject179.bin"/><Relationship Id="rId334" Type="http://schemas.openxmlformats.org/officeDocument/2006/relationships/image" Target="media/image141.wmf"/><Relationship Id="rId333" Type="http://schemas.openxmlformats.org/officeDocument/2006/relationships/oleObject" Target="embeddings/oleObject178.bin"/><Relationship Id="rId332" Type="http://schemas.openxmlformats.org/officeDocument/2006/relationships/image" Target="media/image140.wmf"/><Relationship Id="rId331" Type="http://schemas.openxmlformats.org/officeDocument/2006/relationships/oleObject" Target="embeddings/oleObject177.bin"/><Relationship Id="rId330" Type="http://schemas.openxmlformats.org/officeDocument/2006/relationships/image" Target="media/image139.wmf"/><Relationship Id="rId33" Type="http://schemas.openxmlformats.org/officeDocument/2006/relationships/diagramData" Target="diagrams/data3.xml"/><Relationship Id="rId329" Type="http://schemas.openxmlformats.org/officeDocument/2006/relationships/oleObject" Target="embeddings/oleObject176.bin"/><Relationship Id="rId328" Type="http://schemas.openxmlformats.org/officeDocument/2006/relationships/image" Target="media/image138.wmf"/><Relationship Id="rId327" Type="http://schemas.openxmlformats.org/officeDocument/2006/relationships/oleObject" Target="embeddings/oleObject175.bin"/><Relationship Id="rId326" Type="http://schemas.openxmlformats.org/officeDocument/2006/relationships/image" Target="media/image137.wmf"/><Relationship Id="rId325" Type="http://schemas.openxmlformats.org/officeDocument/2006/relationships/oleObject" Target="embeddings/oleObject174.bin"/><Relationship Id="rId324" Type="http://schemas.openxmlformats.org/officeDocument/2006/relationships/oleObject" Target="embeddings/oleObject173.bin"/><Relationship Id="rId323" Type="http://schemas.openxmlformats.org/officeDocument/2006/relationships/image" Target="media/image136.wmf"/><Relationship Id="rId322" Type="http://schemas.openxmlformats.org/officeDocument/2006/relationships/oleObject" Target="embeddings/oleObject172.bin"/><Relationship Id="rId321" Type="http://schemas.openxmlformats.org/officeDocument/2006/relationships/image" Target="media/image135.wmf"/><Relationship Id="rId320" Type="http://schemas.openxmlformats.org/officeDocument/2006/relationships/oleObject" Target="embeddings/oleObject171.bin"/><Relationship Id="rId32" Type="http://schemas.openxmlformats.org/officeDocument/2006/relationships/image" Target="media/image20.png"/><Relationship Id="rId319" Type="http://schemas.openxmlformats.org/officeDocument/2006/relationships/image" Target="media/image134.wmf"/><Relationship Id="rId318" Type="http://schemas.openxmlformats.org/officeDocument/2006/relationships/oleObject" Target="embeddings/oleObject170.bin"/><Relationship Id="rId317" Type="http://schemas.openxmlformats.org/officeDocument/2006/relationships/oleObject" Target="embeddings/oleObject169.bin"/><Relationship Id="rId316" Type="http://schemas.openxmlformats.org/officeDocument/2006/relationships/oleObject" Target="embeddings/oleObject168.bin"/><Relationship Id="rId315" Type="http://schemas.openxmlformats.org/officeDocument/2006/relationships/image" Target="media/image133.wmf"/><Relationship Id="rId314" Type="http://schemas.openxmlformats.org/officeDocument/2006/relationships/oleObject" Target="embeddings/oleObject167.bin"/><Relationship Id="rId313" Type="http://schemas.openxmlformats.org/officeDocument/2006/relationships/oleObject" Target="embeddings/oleObject166.bin"/><Relationship Id="rId312" Type="http://schemas.openxmlformats.org/officeDocument/2006/relationships/image" Target="media/image132.wmf"/><Relationship Id="rId311" Type="http://schemas.openxmlformats.org/officeDocument/2006/relationships/oleObject" Target="embeddings/oleObject165.bin"/><Relationship Id="rId310" Type="http://schemas.openxmlformats.org/officeDocument/2006/relationships/image" Target="media/image131.wmf"/><Relationship Id="rId31" Type="http://schemas.microsoft.com/office/2007/relationships/diagramDrawing" Target="diagrams/drawing2.xml"/><Relationship Id="rId309" Type="http://schemas.openxmlformats.org/officeDocument/2006/relationships/oleObject" Target="embeddings/oleObject164.bin"/><Relationship Id="rId308" Type="http://schemas.openxmlformats.org/officeDocument/2006/relationships/oleObject" Target="embeddings/oleObject163.bin"/><Relationship Id="rId307" Type="http://schemas.openxmlformats.org/officeDocument/2006/relationships/image" Target="media/image130.wmf"/><Relationship Id="rId306" Type="http://schemas.openxmlformats.org/officeDocument/2006/relationships/oleObject" Target="embeddings/oleObject162.bin"/><Relationship Id="rId305" Type="http://schemas.openxmlformats.org/officeDocument/2006/relationships/image" Target="media/image129.wmf"/><Relationship Id="rId304" Type="http://schemas.openxmlformats.org/officeDocument/2006/relationships/oleObject" Target="embeddings/oleObject161.bin"/><Relationship Id="rId303" Type="http://schemas.openxmlformats.org/officeDocument/2006/relationships/oleObject" Target="embeddings/oleObject160.bin"/><Relationship Id="rId302" Type="http://schemas.openxmlformats.org/officeDocument/2006/relationships/image" Target="media/image128.wmf"/><Relationship Id="rId301" Type="http://schemas.openxmlformats.org/officeDocument/2006/relationships/oleObject" Target="embeddings/oleObject159.bin"/><Relationship Id="rId300" Type="http://schemas.openxmlformats.org/officeDocument/2006/relationships/oleObject" Target="embeddings/oleObject158.bin"/><Relationship Id="rId30" Type="http://schemas.openxmlformats.org/officeDocument/2006/relationships/diagramColors" Target="diagrams/colors2.xml"/><Relationship Id="rId3" Type="http://schemas.openxmlformats.org/officeDocument/2006/relationships/footnotes" Target="footnotes.xml"/><Relationship Id="rId299" Type="http://schemas.openxmlformats.org/officeDocument/2006/relationships/oleObject" Target="embeddings/oleObject157.bin"/><Relationship Id="rId298" Type="http://schemas.openxmlformats.org/officeDocument/2006/relationships/image" Target="media/image127.wmf"/><Relationship Id="rId297" Type="http://schemas.openxmlformats.org/officeDocument/2006/relationships/oleObject" Target="embeddings/oleObject156.bin"/><Relationship Id="rId296" Type="http://schemas.openxmlformats.org/officeDocument/2006/relationships/image" Target="media/image126.wmf"/><Relationship Id="rId295" Type="http://schemas.openxmlformats.org/officeDocument/2006/relationships/oleObject" Target="embeddings/oleObject155.bin"/><Relationship Id="rId294" Type="http://schemas.openxmlformats.org/officeDocument/2006/relationships/oleObject" Target="embeddings/oleObject154.bin"/><Relationship Id="rId293" Type="http://schemas.openxmlformats.org/officeDocument/2006/relationships/image" Target="media/image125.wmf"/><Relationship Id="rId292" Type="http://schemas.openxmlformats.org/officeDocument/2006/relationships/oleObject" Target="embeddings/oleObject153.bin"/><Relationship Id="rId291" Type="http://schemas.openxmlformats.org/officeDocument/2006/relationships/image" Target="media/image124.wmf"/><Relationship Id="rId290" Type="http://schemas.openxmlformats.org/officeDocument/2006/relationships/oleObject" Target="embeddings/oleObject152.bin"/><Relationship Id="rId29" Type="http://schemas.openxmlformats.org/officeDocument/2006/relationships/diagramQuickStyle" Target="diagrams/quickStyle2.xml"/><Relationship Id="rId289" Type="http://schemas.openxmlformats.org/officeDocument/2006/relationships/oleObject" Target="embeddings/oleObject151.bin"/><Relationship Id="rId288" Type="http://schemas.openxmlformats.org/officeDocument/2006/relationships/image" Target="media/image123.wmf"/><Relationship Id="rId287" Type="http://schemas.openxmlformats.org/officeDocument/2006/relationships/oleObject" Target="embeddings/oleObject150.bin"/><Relationship Id="rId286" Type="http://schemas.openxmlformats.org/officeDocument/2006/relationships/oleObject" Target="embeddings/oleObject149.bin"/><Relationship Id="rId285" Type="http://schemas.openxmlformats.org/officeDocument/2006/relationships/image" Target="media/image122.wmf"/><Relationship Id="rId284" Type="http://schemas.openxmlformats.org/officeDocument/2006/relationships/oleObject" Target="embeddings/oleObject148.bin"/><Relationship Id="rId283" Type="http://schemas.openxmlformats.org/officeDocument/2006/relationships/oleObject" Target="embeddings/oleObject147.bin"/><Relationship Id="rId282" Type="http://schemas.openxmlformats.org/officeDocument/2006/relationships/image" Target="media/image121.wmf"/><Relationship Id="rId281" Type="http://schemas.openxmlformats.org/officeDocument/2006/relationships/oleObject" Target="embeddings/oleObject146.bin"/><Relationship Id="rId280" Type="http://schemas.openxmlformats.org/officeDocument/2006/relationships/image" Target="media/image120.wmf"/><Relationship Id="rId28" Type="http://schemas.openxmlformats.org/officeDocument/2006/relationships/diagramLayout" Target="diagrams/layout2.xml"/><Relationship Id="rId279" Type="http://schemas.openxmlformats.org/officeDocument/2006/relationships/oleObject" Target="embeddings/oleObject145.bin"/><Relationship Id="rId278" Type="http://schemas.openxmlformats.org/officeDocument/2006/relationships/oleObject" Target="embeddings/oleObject144.bin"/><Relationship Id="rId277" Type="http://schemas.openxmlformats.org/officeDocument/2006/relationships/oleObject" Target="embeddings/oleObject143.bin"/><Relationship Id="rId276" Type="http://schemas.openxmlformats.org/officeDocument/2006/relationships/image" Target="media/image119.wmf"/><Relationship Id="rId275" Type="http://schemas.openxmlformats.org/officeDocument/2006/relationships/oleObject" Target="embeddings/oleObject142.bin"/><Relationship Id="rId274" Type="http://schemas.openxmlformats.org/officeDocument/2006/relationships/image" Target="media/image118.wmf"/><Relationship Id="rId273" Type="http://schemas.openxmlformats.org/officeDocument/2006/relationships/oleObject" Target="embeddings/oleObject141.bin"/><Relationship Id="rId272" Type="http://schemas.openxmlformats.org/officeDocument/2006/relationships/oleObject" Target="embeddings/oleObject140.bin"/><Relationship Id="rId271" Type="http://schemas.openxmlformats.org/officeDocument/2006/relationships/image" Target="media/image117.wmf"/><Relationship Id="rId270" Type="http://schemas.openxmlformats.org/officeDocument/2006/relationships/oleObject" Target="embeddings/oleObject139.bin"/><Relationship Id="rId27" Type="http://schemas.openxmlformats.org/officeDocument/2006/relationships/diagramData" Target="diagrams/data2.xml"/><Relationship Id="rId269" Type="http://schemas.openxmlformats.org/officeDocument/2006/relationships/image" Target="media/image116.wmf"/><Relationship Id="rId268" Type="http://schemas.openxmlformats.org/officeDocument/2006/relationships/oleObject" Target="embeddings/oleObject138.bin"/><Relationship Id="rId267" Type="http://schemas.openxmlformats.org/officeDocument/2006/relationships/image" Target="media/image115.wmf"/><Relationship Id="rId266" Type="http://schemas.openxmlformats.org/officeDocument/2006/relationships/oleObject" Target="embeddings/oleObject137.bin"/><Relationship Id="rId265" Type="http://schemas.openxmlformats.org/officeDocument/2006/relationships/image" Target="media/image114.wmf"/><Relationship Id="rId264" Type="http://schemas.openxmlformats.org/officeDocument/2006/relationships/oleObject" Target="embeddings/oleObject136.bin"/><Relationship Id="rId263" Type="http://schemas.openxmlformats.org/officeDocument/2006/relationships/oleObject" Target="embeddings/oleObject135.bin"/><Relationship Id="rId262" Type="http://schemas.openxmlformats.org/officeDocument/2006/relationships/oleObject" Target="embeddings/oleObject134.bin"/><Relationship Id="rId261" Type="http://schemas.openxmlformats.org/officeDocument/2006/relationships/image" Target="media/image113.wmf"/><Relationship Id="rId260" Type="http://schemas.openxmlformats.org/officeDocument/2006/relationships/oleObject" Target="embeddings/oleObject133.bin"/><Relationship Id="rId26" Type="http://schemas.openxmlformats.org/officeDocument/2006/relationships/chart" Target="charts/chart1.xml"/><Relationship Id="rId259" Type="http://schemas.openxmlformats.org/officeDocument/2006/relationships/image" Target="media/image112.wmf"/><Relationship Id="rId258" Type="http://schemas.openxmlformats.org/officeDocument/2006/relationships/oleObject" Target="embeddings/oleObject132.bin"/><Relationship Id="rId257" Type="http://schemas.openxmlformats.org/officeDocument/2006/relationships/oleObject" Target="embeddings/oleObject131.bin"/><Relationship Id="rId256" Type="http://schemas.openxmlformats.org/officeDocument/2006/relationships/image" Target="media/image111.wmf"/><Relationship Id="rId255" Type="http://schemas.openxmlformats.org/officeDocument/2006/relationships/oleObject" Target="embeddings/oleObject130.bin"/><Relationship Id="rId254" Type="http://schemas.openxmlformats.org/officeDocument/2006/relationships/image" Target="media/image110.wmf"/><Relationship Id="rId253" Type="http://schemas.openxmlformats.org/officeDocument/2006/relationships/oleObject" Target="embeddings/oleObject129.bin"/><Relationship Id="rId252" Type="http://schemas.openxmlformats.org/officeDocument/2006/relationships/oleObject" Target="embeddings/oleObject128.bin"/><Relationship Id="rId251" Type="http://schemas.openxmlformats.org/officeDocument/2006/relationships/oleObject" Target="embeddings/oleObject127.bin"/><Relationship Id="rId250" Type="http://schemas.openxmlformats.org/officeDocument/2006/relationships/oleObject" Target="embeddings/oleObject126.bin"/><Relationship Id="rId25" Type="http://schemas.openxmlformats.org/officeDocument/2006/relationships/image" Target="media/image19.png"/><Relationship Id="rId249" Type="http://schemas.openxmlformats.org/officeDocument/2006/relationships/image" Target="media/image109.wmf"/><Relationship Id="rId248" Type="http://schemas.openxmlformats.org/officeDocument/2006/relationships/oleObject" Target="embeddings/oleObject125.bin"/><Relationship Id="rId247" Type="http://schemas.openxmlformats.org/officeDocument/2006/relationships/oleObject" Target="embeddings/oleObject124.bin"/><Relationship Id="rId246" Type="http://schemas.openxmlformats.org/officeDocument/2006/relationships/image" Target="media/image108.wmf"/><Relationship Id="rId245" Type="http://schemas.openxmlformats.org/officeDocument/2006/relationships/oleObject" Target="embeddings/oleObject123.bin"/><Relationship Id="rId244" Type="http://schemas.openxmlformats.org/officeDocument/2006/relationships/oleObject" Target="embeddings/oleObject122.bin"/><Relationship Id="rId243" Type="http://schemas.openxmlformats.org/officeDocument/2006/relationships/image" Target="media/image107.wmf"/><Relationship Id="rId242" Type="http://schemas.openxmlformats.org/officeDocument/2006/relationships/oleObject" Target="embeddings/oleObject121.bin"/><Relationship Id="rId241" Type="http://schemas.openxmlformats.org/officeDocument/2006/relationships/oleObject" Target="embeddings/oleObject120.bin"/><Relationship Id="rId240" Type="http://schemas.openxmlformats.org/officeDocument/2006/relationships/image" Target="media/image106.wmf"/><Relationship Id="rId24" Type="http://schemas.openxmlformats.org/officeDocument/2006/relationships/image" Target="media/image18.png"/><Relationship Id="rId239" Type="http://schemas.openxmlformats.org/officeDocument/2006/relationships/oleObject" Target="embeddings/oleObject119.bin"/><Relationship Id="rId238" Type="http://schemas.openxmlformats.org/officeDocument/2006/relationships/image" Target="media/image105.wmf"/><Relationship Id="rId237" Type="http://schemas.openxmlformats.org/officeDocument/2006/relationships/oleObject" Target="embeddings/oleObject118.bin"/><Relationship Id="rId236" Type="http://schemas.openxmlformats.org/officeDocument/2006/relationships/image" Target="media/image104.wmf"/><Relationship Id="rId235" Type="http://schemas.openxmlformats.org/officeDocument/2006/relationships/oleObject" Target="embeddings/oleObject117.bin"/><Relationship Id="rId234" Type="http://schemas.openxmlformats.org/officeDocument/2006/relationships/image" Target="media/image103.wmf"/><Relationship Id="rId233" Type="http://schemas.openxmlformats.org/officeDocument/2006/relationships/oleObject" Target="embeddings/oleObject116.bin"/><Relationship Id="rId232" Type="http://schemas.openxmlformats.org/officeDocument/2006/relationships/image" Target="media/image102.wmf"/><Relationship Id="rId231" Type="http://schemas.openxmlformats.org/officeDocument/2006/relationships/oleObject" Target="embeddings/oleObject115.bin"/><Relationship Id="rId230" Type="http://schemas.openxmlformats.org/officeDocument/2006/relationships/oleObject" Target="embeddings/oleObject114.bin"/><Relationship Id="rId23" Type="http://schemas.openxmlformats.org/officeDocument/2006/relationships/image" Target="media/image17.png"/><Relationship Id="rId229" Type="http://schemas.openxmlformats.org/officeDocument/2006/relationships/oleObject" Target="embeddings/oleObject113.bin"/><Relationship Id="rId228" Type="http://schemas.openxmlformats.org/officeDocument/2006/relationships/image" Target="media/image101.wmf"/><Relationship Id="rId227" Type="http://schemas.openxmlformats.org/officeDocument/2006/relationships/oleObject" Target="embeddings/oleObject112.bin"/><Relationship Id="rId226" Type="http://schemas.openxmlformats.org/officeDocument/2006/relationships/image" Target="media/image100.wmf"/><Relationship Id="rId225" Type="http://schemas.openxmlformats.org/officeDocument/2006/relationships/oleObject" Target="embeddings/oleObject111.bin"/><Relationship Id="rId224" Type="http://schemas.openxmlformats.org/officeDocument/2006/relationships/image" Target="media/image99.wmf"/><Relationship Id="rId223" Type="http://schemas.openxmlformats.org/officeDocument/2006/relationships/oleObject" Target="embeddings/oleObject110.bin"/><Relationship Id="rId222" Type="http://schemas.openxmlformats.org/officeDocument/2006/relationships/image" Target="media/image98.wmf"/><Relationship Id="rId221" Type="http://schemas.openxmlformats.org/officeDocument/2006/relationships/oleObject" Target="embeddings/oleObject109.bin"/><Relationship Id="rId220" Type="http://schemas.openxmlformats.org/officeDocument/2006/relationships/oleObject" Target="embeddings/oleObject108.bin"/><Relationship Id="rId22" Type="http://schemas.openxmlformats.org/officeDocument/2006/relationships/image" Target="media/image16.png"/><Relationship Id="rId219" Type="http://schemas.openxmlformats.org/officeDocument/2006/relationships/oleObject" Target="embeddings/oleObject107.bin"/><Relationship Id="rId218" Type="http://schemas.openxmlformats.org/officeDocument/2006/relationships/image" Target="media/image97.wmf"/><Relationship Id="rId217" Type="http://schemas.openxmlformats.org/officeDocument/2006/relationships/oleObject" Target="embeddings/oleObject106.bin"/><Relationship Id="rId216" Type="http://schemas.openxmlformats.org/officeDocument/2006/relationships/image" Target="media/image96.wmf"/><Relationship Id="rId215" Type="http://schemas.openxmlformats.org/officeDocument/2006/relationships/oleObject" Target="embeddings/oleObject105.bin"/><Relationship Id="rId214" Type="http://schemas.openxmlformats.org/officeDocument/2006/relationships/image" Target="media/image95.wmf"/><Relationship Id="rId213" Type="http://schemas.openxmlformats.org/officeDocument/2006/relationships/oleObject" Target="embeddings/oleObject104.bin"/><Relationship Id="rId212" Type="http://schemas.openxmlformats.org/officeDocument/2006/relationships/oleObject" Target="embeddings/oleObject103.bin"/><Relationship Id="rId211" Type="http://schemas.openxmlformats.org/officeDocument/2006/relationships/oleObject" Target="embeddings/oleObject102.bin"/><Relationship Id="rId210" Type="http://schemas.openxmlformats.org/officeDocument/2006/relationships/oleObject" Target="embeddings/oleObject101.bin"/><Relationship Id="rId21" Type="http://schemas.openxmlformats.org/officeDocument/2006/relationships/image" Target="media/image15.png"/><Relationship Id="rId209" Type="http://schemas.openxmlformats.org/officeDocument/2006/relationships/oleObject" Target="embeddings/oleObject100.bin"/><Relationship Id="rId208" Type="http://schemas.openxmlformats.org/officeDocument/2006/relationships/image" Target="media/image94.wmf"/><Relationship Id="rId207" Type="http://schemas.openxmlformats.org/officeDocument/2006/relationships/oleObject" Target="embeddings/oleObject99.bin"/><Relationship Id="rId206" Type="http://schemas.openxmlformats.org/officeDocument/2006/relationships/image" Target="media/image93.wmf"/><Relationship Id="rId205" Type="http://schemas.openxmlformats.org/officeDocument/2006/relationships/oleObject" Target="embeddings/oleObject98.bin"/><Relationship Id="rId204" Type="http://schemas.openxmlformats.org/officeDocument/2006/relationships/image" Target="media/image92.wmf"/><Relationship Id="rId203" Type="http://schemas.openxmlformats.org/officeDocument/2006/relationships/oleObject" Target="embeddings/oleObject97.bin"/><Relationship Id="rId202" Type="http://schemas.openxmlformats.org/officeDocument/2006/relationships/image" Target="media/image91.wmf"/><Relationship Id="rId201" Type="http://schemas.openxmlformats.org/officeDocument/2006/relationships/oleObject" Target="embeddings/oleObject96.bin"/><Relationship Id="rId200" Type="http://schemas.openxmlformats.org/officeDocument/2006/relationships/image" Target="media/image90.wmf"/><Relationship Id="rId20" Type="http://schemas.openxmlformats.org/officeDocument/2006/relationships/image" Target="media/image14.png"/><Relationship Id="rId2" Type="http://schemas.openxmlformats.org/officeDocument/2006/relationships/settings" Target="settings.xml"/><Relationship Id="rId199" Type="http://schemas.openxmlformats.org/officeDocument/2006/relationships/oleObject" Target="embeddings/oleObject95.bin"/><Relationship Id="rId198" Type="http://schemas.openxmlformats.org/officeDocument/2006/relationships/image" Target="media/image89.wmf"/><Relationship Id="rId197" Type="http://schemas.openxmlformats.org/officeDocument/2006/relationships/oleObject" Target="embeddings/oleObject94.bin"/><Relationship Id="rId196" Type="http://schemas.openxmlformats.org/officeDocument/2006/relationships/image" Target="media/image88.wmf"/><Relationship Id="rId195" Type="http://schemas.openxmlformats.org/officeDocument/2006/relationships/oleObject" Target="embeddings/oleObject93.bin"/><Relationship Id="rId194" Type="http://schemas.openxmlformats.org/officeDocument/2006/relationships/oleObject" Target="embeddings/oleObject92.bin"/><Relationship Id="rId193" Type="http://schemas.openxmlformats.org/officeDocument/2006/relationships/image" Target="media/image87.wmf"/><Relationship Id="rId192" Type="http://schemas.openxmlformats.org/officeDocument/2006/relationships/oleObject" Target="embeddings/oleObject91.bin"/><Relationship Id="rId191" Type="http://schemas.openxmlformats.org/officeDocument/2006/relationships/oleObject" Target="embeddings/oleObject90.bin"/><Relationship Id="rId190" Type="http://schemas.openxmlformats.org/officeDocument/2006/relationships/image" Target="media/image86.wmf"/><Relationship Id="rId19" Type="http://schemas.openxmlformats.org/officeDocument/2006/relationships/image" Target="media/image13.png"/><Relationship Id="rId189" Type="http://schemas.openxmlformats.org/officeDocument/2006/relationships/oleObject" Target="embeddings/oleObject89.bin"/><Relationship Id="rId188" Type="http://schemas.openxmlformats.org/officeDocument/2006/relationships/oleObject" Target="embeddings/oleObject88.bin"/><Relationship Id="rId187" Type="http://schemas.openxmlformats.org/officeDocument/2006/relationships/image" Target="media/image85.wmf"/><Relationship Id="rId186" Type="http://schemas.openxmlformats.org/officeDocument/2006/relationships/oleObject" Target="embeddings/oleObject87.bin"/><Relationship Id="rId185" Type="http://schemas.openxmlformats.org/officeDocument/2006/relationships/image" Target="media/image84.wmf"/><Relationship Id="rId184" Type="http://schemas.openxmlformats.org/officeDocument/2006/relationships/oleObject" Target="embeddings/oleObject86.bin"/><Relationship Id="rId183" Type="http://schemas.openxmlformats.org/officeDocument/2006/relationships/oleObject" Target="embeddings/oleObject85.bin"/><Relationship Id="rId182" Type="http://schemas.openxmlformats.org/officeDocument/2006/relationships/image" Target="media/image83.wmf"/><Relationship Id="rId181" Type="http://schemas.openxmlformats.org/officeDocument/2006/relationships/oleObject" Target="embeddings/oleObject84.bin"/><Relationship Id="rId180" Type="http://schemas.openxmlformats.org/officeDocument/2006/relationships/image" Target="media/image82.wmf"/><Relationship Id="rId18" Type="http://schemas.openxmlformats.org/officeDocument/2006/relationships/image" Target="media/image12.png"/><Relationship Id="rId179" Type="http://schemas.openxmlformats.org/officeDocument/2006/relationships/oleObject" Target="embeddings/oleObject83.bin"/><Relationship Id="rId178" Type="http://schemas.openxmlformats.org/officeDocument/2006/relationships/image" Target="media/image81.wmf"/><Relationship Id="rId177" Type="http://schemas.openxmlformats.org/officeDocument/2006/relationships/oleObject" Target="embeddings/oleObject82.bin"/><Relationship Id="rId176" Type="http://schemas.openxmlformats.org/officeDocument/2006/relationships/image" Target="media/image80.wmf"/><Relationship Id="rId175" Type="http://schemas.openxmlformats.org/officeDocument/2006/relationships/oleObject" Target="embeddings/oleObject81.bin"/><Relationship Id="rId174" Type="http://schemas.openxmlformats.org/officeDocument/2006/relationships/image" Target="media/image79.wmf"/><Relationship Id="rId173" Type="http://schemas.openxmlformats.org/officeDocument/2006/relationships/oleObject" Target="embeddings/oleObject80.bin"/><Relationship Id="rId172" Type="http://schemas.openxmlformats.org/officeDocument/2006/relationships/image" Target="media/image78.wmf"/><Relationship Id="rId171" Type="http://schemas.openxmlformats.org/officeDocument/2006/relationships/oleObject" Target="embeddings/oleObject79.bin"/><Relationship Id="rId170" Type="http://schemas.openxmlformats.org/officeDocument/2006/relationships/image" Target="media/image77.wmf"/><Relationship Id="rId17" Type="http://schemas.openxmlformats.org/officeDocument/2006/relationships/image" Target="media/image11.png"/><Relationship Id="rId169" Type="http://schemas.openxmlformats.org/officeDocument/2006/relationships/oleObject" Target="embeddings/oleObject78.bin"/><Relationship Id="rId168" Type="http://schemas.openxmlformats.org/officeDocument/2006/relationships/image" Target="media/image76.wmf"/><Relationship Id="rId167" Type="http://schemas.openxmlformats.org/officeDocument/2006/relationships/oleObject" Target="embeddings/oleObject77.bin"/><Relationship Id="rId166" Type="http://schemas.openxmlformats.org/officeDocument/2006/relationships/image" Target="media/image75.wmf"/><Relationship Id="rId165" Type="http://schemas.openxmlformats.org/officeDocument/2006/relationships/oleObject" Target="embeddings/oleObject76.bin"/><Relationship Id="rId164" Type="http://schemas.openxmlformats.org/officeDocument/2006/relationships/oleObject" Target="embeddings/oleObject75.bin"/><Relationship Id="rId163" Type="http://schemas.openxmlformats.org/officeDocument/2006/relationships/image" Target="media/image74.wmf"/><Relationship Id="rId162" Type="http://schemas.openxmlformats.org/officeDocument/2006/relationships/oleObject" Target="embeddings/oleObject74.bin"/><Relationship Id="rId161" Type="http://schemas.openxmlformats.org/officeDocument/2006/relationships/oleObject" Target="embeddings/oleObject73.bin"/><Relationship Id="rId160" Type="http://schemas.openxmlformats.org/officeDocument/2006/relationships/image" Target="media/image73.wmf"/><Relationship Id="rId16" Type="http://schemas.openxmlformats.org/officeDocument/2006/relationships/image" Target="media/image10.png"/><Relationship Id="rId159" Type="http://schemas.openxmlformats.org/officeDocument/2006/relationships/oleObject" Target="embeddings/oleObject72.bin"/><Relationship Id="rId158" Type="http://schemas.openxmlformats.org/officeDocument/2006/relationships/image" Target="media/image72.wmf"/><Relationship Id="rId157" Type="http://schemas.openxmlformats.org/officeDocument/2006/relationships/oleObject" Target="embeddings/oleObject71.bin"/><Relationship Id="rId156" Type="http://schemas.openxmlformats.org/officeDocument/2006/relationships/oleObject" Target="embeddings/oleObject70.bin"/><Relationship Id="rId155" Type="http://schemas.openxmlformats.org/officeDocument/2006/relationships/image" Target="media/image71.wmf"/><Relationship Id="rId154" Type="http://schemas.openxmlformats.org/officeDocument/2006/relationships/oleObject" Target="embeddings/oleObject69.bin"/><Relationship Id="rId153" Type="http://schemas.openxmlformats.org/officeDocument/2006/relationships/image" Target="media/image70.wmf"/><Relationship Id="rId152" Type="http://schemas.openxmlformats.org/officeDocument/2006/relationships/oleObject" Target="embeddings/oleObject68.bin"/><Relationship Id="rId151" Type="http://schemas.openxmlformats.org/officeDocument/2006/relationships/image" Target="media/image69.wmf"/><Relationship Id="rId150" Type="http://schemas.openxmlformats.org/officeDocument/2006/relationships/oleObject" Target="embeddings/oleObject67.bin"/><Relationship Id="rId15" Type="http://schemas.openxmlformats.org/officeDocument/2006/relationships/image" Target="media/image9.png"/><Relationship Id="rId149" Type="http://schemas.openxmlformats.org/officeDocument/2006/relationships/image" Target="media/image68.wmf"/><Relationship Id="rId148" Type="http://schemas.openxmlformats.org/officeDocument/2006/relationships/oleObject" Target="embeddings/oleObject66.bin"/><Relationship Id="rId147" Type="http://schemas.openxmlformats.org/officeDocument/2006/relationships/image" Target="media/image67.wmf"/><Relationship Id="rId146" Type="http://schemas.openxmlformats.org/officeDocument/2006/relationships/oleObject" Target="embeddings/oleObject65.bin"/><Relationship Id="rId145" Type="http://schemas.openxmlformats.org/officeDocument/2006/relationships/image" Target="media/image66.wmf"/><Relationship Id="rId144" Type="http://schemas.openxmlformats.org/officeDocument/2006/relationships/oleObject" Target="embeddings/oleObject64.bin"/><Relationship Id="rId143" Type="http://schemas.openxmlformats.org/officeDocument/2006/relationships/image" Target="media/image65.wmf"/><Relationship Id="rId142" Type="http://schemas.openxmlformats.org/officeDocument/2006/relationships/oleObject" Target="embeddings/oleObject63.bin"/><Relationship Id="rId141" Type="http://schemas.openxmlformats.org/officeDocument/2006/relationships/image" Target="media/image64.wmf"/><Relationship Id="rId140" Type="http://schemas.openxmlformats.org/officeDocument/2006/relationships/oleObject" Target="embeddings/oleObject62.bin"/><Relationship Id="rId14" Type="http://schemas.microsoft.com/office/2007/relationships/diagramDrawing" Target="diagrams/drawing1.xml"/><Relationship Id="rId139" Type="http://schemas.openxmlformats.org/officeDocument/2006/relationships/image" Target="media/image63.wmf"/><Relationship Id="rId138" Type="http://schemas.openxmlformats.org/officeDocument/2006/relationships/oleObject" Target="embeddings/oleObject61.bin"/><Relationship Id="rId137" Type="http://schemas.openxmlformats.org/officeDocument/2006/relationships/image" Target="media/image62.wmf"/><Relationship Id="rId136" Type="http://schemas.openxmlformats.org/officeDocument/2006/relationships/oleObject" Target="embeddings/oleObject60.bin"/><Relationship Id="rId135" Type="http://schemas.openxmlformats.org/officeDocument/2006/relationships/image" Target="media/image61.wmf"/><Relationship Id="rId134" Type="http://schemas.openxmlformats.org/officeDocument/2006/relationships/oleObject" Target="embeddings/oleObject59.bin"/><Relationship Id="rId133" Type="http://schemas.openxmlformats.org/officeDocument/2006/relationships/image" Target="media/image60.wmf"/><Relationship Id="rId132" Type="http://schemas.openxmlformats.org/officeDocument/2006/relationships/oleObject" Target="embeddings/oleObject58.bin"/><Relationship Id="rId131" Type="http://schemas.openxmlformats.org/officeDocument/2006/relationships/image" Target="media/image59.wmf"/><Relationship Id="rId130" Type="http://schemas.openxmlformats.org/officeDocument/2006/relationships/oleObject" Target="embeddings/oleObject57.bin"/><Relationship Id="rId13" Type="http://schemas.openxmlformats.org/officeDocument/2006/relationships/diagramColors" Target="diagrams/colors1.xml"/><Relationship Id="rId129" Type="http://schemas.openxmlformats.org/officeDocument/2006/relationships/image" Target="media/image58.wmf"/><Relationship Id="rId128" Type="http://schemas.openxmlformats.org/officeDocument/2006/relationships/oleObject" Target="embeddings/oleObject56.bin"/><Relationship Id="rId127" Type="http://schemas.openxmlformats.org/officeDocument/2006/relationships/oleObject" Target="embeddings/oleObject55.bin"/><Relationship Id="rId126" Type="http://schemas.openxmlformats.org/officeDocument/2006/relationships/image" Target="media/image57.wmf"/><Relationship Id="rId125" Type="http://schemas.openxmlformats.org/officeDocument/2006/relationships/oleObject" Target="embeddings/oleObject54.bin"/><Relationship Id="rId1249" Type="http://schemas.openxmlformats.org/officeDocument/2006/relationships/fontTable" Target="fontTable.xml"/><Relationship Id="rId1248" Type="http://schemas.openxmlformats.org/officeDocument/2006/relationships/customXml" Target="../customXml/item1.xml"/><Relationship Id="rId1247" Type="http://schemas.openxmlformats.org/officeDocument/2006/relationships/numbering" Target="numbering.xml"/><Relationship Id="rId1246" Type="http://schemas.openxmlformats.org/officeDocument/2006/relationships/image" Target="media/image524.png"/><Relationship Id="rId1245" Type="http://schemas.openxmlformats.org/officeDocument/2006/relationships/oleObject" Target="embeddings/oleObject707.bin"/><Relationship Id="rId1244" Type="http://schemas.openxmlformats.org/officeDocument/2006/relationships/oleObject" Target="embeddings/oleObject706.bin"/><Relationship Id="rId1243" Type="http://schemas.openxmlformats.org/officeDocument/2006/relationships/oleObject" Target="embeddings/oleObject705.bin"/><Relationship Id="rId1242" Type="http://schemas.openxmlformats.org/officeDocument/2006/relationships/oleObject" Target="embeddings/oleObject704.bin"/><Relationship Id="rId1241" Type="http://schemas.openxmlformats.org/officeDocument/2006/relationships/image" Target="media/image523.png"/><Relationship Id="rId1240" Type="http://schemas.openxmlformats.org/officeDocument/2006/relationships/oleObject" Target="embeddings/oleObject703.bin"/><Relationship Id="rId124" Type="http://schemas.openxmlformats.org/officeDocument/2006/relationships/image" Target="media/image56.wmf"/><Relationship Id="rId1239" Type="http://schemas.openxmlformats.org/officeDocument/2006/relationships/oleObject" Target="embeddings/oleObject702.bin"/><Relationship Id="rId1238" Type="http://schemas.openxmlformats.org/officeDocument/2006/relationships/oleObject" Target="embeddings/oleObject701.bin"/><Relationship Id="rId1237" Type="http://schemas.openxmlformats.org/officeDocument/2006/relationships/oleObject" Target="embeddings/oleObject700.bin"/><Relationship Id="rId1236" Type="http://schemas.openxmlformats.org/officeDocument/2006/relationships/image" Target="media/image522.wmf"/><Relationship Id="rId1235" Type="http://schemas.openxmlformats.org/officeDocument/2006/relationships/oleObject" Target="embeddings/oleObject699.bin"/><Relationship Id="rId1234" Type="http://schemas.openxmlformats.org/officeDocument/2006/relationships/oleObject" Target="embeddings/oleObject698.bin"/><Relationship Id="rId1233" Type="http://schemas.openxmlformats.org/officeDocument/2006/relationships/oleObject" Target="embeddings/oleObject697.bin"/><Relationship Id="rId1232" Type="http://schemas.openxmlformats.org/officeDocument/2006/relationships/image" Target="media/image521.wmf"/><Relationship Id="rId1231" Type="http://schemas.openxmlformats.org/officeDocument/2006/relationships/oleObject" Target="embeddings/oleObject696.bin"/><Relationship Id="rId1230" Type="http://schemas.openxmlformats.org/officeDocument/2006/relationships/image" Target="media/image520.wmf"/><Relationship Id="rId123" Type="http://schemas.openxmlformats.org/officeDocument/2006/relationships/oleObject" Target="embeddings/oleObject53.bin"/><Relationship Id="rId1229" Type="http://schemas.openxmlformats.org/officeDocument/2006/relationships/oleObject" Target="embeddings/oleObject695.bin"/><Relationship Id="rId1228" Type="http://schemas.openxmlformats.org/officeDocument/2006/relationships/oleObject" Target="embeddings/oleObject694.bin"/><Relationship Id="rId1227" Type="http://schemas.openxmlformats.org/officeDocument/2006/relationships/image" Target="media/image519.wmf"/><Relationship Id="rId1226" Type="http://schemas.openxmlformats.org/officeDocument/2006/relationships/oleObject" Target="embeddings/oleObject693.bin"/><Relationship Id="rId1225" Type="http://schemas.openxmlformats.org/officeDocument/2006/relationships/image" Target="media/image518.wmf"/><Relationship Id="rId1224" Type="http://schemas.openxmlformats.org/officeDocument/2006/relationships/oleObject" Target="embeddings/oleObject692.bin"/><Relationship Id="rId1223" Type="http://schemas.openxmlformats.org/officeDocument/2006/relationships/image" Target="media/image517.wmf"/><Relationship Id="rId1222" Type="http://schemas.openxmlformats.org/officeDocument/2006/relationships/oleObject" Target="embeddings/oleObject691.bin"/><Relationship Id="rId1221" Type="http://schemas.openxmlformats.org/officeDocument/2006/relationships/image" Target="media/image516.wmf"/><Relationship Id="rId1220" Type="http://schemas.openxmlformats.org/officeDocument/2006/relationships/oleObject" Target="embeddings/oleObject690.bin"/><Relationship Id="rId122" Type="http://schemas.openxmlformats.org/officeDocument/2006/relationships/oleObject" Target="embeddings/oleObject52.bin"/><Relationship Id="rId1219" Type="http://schemas.openxmlformats.org/officeDocument/2006/relationships/image" Target="media/image515.wmf"/><Relationship Id="rId1218" Type="http://schemas.openxmlformats.org/officeDocument/2006/relationships/oleObject" Target="embeddings/oleObject689.bin"/><Relationship Id="rId1217" Type="http://schemas.openxmlformats.org/officeDocument/2006/relationships/image" Target="media/image514.wmf"/><Relationship Id="rId1216" Type="http://schemas.openxmlformats.org/officeDocument/2006/relationships/oleObject" Target="embeddings/oleObject688.bin"/><Relationship Id="rId1215" Type="http://schemas.openxmlformats.org/officeDocument/2006/relationships/image" Target="media/image513.wmf"/><Relationship Id="rId1214" Type="http://schemas.openxmlformats.org/officeDocument/2006/relationships/oleObject" Target="embeddings/oleObject687.bin"/><Relationship Id="rId1213" Type="http://schemas.openxmlformats.org/officeDocument/2006/relationships/image" Target="media/image512.wmf"/><Relationship Id="rId1212" Type="http://schemas.openxmlformats.org/officeDocument/2006/relationships/oleObject" Target="embeddings/oleObject686.bin"/><Relationship Id="rId1211" Type="http://schemas.openxmlformats.org/officeDocument/2006/relationships/image" Target="media/image511.wmf"/><Relationship Id="rId1210" Type="http://schemas.openxmlformats.org/officeDocument/2006/relationships/oleObject" Target="embeddings/oleObject685.bin"/><Relationship Id="rId121" Type="http://schemas.openxmlformats.org/officeDocument/2006/relationships/image" Target="media/image55.wmf"/><Relationship Id="rId1209" Type="http://schemas.openxmlformats.org/officeDocument/2006/relationships/oleObject" Target="embeddings/oleObject684.bin"/><Relationship Id="rId1208" Type="http://schemas.openxmlformats.org/officeDocument/2006/relationships/image" Target="media/image510.wmf"/><Relationship Id="rId1207" Type="http://schemas.openxmlformats.org/officeDocument/2006/relationships/oleObject" Target="embeddings/oleObject683.bin"/><Relationship Id="rId1206" Type="http://schemas.openxmlformats.org/officeDocument/2006/relationships/image" Target="media/image509.wmf"/><Relationship Id="rId1205" Type="http://schemas.openxmlformats.org/officeDocument/2006/relationships/oleObject" Target="embeddings/oleObject682.bin"/><Relationship Id="rId1204" Type="http://schemas.openxmlformats.org/officeDocument/2006/relationships/image" Target="media/image508.wmf"/><Relationship Id="rId1203" Type="http://schemas.openxmlformats.org/officeDocument/2006/relationships/oleObject" Target="embeddings/oleObject681.bin"/><Relationship Id="rId1202" Type="http://schemas.openxmlformats.org/officeDocument/2006/relationships/image" Target="media/image507.wmf"/><Relationship Id="rId1201" Type="http://schemas.openxmlformats.org/officeDocument/2006/relationships/oleObject" Target="embeddings/oleObject680.bin"/><Relationship Id="rId1200" Type="http://schemas.openxmlformats.org/officeDocument/2006/relationships/image" Target="media/image506.wmf"/><Relationship Id="rId120" Type="http://schemas.openxmlformats.org/officeDocument/2006/relationships/oleObject" Target="embeddings/oleObject51.bin"/><Relationship Id="rId12" Type="http://schemas.openxmlformats.org/officeDocument/2006/relationships/diagramQuickStyle" Target="diagrams/quickStyle1.xml"/><Relationship Id="rId1199" Type="http://schemas.openxmlformats.org/officeDocument/2006/relationships/oleObject" Target="embeddings/oleObject679.bin"/><Relationship Id="rId1198" Type="http://schemas.openxmlformats.org/officeDocument/2006/relationships/image" Target="media/image505.wmf"/><Relationship Id="rId1197" Type="http://schemas.openxmlformats.org/officeDocument/2006/relationships/oleObject" Target="embeddings/oleObject678.bin"/><Relationship Id="rId1196" Type="http://schemas.openxmlformats.org/officeDocument/2006/relationships/image" Target="media/image504.wmf"/><Relationship Id="rId1195" Type="http://schemas.openxmlformats.org/officeDocument/2006/relationships/oleObject" Target="embeddings/oleObject677.bin"/><Relationship Id="rId1194" Type="http://schemas.openxmlformats.org/officeDocument/2006/relationships/image" Target="media/image503.wmf"/><Relationship Id="rId1193" Type="http://schemas.openxmlformats.org/officeDocument/2006/relationships/oleObject" Target="embeddings/oleObject676.bin"/><Relationship Id="rId1192" Type="http://schemas.openxmlformats.org/officeDocument/2006/relationships/image" Target="media/image502.wmf"/><Relationship Id="rId1191" Type="http://schemas.openxmlformats.org/officeDocument/2006/relationships/oleObject" Target="embeddings/oleObject675.bin"/><Relationship Id="rId1190" Type="http://schemas.openxmlformats.org/officeDocument/2006/relationships/image" Target="media/image501.wmf"/><Relationship Id="rId119" Type="http://schemas.openxmlformats.org/officeDocument/2006/relationships/image" Target="media/image54.wmf"/><Relationship Id="rId1189" Type="http://schemas.openxmlformats.org/officeDocument/2006/relationships/oleObject" Target="embeddings/oleObject674.bin"/><Relationship Id="rId1188" Type="http://schemas.openxmlformats.org/officeDocument/2006/relationships/image" Target="media/image500.wmf"/><Relationship Id="rId1187" Type="http://schemas.openxmlformats.org/officeDocument/2006/relationships/oleObject" Target="embeddings/oleObject673.bin"/><Relationship Id="rId1186" Type="http://schemas.openxmlformats.org/officeDocument/2006/relationships/oleObject" Target="embeddings/oleObject672.bin"/><Relationship Id="rId1185" Type="http://schemas.openxmlformats.org/officeDocument/2006/relationships/oleObject" Target="embeddings/oleObject671.bin"/><Relationship Id="rId1184" Type="http://schemas.openxmlformats.org/officeDocument/2006/relationships/oleObject" Target="embeddings/oleObject670.bin"/><Relationship Id="rId1183" Type="http://schemas.openxmlformats.org/officeDocument/2006/relationships/oleObject" Target="embeddings/oleObject669.bin"/><Relationship Id="rId1182" Type="http://schemas.openxmlformats.org/officeDocument/2006/relationships/oleObject" Target="embeddings/oleObject668.bin"/><Relationship Id="rId1181" Type="http://schemas.openxmlformats.org/officeDocument/2006/relationships/image" Target="media/image499.wmf"/><Relationship Id="rId1180" Type="http://schemas.openxmlformats.org/officeDocument/2006/relationships/oleObject" Target="embeddings/oleObject667.bin"/><Relationship Id="rId118" Type="http://schemas.openxmlformats.org/officeDocument/2006/relationships/oleObject" Target="embeddings/oleObject50.bin"/><Relationship Id="rId1179" Type="http://schemas.openxmlformats.org/officeDocument/2006/relationships/oleObject" Target="embeddings/oleObject666.bin"/><Relationship Id="rId1178" Type="http://schemas.openxmlformats.org/officeDocument/2006/relationships/image" Target="media/image498.wmf"/><Relationship Id="rId1177" Type="http://schemas.openxmlformats.org/officeDocument/2006/relationships/oleObject" Target="embeddings/oleObject665.bin"/><Relationship Id="rId1176" Type="http://schemas.openxmlformats.org/officeDocument/2006/relationships/image" Target="media/image497.wmf"/><Relationship Id="rId1175" Type="http://schemas.openxmlformats.org/officeDocument/2006/relationships/oleObject" Target="embeddings/oleObject664.bin"/><Relationship Id="rId1174" Type="http://schemas.openxmlformats.org/officeDocument/2006/relationships/image" Target="media/image496.wmf"/><Relationship Id="rId1173" Type="http://schemas.openxmlformats.org/officeDocument/2006/relationships/oleObject" Target="embeddings/oleObject663.bin"/><Relationship Id="rId1172" Type="http://schemas.openxmlformats.org/officeDocument/2006/relationships/image" Target="media/image495.wmf"/><Relationship Id="rId1171" Type="http://schemas.openxmlformats.org/officeDocument/2006/relationships/oleObject" Target="embeddings/oleObject662.bin"/><Relationship Id="rId1170" Type="http://schemas.openxmlformats.org/officeDocument/2006/relationships/oleObject" Target="embeddings/oleObject661.bin"/><Relationship Id="rId117" Type="http://schemas.openxmlformats.org/officeDocument/2006/relationships/image" Target="media/image53.wmf"/><Relationship Id="rId1169" Type="http://schemas.openxmlformats.org/officeDocument/2006/relationships/oleObject" Target="embeddings/oleObject660.bin"/><Relationship Id="rId1168" Type="http://schemas.openxmlformats.org/officeDocument/2006/relationships/image" Target="media/image494.wmf"/><Relationship Id="rId1167" Type="http://schemas.openxmlformats.org/officeDocument/2006/relationships/oleObject" Target="embeddings/oleObject659.bin"/><Relationship Id="rId1166" Type="http://schemas.openxmlformats.org/officeDocument/2006/relationships/oleObject" Target="embeddings/oleObject658.bin"/><Relationship Id="rId1165" Type="http://schemas.openxmlformats.org/officeDocument/2006/relationships/oleObject" Target="embeddings/oleObject657.bin"/><Relationship Id="rId1164" Type="http://schemas.openxmlformats.org/officeDocument/2006/relationships/image" Target="media/image493.wmf"/><Relationship Id="rId1163" Type="http://schemas.openxmlformats.org/officeDocument/2006/relationships/oleObject" Target="embeddings/oleObject656.bin"/><Relationship Id="rId1162" Type="http://schemas.openxmlformats.org/officeDocument/2006/relationships/oleObject" Target="embeddings/oleObject655.bin"/><Relationship Id="rId1161" Type="http://schemas.openxmlformats.org/officeDocument/2006/relationships/oleObject" Target="embeddings/oleObject654.bin"/><Relationship Id="rId1160" Type="http://schemas.openxmlformats.org/officeDocument/2006/relationships/oleObject" Target="embeddings/oleObject653.bin"/><Relationship Id="rId116" Type="http://schemas.openxmlformats.org/officeDocument/2006/relationships/oleObject" Target="embeddings/oleObject49.bin"/><Relationship Id="rId1159" Type="http://schemas.openxmlformats.org/officeDocument/2006/relationships/image" Target="media/image492.wmf"/><Relationship Id="rId1158" Type="http://schemas.openxmlformats.org/officeDocument/2006/relationships/oleObject" Target="embeddings/oleObject652.bin"/><Relationship Id="rId1157" Type="http://schemas.openxmlformats.org/officeDocument/2006/relationships/image" Target="media/image491.wmf"/><Relationship Id="rId1156" Type="http://schemas.openxmlformats.org/officeDocument/2006/relationships/oleObject" Target="embeddings/oleObject651.bin"/><Relationship Id="rId1155" Type="http://schemas.openxmlformats.org/officeDocument/2006/relationships/oleObject" Target="embeddings/oleObject650.bin"/><Relationship Id="rId1154" Type="http://schemas.openxmlformats.org/officeDocument/2006/relationships/image" Target="media/image490.wmf"/><Relationship Id="rId1153" Type="http://schemas.openxmlformats.org/officeDocument/2006/relationships/oleObject" Target="embeddings/oleObject649.bin"/><Relationship Id="rId1152" Type="http://schemas.openxmlformats.org/officeDocument/2006/relationships/oleObject" Target="embeddings/oleObject648.bin"/><Relationship Id="rId1151" Type="http://schemas.openxmlformats.org/officeDocument/2006/relationships/image" Target="media/image489.wmf"/><Relationship Id="rId1150" Type="http://schemas.openxmlformats.org/officeDocument/2006/relationships/oleObject" Target="embeddings/oleObject647.bin"/><Relationship Id="rId115" Type="http://schemas.openxmlformats.org/officeDocument/2006/relationships/oleObject" Target="embeddings/oleObject48.bin"/><Relationship Id="rId1149" Type="http://schemas.openxmlformats.org/officeDocument/2006/relationships/oleObject" Target="embeddings/oleObject646.bin"/><Relationship Id="rId1148" Type="http://schemas.openxmlformats.org/officeDocument/2006/relationships/oleObject" Target="embeddings/oleObject645.bin"/><Relationship Id="rId1147" Type="http://schemas.openxmlformats.org/officeDocument/2006/relationships/oleObject" Target="embeddings/oleObject644.bin"/><Relationship Id="rId1146" Type="http://schemas.openxmlformats.org/officeDocument/2006/relationships/image" Target="media/image488.wmf"/><Relationship Id="rId1145" Type="http://schemas.openxmlformats.org/officeDocument/2006/relationships/oleObject" Target="embeddings/oleObject643.bin"/><Relationship Id="rId1144" Type="http://schemas.openxmlformats.org/officeDocument/2006/relationships/oleObject" Target="embeddings/oleObject642.bin"/><Relationship Id="rId1143" Type="http://schemas.openxmlformats.org/officeDocument/2006/relationships/oleObject" Target="embeddings/oleObject641.bin"/><Relationship Id="rId1142" Type="http://schemas.openxmlformats.org/officeDocument/2006/relationships/oleObject" Target="embeddings/oleObject640.bin"/><Relationship Id="rId1141" Type="http://schemas.openxmlformats.org/officeDocument/2006/relationships/oleObject" Target="embeddings/oleObject639.bin"/><Relationship Id="rId1140" Type="http://schemas.openxmlformats.org/officeDocument/2006/relationships/image" Target="media/image487.wmf"/><Relationship Id="rId114" Type="http://schemas.openxmlformats.org/officeDocument/2006/relationships/image" Target="media/image52.wmf"/><Relationship Id="rId1139" Type="http://schemas.openxmlformats.org/officeDocument/2006/relationships/oleObject" Target="embeddings/oleObject638.bin"/><Relationship Id="rId1138" Type="http://schemas.openxmlformats.org/officeDocument/2006/relationships/oleObject" Target="embeddings/oleObject637.bin"/><Relationship Id="rId1137" Type="http://schemas.openxmlformats.org/officeDocument/2006/relationships/oleObject" Target="embeddings/oleObject636.bin"/><Relationship Id="rId1136" Type="http://schemas.openxmlformats.org/officeDocument/2006/relationships/image" Target="media/image486.wmf"/><Relationship Id="rId1135" Type="http://schemas.openxmlformats.org/officeDocument/2006/relationships/oleObject" Target="embeddings/oleObject635.bin"/><Relationship Id="rId1134" Type="http://schemas.openxmlformats.org/officeDocument/2006/relationships/oleObject" Target="embeddings/oleObject634.bin"/><Relationship Id="rId1133" Type="http://schemas.openxmlformats.org/officeDocument/2006/relationships/oleObject" Target="embeddings/oleObject633.bin"/><Relationship Id="rId1132" Type="http://schemas.openxmlformats.org/officeDocument/2006/relationships/oleObject" Target="embeddings/oleObject632.bin"/><Relationship Id="rId1131" Type="http://schemas.openxmlformats.org/officeDocument/2006/relationships/image" Target="media/image485.wmf"/><Relationship Id="rId1130" Type="http://schemas.openxmlformats.org/officeDocument/2006/relationships/oleObject" Target="embeddings/oleObject631.bin"/><Relationship Id="rId113" Type="http://schemas.openxmlformats.org/officeDocument/2006/relationships/oleObject" Target="embeddings/oleObject47.bin"/><Relationship Id="rId1129" Type="http://schemas.openxmlformats.org/officeDocument/2006/relationships/image" Target="media/image484.wmf"/><Relationship Id="rId1128" Type="http://schemas.openxmlformats.org/officeDocument/2006/relationships/oleObject" Target="embeddings/oleObject630.bin"/><Relationship Id="rId1127" Type="http://schemas.openxmlformats.org/officeDocument/2006/relationships/oleObject" Target="embeddings/oleObject629.bin"/><Relationship Id="rId1126" Type="http://schemas.openxmlformats.org/officeDocument/2006/relationships/oleObject" Target="embeddings/oleObject628.bin"/><Relationship Id="rId1125" Type="http://schemas.openxmlformats.org/officeDocument/2006/relationships/image" Target="media/image483.wmf"/><Relationship Id="rId1124" Type="http://schemas.openxmlformats.org/officeDocument/2006/relationships/oleObject" Target="embeddings/oleObject627.bin"/><Relationship Id="rId1123" Type="http://schemas.openxmlformats.org/officeDocument/2006/relationships/image" Target="media/image482.wmf"/><Relationship Id="rId1122" Type="http://schemas.openxmlformats.org/officeDocument/2006/relationships/oleObject" Target="embeddings/oleObject626.bin"/><Relationship Id="rId1121" Type="http://schemas.openxmlformats.org/officeDocument/2006/relationships/oleObject" Target="embeddings/oleObject625.bin"/><Relationship Id="rId1120" Type="http://schemas.openxmlformats.org/officeDocument/2006/relationships/oleObject" Target="embeddings/oleObject624.bin"/><Relationship Id="rId112" Type="http://schemas.openxmlformats.org/officeDocument/2006/relationships/image" Target="media/image51.wmf"/><Relationship Id="rId1119" Type="http://schemas.openxmlformats.org/officeDocument/2006/relationships/image" Target="media/image481.wmf"/><Relationship Id="rId1118" Type="http://schemas.openxmlformats.org/officeDocument/2006/relationships/oleObject" Target="embeddings/oleObject623.bin"/><Relationship Id="rId1117" Type="http://schemas.openxmlformats.org/officeDocument/2006/relationships/image" Target="media/image480.wmf"/><Relationship Id="rId1116" Type="http://schemas.openxmlformats.org/officeDocument/2006/relationships/oleObject" Target="embeddings/oleObject622.bin"/><Relationship Id="rId1115" Type="http://schemas.openxmlformats.org/officeDocument/2006/relationships/image" Target="media/image479.wmf"/><Relationship Id="rId1114" Type="http://schemas.openxmlformats.org/officeDocument/2006/relationships/oleObject" Target="embeddings/oleObject621.bin"/><Relationship Id="rId1113" Type="http://schemas.openxmlformats.org/officeDocument/2006/relationships/image" Target="media/image478.wmf"/><Relationship Id="rId1112" Type="http://schemas.openxmlformats.org/officeDocument/2006/relationships/oleObject" Target="embeddings/oleObject620.bin"/><Relationship Id="rId1111" Type="http://schemas.openxmlformats.org/officeDocument/2006/relationships/image" Target="media/image477.wmf"/><Relationship Id="rId1110" Type="http://schemas.openxmlformats.org/officeDocument/2006/relationships/oleObject" Target="embeddings/oleObject619.bin"/><Relationship Id="rId111" Type="http://schemas.openxmlformats.org/officeDocument/2006/relationships/oleObject" Target="embeddings/oleObject46.bin"/><Relationship Id="rId1109" Type="http://schemas.openxmlformats.org/officeDocument/2006/relationships/image" Target="media/image476.wmf"/><Relationship Id="rId1108" Type="http://schemas.openxmlformats.org/officeDocument/2006/relationships/oleObject" Target="embeddings/oleObject618.bin"/><Relationship Id="rId1107" Type="http://schemas.openxmlformats.org/officeDocument/2006/relationships/image" Target="media/image475.wmf"/><Relationship Id="rId1106" Type="http://schemas.openxmlformats.org/officeDocument/2006/relationships/oleObject" Target="embeddings/oleObject617.bin"/><Relationship Id="rId1105" Type="http://schemas.openxmlformats.org/officeDocument/2006/relationships/oleObject" Target="embeddings/oleObject616.bin"/><Relationship Id="rId1104" Type="http://schemas.openxmlformats.org/officeDocument/2006/relationships/oleObject" Target="embeddings/oleObject615.bin"/><Relationship Id="rId1103" Type="http://schemas.openxmlformats.org/officeDocument/2006/relationships/image" Target="media/image474.wmf"/><Relationship Id="rId1102" Type="http://schemas.openxmlformats.org/officeDocument/2006/relationships/oleObject" Target="embeddings/oleObject614.bin"/><Relationship Id="rId1101" Type="http://schemas.openxmlformats.org/officeDocument/2006/relationships/image" Target="media/image473.wmf"/><Relationship Id="rId1100" Type="http://schemas.openxmlformats.org/officeDocument/2006/relationships/oleObject" Target="embeddings/oleObject613.bin"/><Relationship Id="rId110" Type="http://schemas.openxmlformats.org/officeDocument/2006/relationships/oleObject" Target="embeddings/oleObject45.bin"/><Relationship Id="rId11" Type="http://schemas.openxmlformats.org/officeDocument/2006/relationships/diagramLayout" Target="diagrams/layout1.xml"/><Relationship Id="rId1099" Type="http://schemas.openxmlformats.org/officeDocument/2006/relationships/image" Target="media/image472.wmf"/><Relationship Id="rId1098" Type="http://schemas.openxmlformats.org/officeDocument/2006/relationships/oleObject" Target="embeddings/oleObject612.bin"/><Relationship Id="rId1097" Type="http://schemas.openxmlformats.org/officeDocument/2006/relationships/image" Target="media/image471.wmf"/><Relationship Id="rId1096" Type="http://schemas.openxmlformats.org/officeDocument/2006/relationships/oleObject" Target="embeddings/oleObject611.bin"/><Relationship Id="rId1095" Type="http://schemas.openxmlformats.org/officeDocument/2006/relationships/image" Target="media/image470.wmf"/><Relationship Id="rId1094" Type="http://schemas.openxmlformats.org/officeDocument/2006/relationships/oleObject" Target="embeddings/oleObject610.bin"/><Relationship Id="rId1093" Type="http://schemas.openxmlformats.org/officeDocument/2006/relationships/oleObject" Target="embeddings/oleObject609.bin"/><Relationship Id="rId1092" Type="http://schemas.openxmlformats.org/officeDocument/2006/relationships/oleObject" Target="embeddings/oleObject608.bin"/><Relationship Id="rId1091" Type="http://schemas.openxmlformats.org/officeDocument/2006/relationships/image" Target="media/image469.wmf"/><Relationship Id="rId1090" Type="http://schemas.openxmlformats.org/officeDocument/2006/relationships/oleObject" Target="embeddings/oleObject607.bin"/><Relationship Id="rId109" Type="http://schemas.openxmlformats.org/officeDocument/2006/relationships/image" Target="media/image50.wmf"/><Relationship Id="rId1089" Type="http://schemas.openxmlformats.org/officeDocument/2006/relationships/oleObject" Target="embeddings/oleObject606.bin"/><Relationship Id="rId1088" Type="http://schemas.openxmlformats.org/officeDocument/2006/relationships/oleObject" Target="embeddings/oleObject605.bin"/><Relationship Id="rId1087" Type="http://schemas.openxmlformats.org/officeDocument/2006/relationships/image" Target="media/image468.wmf"/><Relationship Id="rId1086" Type="http://schemas.openxmlformats.org/officeDocument/2006/relationships/oleObject" Target="embeddings/oleObject604.bin"/><Relationship Id="rId1085" Type="http://schemas.openxmlformats.org/officeDocument/2006/relationships/image" Target="media/image467.wmf"/><Relationship Id="rId1084" Type="http://schemas.openxmlformats.org/officeDocument/2006/relationships/oleObject" Target="embeddings/oleObject603.bin"/><Relationship Id="rId1083" Type="http://schemas.openxmlformats.org/officeDocument/2006/relationships/oleObject" Target="embeddings/oleObject602.bin"/><Relationship Id="rId1082" Type="http://schemas.openxmlformats.org/officeDocument/2006/relationships/oleObject" Target="embeddings/oleObject601.bin"/><Relationship Id="rId1081" Type="http://schemas.openxmlformats.org/officeDocument/2006/relationships/oleObject" Target="embeddings/oleObject600.bin"/><Relationship Id="rId1080" Type="http://schemas.openxmlformats.org/officeDocument/2006/relationships/oleObject" Target="embeddings/oleObject599.bin"/><Relationship Id="rId108" Type="http://schemas.openxmlformats.org/officeDocument/2006/relationships/oleObject" Target="embeddings/oleObject44.bin"/><Relationship Id="rId1079" Type="http://schemas.openxmlformats.org/officeDocument/2006/relationships/oleObject" Target="embeddings/oleObject598.bin"/><Relationship Id="rId1078" Type="http://schemas.openxmlformats.org/officeDocument/2006/relationships/oleObject" Target="embeddings/oleObject597.bin"/><Relationship Id="rId1077" Type="http://schemas.openxmlformats.org/officeDocument/2006/relationships/oleObject" Target="embeddings/oleObject596.bin"/><Relationship Id="rId1076" Type="http://schemas.openxmlformats.org/officeDocument/2006/relationships/oleObject" Target="embeddings/oleObject595.bin"/><Relationship Id="rId1075" Type="http://schemas.openxmlformats.org/officeDocument/2006/relationships/image" Target="media/image466.wmf"/><Relationship Id="rId1074" Type="http://schemas.openxmlformats.org/officeDocument/2006/relationships/oleObject" Target="embeddings/oleObject594.bin"/><Relationship Id="rId1073" Type="http://schemas.openxmlformats.org/officeDocument/2006/relationships/image" Target="media/image465.wmf"/><Relationship Id="rId1072" Type="http://schemas.openxmlformats.org/officeDocument/2006/relationships/oleObject" Target="embeddings/oleObject593.bin"/><Relationship Id="rId1071" Type="http://schemas.openxmlformats.org/officeDocument/2006/relationships/oleObject" Target="embeddings/oleObject592.bin"/><Relationship Id="rId1070" Type="http://schemas.openxmlformats.org/officeDocument/2006/relationships/image" Target="media/image464.wmf"/><Relationship Id="rId107" Type="http://schemas.openxmlformats.org/officeDocument/2006/relationships/image" Target="media/image49.wmf"/><Relationship Id="rId1069" Type="http://schemas.openxmlformats.org/officeDocument/2006/relationships/oleObject" Target="embeddings/oleObject591.bin"/><Relationship Id="rId1068" Type="http://schemas.openxmlformats.org/officeDocument/2006/relationships/oleObject" Target="embeddings/oleObject590.bin"/><Relationship Id="rId1067" Type="http://schemas.openxmlformats.org/officeDocument/2006/relationships/image" Target="media/image463.wmf"/><Relationship Id="rId1066" Type="http://schemas.openxmlformats.org/officeDocument/2006/relationships/oleObject" Target="embeddings/oleObject589.bin"/><Relationship Id="rId1065" Type="http://schemas.openxmlformats.org/officeDocument/2006/relationships/image" Target="media/image462.wmf"/><Relationship Id="rId1064" Type="http://schemas.openxmlformats.org/officeDocument/2006/relationships/oleObject" Target="embeddings/oleObject588.bin"/><Relationship Id="rId1063" Type="http://schemas.openxmlformats.org/officeDocument/2006/relationships/image" Target="media/image461.wmf"/><Relationship Id="rId1062" Type="http://schemas.openxmlformats.org/officeDocument/2006/relationships/oleObject" Target="embeddings/oleObject587.bin"/><Relationship Id="rId1061" Type="http://schemas.openxmlformats.org/officeDocument/2006/relationships/oleObject" Target="embeddings/oleObject586.bin"/><Relationship Id="rId1060" Type="http://schemas.openxmlformats.org/officeDocument/2006/relationships/image" Target="media/image460.wmf"/><Relationship Id="rId106" Type="http://schemas.openxmlformats.org/officeDocument/2006/relationships/oleObject" Target="embeddings/oleObject43.bin"/><Relationship Id="rId1059" Type="http://schemas.openxmlformats.org/officeDocument/2006/relationships/oleObject" Target="embeddings/oleObject585.bin"/><Relationship Id="rId1058" Type="http://schemas.openxmlformats.org/officeDocument/2006/relationships/image" Target="media/image459.wmf"/><Relationship Id="rId1057" Type="http://schemas.openxmlformats.org/officeDocument/2006/relationships/oleObject" Target="embeddings/oleObject584.bin"/><Relationship Id="rId1056" Type="http://schemas.openxmlformats.org/officeDocument/2006/relationships/image" Target="media/image458.wmf"/><Relationship Id="rId1055" Type="http://schemas.openxmlformats.org/officeDocument/2006/relationships/oleObject" Target="embeddings/oleObject583.bin"/><Relationship Id="rId1054" Type="http://schemas.openxmlformats.org/officeDocument/2006/relationships/image" Target="media/image457.wmf"/><Relationship Id="rId1053" Type="http://schemas.openxmlformats.org/officeDocument/2006/relationships/oleObject" Target="embeddings/oleObject582.bin"/><Relationship Id="rId1052" Type="http://schemas.openxmlformats.org/officeDocument/2006/relationships/image" Target="media/image456.wmf"/><Relationship Id="rId1051" Type="http://schemas.openxmlformats.org/officeDocument/2006/relationships/oleObject" Target="embeddings/oleObject581.bin"/><Relationship Id="rId1050" Type="http://schemas.openxmlformats.org/officeDocument/2006/relationships/image" Target="media/image455.wmf"/><Relationship Id="rId105" Type="http://schemas.openxmlformats.org/officeDocument/2006/relationships/oleObject" Target="embeddings/oleObject42.bin"/><Relationship Id="rId1049" Type="http://schemas.openxmlformats.org/officeDocument/2006/relationships/oleObject" Target="embeddings/oleObject580.bin"/><Relationship Id="rId1048" Type="http://schemas.openxmlformats.org/officeDocument/2006/relationships/oleObject" Target="embeddings/oleObject579.bin"/><Relationship Id="rId1047" Type="http://schemas.openxmlformats.org/officeDocument/2006/relationships/image" Target="media/image454.wmf"/><Relationship Id="rId1046" Type="http://schemas.openxmlformats.org/officeDocument/2006/relationships/oleObject" Target="embeddings/oleObject578.bin"/><Relationship Id="rId1045" Type="http://schemas.openxmlformats.org/officeDocument/2006/relationships/image" Target="media/image453.wmf"/><Relationship Id="rId1044" Type="http://schemas.openxmlformats.org/officeDocument/2006/relationships/oleObject" Target="embeddings/oleObject577.bin"/><Relationship Id="rId1043" Type="http://schemas.openxmlformats.org/officeDocument/2006/relationships/image" Target="media/image452.wmf"/><Relationship Id="rId1042" Type="http://schemas.openxmlformats.org/officeDocument/2006/relationships/oleObject" Target="embeddings/oleObject576.bin"/><Relationship Id="rId1041" Type="http://schemas.openxmlformats.org/officeDocument/2006/relationships/image" Target="media/image451.wmf"/><Relationship Id="rId1040" Type="http://schemas.openxmlformats.org/officeDocument/2006/relationships/oleObject" Target="embeddings/oleObject575.bin"/><Relationship Id="rId104" Type="http://schemas.openxmlformats.org/officeDocument/2006/relationships/image" Target="media/image48.wmf"/><Relationship Id="rId1039" Type="http://schemas.openxmlformats.org/officeDocument/2006/relationships/image" Target="media/image450.wmf"/><Relationship Id="rId1038" Type="http://schemas.openxmlformats.org/officeDocument/2006/relationships/oleObject" Target="embeddings/oleObject574.bin"/><Relationship Id="rId1037" Type="http://schemas.openxmlformats.org/officeDocument/2006/relationships/image" Target="media/image449.wmf"/><Relationship Id="rId1036" Type="http://schemas.openxmlformats.org/officeDocument/2006/relationships/oleObject" Target="embeddings/oleObject573.bin"/><Relationship Id="rId1035" Type="http://schemas.openxmlformats.org/officeDocument/2006/relationships/image" Target="media/image448.wmf"/><Relationship Id="rId1034" Type="http://schemas.openxmlformats.org/officeDocument/2006/relationships/oleObject" Target="embeddings/oleObject572.bin"/><Relationship Id="rId1033" Type="http://schemas.openxmlformats.org/officeDocument/2006/relationships/image" Target="media/image447.wmf"/><Relationship Id="rId1032" Type="http://schemas.openxmlformats.org/officeDocument/2006/relationships/oleObject" Target="embeddings/oleObject571.bin"/><Relationship Id="rId1031" Type="http://schemas.openxmlformats.org/officeDocument/2006/relationships/image" Target="media/image446.wmf"/><Relationship Id="rId1030" Type="http://schemas.openxmlformats.org/officeDocument/2006/relationships/oleObject" Target="embeddings/oleObject570.bin"/><Relationship Id="rId103" Type="http://schemas.openxmlformats.org/officeDocument/2006/relationships/oleObject" Target="embeddings/oleObject41.bin"/><Relationship Id="rId1029" Type="http://schemas.openxmlformats.org/officeDocument/2006/relationships/image" Target="media/image445.wmf"/><Relationship Id="rId1028" Type="http://schemas.openxmlformats.org/officeDocument/2006/relationships/oleObject" Target="embeddings/oleObject569.bin"/><Relationship Id="rId1027" Type="http://schemas.openxmlformats.org/officeDocument/2006/relationships/oleObject" Target="embeddings/oleObject568.bin"/><Relationship Id="rId1026" Type="http://schemas.openxmlformats.org/officeDocument/2006/relationships/image" Target="media/image444.wmf"/><Relationship Id="rId1025" Type="http://schemas.openxmlformats.org/officeDocument/2006/relationships/oleObject" Target="embeddings/oleObject567.bin"/><Relationship Id="rId1024" Type="http://schemas.openxmlformats.org/officeDocument/2006/relationships/oleObject" Target="embeddings/oleObject566.bin"/><Relationship Id="rId1023" Type="http://schemas.openxmlformats.org/officeDocument/2006/relationships/image" Target="media/image443.wmf"/><Relationship Id="rId1022" Type="http://schemas.openxmlformats.org/officeDocument/2006/relationships/oleObject" Target="embeddings/oleObject565.bin"/><Relationship Id="rId1021" Type="http://schemas.openxmlformats.org/officeDocument/2006/relationships/oleObject" Target="embeddings/oleObject564.bin"/><Relationship Id="rId1020" Type="http://schemas.openxmlformats.org/officeDocument/2006/relationships/oleObject" Target="embeddings/oleObject563.bin"/><Relationship Id="rId102" Type="http://schemas.openxmlformats.org/officeDocument/2006/relationships/image" Target="media/image47.wmf"/><Relationship Id="rId1019" Type="http://schemas.openxmlformats.org/officeDocument/2006/relationships/image" Target="media/image442.wmf"/><Relationship Id="rId1018" Type="http://schemas.openxmlformats.org/officeDocument/2006/relationships/oleObject" Target="embeddings/oleObject562.bin"/><Relationship Id="rId1017" Type="http://schemas.openxmlformats.org/officeDocument/2006/relationships/image" Target="media/image441.wmf"/><Relationship Id="rId1016" Type="http://schemas.openxmlformats.org/officeDocument/2006/relationships/oleObject" Target="embeddings/oleObject561.bin"/><Relationship Id="rId1015" Type="http://schemas.openxmlformats.org/officeDocument/2006/relationships/image" Target="media/image440.wmf"/><Relationship Id="rId1014" Type="http://schemas.openxmlformats.org/officeDocument/2006/relationships/oleObject" Target="embeddings/oleObject560.bin"/><Relationship Id="rId1013" Type="http://schemas.openxmlformats.org/officeDocument/2006/relationships/image" Target="media/image439.wmf"/><Relationship Id="rId1012" Type="http://schemas.openxmlformats.org/officeDocument/2006/relationships/oleObject" Target="embeddings/oleObject559.bin"/><Relationship Id="rId1011" Type="http://schemas.openxmlformats.org/officeDocument/2006/relationships/image" Target="media/image438.wmf"/><Relationship Id="rId1010" Type="http://schemas.openxmlformats.org/officeDocument/2006/relationships/oleObject" Target="embeddings/oleObject558.bin"/><Relationship Id="rId101" Type="http://schemas.openxmlformats.org/officeDocument/2006/relationships/oleObject" Target="embeddings/oleObject40.bin"/><Relationship Id="rId1009" Type="http://schemas.openxmlformats.org/officeDocument/2006/relationships/image" Target="media/image437.wmf"/><Relationship Id="rId1008" Type="http://schemas.openxmlformats.org/officeDocument/2006/relationships/oleObject" Target="embeddings/oleObject557.bin"/><Relationship Id="rId1007" Type="http://schemas.openxmlformats.org/officeDocument/2006/relationships/oleObject" Target="embeddings/oleObject556.bin"/><Relationship Id="rId1006" Type="http://schemas.openxmlformats.org/officeDocument/2006/relationships/image" Target="media/image436.wmf"/><Relationship Id="rId1005" Type="http://schemas.openxmlformats.org/officeDocument/2006/relationships/oleObject" Target="embeddings/oleObject555.bin"/><Relationship Id="rId1004" Type="http://schemas.openxmlformats.org/officeDocument/2006/relationships/image" Target="media/image435.wmf"/><Relationship Id="rId1003" Type="http://schemas.openxmlformats.org/officeDocument/2006/relationships/oleObject" Target="embeddings/oleObject554.bin"/><Relationship Id="rId1002" Type="http://schemas.openxmlformats.org/officeDocument/2006/relationships/oleObject" Target="embeddings/oleObject553.bin"/><Relationship Id="rId1001" Type="http://schemas.openxmlformats.org/officeDocument/2006/relationships/image" Target="media/image434.wmf"/><Relationship Id="rId1000" Type="http://schemas.openxmlformats.org/officeDocument/2006/relationships/oleObject" Target="embeddings/oleObject552.bin"/><Relationship Id="rId100" Type="http://schemas.openxmlformats.org/officeDocument/2006/relationships/oleObject" Target="embeddings/oleObject39.bin"/><Relationship Id="rId10" Type="http://schemas.openxmlformats.org/officeDocument/2006/relationships/diagramData" Target="diagrams/data1.xml"/><Relationship Id="rId1" Type="http://schemas.openxmlformats.org/officeDocument/2006/relationships/styles" Target="styles.xml"/></Relationships>
</file>

<file path=word/_rels/footnotes.xml.rels><?xml version="1.0" encoding="UTF-8" standalone="yes"?>
<Relationships xmlns="http://schemas.openxmlformats.org/package/2006/relationships"><Relationship Id="rId9" Type="http://schemas.openxmlformats.org/officeDocument/2006/relationships/oleObject" Target="embeddings/oleObject5.bin"/><Relationship Id="rId8" Type="http://schemas.openxmlformats.org/officeDocument/2006/relationships/image" Target="media/image4.wmf"/><Relationship Id="rId7" Type="http://schemas.openxmlformats.org/officeDocument/2006/relationships/oleObject" Target="embeddings/oleObject4.bin"/><Relationship Id="rId6" Type="http://schemas.openxmlformats.org/officeDocument/2006/relationships/image" Target="media/image3.wmf"/><Relationship Id="rId5" Type="http://schemas.openxmlformats.org/officeDocument/2006/relationships/oleObject" Target="embeddings/oleObject3.bin"/><Relationship Id="rId4" Type="http://schemas.openxmlformats.org/officeDocument/2006/relationships/image" Target="media/image2.wmf"/><Relationship Id="rId3" Type="http://schemas.openxmlformats.org/officeDocument/2006/relationships/oleObject" Target="embeddings/oleObject2.bin"/><Relationship Id="rId2" Type="http://schemas.openxmlformats.org/officeDocument/2006/relationships/image" Target="media/image1.wmf"/><Relationship Id="rId12" Type="http://schemas.openxmlformats.org/officeDocument/2006/relationships/oleObject" Target="embeddings/oleObject7.bin"/><Relationship Id="rId11" Type="http://schemas.openxmlformats.org/officeDocument/2006/relationships/oleObject" Target="embeddings/oleObject6.bin"/><Relationship Id="rId10" Type="http://schemas.openxmlformats.org/officeDocument/2006/relationships/image" Target="media/image5.wmf"/><Relationship Id="rId1" Type="http://schemas.openxmlformats.org/officeDocument/2006/relationships/oleObject" Target="embeddings/oleObject1.bin"/></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Активы</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Лист1!$A$2:$A$10</c:f>
              <c:numCache>
                <c:formatCode>mmm\-yy</c:formatCode>
                <c:ptCount val="9"/>
                <c:pt idx="0" c:formatCode="mmm\-yy">
                  <c:v>45292</c:v>
                </c:pt>
                <c:pt idx="1" c:formatCode="mmm\-yy">
                  <c:v>44927</c:v>
                </c:pt>
                <c:pt idx="2" c:formatCode="mmm\-yy">
                  <c:v>44562</c:v>
                </c:pt>
                <c:pt idx="3" c:formatCode="mmm\-yy">
                  <c:v>44197</c:v>
                </c:pt>
                <c:pt idx="4" c:formatCode="mmm\-yy">
                  <c:v>43831</c:v>
                </c:pt>
                <c:pt idx="5" c:formatCode="mmm\-yy">
                  <c:v>43466</c:v>
                </c:pt>
                <c:pt idx="6" c:formatCode="mmm\-yy">
                  <c:v>43101</c:v>
                </c:pt>
                <c:pt idx="7" c:formatCode="mmm\-yy">
                  <c:v>42736</c:v>
                </c:pt>
                <c:pt idx="8" c:formatCode="mmm\-yy">
                  <c:v>42370</c:v>
                </c:pt>
              </c:numCache>
            </c:numRef>
          </c:cat>
          <c:val>
            <c:numRef>
              <c:f>Лист1!$B$2:$B$10</c:f>
              <c:numCache>
                <c:formatCode>General</c:formatCode>
                <c:ptCount val="9"/>
                <c:pt idx="0">
                  <c:v>324.3</c:v>
                </c:pt>
                <c:pt idx="1">
                  <c:v>296.3</c:v>
                </c:pt>
                <c:pt idx="2">
                  <c:v>356.2</c:v>
                </c:pt>
                <c:pt idx="3">
                  <c:v>352.4</c:v>
                </c:pt>
                <c:pt idx="4">
                  <c:v>454.6</c:v>
                </c:pt>
                <c:pt idx="5">
                  <c:v>345.8</c:v>
                </c:pt>
                <c:pt idx="6">
                  <c:v>365.1</c:v>
                </c:pt>
                <c:pt idx="7">
                  <c:v>346.3</c:v>
                </c:pt>
                <c:pt idx="8">
                  <c:v>332.4</c:v>
                </c:pt>
              </c:numCache>
            </c:numRef>
          </c:val>
        </c:ser>
        <c:dLbls>
          <c:showLegendKey val="0"/>
          <c:showVal val="0"/>
          <c:showCatName val="0"/>
          <c:showSerName val="0"/>
          <c:showPercent val="0"/>
          <c:showBubbleSize val="0"/>
        </c:dLbls>
        <c:gapWidth val="219"/>
        <c:axId val="479776824"/>
        <c:axId val="479781744"/>
      </c:barChart>
      <c:lineChart>
        <c:grouping val="standard"/>
        <c:varyColors val="0"/>
        <c:ser>
          <c:idx val="1"/>
          <c:order val="1"/>
          <c:tx>
            <c:strRef>
              <c:f>Лист1!$C$1</c:f>
              <c:strCache>
                <c:ptCount val="1"/>
                <c:pt idx="0">
                  <c:v>рост</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Лист1!$A$2:$A$10</c:f>
              <c:numCache>
                <c:formatCode>mmm\-yy</c:formatCode>
                <c:ptCount val="9"/>
                <c:pt idx="0" c:formatCode="mmm\-yy">
                  <c:v>45292</c:v>
                </c:pt>
                <c:pt idx="1" c:formatCode="mmm\-yy">
                  <c:v>44927</c:v>
                </c:pt>
                <c:pt idx="2" c:formatCode="mmm\-yy">
                  <c:v>44562</c:v>
                </c:pt>
                <c:pt idx="3" c:formatCode="mmm\-yy">
                  <c:v>44197</c:v>
                </c:pt>
                <c:pt idx="4" c:formatCode="mmm\-yy">
                  <c:v>43831</c:v>
                </c:pt>
                <c:pt idx="5" c:formatCode="mmm\-yy">
                  <c:v>43466</c:v>
                </c:pt>
                <c:pt idx="6" c:formatCode="mmm\-yy">
                  <c:v>43101</c:v>
                </c:pt>
                <c:pt idx="7" c:formatCode="mmm\-yy">
                  <c:v>42736</c:v>
                </c:pt>
                <c:pt idx="8" c:formatCode="mmm\-yy">
                  <c:v>42370</c:v>
                </c:pt>
              </c:numCache>
            </c:numRef>
          </c:cat>
          <c:val>
            <c:numRef>
              <c:f>Лист1!$C$2:$C$10</c:f>
              <c:numCache>
                <c:formatCode>0.00%</c:formatCode>
                <c:ptCount val="9"/>
                <c:pt idx="0">
                  <c:v>0.094</c:v>
                </c:pt>
                <c:pt idx="1">
                  <c:v>0.0023</c:v>
                </c:pt>
                <c:pt idx="2">
                  <c:v>0.0107</c:v>
                </c:pt>
                <c:pt idx="3">
                  <c:v>0.0077</c:v>
                </c:pt>
                <c:pt idx="4">
                  <c:v>0.316</c:v>
                </c:pt>
                <c:pt idx="5">
                  <c:v>0.0094</c:v>
                </c:pt>
                <c:pt idx="6">
                  <c:v>0.054</c:v>
                </c:pt>
                <c:pt idx="7">
                  <c:v>0.042</c:v>
                </c:pt>
                <c:pt idx="8">
                  <c:v>0.303</c:v>
                </c:pt>
              </c:numCache>
            </c:numRef>
          </c:val>
          <c:smooth val="0"/>
        </c:ser>
        <c:dLbls>
          <c:showLegendKey val="0"/>
          <c:showVal val="0"/>
          <c:showCatName val="0"/>
          <c:showSerName val="0"/>
          <c:showPercent val="0"/>
          <c:showBubbleSize val="0"/>
        </c:dLbls>
        <c:marker val="0"/>
        <c:smooth val="0"/>
        <c:axId val="483075672"/>
        <c:axId val="483074688"/>
      </c:lineChart>
      <c:dateAx>
        <c:axId val="479776824"/>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479781744"/>
        <c:crosses val="autoZero"/>
        <c:auto val="1"/>
        <c:lblOffset val="100"/>
        <c:baseTimeUnit val="years"/>
      </c:dateAx>
      <c:valAx>
        <c:axId val="479781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479776824"/>
        <c:crosses val="autoZero"/>
        <c:crossBetween val="between"/>
      </c:valAx>
      <c:dateAx>
        <c:axId val="483075672"/>
        <c:scaling>
          <c:orientation val="minMax"/>
        </c:scaling>
        <c:delete val="1"/>
        <c:axPos val="b"/>
        <c:numFmt formatCode="mmm\-yy" sourceLinked="1"/>
        <c:majorTickMark val="out"/>
        <c:minorTickMark val="none"/>
        <c:tickLblPos val="nextTo"/>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483074688"/>
        <c:crosses val="autoZero"/>
        <c:auto val="1"/>
        <c:lblOffset val="100"/>
        <c:baseTimeUnit val="years"/>
      </c:dateAx>
      <c:valAx>
        <c:axId val="483074688"/>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483075672"/>
        <c:crosses val="max"/>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af0c9ec-eb93-47d4-8034-073b5f1f45c3}"/>
      </c:ext>
    </c:extLst>
  </c:chart>
  <c:spPr>
    <a:solidFill>
      <a:schemeClr val="bg1"/>
    </a:solidFill>
    <a:ln w="9525" cap="flat" cmpd="sng" algn="ctr">
      <a:solidFill>
        <a:schemeClr val="tx1">
          <a:lumMod val="15000"/>
          <a:lumOff val="85000"/>
        </a:schemeClr>
      </a:solidFill>
      <a:round/>
    </a:ln>
    <a:effectLst/>
  </c:spPr>
  <c:txPr>
    <a:bodyPr/>
    <a:lstStyle/>
    <a:p>
      <a:pPr>
        <a:defRPr lang="ru-RU"/>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3">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4">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4B83BB03-C0F1-4EF2-8E0C-7A28A71536CD}" type="doc">
      <dgm:prSet loTypeId="urn:microsoft.com/office/officeart/2005/8/layout/process4" loCatId="list" qsTypeId="urn:microsoft.com/office/officeart/2005/8/quickstyle/simple1#1" qsCatId="simple" csTypeId="urn:microsoft.com/office/officeart/2005/8/colors/accent1_2#1" csCatId="accent1" phldr="1"/>
      <dgm:spPr/>
      <dgm:t>
        <a:bodyPr/>
        <a:p>
          <a:endParaRPr lang="en-US"/>
        </a:p>
      </dgm:t>
    </dgm:pt>
    <dgm:pt modelId="{0056A250-127F-4290-88F8-D795B8235C16}">
      <dgm:prSet/>
      <dgm:spPr>
        <a:xfrm>
          <a:off x="0" y="2748032"/>
          <a:ext cx="5486400" cy="45083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p>
          <a:pPr>
            <a:buNone/>
          </a:pPr>
          <a:r>
            <a:rPr lang="ru-RU" b="0">
              <a:solidFill>
                <a:sysClr val="window" lastClr="FFFFFF"/>
              </a:solidFill>
              <a:latin typeface="Calibri" panose="020F0502020204030204"/>
              <a:ea typeface="+mn-ea"/>
              <a:cs typeface="+mn-cs"/>
            </a:rPr>
            <a:t>Просрочка обязательств</a:t>
          </a:r>
          <a:endParaRPr lang="en-US" b="0">
            <a:solidFill>
              <a:sysClr val="window" lastClr="FFFFFF"/>
            </a:solidFill>
            <a:latin typeface="Calibri" panose="020F0502020204030204"/>
            <a:ea typeface="+mn-ea"/>
            <a:cs typeface="+mn-cs"/>
          </a:endParaRPr>
        </a:p>
      </dgm:t>
    </dgm:pt>
    <dgm:pt modelId="{19B67028-2B06-4079-A843-EA56196F919A}" cxnId="{CB3625C4-911C-422B-9967-8E810A2709E6}" type="parTrans">
      <dgm:prSet/>
      <dgm:spPr/>
      <dgm:t>
        <a:bodyPr/>
        <a:p>
          <a:endParaRPr lang="en-US"/>
        </a:p>
      </dgm:t>
    </dgm:pt>
    <dgm:pt modelId="{31CDB937-59E7-4DD7-81BA-DA6C83832222}" cxnId="{CB3625C4-911C-422B-9967-8E810A2709E6}" type="sibTrans">
      <dgm:prSet/>
      <dgm:spPr/>
      <dgm:t>
        <a:bodyPr/>
        <a:p>
          <a:endParaRPr lang="en-US"/>
        </a:p>
      </dgm:t>
    </dgm:pt>
    <dgm:pt modelId="{86C94165-B3F6-414E-893A-2957D6AEDDF7}">
      <dgm:prSet/>
      <dgm:spPr>
        <a:xfrm rot="10800000">
          <a:off x="0" y="2061406"/>
          <a:ext cx="5486400" cy="693388"/>
        </a:xfrm>
        <a:prstGeom prst="upArrowCallou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p>
          <a:pPr>
            <a:buNone/>
          </a:pPr>
          <a:r>
            <a:rPr lang="ru-RU" b="0">
              <a:solidFill>
                <a:sysClr val="window" lastClr="FFFFFF"/>
              </a:solidFill>
              <a:latin typeface="Calibri" panose="020F0502020204030204"/>
              <a:ea typeface="+mn-ea"/>
              <a:cs typeface="+mn-cs"/>
            </a:rPr>
            <a:t>Нарушение денежных потоков</a:t>
          </a:r>
          <a:endParaRPr lang="en-US" b="0">
            <a:solidFill>
              <a:sysClr val="window" lastClr="FFFFFF"/>
            </a:solidFill>
            <a:latin typeface="Calibri" panose="020F0502020204030204"/>
            <a:ea typeface="+mn-ea"/>
            <a:cs typeface="+mn-cs"/>
          </a:endParaRPr>
        </a:p>
      </dgm:t>
    </dgm:pt>
    <dgm:pt modelId="{4EDC8FB7-1981-4EC6-AB97-B897FA205A61}" cxnId="{F4E8A843-4518-4318-B466-018B871AF552}" type="parTrans">
      <dgm:prSet/>
      <dgm:spPr/>
      <dgm:t>
        <a:bodyPr/>
        <a:p>
          <a:endParaRPr lang="en-US"/>
        </a:p>
      </dgm:t>
    </dgm:pt>
    <dgm:pt modelId="{9830601E-602E-4F66-AAA3-85C20C8E0695}" cxnId="{F4E8A843-4518-4318-B466-018B871AF552}" type="sibTrans">
      <dgm:prSet/>
      <dgm:spPr/>
      <dgm:t>
        <a:bodyPr/>
        <a:p>
          <a:endParaRPr lang="en-US"/>
        </a:p>
      </dgm:t>
    </dgm:pt>
    <dgm:pt modelId="{4F0CF029-5A22-4880-8910-A1B4CC0F05E7}">
      <dgm:prSet/>
      <dgm:spPr>
        <a:xfrm rot="10800000">
          <a:off x="0" y="1374781"/>
          <a:ext cx="5486400" cy="693388"/>
        </a:xfrm>
        <a:prstGeom prst="upArrowCallou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p>
          <a:pPr>
            <a:buNone/>
          </a:pPr>
          <a:r>
            <a:rPr lang="ru-RU">
              <a:solidFill>
                <a:sysClr val="window" lastClr="FFFFFF"/>
              </a:solidFill>
              <a:latin typeface="Calibri" panose="020F0502020204030204"/>
              <a:ea typeface="+mn-ea"/>
              <a:cs typeface="+mn-cs"/>
            </a:rPr>
            <a:t>Неадекватная структура финансирования</a:t>
          </a:r>
          <a:endParaRPr lang="en-US">
            <a:solidFill>
              <a:sysClr val="window" lastClr="FFFFFF"/>
            </a:solidFill>
            <a:latin typeface="Calibri" panose="020F0502020204030204"/>
            <a:ea typeface="+mn-ea"/>
            <a:cs typeface="+mn-cs"/>
          </a:endParaRPr>
        </a:p>
      </dgm:t>
    </dgm:pt>
    <dgm:pt modelId="{A4084256-3BCA-4880-AEFF-0EB58F27E4AA}" cxnId="{577851E3-AEEB-46B1-A42D-86B1E2173053}" type="sibTrans">
      <dgm:prSet/>
      <dgm:spPr/>
      <dgm:t>
        <a:bodyPr/>
        <a:p>
          <a:endParaRPr lang="en-US"/>
        </a:p>
      </dgm:t>
    </dgm:pt>
    <dgm:pt modelId="{8F3D4EA8-4778-45F5-856E-5FC8AD4E2D62}" cxnId="{577851E3-AEEB-46B1-A42D-86B1E2173053}" type="parTrans">
      <dgm:prSet/>
      <dgm:spPr/>
      <dgm:t>
        <a:bodyPr/>
        <a:p>
          <a:endParaRPr lang="en-US"/>
        </a:p>
      </dgm:t>
    </dgm:pt>
    <dgm:pt modelId="{6516A316-4BD3-457B-BEFE-2E347B969665}">
      <dgm:prSet/>
      <dgm:spPr>
        <a:xfrm rot="10800000">
          <a:off x="0" y="688155"/>
          <a:ext cx="5486400" cy="693388"/>
        </a:xfrm>
        <a:prstGeom prst="upArrowCallou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p>
          <a:pPr>
            <a:buNone/>
          </a:pPr>
          <a:r>
            <a:rPr lang="ru-RU">
              <a:solidFill>
                <a:sysClr val="window" lastClr="FFFFFF"/>
              </a:solidFill>
              <a:latin typeface="Calibri" panose="020F0502020204030204"/>
              <a:ea typeface="+mn-ea"/>
              <a:cs typeface="+mn-cs"/>
            </a:rPr>
            <a:t>Недооценка жизненного цикла заемщика</a:t>
          </a:r>
          <a:endParaRPr lang="en-US">
            <a:solidFill>
              <a:sysClr val="window" lastClr="FFFFFF"/>
            </a:solidFill>
            <a:latin typeface="Calibri" panose="020F0502020204030204"/>
            <a:ea typeface="+mn-ea"/>
            <a:cs typeface="+mn-cs"/>
          </a:endParaRPr>
        </a:p>
      </dgm:t>
    </dgm:pt>
    <dgm:pt modelId="{60989DC8-0806-40EB-B963-95D3C400A430}" cxnId="{EFB6E627-5297-4B5C-8B6A-D1E5C14F2625}" type="parTrans">
      <dgm:prSet/>
      <dgm:spPr/>
      <dgm:t>
        <a:bodyPr/>
        <a:p>
          <a:endParaRPr lang="en-US"/>
        </a:p>
      </dgm:t>
    </dgm:pt>
    <dgm:pt modelId="{8A7CF13F-A619-46E8-8123-8ABB2A100161}" cxnId="{EFB6E627-5297-4B5C-8B6A-D1E5C14F2625}" type="sibTrans">
      <dgm:prSet/>
      <dgm:spPr/>
      <dgm:t>
        <a:bodyPr/>
        <a:p>
          <a:endParaRPr lang="en-US"/>
        </a:p>
      </dgm:t>
    </dgm:pt>
    <dgm:pt modelId="{A9F45E0C-6D5F-425F-A16E-553DC0DBB1D4}">
      <dgm:prSet/>
      <dgm:spPr>
        <a:xfrm rot="10800000">
          <a:off x="0" y="1529"/>
          <a:ext cx="5486400" cy="693388"/>
        </a:xfrm>
        <a:prstGeom prst="upArrowCallou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p>
          <a:pPr>
            <a:buNone/>
          </a:pPr>
          <a:r>
            <a:rPr lang="ru-RU">
              <a:solidFill>
                <a:sysClr val="window" lastClr="FFFFFF"/>
              </a:solidFill>
              <a:latin typeface="Calibri" panose="020F0502020204030204"/>
              <a:ea typeface="+mn-ea"/>
              <a:cs typeface="+mn-cs"/>
            </a:rPr>
            <a:t>Отсутствие проектного подхода</a:t>
          </a:r>
          <a:endParaRPr lang="en-US">
            <a:solidFill>
              <a:sysClr val="window" lastClr="FFFFFF"/>
            </a:solidFill>
            <a:latin typeface="Calibri" panose="020F0502020204030204"/>
            <a:ea typeface="+mn-ea"/>
            <a:cs typeface="+mn-cs"/>
          </a:endParaRPr>
        </a:p>
      </dgm:t>
    </dgm:pt>
    <dgm:pt modelId="{C0349F3F-79F5-4699-8653-C15314958B0F}" cxnId="{75B9C47B-F36D-4299-B863-D0A359CF597A}" type="parTrans">
      <dgm:prSet/>
      <dgm:spPr/>
      <dgm:t>
        <a:bodyPr/>
        <a:p>
          <a:endParaRPr lang="en-US"/>
        </a:p>
      </dgm:t>
    </dgm:pt>
    <dgm:pt modelId="{BDDF3475-00A9-4897-9D15-4E00EE488E7C}" cxnId="{75B9C47B-F36D-4299-B863-D0A359CF597A}" type="sibTrans">
      <dgm:prSet/>
      <dgm:spPr/>
      <dgm:t>
        <a:bodyPr/>
        <a:p>
          <a:endParaRPr lang="en-US"/>
        </a:p>
      </dgm:t>
    </dgm:pt>
    <dgm:pt modelId="{8CBEEF85-FA8C-4059-AEB5-72A7D0954FE0}">
      <dgm:prSet/>
      <dgm:spPr/>
      <dgm:t>
        <a:bodyPr/>
        <a:p>
          <a:pPr>
            <a:buNone/>
          </a:pPr>
          <a:r>
            <a:rPr lang="en-US"/>
            <a:t>Проблемные активы</a:t>
          </a:r>
        </a:p>
      </dgm:t>
    </dgm:pt>
    <dgm:pt modelId="{9BAA776B-D768-4D14-A390-0DEE85FE79ED}" cxnId="{B0815DFE-DE54-417F-9A09-4FB15AAAD691}" type="parTrans">
      <dgm:prSet/>
      <dgm:spPr/>
      <dgm:t>
        <a:bodyPr/>
        <a:p>
          <a:endParaRPr lang="en-US"/>
        </a:p>
      </dgm:t>
    </dgm:pt>
    <dgm:pt modelId="{9E0F3FC4-2150-423D-96F5-1F7D8B8F9836}" cxnId="{B0815DFE-DE54-417F-9A09-4FB15AAAD691}" type="sibTrans">
      <dgm:prSet/>
      <dgm:spPr/>
      <dgm:t>
        <a:bodyPr/>
        <a:p>
          <a:endParaRPr lang="en-US"/>
        </a:p>
      </dgm:t>
    </dgm:pt>
    <dgm:pt modelId="{2C1F55A9-49A6-49C1-A469-B2F99C8F265F}">
      <dgm:prSet/>
      <dgm:spPr/>
      <dgm:t>
        <a:bodyPr/>
        <a:p>
          <a:pPr>
            <a:buNone/>
          </a:pPr>
          <a:r>
            <a:rPr lang="ru-RU" b="0">
              <a:solidFill>
                <a:sysClr val="window" lastClr="FFFFFF"/>
              </a:solidFill>
              <a:latin typeface="Calibri" panose="020F0502020204030204"/>
              <a:ea typeface="+mn-ea"/>
              <a:cs typeface="+mn-cs"/>
            </a:rPr>
            <a:t>Реструктуризация / Взыскание</a:t>
          </a:r>
          <a:endParaRPr lang="en-US" b="0">
            <a:solidFill>
              <a:sysClr val="window" lastClr="FFFFFF"/>
            </a:solidFill>
            <a:latin typeface="Calibri" panose="020F0502020204030204"/>
            <a:ea typeface="+mn-ea"/>
            <a:cs typeface="+mn-cs"/>
          </a:endParaRPr>
        </a:p>
      </dgm:t>
    </dgm:pt>
    <dgm:pt modelId="{20DA0B15-BC7C-46A7-84F1-89F341C45F88}" cxnId="{A822A655-FC0E-4EE8-9A9F-A387971C2C41}" type="parTrans">
      <dgm:prSet/>
      <dgm:spPr/>
      <dgm:t>
        <a:bodyPr/>
        <a:p>
          <a:endParaRPr lang="en-US"/>
        </a:p>
      </dgm:t>
    </dgm:pt>
    <dgm:pt modelId="{A672FB8F-4C6E-4CC0-8ECF-FFC541AE7090}" cxnId="{A822A655-FC0E-4EE8-9A9F-A387971C2C41}" type="sibTrans">
      <dgm:prSet/>
      <dgm:spPr/>
      <dgm:t>
        <a:bodyPr/>
        <a:p>
          <a:endParaRPr lang="en-US"/>
        </a:p>
      </dgm:t>
    </dgm:pt>
    <dgm:pt modelId="{03DE1DB6-6FF3-4D1E-83F3-590E47CB7335}" type="pres">
      <dgm:prSet presAssocID="{4B83BB03-C0F1-4EF2-8E0C-7A28A71536CD}" presName="Name0" presStyleCnt="0">
        <dgm:presLayoutVars>
          <dgm:dir/>
          <dgm:animLvl val="lvl"/>
          <dgm:resizeHandles val="exact"/>
        </dgm:presLayoutVars>
      </dgm:prSet>
      <dgm:spPr/>
    </dgm:pt>
    <dgm:pt modelId="{F7E088EF-B380-4106-8841-F78D268C4490}" type="pres">
      <dgm:prSet presAssocID="{8CBEEF85-FA8C-4059-AEB5-72A7D0954FE0}" presName="boxAndChildren" presStyleCnt="0"/>
      <dgm:spPr/>
    </dgm:pt>
    <dgm:pt modelId="{1302CE62-C3A0-4C8A-92A9-F3A3DE35A537}" type="pres">
      <dgm:prSet presAssocID="{8CBEEF85-FA8C-4059-AEB5-72A7D0954FE0}" presName="parentTextBox" presStyleLbl="node1" presStyleIdx="0" presStyleCnt="7"/>
      <dgm:spPr/>
    </dgm:pt>
    <dgm:pt modelId="{D0AB0F17-8BEE-4DBD-A07C-D34015504C40}" type="pres">
      <dgm:prSet presAssocID="{A672FB8F-4C6E-4CC0-8ECF-FFC541AE7090}" presName="sp" presStyleCnt="0"/>
      <dgm:spPr/>
    </dgm:pt>
    <dgm:pt modelId="{E59D800A-4EEB-4AB6-9A61-E49442D6EBAB}" type="pres">
      <dgm:prSet presAssocID="{2C1F55A9-49A6-49C1-A469-B2F99C8F265F}" presName="arrowAndChildren" presStyleCnt="0"/>
      <dgm:spPr/>
    </dgm:pt>
    <dgm:pt modelId="{DD9C1480-A134-47F3-B074-1569A249808A}" type="pres">
      <dgm:prSet presAssocID="{2C1F55A9-49A6-49C1-A469-B2F99C8F265F}" presName="parentTextArrow" presStyleLbl="node1" presStyleIdx="1" presStyleCnt="7"/>
      <dgm:spPr/>
    </dgm:pt>
    <dgm:pt modelId="{E1F646A8-BD11-402D-B7B4-26DF8C9C6F04}" type="pres">
      <dgm:prSet presAssocID="{31CDB937-59E7-4DD7-81BA-DA6C83832222}" presName="sp" presStyleCnt="0"/>
      <dgm:spPr/>
    </dgm:pt>
    <dgm:pt modelId="{7667F9FA-A7A1-48C3-848E-2B0083C3CB5A}" type="pres">
      <dgm:prSet presAssocID="{0056A250-127F-4290-88F8-D795B8235C16}" presName="arrowAndChildren" presStyleCnt="0"/>
      <dgm:spPr/>
    </dgm:pt>
    <dgm:pt modelId="{1161926F-0C3D-4D45-90ED-8A40DA6C331E}" type="pres">
      <dgm:prSet presAssocID="{0056A250-127F-4290-88F8-D795B8235C16}" presName="parentTextArrow" presStyleLbl="node1" presStyleIdx="2" presStyleCnt="7"/>
      <dgm:spPr/>
    </dgm:pt>
    <dgm:pt modelId="{1C1F1A0C-4C85-470C-84F5-9E451315BF18}" type="pres">
      <dgm:prSet presAssocID="{9830601E-602E-4F66-AAA3-85C20C8E0695}" presName="sp" presStyleCnt="0"/>
      <dgm:spPr/>
    </dgm:pt>
    <dgm:pt modelId="{AD79B0D3-B8B7-4F93-BF6B-CE49B96C0DCD}" type="pres">
      <dgm:prSet presAssocID="{86C94165-B3F6-414E-893A-2957D6AEDDF7}" presName="arrowAndChildren" presStyleCnt="0"/>
      <dgm:spPr/>
    </dgm:pt>
    <dgm:pt modelId="{BA44BBF5-28E1-4CB9-BB37-2A24DE084AB3}" type="pres">
      <dgm:prSet presAssocID="{86C94165-B3F6-414E-893A-2957D6AEDDF7}" presName="parentTextArrow" presStyleLbl="node1" presStyleIdx="3" presStyleCnt="7"/>
      <dgm:spPr/>
    </dgm:pt>
    <dgm:pt modelId="{BD459B3F-2B0B-43DF-B273-1B89DF38C2B4}" type="pres">
      <dgm:prSet presAssocID="{A4084256-3BCA-4880-AEFF-0EB58F27E4AA}" presName="sp" presStyleCnt="0"/>
      <dgm:spPr/>
    </dgm:pt>
    <dgm:pt modelId="{8CD01D6D-5654-4871-BEEE-D592E9607E89}" type="pres">
      <dgm:prSet presAssocID="{4F0CF029-5A22-4880-8910-A1B4CC0F05E7}" presName="arrowAndChildren" presStyleCnt="0"/>
      <dgm:spPr/>
    </dgm:pt>
    <dgm:pt modelId="{DBC2E732-93A1-48D5-AEDB-A3F9394C1BE7}" type="pres">
      <dgm:prSet presAssocID="{4F0CF029-5A22-4880-8910-A1B4CC0F05E7}" presName="parentTextArrow" presStyleLbl="node1" presStyleIdx="4" presStyleCnt="7"/>
      <dgm:spPr/>
    </dgm:pt>
    <dgm:pt modelId="{EE9207AA-3C17-40C2-BC8A-272DF039A321}" type="pres">
      <dgm:prSet presAssocID="{8A7CF13F-A619-46E8-8123-8ABB2A100161}" presName="sp" presStyleCnt="0"/>
      <dgm:spPr/>
    </dgm:pt>
    <dgm:pt modelId="{6C3F3C50-A082-4D5F-8E2C-259C3CE9224C}" type="pres">
      <dgm:prSet presAssocID="{6516A316-4BD3-457B-BEFE-2E347B969665}" presName="arrowAndChildren" presStyleCnt="0"/>
      <dgm:spPr/>
    </dgm:pt>
    <dgm:pt modelId="{F074A6B0-C346-4988-A654-7A607571BE77}" type="pres">
      <dgm:prSet presAssocID="{6516A316-4BD3-457B-BEFE-2E347B969665}" presName="parentTextArrow" presStyleLbl="node1" presStyleIdx="5" presStyleCnt="7"/>
      <dgm:spPr/>
    </dgm:pt>
    <dgm:pt modelId="{91A492BC-BD05-4A4F-B020-38C2B71B89ED}" type="pres">
      <dgm:prSet presAssocID="{BDDF3475-00A9-4897-9D15-4E00EE488E7C}" presName="sp" presStyleCnt="0"/>
      <dgm:spPr/>
    </dgm:pt>
    <dgm:pt modelId="{C88B7A09-8B69-4D89-B646-DCD9C5465BE3}" type="pres">
      <dgm:prSet presAssocID="{A9F45E0C-6D5F-425F-A16E-553DC0DBB1D4}" presName="arrowAndChildren" presStyleCnt="0"/>
      <dgm:spPr/>
    </dgm:pt>
    <dgm:pt modelId="{4CED0C03-2A98-4E25-BF42-9C9D03775E68}" type="pres">
      <dgm:prSet presAssocID="{A9F45E0C-6D5F-425F-A16E-553DC0DBB1D4}" presName="parentTextArrow" presStyleLbl="node1" presStyleIdx="6" presStyleCnt="7"/>
      <dgm:spPr/>
    </dgm:pt>
  </dgm:ptLst>
  <dgm:cxnLst>
    <dgm:cxn modelId="{EFB6E627-5297-4B5C-8B6A-D1E5C14F2625}" srcId="{4B83BB03-C0F1-4EF2-8E0C-7A28A71536CD}" destId="{6516A316-4BD3-457B-BEFE-2E347B969665}" srcOrd="1" destOrd="0" parTransId="{60989DC8-0806-40EB-B963-95D3C400A430}" sibTransId="{8A7CF13F-A619-46E8-8123-8ABB2A100161}"/>
    <dgm:cxn modelId="{13FD4A33-8BF5-4653-96FD-32EBA47C796C}" type="presOf" srcId="{86C94165-B3F6-414E-893A-2957D6AEDDF7}" destId="{BA44BBF5-28E1-4CB9-BB37-2A24DE084AB3}" srcOrd="0" destOrd="0" presId="urn:microsoft.com/office/officeart/2005/8/layout/process4"/>
    <dgm:cxn modelId="{FB6A1034-9916-4D22-AC03-3E37B58C2B6E}" type="presOf" srcId="{2C1F55A9-49A6-49C1-A469-B2F99C8F265F}" destId="{DD9C1480-A134-47F3-B074-1569A249808A}" srcOrd="0" destOrd="0" presId="urn:microsoft.com/office/officeart/2005/8/layout/process4"/>
    <dgm:cxn modelId="{F4E8A843-4518-4318-B466-018B871AF552}" srcId="{4B83BB03-C0F1-4EF2-8E0C-7A28A71536CD}" destId="{86C94165-B3F6-414E-893A-2957D6AEDDF7}" srcOrd="3" destOrd="0" parTransId="{4EDC8FB7-1981-4EC6-AB97-B897FA205A61}" sibTransId="{9830601E-602E-4F66-AAA3-85C20C8E0695}"/>
    <dgm:cxn modelId="{78C77F64-625A-403A-8CC5-B68A32C92030}" type="presOf" srcId="{4F0CF029-5A22-4880-8910-A1B4CC0F05E7}" destId="{DBC2E732-93A1-48D5-AEDB-A3F9394C1BE7}" srcOrd="0" destOrd="0" presId="urn:microsoft.com/office/officeart/2005/8/layout/process4"/>
    <dgm:cxn modelId="{3DFDCF6C-6CA1-4501-B351-540860E0B123}" type="presOf" srcId="{A9F45E0C-6D5F-425F-A16E-553DC0DBB1D4}" destId="{4CED0C03-2A98-4E25-BF42-9C9D03775E68}" srcOrd="0" destOrd="0" presId="urn:microsoft.com/office/officeart/2005/8/layout/process4"/>
    <dgm:cxn modelId="{A822A655-FC0E-4EE8-9A9F-A387971C2C41}" srcId="{4B83BB03-C0F1-4EF2-8E0C-7A28A71536CD}" destId="{2C1F55A9-49A6-49C1-A469-B2F99C8F265F}" srcOrd="5" destOrd="0" parTransId="{20DA0B15-BC7C-46A7-84F1-89F341C45F88}" sibTransId="{A672FB8F-4C6E-4CC0-8ECF-FFC541AE7090}"/>
    <dgm:cxn modelId="{75B9C47B-F36D-4299-B863-D0A359CF597A}" srcId="{4B83BB03-C0F1-4EF2-8E0C-7A28A71536CD}" destId="{A9F45E0C-6D5F-425F-A16E-553DC0DBB1D4}" srcOrd="0" destOrd="0" parTransId="{C0349F3F-79F5-4699-8653-C15314958B0F}" sibTransId="{BDDF3475-00A9-4897-9D15-4E00EE488E7C}"/>
    <dgm:cxn modelId="{BA14A07F-6D41-43EE-A705-EC374ACC5689}" type="presOf" srcId="{4B83BB03-C0F1-4EF2-8E0C-7A28A71536CD}" destId="{03DE1DB6-6FF3-4D1E-83F3-590E47CB7335}" srcOrd="0" destOrd="0" presId="urn:microsoft.com/office/officeart/2005/8/layout/process4"/>
    <dgm:cxn modelId="{62770892-1A58-4925-A1B3-982C84DAF37A}" type="presOf" srcId="{6516A316-4BD3-457B-BEFE-2E347B969665}" destId="{F074A6B0-C346-4988-A654-7A607571BE77}" srcOrd="0" destOrd="0" presId="urn:microsoft.com/office/officeart/2005/8/layout/process4"/>
    <dgm:cxn modelId="{637848B3-1C0F-49CE-A7BD-96362C679223}" type="presOf" srcId="{8CBEEF85-FA8C-4059-AEB5-72A7D0954FE0}" destId="{1302CE62-C3A0-4C8A-92A9-F3A3DE35A537}" srcOrd="0" destOrd="0" presId="urn:microsoft.com/office/officeart/2005/8/layout/process4"/>
    <dgm:cxn modelId="{D023F9C1-A05B-4338-BDCF-7102EF9C8BD5}" type="presOf" srcId="{0056A250-127F-4290-88F8-D795B8235C16}" destId="{1161926F-0C3D-4D45-90ED-8A40DA6C331E}" srcOrd="0" destOrd="0" presId="urn:microsoft.com/office/officeart/2005/8/layout/process4"/>
    <dgm:cxn modelId="{CB3625C4-911C-422B-9967-8E810A2709E6}" srcId="{4B83BB03-C0F1-4EF2-8E0C-7A28A71536CD}" destId="{0056A250-127F-4290-88F8-D795B8235C16}" srcOrd="4" destOrd="0" parTransId="{19B67028-2B06-4079-A843-EA56196F919A}" sibTransId="{31CDB937-59E7-4DD7-81BA-DA6C83832222}"/>
    <dgm:cxn modelId="{577851E3-AEEB-46B1-A42D-86B1E2173053}" srcId="{4B83BB03-C0F1-4EF2-8E0C-7A28A71536CD}" destId="{4F0CF029-5A22-4880-8910-A1B4CC0F05E7}" srcOrd="2" destOrd="0" parTransId="{8F3D4EA8-4778-45F5-856E-5FC8AD4E2D62}" sibTransId="{A4084256-3BCA-4880-AEFF-0EB58F27E4AA}"/>
    <dgm:cxn modelId="{B0815DFE-DE54-417F-9A09-4FB15AAAD691}" srcId="{4B83BB03-C0F1-4EF2-8E0C-7A28A71536CD}" destId="{8CBEEF85-FA8C-4059-AEB5-72A7D0954FE0}" srcOrd="6" destOrd="0" parTransId="{9BAA776B-D768-4D14-A390-0DEE85FE79ED}" sibTransId="{9E0F3FC4-2150-423D-96F5-1F7D8B8F9836}"/>
    <dgm:cxn modelId="{3BDEE892-0CBF-42B4-892A-D58815985401}" type="presParOf" srcId="{03DE1DB6-6FF3-4D1E-83F3-590E47CB7335}" destId="{F7E088EF-B380-4106-8841-F78D268C4490}" srcOrd="0" destOrd="0" presId="urn:microsoft.com/office/officeart/2005/8/layout/process4"/>
    <dgm:cxn modelId="{993398C2-3B8F-4A51-81B5-936F4B6AD226}" type="presParOf" srcId="{F7E088EF-B380-4106-8841-F78D268C4490}" destId="{1302CE62-C3A0-4C8A-92A9-F3A3DE35A537}" srcOrd="0" destOrd="0" presId="urn:microsoft.com/office/officeart/2005/8/layout/process4"/>
    <dgm:cxn modelId="{7639E761-6AD7-4457-A333-12FC7C0F5BEE}" type="presParOf" srcId="{03DE1DB6-6FF3-4D1E-83F3-590E47CB7335}" destId="{D0AB0F17-8BEE-4DBD-A07C-D34015504C40}" srcOrd="1" destOrd="0" presId="urn:microsoft.com/office/officeart/2005/8/layout/process4"/>
    <dgm:cxn modelId="{05AEF059-2F7D-4AD6-85D5-032A21CE795C}" type="presParOf" srcId="{03DE1DB6-6FF3-4D1E-83F3-590E47CB7335}" destId="{E59D800A-4EEB-4AB6-9A61-E49442D6EBAB}" srcOrd="2" destOrd="0" presId="urn:microsoft.com/office/officeart/2005/8/layout/process4"/>
    <dgm:cxn modelId="{87B68C48-6680-4E88-B04C-58F4F6630168}" type="presParOf" srcId="{E59D800A-4EEB-4AB6-9A61-E49442D6EBAB}" destId="{DD9C1480-A134-47F3-B074-1569A249808A}" srcOrd="0" destOrd="0" presId="urn:microsoft.com/office/officeart/2005/8/layout/process4"/>
    <dgm:cxn modelId="{48815D07-70F0-4DB7-A849-096D9ABB467C}" type="presParOf" srcId="{03DE1DB6-6FF3-4D1E-83F3-590E47CB7335}" destId="{E1F646A8-BD11-402D-B7B4-26DF8C9C6F04}" srcOrd="3" destOrd="0" presId="urn:microsoft.com/office/officeart/2005/8/layout/process4"/>
    <dgm:cxn modelId="{15ABE941-8133-45BE-B4C3-4BDA276319E1}" type="presParOf" srcId="{03DE1DB6-6FF3-4D1E-83F3-590E47CB7335}" destId="{7667F9FA-A7A1-48C3-848E-2B0083C3CB5A}" srcOrd="4" destOrd="0" presId="urn:microsoft.com/office/officeart/2005/8/layout/process4"/>
    <dgm:cxn modelId="{8946E3D2-E26F-4104-A5DE-4226A7C2DC57}" type="presParOf" srcId="{7667F9FA-A7A1-48C3-848E-2B0083C3CB5A}" destId="{1161926F-0C3D-4D45-90ED-8A40DA6C331E}" srcOrd="0" destOrd="0" presId="urn:microsoft.com/office/officeart/2005/8/layout/process4"/>
    <dgm:cxn modelId="{F45C2FE2-2297-4354-864F-E44FC881F2C6}" type="presParOf" srcId="{03DE1DB6-6FF3-4D1E-83F3-590E47CB7335}" destId="{1C1F1A0C-4C85-470C-84F5-9E451315BF18}" srcOrd="5" destOrd="0" presId="urn:microsoft.com/office/officeart/2005/8/layout/process4"/>
    <dgm:cxn modelId="{3E084D0F-812D-4F7C-9C7E-5FD4F3F26626}" type="presParOf" srcId="{03DE1DB6-6FF3-4D1E-83F3-590E47CB7335}" destId="{AD79B0D3-B8B7-4F93-BF6B-CE49B96C0DCD}" srcOrd="6" destOrd="0" presId="urn:microsoft.com/office/officeart/2005/8/layout/process4"/>
    <dgm:cxn modelId="{5D10E04C-D04B-4F65-AFD7-76FD6314FEAF}" type="presParOf" srcId="{AD79B0D3-B8B7-4F93-BF6B-CE49B96C0DCD}" destId="{BA44BBF5-28E1-4CB9-BB37-2A24DE084AB3}" srcOrd="0" destOrd="0" presId="urn:microsoft.com/office/officeart/2005/8/layout/process4"/>
    <dgm:cxn modelId="{91232020-E9C0-4EBB-AE30-82BB5925E2A6}" type="presParOf" srcId="{03DE1DB6-6FF3-4D1E-83F3-590E47CB7335}" destId="{BD459B3F-2B0B-43DF-B273-1B89DF38C2B4}" srcOrd="7" destOrd="0" presId="urn:microsoft.com/office/officeart/2005/8/layout/process4"/>
    <dgm:cxn modelId="{962D6D8F-490A-447F-BD31-0D57E8707B06}" type="presParOf" srcId="{03DE1DB6-6FF3-4D1E-83F3-590E47CB7335}" destId="{8CD01D6D-5654-4871-BEEE-D592E9607E89}" srcOrd="8" destOrd="0" presId="urn:microsoft.com/office/officeart/2005/8/layout/process4"/>
    <dgm:cxn modelId="{9AE35229-1D54-410C-81B3-CED4AD39305A}" type="presParOf" srcId="{8CD01D6D-5654-4871-BEEE-D592E9607E89}" destId="{DBC2E732-93A1-48D5-AEDB-A3F9394C1BE7}" srcOrd="0" destOrd="0" presId="urn:microsoft.com/office/officeart/2005/8/layout/process4"/>
    <dgm:cxn modelId="{5CEF7FA1-4461-4289-AE2C-AFB7533D6539}" type="presParOf" srcId="{03DE1DB6-6FF3-4D1E-83F3-590E47CB7335}" destId="{EE9207AA-3C17-40C2-BC8A-272DF039A321}" srcOrd="9" destOrd="0" presId="urn:microsoft.com/office/officeart/2005/8/layout/process4"/>
    <dgm:cxn modelId="{6255BB3C-65E3-47BF-A970-E31E54A2C7D9}" type="presParOf" srcId="{03DE1DB6-6FF3-4D1E-83F3-590E47CB7335}" destId="{6C3F3C50-A082-4D5F-8E2C-259C3CE9224C}" srcOrd="10" destOrd="0" presId="urn:microsoft.com/office/officeart/2005/8/layout/process4"/>
    <dgm:cxn modelId="{9C016F0D-8B52-4BA8-87AF-E21D47A00F2A}" type="presParOf" srcId="{6C3F3C50-A082-4D5F-8E2C-259C3CE9224C}" destId="{F074A6B0-C346-4988-A654-7A607571BE77}" srcOrd="0" destOrd="0" presId="urn:microsoft.com/office/officeart/2005/8/layout/process4"/>
    <dgm:cxn modelId="{D0F06F26-65DA-42BA-A338-B563AC1F1B53}" type="presParOf" srcId="{03DE1DB6-6FF3-4D1E-83F3-590E47CB7335}" destId="{91A492BC-BD05-4A4F-B020-38C2B71B89ED}" srcOrd="11" destOrd="0" presId="urn:microsoft.com/office/officeart/2005/8/layout/process4"/>
    <dgm:cxn modelId="{A03A62A4-2703-4BBF-8B3F-05239080B1E1}" type="presParOf" srcId="{03DE1DB6-6FF3-4D1E-83F3-590E47CB7335}" destId="{C88B7A09-8B69-4D89-B646-DCD9C5465BE3}" srcOrd="12" destOrd="0" presId="urn:microsoft.com/office/officeart/2005/8/layout/process4"/>
    <dgm:cxn modelId="{2062B341-516A-4EDC-B580-2111813204F4}" type="presParOf" srcId="{C88B7A09-8B69-4D89-B646-DCD9C5465BE3}" destId="{4CED0C03-2A98-4E25-BF42-9C9D03775E68}" srcOrd="0" destOrd="0" presId="urn:microsoft.com/office/officeart/2005/8/layout/process4"/>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B83BB03-C0F1-4EF2-8E0C-7A28A71536CD}" type="doc">
      <dgm:prSet loTypeId="urn:microsoft.com/office/officeart/2005/8/layout/process4" loCatId="list" qsTypeId="urn:microsoft.com/office/officeart/2005/8/quickstyle/simple1#2" qsCatId="simple" csTypeId="urn:microsoft.com/office/officeart/2005/8/colors/accent1_2#2" csCatId="accent1" phldr="1"/>
      <dgm:spPr/>
      <dgm:t>
        <a:bodyPr/>
        <a:p>
          <a:endParaRPr lang="en-US"/>
        </a:p>
      </dgm:t>
    </dgm:pt>
    <dgm:pt modelId="{0056A250-127F-4290-88F8-D795B8235C16}">
      <dgm:prSet/>
      <dgm:spPr/>
      <dgm:t>
        <a:bodyPr/>
        <a:p>
          <a:pPr>
            <a:buNone/>
          </a:pPr>
          <a:r>
            <a:rPr lang="ru-RU" b="0"/>
            <a:t>Списание / Ликвидация</a:t>
          </a:r>
          <a:endParaRPr lang="en-US" b="0"/>
        </a:p>
      </dgm:t>
    </dgm:pt>
    <dgm:pt modelId="{19B67028-2B06-4079-A843-EA56196F919A}" cxnId="{CB3625C4-911C-422B-9967-8E810A2709E6}" type="parTrans">
      <dgm:prSet/>
      <dgm:spPr/>
      <dgm:t>
        <a:bodyPr/>
        <a:p>
          <a:endParaRPr lang="en-US"/>
        </a:p>
      </dgm:t>
    </dgm:pt>
    <dgm:pt modelId="{31CDB937-59E7-4DD7-81BA-DA6C83832222}" cxnId="{CB3625C4-911C-422B-9967-8E810A2709E6}" type="sibTrans">
      <dgm:prSet/>
      <dgm:spPr/>
      <dgm:t>
        <a:bodyPr/>
        <a:p>
          <a:endParaRPr lang="en-US"/>
        </a:p>
      </dgm:t>
    </dgm:pt>
    <dgm:pt modelId="{86C94165-B3F6-414E-893A-2957D6AEDDF7}">
      <dgm:prSet/>
      <dgm:spPr/>
      <dgm:t>
        <a:bodyPr/>
        <a:p>
          <a:pPr>
            <a:buNone/>
          </a:pPr>
          <a:r>
            <a:rPr lang="ru-RU" b="0"/>
            <a:t>Реструктуризация / Взыскание</a:t>
          </a:r>
          <a:endParaRPr lang="en-US" b="0"/>
        </a:p>
      </dgm:t>
    </dgm:pt>
    <dgm:pt modelId="{4EDC8FB7-1981-4EC6-AB97-B897FA205A61}" cxnId="{F4E8A843-4518-4318-B466-018B871AF552}" type="parTrans">
      <dgm:prSet/>
      <dgm:spPr/>
      <dgm:t>
        <a:bodyPr/>
        <a:p>
          <a:endParaRPr lang="en-US"/>
        </a:p>
      </dgm:t>
    </dgm:pt>
    <dgm:pt modelId="{9830601E-602E-4F66-AAA3-85C20C8E0695}" cxnId="{F4E8A843-4518-4318-B466-018B871AF552}" type="sibTrans">
      <dgm:prSet/>
      <dgm:spPr/>
      <dgm:t>
        <a:bodyPr/>
        <a:p>
          <a:endParaRPr lang="en-US"/>
        </a:p>
      </dgm:t>
    </dgm:pt>
    <dgm:pt modelId="{4F0CF029-5A22-4880-8910-A1B4CC0F05E7}">
      <dgm:prSet/>
      <dgm:spPr/>
      <dgm:t>
        <a:bodyPr/>
        <a:p>
          <a:pPr>
            <a:buNone/>
          </a:pPr>
          <a:r>
            <a:rPr lang="ru-RU"/>
            <a:t>Резервирование</a:t>
          </a:r>
          <a:endParaRPr lang="en-US"/>
        </a:p>
      </dgm:t>
    </dgm:pt>
    <dgm:pt modelId="{A4084256-3BCA-4880-AEFF-0EB58F27E4AA}" cxnId="{577851E3-AEEB-46B1-A42D-86B1E2173053}" type="sibTrans">
      <dgm:prSet/>
      <dgm:spPr/>
      <dgm:t>
        <a:bodyPr/>
        <a:p>
          <a:endParaRPr lang="en-US"/>
        </a:p>
      </dgm:t>
    </dgm:pt>
    <dgm:pt modelId="{8F3D4EA8-4778-45F5-856E-5FC8AD4E2D62}" cxnId="{577851E3-AEEB-46B1-A42D-86B1E2173053}" type="parTrans">
      <dgm:prSet/>
      <dgm:spPr/>
      <dgm:t>
        <a:bodyPr/>
        <a:p>
          <a:endParaRPr lang="en-US"/>
        </a:p>
      </dgm:t>
    </dgm:pt>
    <dgm:pt modelId="{6516A316-4BD3-457B-BEFE-2E347B969665}">
      <dgm:prSet/>
      <dgm:spPr/>
      <dgm:t>
        <a:bodyPr/>
        <a:p>
          <a:pPr>
            <a:buNone/>
          </a:pPr>
          <a:r>
            <a:rPr lang="ru-RU"/>
            <a:t>Классификация</a:t>
          </a:r>
          <a:endParaRPr lang="en-US"/>
        </a:p>
      </dgm:t>
    </dgm:pt>
    <dgm:pt modelId="{60989DC8-0806-40EB-B963-95D3C400A430}" cxnId="{EFB6E627-5297-4B5C-8B6A-D1E5C14F2625}" type="parTrans">
      <dgm:prSet/>
      <dgm:spPr/>
      <dgm:t>
        <a:bodyPr/>
        <a:p>
          <a:endParaRPr lang="en-US"/>
        </a:p>
      </dgm:t>
    </dgm:pt>
    <dgm:pt modelId="{8A7CF13F-A619-46E8-8123-8ABB2A100161}" cxnId="{EFB6E627-5297-4B5C-8B6A-D1E5C14F2625}" type="sibTrans">
      <dgm:prSet/>
      <dgm:spPr/>
      <dgm:t>
        <a:bodyPr/>
        <a:p>
          <a:endParaRPr lang="en-US"/>
        </a:p>
      </dgm:t>
    </dgm:pt>
    <dgm:pt modelId="{A9F45E0C-6D5F-425F-A16E-553DC0DBB1D4}">
      <dgm:prSet/>
      <dgm:spPr/>
      <dgm:t>
        <a:bodyPr/>
        <a:p>
          <a:pPr>
            <a:buNone/>
          </a:pPr>
          <a:r>
            <a:rPr lang="ru-RU"/>
            <a:t>Просрочка</a:t>
          </a:r>
          <a:endParaRPr lang="en-US"/>
        </a:p>
      </dgm:t>
    </dgm:pt>
    <dgm:pt modelId="{C0349F3F-79F5-4699-8653-C15314958B0F}" cxnId="{75B9C47B-F36D-4299-B863-D0A359CF597A}" type="parTrans">
      <dgm:prSet/>
      <dgm:spPr/>
      <dgm:t>
        <a:bodyPr/>
        <a:p>
          <a:endParaRPr lang="en-US"/>
        </a:p>
      </dgm:t>
    </dgm:pt>
    <dgm:pt modelId="{BDDF3475-00A9-4897-9D15-4E00EE488E7C}" cxnId="{75B9C47B-F36D-4299-B863-D0A359CF597A}" type="sibTrans">
      <dgm:prSet/>
      <dgm:spPr/>
      <dgm:t>
        <a:bodyPr/>
        <a:p>
          <a:endParaRPr lang="en-US"/>
        </a:p>
      </dgm:t>
    </dgm:pt>
    <dgm:pt modelId="{03DE1DB6-6FF3-4D1E-83F3-590E47CB7335}" type="pres">
      <dgm:prSet presAssocID="{4B83BB03-C0F1-4EF2-8E0C-7A28A71536CD}" presName="Name0" presStyleCnt="0">
        <dgm:presLayoutVars>
          <dgm:dir/>
          <dgm:animLvl val="lvl"/>
          <dgm:resizeHandles val="exact"/>
        </dgm:presLayoutVars>
      </dgm:prSet>
      <dgm:spPr/>
    </dgm:pt>
    <dgm:pt modelId="{1BFB23DD-918E-41FF-BBC6-D4BC23CA7B2E}" type="pres">
      <dgm:prSet presAssocID="{0056A250-127F-4290-88F8-D795B8235C16}" presName="boxAndChildren" presStyleCnt="0"/>
      <dgm:spPr/>
    </dgm:pt>
    <dgm:pt modelId="{896C408D-BE79-4AD6-BA59-08E729F1D8E7}" type="pres">
      <dgm:prSet presAssocID="{0056A250-127F-4290-88F8-D795B8235C16}" presName="parentTextBox" presStyleLbl="node1" presStyleIdx="0" presStyleCnt="5"/>
      <dgm:spPr/>
    </dgm:pt>
    <dgm:pt modelId="{1C1F1A0C-4C85-470C-84F5-9E451315BF18}" type="pres">
      <dgm:prSet presAssocID="{9830601E-602E-4F66-AAA3-85C20C8E0695}" presName="sp" presStyleCnt="0"/>
      <dgm:spPr/>
    </dgm:pt>
    <dgm:pt modelId="{AD79B0D3-B8B7-4F93-BF6B-CE49B96C0DCD}" type="pres">
      <dgm:prSet presAssocID="{86C94165-B3F6-414E-893A-2957D6AEDDF7}" presName="arrowAndChildren" presStyleCnt="0"/>
      <dgm:spPr/>
    </dgm:pt>
    <dgm:pt modelId="{BA44BBF5-28E1-4CB9-BB37-2A24DE084AB3}" type="pres">
      <dgm:prSet presAssocID="{86C94165-B3F6-414E-893A-2957D6AEDDF7}" presName="parentTextArrow" presStyleLbl="node1" presStyleIdx="1" presStyleCnt="5"/>
      <dgm:spPr/>
    </dgm:pt>
    <dgm:pt modelId="{BD459B3F-2B0B-43DF-B273-1B89DF38C2B4}" type="pres">
      <dgm:prSet presAssocID="{A4084256-3BCA-4880-AEFF-0EB58F27E4AA}" presName="sp" presStyleCnt="0"/>
      <dgm:spPr/>
    </dgm:pt>
    <dgm:pt modelId="{8CD01D6D-5654-4871-BEEE-D592E9607E89}" type="pres">
      <dgm:prSet presAssocID="{4F0CF029-5A22-4880-8910-A1B4CC0F05E7}" presName="arrowAndChildren" presStyleCnt="0"/>
      <dgm:spPr/>
    </dgm:pt>
    <dgm:pt modelId="{DBC2E732-93A1-48D5-AEDB-A3F9394C1BE7}" type="pres">
      <dgm:prSet presAssocID="{4F0CF029-5A22-4880-8910-A1B4CC0F05E7}" presName="parentTextArrow" presStyleLbl="node1" presStyleIdx="2" presStyleCnt="5"/>
      <dgm:spPr/>
    </dgm:pt>
    <dgm:pt modelId="{EE9207AA-3C17-40C2-BC8A-272DF039A321}" type="pres">
      <dgm:prSet presAssocID="{8A7CF13F-A619-46E8-8123-8ABB2A100161}" presName="sp" presStyleCnt="0"/>
      <dgm:spPr/>
    </dgm:pt>
    <dgm:pt modelId="{6C3F3C50-A082-4D5F-8E2C-259C3CE9224C}" type="pres">
      <dgm:prSet presAssocID="{6516A316-4BD3-457B-BEFE-2E347B969665}" presName="arrowAndChildren" presStyleCnt="0"/>
      <dgm:spPr/>
    </dgm:pt>
    <dgm:pt modelId="{F074A6B0-C346-4988-A654-7A607571BE77}" type="pres">
      <dgm:prSet presAssocID="{6516A316-4BD3-457B-BEFE-2E347B969665}" presName="parentTextArrow" presStyleLbl="node1" presStyleIdx="3" presStyleCnt="5"/>
      <dgm:spPr/>
    </dgm:pt>
    <dgm:pt modelId="{91A492BC-BD05-4A4F-B020-38C2B71B89ED}" type="pres">
      <dgm:prSet presAssocID="{BDDF3475-00A9-4897-9D15-4E00EE488E7C}" presName="sp" presStyleCnt="0"/>
      <dgm:spPr/>
    </dgm:pt>
    <dgm:pt modelId="{C88B7A09-8B69-4D89-B646-DCD9C5465BE3}" type="pres">
      <dgm:prSet presAssocID="{A9F45E0C-6D5F-425F-A16E-553DC0DBB1D4}" presName="arrowAndChildren" presStyleCnt="0"/>
      <dgm:spPr/>
    </dgm:pt>
    <dgm:pt modelId="{4CED0C03-2A98-4E25-BF42-9C9D03775E68}" type="pres">
      <dgm:prSet presAssocID="{A9F45E0C-6D5F-425F-A16E-553DC0DBB1D4}" presName="parentTextArrow" presStyleLbl="node1" presStyleIdx="4" presStyleCnt="5"/>
      <dgm:spPr/>
    </dgm:pt>
  </dgm:ptLst>
  <dgm:cxnLst>
    <dgm:cxn modelId="{EFB6E627-5297-4B5C-8B6A-D1E5C14F2625}" srcId="{4B83BB03-C0F1-4EF2-8E0C-7A28A71536CD}" destId="{6516A316-4BD3-457B-BEFE-2E347B969665}" srcOrd="1" destOrd="0" parTransId="{60989DC8-0806-40EB-B963-95D3C400A430}" sibTransId="{8A7CF13F-A619-46E8-8123-8ABB2A100161}"/>
    <dgm:cxn modelId="{13FD4A33-8BF5-4653-96FD-32EBA47C796C}" type="presOf" srcId="{86C94165-B3F6-414E-893A-2957D6AEDDF7}" destId="{BA44BBF5-28E1-4CB9-BB37-2A24DE084AB3}" srcOrd="0" destOrd="0" presId="urn:microsoft.com/office/officeart/2005/8/layout/process4"/>
    <dgm:cxn modelId="{F4E8A843-4518-4318-B466-018B871AF552}" srcId="{4B83BB03-C0F1-4EF2-8E0C-7A28A71536CD}" destId="{86C94165-B3F6-414E-893A-2957D6AEDDF7}" srcOrd="3" destOrd="0" parTransId="{4EDC8FB7-1981-4EC6-AB97-B897FA205A61}" sibTransId="{9830601E-602E-4F66-AAA3-85C20C8E0695}"/>
    <dgm:cxn modelId="{78C77F64-625A-403A-8CC5-B68A32C92030}" type="presOf" srcId="{4F0CF029-5A22-4880-8910-A1B4CC0F05E7}" destId="{DBC2E732-93A1-48D5-AEDB-A3F9394C1BE7}" srcOrd="0" destOrd="0" presId="urn:microsoft.com/office/officeart/2005/8/layout/process4"/>
    <dgm:cxn modelId="{3DFDCF6C-6CA1-4501-B351-540860E0B123}" type="presOf" srcId="{A9F45E0C-6D5F-425F-A16E-553DC0DBB1D4}" destId="{4CED0C03-2A98-4E25-BF42-9C9D03775E68}" srcOrd="0" destOrd="0" presId="urn:microsoft.com/office/officeart/2005/8/layout/process4"/>
    <dgm:cxn modelId="{75B9C47B-F36D-4299-B863-D0A359CF597A}" srcId="{4B83BB03-C0F1-4EF2-8E0C-7A28A71536CD}" destId="{A9F45E0C-6D5F-425F-A16E-553DC0DBB1D4}" srcOrd="0" destOrd="0" parTransId="{C0349F3F-79F5-4699-8653-C15314958B0F}" sibTransId="{BDDF3475-00A9-4897-9D15-4E00EE488E7C}"/>
    <dgm:cxn modelId="{BA14A07F-6D41-43EE-A705-EC374ACC5689}" type="presOf" srcId="{4B83BB03-C0F1-4EF2-8E0C-7A28A71536CD}" destId="{03DE1DB6-6FF3-4D1E-83F3-590E47CB7335}" srcOrd="0" destOrd="0" presId="urn:microsoft.com/office/officeart/2005/8/layout/process4"/>
    <dgm:cxn modelId="{62770892-1A58-4925-A1B3-982C84DAF37A}" type="presOf" srcId="{6516A316-4BD3-457B-BEFE-2E347B969665}" destId="{F074A6B0-C346-4988-A654-7A607571BE77}" srcOrd="0" destOrd="0" presId="urn:microsoft.com/office/officeart/2005/8/layout/process4"/>
    <dgm:cxn modelId="{BAE5D1C2-D7AB-49A5-AEA6-A453C4C99077}" type="presOf" srcId="{0056A250-127F-4290-88F8-D795B8235C16}" destId="{896C408D-BE79-4AD6-BA59-08E729F1D8E7}" srcOrd="0" destOrd="0" presId="urn:microsoft.com/office/officeart/2005/8/layout/process4"/>
    <dgm:cxn modelId="{CB3625C4-911C-422B-9967-8E810A2709E6}" srcId="{4B83BB03-C0F1-4EF2-8E0C-7A28A71536CD}" destId="{0056A250-127F-4290-88F8-D795B8235C16}" srcOrd="4" destOrd="0" parTransId="{19B67028-2B06-4079-A843-EA56196F919A}" sibTransId="{31CDB937-59E7-4DD7-81BA-DA6C83832222}"/>
    <dgm:cxn modelId="{577851E3-AEEB-46B1-A42D-86B1E2173053}" srcId="{4B83BB03-C0F1-4EF2-8E0C-7A28A71536CD}" destId="{4F0CF029-5A22-4880-8910-A1B4CC0F05E7}" srcOrd="2" destOrd="0" parTransId="{8F3D4EA8-4778-45F5-856E-5FC8AD4E2D62}" sibTransId="{A4084256-3BCA-4880-AEFF-0EB58F27E4AA}"/>
    <dgm:cxn modelId="{329E3301-7DBB-44CF-AF59-9D60F76B5C4E}" type="presParOf" srcId="{03DE1DB6-6FF3-4D1E-83F3-590E47CB7335}" destId="{1BFB23DD-918E-41FF-BBC6-D4BC23CA7B2E}" srcOrd="0" destOrd="0" presId="urn:microsoft.com/office/officeart/2005/8/layout/process4"/>
    <dgm:cxn modelId="{4F0EB80B-A5C9-4E76-B539-434C9977D9E7}" type="presParOf" srcId="{1BFB23DD-918E-41FF-BBC6-D4BC23CA7B2E}" destId="{896C408D-BE79-4AD6-BA59-08E729F1D8E7}" srcOrd="0" destOrd="0" presId="urn:microsoft.com/office/officeart/2005/8/layout/process4"/>
    <dgm:cxn modelId="{F45C2FE2-2297-4354-864F-E44FC881F2C6}" type="presParOf" srcId="{03DE1DB6-6FF3-4D1E-83F3-590E47CB7335}" destId="{1C1F1A0C-4C85-470C-84F5-9E451315BF18}" srcOrd="1" destOrd="0" presId="urn:microsoft.com/office/officeart/2005/8/layout/process4"/>
    <dgm:cxn modelId="{3E084D0F-812D-4F7C-9C7E-5FD4F3F26626}" type="presParOf" srcId="{03DE1DB6-6FF3-4D1E-83F3-590E47CB7335}" destId="{AD79B0D3-B8B7-4F93-BF6B-CE49B96C0DCD}" srcOrd="2" destOrd="0" presId="urn:microsoft.com/office/officeart/2005/8/layout/process4"/>
    <dgm:cxn modelId="{5D10E04C-D04B-4F65-AFD7-76FD6314FEAF}" type="presParOf" srcId="{AD79B0D3-B8B7-4F93-BF6B-CE49B96C0DCD}" destId="{BA44BBF5-28E1-4CB9-BB37-2A24DE084AB3}" srcOrd="0" destOrd="0" presId="urn:microsoft.com/office/officeart/2005/8/layout/process4"/>
    <dgm:cxn modelId="{91232020-E9C0-4EBB-AE30-82BB5925E2A6}" type="presParOf" srcId="{03DE1DB6-6FF3-4D1E-83F3-590E47CB7335}" destId="{BD459B3F-2B0B-43DF-B273-1B89DF38C2B4}" srcOrd="3" destOrd="0" presId="urn:microsoft.com/office/officeart/2005/8/layout/process4"/>
    <dgm:cxn modelId="{962D6D8F-490A-447F-BD31-0D57E8707B06}" type="presParOf" srcId="{03DE1DB6-6FF3-4D1E-83F3-590E47CB7335}" destId="{8CD01D6D-5654-4871-BEEE-D592E9607E89}" srcOrd="4" destOrd="0" presId="urn:microsoft.com/office/officeart/2005/8/layout/process4"/>
    <dgm:cxn modelId="{9AE35229-1D54-410C-81B3-CED4AD39305A}" type="presParOf" srcId="{8CD01D6D-5654-4871-BEEE-D592E9607E89}" destId="{DBC2E732-93A1-48D5-AEDB-A3F9394C1BE7}" srcOrd="0" destOrd="0" presId="urn:microsoft.com/office/officeart/2005/8/layout/process4"/>
    <dgm:cxn modelId="{5CEF7FA1-4461-4289-AE2C-AFB7533D6539}" type="presParOf" srcId="{03DE1DB6-6FF3-4D1E-83F3-590E47CB7335}" destId="{EE9207AA-3C17-40C2-BC8A-272DF039A321}" srcOrd="5" destOrd="0" presId="urn:microsoft.com/office/officeart/2005/8/layout/process4"/>
    <dgm:cxn modelId="{6255BB3C-65E3-47BF-A970-E31E54A2C7D9}" type="presParOf" srcId="{03DE1DB6-6FF3-4D1E-83F3-590E47CB7335}" destId="{6C3F3C50-A082-4D5F-8E2C-259C3CE9224C}" srcOrd="6" destOrd="0" presId="urn:microsoft.com/office/officeart/2005/8/layout/process4"/>
    <dgm:cxn modelId="{9C016F0D-8B52-4BA8-87AF-E21D47A00F2A}" type="presParOf" srcId="{6C3F3C50-A082-4D5F-8E2C-259C3CE9224C}" destId="{F074A6B0-C346-4988-A654-7A607571BE77}" srcOrd="0" destOrd="0" presId="urn:microsoft.com/office/officeart/2005/8/layout/process4"/>
    <dgm:cxn modelId="{D0F06F26-65DA-42BA-A338-B563AC1F1B53}" type="presParOf" srcId="{03DE1DB6-6FF3-4D1E-83F3-590E47CB7335}" destId="{91A492BC-BD05-4A4F-B020-38C2B71B89ED}" srcOrd="7" destOrd="0" presId="urn:microsoft.com/office/officeart/2005/8/layout/process4"/>
    <dgm:cxn modelId="{A03A62A4-2703-4BBF-8B3F-05239080B1E1}" type="presParOf" srcId="{03DE1DB6-6FF3-4D1E-83F3-590E47CB7335}" destId="{C88B7A09-8B69-4D89-B646-DCD9C5465BE3}" srcOrd="8" destOrd="0" presId="urn:microsoft.com/office/officeart/2005/8/layout/process4"/>
    <dgm:cxn modelId="{2062B341-516A-4EDC-B580-2111813204F4}" type="presParOf" srcId="{C88B7A09-8B69-4D89-B646-DCD9C5465BE3}" destId="{4CED0C03-2A98-4E25-BF42-9C9D03775E68}" srcOrd="0" destOrd="0" presId="urn:microsoft.com/office/officeart/2005/8/layout/process4"/>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B83BB03-C0F1-4EF2-8E0C-7A28A71536CD}" type="doc">
      <dgm:prSet loTypeId="urn:microsoft.com/office/officeart/2005/8/layout/process4" loCatId="list" qsTypeId="urn:microsoft.com/office/officeart/2005/8/quickstyle/simple1#3" qsCatId="simple" csTypeId="urn:microsoft.com/office/officeart/2005/8/colors/accent1_2#3" csCatId="accent1" phldr="1"/>
      <dgm:spPr/>
      <dgm:t>
        <a:bodyPr/>
        <a:p>
          <a:endParaRPr lang="en-US"/>
        </a:p>
      </dgm:t>
    </dgm:pt>
    <dgm:pt modelId="{86C94165-B3F6-414E-893A-2957D6AEDDF7}">
      <dgm:prSet/>
      <dgm:spPr/>
      <dgm:t>
        <a:bodyPr/>
        <a:p>
          <a:pPr algn="ctr">
            <a:buNone/>
          </a:pPr>
          <a:r>
            <a:rPr lang="ru-RU" b="0"/>
            <a:t>Формальное снижение </a:t>
          </a:r>
          <a:r>
            <a:rPr lang="en-US" b="0"/>
            <a:t>NPL</a:t>
          </a:r>
        </a:p>
      </dgm:t>
    </dgm:pt>
    <dgm:pt modelId="{4EDC8FB7-1981-4EC6-AB97-B897FA205A61}" cxnId="{F4E8A843-4518-4318-B466-018B871AF552}" type="parTrans">
      <dgm:prSet/>
      <dgm:spPr/>
      <dgm:t>
        <a:bodyPr/>
        <a:p>
          <a:pPr algn="ctr"/>
          <a:endParaRPr lang="en-US"/>
        </a:p>
      </dgm:t>
    </dgm:pt>
    <dgm:pt modelId="{9830601E-602E-4F66-AAA3-85C20C8E0695}" cxnId="{F4E8A843-4518-4318-B466-018B871AF552}" type="sibTrans">
      <dgm:prSet/>
      <dgm:spPr/>
      <dgm:t>
        <a:bodyPr/>
        <a:p>
          <a:pPr algn="ctr"/>
          <a:endParaRPr lang="en-US"/>
        </a:p>
      </dgm:t>
    </dgm:pt>
    <dgm:pt modelId="{4F0CF029-5A22-4880-8910-A1B4CC0F05E7}">
      <dgm:prSet/>
      <dgm:spPr/>
      <dgm:t>
        <a:bodyPr/>
        <a:p>
          <a:pPr algn="ctr">
            <a:buNone/>
          </a:pPr>
          <a:r>
            <a:rPr lang="ru-RU"/>
            <a:t>Реактивные регуляторные меры</a:t>
          </a:r>
          <a:endParaRPr lang="en-US"/>
        </a:p>
      </dgm:t>
    </dgm:pt>
    <dgm:pt modelId="{A4084256-3BCA-4880-AEFF-0EB58F27E4AA}" cxnId="{577851E3-AEEB-46B1-A42D-86B1E2173053}" type="sibTrans">
      <dgm:prSet/>
      <dgm:spPr/>
      <dgm:t>
        <a:bodyPr/>
        <a:p>
          <a:pPr algn="ctr"/>
          <a:endParaRPr lang="en-US"/>
        </a:p>
      </dgm:t>
    </dgm:pt>
    <dgm:pt modelId="{8F3D4EA8-4778-45F5-856E-5FC8AD4E2D62}" cxnId="{577851E3-AEEB-46B1-A42D-86B1E2173053}" type="parTrans">
      <dgm:prSet/>
      <dgm:spPr/>
      <dgm:t>
        <a:bodyPr/>
        <a:p>
          <a:pPr algn="ctr"/>
          <a:endParaRPr lang="en-US"/>
        </a:p>
      </dgm:t>
    </dgm:pt>
    <dgm:pt modelId="{A9F45E0C-6D5F-425F-A16E-553DC0DBB1D4}">
      <dgm:prSet/>
      <dgm:spPr/>
      <dgm:t>
        <a:bodyPr/>
        <a:p>
          <a:pPr algn="ctr">
            <a:buNone/>
          </a:pPr>
          <a:r>
            <a:rPr lang="ru-RU"/>
            <a:t>Макроэкономическая нестабильность </a:t>
          </a:r>
          <a:endParaRPr lang="en-US"/>
        </a:p>
      </dgm:t>
    </dgm:pt>
    <dgm:pt modelId="{C0349F3F-79F5-4699-8653-C15314958B0F}" cxnId="{75B9C47B-F36D-4299-B863-D0A359CF597A}" type="parTrans">
      <dgm:prSet/>
      <dgm:spPr/>
      <dgm:t>
        <a:bodyPr/>
        <a:p>
          <a:pPr algn="ctr"/>
          <a:endParaRPr lang="en-US"/>
        </a:p>
      </dgm:t>
    </dgm:pt>
    <dgm:pt modelId="{BDDF3475-00A9-4897-9D15-4E00EE488E7C}" cxnId="{75B9C47B-F36D-4299-B863-D0A359CF597A}" type="sibTrans">
      <dgm:prSet/>
      <dgm:spPr/>
      <dgm:t>
        <a:bodyPr/>
        <a:p>
          <a:pPr algn="ctr"/>
          <a:endParaRPr lang="en-US"/>
        </a:p>
      </dgm:t>
    </dgm:pt>
    <dgm:pt modelId="{6516A316-4BD3-457B-BEFE-2E347B969665}">
      <dgm:prSet/>
      <dgm:spPr/>
      <dgm:t>
        <a:bodyPr/>
        <a:p>
          <a:pPr algn="ctr">
            <a:buNone/>
          </a:pPr>
          <a:r>
            <a:rPr lang="ru-RU"/>
            <a:t>Рост кредитных рисков</a:t>
          </a:r>
          <a:endParaRPr lang="en-US"/>
        </a:p>
      </dgm:t>
    </dgm:pt>
    <dgm:pt modelId="{8A7CF13F-A619-46E8-8123-8ABB2A100161}" cxnId="{EFB6E627-5297-4B5C-8B6A-D1E5C14F2625}" type="sibTrans">
      <dgm:prSet/>
      <dgm:spPr/>
      <dgm:t>
        <a:bodyPr/>
        <a:p>
          <a:pPr algn="ctr"/>
          <a:endParaRPr lang="en-US"/>
        </a:p>
      </dgm:t>
    </dgm:pt>
    <dgm:pt modelId="{60989DC8-0806-40EB-B963-95D3C400A430}" cxnId="{EFB6E627-5297-4B5C-8B6A-D1E5C14F2625}" type="parTrans">
      <dgm:prSet/>
      <dgm:spPr/>
      <dgm:t>
        <a:bodyPr/>
        <a:p>
          <a:pPr algn="ctr"/>
          <a:endParaRPr lang="en-US"/>
        </a:p>
      </dgm:t>
    </dgm:pt>
    <dgm:pt modelId="{0056A250-127F-4290-88F8-D795B8235C16}">
      <dgm:prSet/>
      <dgm:spPr/>
      <dgm:t>
        <a:bodyPr/>
        <a:p>
          <a:pPr algn="ctr">
            <a:buNone/>
          </a:pPr>
          <a:r>
            <a:rPr lang="en-US" b="0"/>
            <a:t>Сохранение проблемной структуры активов</a:t>
          </a:r>
        </a:p>
      </dgm:t>
    </dgm:pt>
    <dgm:pt modelId="{31CDB937-59E7-4DD7-81BA-DA6C83832222}" cxnId="{CB3625C4-911C-422B-9967-8E810A2709E6}" type="sibTrans">
      <dgm:prSet/>
      <dgm:spPr/>
      <dgm:t>
        <a:bodyPr/>
        <a:p>
          <a:pPr algn="ctr"/>
          <a:endParaRPr lang="en-US"/>
        </a:p>
      </dgm:t>
    </dgm:pt>
    <dgm:pt modelId="{19B67028-2B06-4079-A843-EA56196F919A}" cxnId="{CB3625C4-911C-422B-9967-8E810A2709E6}" type="parTrans">
      <dgm:prSet/>
      <dgm:spPr/>
      <dgm:t>
        <a:bodyPr/>
        <a:p>
          <a:pPr algn="ctr"/>
          <a:endParaRPr lang="en-US"/>
        </a:p>
      </dgm:t>
    </dgm:pt>
    <dgm:pt modelId="{03DE1DB6-6FF3-4D1E-83F3-590E47CB7335}" type="pres">
      <dgm:prSet presAssocID="{4B83BB03-C0F1-4EF2-8E0C-7A28A71536CD}" presName="Name0" presStyleCnt="0">
        <dgm:presLayoutVars>
          <dgm:dir/>
          <dgm:animLvl val="lvl"/>
          <dgm:resizeHandles val="exact"/>
        </dgm:presLayoutVars>
      </dgm:prSet>
      <dgm:spPr/>
    </dgm:pt>
    <dgm:pt modelId="{1BFB23DD-918E-41FF-BBC6-D4BC23CA7B2E}" type="pres">
      <dgm:prSet presAssocID="{0056A250-127F-4290-88F8-D795B8235C16}" presName="boxAndChildren" presStyleCnt="0"/>
      <dgm:spPr/>
    </dgm:pt>
    <dgm:pt modelId="{896C408D-BE79-4AD6-BA59-08E729F1D8E7}" type="pres">
      <dgm:prSet presAssocID="{0056A250-127F-4290-88F8-D795B8235C16}" presName="parentTextBox" presStyleLbl="node1" presStyleIdx="0" presStyleCnt="5"/>
      <dgm:spPr/>
    </dgm:pt>
    <dgm:pt modelId="{1C1F1A0C-4C85-470C-84F5-9E451315BF18}" type="pres">
      <dgm:prSet presAssocID="{9830601E-602E-4F66-AAA3-85C20C8E0695}" presName="sp" presStyleCnt="0"/>
      <dgm:spPr/>
    </dgm:pt>
    <dgm:pt modelId="{AD79B0D3-B8B7-4F93-BF6B-CE49B96C0DCD}" type="pres">
      <dgm:prSet presAssocID="{86C94165-B3F6-414E-893A-2957D6AEDDF7}" presName="arrowAndChildren" presStyleCnt="0"/>
      <dgm:spPr/>
    </dgm:pt>
    <dgm:pt modelId="{BA44BBF5-28E1-4CB9-BB37-2A24DE084AB3}" type="pres">
      <dgm:prSet presAssocID="{86C94165-B3F6-414E-893A-2957D6AEDDF7}" presName="parentTextArrow" presStyleLbl="node1" presStyleIdx="1" presStyleCnt="5"/>
      <dgm:spPr/>
    </dgm:pt>
    <dgm:pt modelId="{BD459B3F-2B0B-43DF-B273-1B89DF38C2B4}" type="pres">
      <dgm:prSet presAssocID="{A4084256-3BCA-4880-AEFF-0EB58F27E4AA}" presName="sp" presStyleCnt="0"/>
      <dgm:spPr/>
    </dgm:pt>
    <dgm:pt modelId="{8CD01D6D-5654-4871-BEEE-D592E9607E89}" type="pres">
      <dgm:prSet presAssocID="{4F0CF029-5A22-4880-8910-A1B4CC0F05E7}" presName="arrowAndChildren" presStyleCnt="0"/>
      <dgm:spPr/>
    </dgm:pt>
    <dgm:pt modelId="{DBC2E732-93A1-48D5-AEDB-A3F9394C1BE7}" type="pres">
      <dgm:prSet presAssocID="{4F0CF029-5A22-4880-8910-A1B4CC0F05E7}" presName="parentTextArrow" presStyleLbl="node1" presStyleIdx="2" presStyleCnt="5"/>
      <dgm:spPr/>
    </dgm:pt>
    <dgm:pt modelId="{EE9207AA-3C17-40C2-BC8A-272DF039A321}" type="pres">
      <dgm:prSet presAssocID="{8A7CF13F-A619-46E8-8123-8ABB2A100161}" presName="sp" presStyleCnt="0"/>
      <dgm:spPr/>
    </dgm:pt>
    <dgm:pt modelId="{6C3F3C50-A082-4D5F-8E2C-259C3CE9224C}" type="pres">
      <dgm:prSet presAssocID="{6516A316-4BD3-457B-BEFE-2E347B969665}" presName="arrowAndChildren" presStyleCnt="0"/>
      <dgm:spPr/>
    </dgm:pt>
    <dgm:pt modelId="{F074A6B0-C346-4988-A654-7A607571BE77}" type="pres">
      <dgm:prSet presAssocID="{6516A316-4BD3-457B-BEFE-2E347B969665}" presName="parentTextArrow" presStyleLbl="node1" presStyleIdx="3" presStyleCnt="5"/>
      <dgm:spPr/>
    </dgm:pt>
    <dgm:pt modelId="{91A492BC-BD05-4A4F-B020-38C2B71B89ED}" type="pres">
      <dgm:prSet presAssocID="{BDDF3475-00A9-4897-9D15-4E00EE488E7C}" presName="sp" presStyleCnt="0"/>
      <dgm:spPr/>
    </dgm:pt>
    <dgm:pt modelId="{C88B7A09-8B69-4D89-B646-DCD9C5465BE3}" type="pres">
      <dgm:prSet presAssocID="{A9F45E0C-6D5F-425F-A16E-553DC0DBB1D4}" presName="arrowAndChildren" presStyleCnt="0"/>
      <dgm:spPr/>
    </dgm:pt>
    <dgm:pt modelId="{4CED0C03-2A98-4E25-BF42-9C9D03775E68}" type="pres">
      <dgm:prSet presAssocID="{A9F45E0C-6D5F-425F-A16E-553DC0DBB1D4}" presName="parentTextArrow" presStyleLbl="node1" presStyleIdx="4" presStyleCnt="5"/>
      <dgm:spPr/>
    </dgm:pt>
  </dgm:ptLst>
  <dgm:cxnLst>
    <dgm:cxn modelId="{EFB6E627-5297-4B5C-8B6A-D1E5C14F2625}" srcId="{4B83BB03-C0F1-4EF2-8E0C-7A28A71536CD}" destId="{6516A316-4BD3-457B-BEFE-2E347B969665}" srcOrd="1" destOrd="0" parTransId="{60989DC8-0806-40EB-B963-95D3C400A430}" sibTransId="{8A7CF13F-A619-46E8-8123-8ABB2A100161}"/>
    <dgm:cxn modelId="{13FD4A33-8BF5-4653-96FD-32EBA47C796C}" type="presOf" srcId="{86C94165-B3F6-414E-893A-2957D6AEDDF7}" destId="{BA44BBF5-28E1-4CB9-BB37-2A24DE084AB3}" srcOrd="0" destOrd="0" presId="urn:microsoft.com/office/officeart/2005/8/layout/process4"/>
    <dgm:cxn modelId="{F4E8A843-4518-4318-B466-018B871AF552}" srcId="{4B83BB03-C0F1-4EF2-8E0C-7A28A71536CD}" destId="{86C94165-B3F6-414E-893A-2957D6AEDDF7}" srcOrd="3" destOrd="0" parTransId="{4EDC8FB7-1981-4EC6-AB97-B897FA205A61}" sibTransId="{9830601E-602E-4F66-AAA3-85C20C8E0695}"/>
    <dgm:cxn modelId="{78C77F64-625A-403A-8CC5-B68A32C92030}" type="presOf" srcId="{4F0CF029-5A22-4880-8910-A1B4CC0F05E7}" destId="{DBC2E732-93A1-48D5-AEDB-A3F9394C1BE7}" srcOrd="0" destOrd="0" presId="urn:microsoft.com/office/officeart/2005/8/layout/process4"/>
    <dgm:cxn modelId="{3DFDCF6C-6CA1-4501-B351-540860E0B123}" type="presOf" srcId="{A9F45E0C-6D5F-425F-A16E-553DC0DBB1D4}" destId="{4CED0C03-2A98-4E25-BF42-9C9D03775E68}" srcOrd="0" destOrd="0" presId="urn:microsoft.com/office/officeart/2005/8/layout/process4"/>
    <dgm:cxn modelId="{75B9C47B-F36D-4299-B863-D0A359CF597A}" srcId="{4B83BB03-C0F1-4EF2-8E0C-7A28A71536CD}" destId="{A9F45E0C-6D5F-425F-A16E-553DC0DBB1D4}" srcOrd="0" destOrd="0" parTransId="{C0349F3F-79F5-4699-8653-C15314958B0F}" sibTransId="{BDDF3475-00A9-4897-9D15-4E00EE488E7C}"/>
    <dgm:cxn modelId="{BA14A07F-6D41-43EE-A705-EC374ACC5689}" type="presOf" srcId="{4B83BB03-C0F1-4EF2-8E0C-7A28A71536CD}" destId="{03DE1DB6-6FF3-4D1E-83F3-590E47CB7335}" srcOrd="0" destOrd="0" presId="urn:microsoft.com/office/officeart/2005/8/layout/process4"/>
    <dgm:cxn modelId="{62770892-1A58-4925-A1B3-982C84DAF37A}" type="presOf" srcId="{6516A316-4BD3-457B-BEFE-2E347B969665}" destId="{F074A6B0-C346-4988-A654-7A607571BE77}" srcOrd="0" destOrd="0" presId="urn:microsoft.com/office/officeart/2005/8/layout/process4"/>
    <dgm:cxn modelId="{BAE5D1C2-D7AB-49A5-AEA6-A453C4C99077}" type="presOf" srcId="{0056A250-127F-4290-88F8-D795B8235C16}" destId="{896C408D-BE79-4AD6-BA59-08E729F1D8E7}" srcOrd="0" destOrd="0" presId="urn:microsoft.com/office/officeart/2005/8/layout/process4"/>
    <dgm:cxn modelId="{CB3625C4-911C-422B-9967-8E810A2709E6}" srcId="{4B83BB03-C0F1-4EF2-8E0C-7A28A71536CD}" destId="{0056A250-127F-4290-88F8-D795B8235C16}" srcOrd="4" destOrd="0" parTransId="{19B67028-2B06-4079-A843-EA56196F919A}" sibTransId="{31CDB937-59E7-4DD7-81BA-DA6C83832222}"/>
    <dgm:cxn modelId="{577851E3-AEEB-46B1-A42D-86B1E2173053}" srcId="{4B83BB03-C0F1-4EF2-8E0C-7A28A71536CD}" destId="{4F0CF029-5A22-4880-8910-A1B4CC0F05E7}" srcOrd="2" destOrd="0" parTransId="{8F3D4EA8-4778-45F5-856E-5FC8AD4E2D62}" sibTransId="{A4084256-3BCA-4880-AEFF-0EB58F27E4AA}"/>
    <dgm:cxn modelId="{329E3301-7DBB-44CF-AF59-9D60F76B5C4E}" type="presParOf" srcId="{03DE1DB6-6FF3-4D1E-83F3-590E47CB7335}" destId="{1BFB23DD-918E-41FF-BBC6-D4BC23CA7B2E}" srcOrd="0" destOrd="0" presId="urn:microsoft.com/office/officeart/2005/8/layout/process4"/>
    <dgm:cxn modelId="{4F0EB80B-A5C9-4E76-B539-434C9977D9E7}" type="presParOf" srcId="{1BFB23DD-918E-41FF-BBC6-D4BC23CA7B2E}" destId="{896C408D-BE79-4AD6-BA59-08E729F1D8E7}" srcOrd="0" destOrd="0" presId="urn:microsoft.com/office/officeart/2005/8/layout/process4"/>
    <dgm:cxn modelId="{F45C2FE2-2297-4354-864F-E44FC881F2C6}" type="presParOf" srcId="{03DE1DB6-6FF3-4D1E-83F3-590E47CB7335}" destId="{1C1F1A0C-4C85-470C-84F5-9E451315BF18}" srcOrd="1" destOrd="0" presId="urn:microsoft.com/office/officeart/2005/8/layout/process4"/>
    <dgm:cxn modelId="{3E084D0F-812D-4F7C-9C7E-5FD4F3F26626}" type="presParOf" srcId="{03DE1DB6-6FF3-4D1E-83F3-590E47CB7335}" destId="{AD79B0D3-B8B7-4F93-BF6B-CE49B96C0DCD}" srcOrd="2" destOrd="0" presId="urn:microsoft.com/office/officeart/2005/8/layout/process4"/>
    <dgm:cxn modelId="{5D10E04C-D04B-4F65-AFD7-76FD6314FEAF}" type="presParOf" srcId="{AD79B0D3-B8B7-4F93-BF6B-CE49B96C0DCD}" destId="{BA44BBF5-28E1-4CB9-BB37-2A24DE084AB3}" srcOrd="0" destOrd="0" presId="urn:microsoft.com/office/officeart/2005/8/layout/process4"/>
    <dgm:cxn modelId="{91232020-E9C0-4EBB-AE30-82BB5925E2A6}" type="presParOf" srcId="{03DE1DB6-6FF3-4D1E-83F3-590E47CB7335}" destId="{BD459B3F-2B0B-43DF-B273-1B89DF38C2B4}" srcOrd="3" destOrd="0" presId="urn:microsoft.com/office/officeart/2005/8/layout/process4"/>
    <dgm:cxn modelId="{962D6D8F-490A-447F-BD31-0D57E8707B06}" type="presParOf" srcId="{03DE1DB6-6FF3-4D1E-83F3-590E47CB7335}" destId="{8CD01D6D-5654-4871-BEEE-D592E9607E89}" srcOrd="4" destOrd="0" presId="urn:microsoft.com/office/officeart/2005/8/layout/process4"/>
    <dgm:cxn modelId="{9AE35229-1D54-410C-81B3-CED4AD39305A}" type="presParOf" srcId="{8CD01D6D-5654-4871-BEEE-D592E9607E89}" destId="{DBC2E732-93A1-48D5-AEDB-A3F9394C1BE7}" srcOrd="0" destOrd="0" presId="urn:microsoft.com/office/officeart/2005/8/layout/process4"/>
    <dgm:cxn modelId="{5CEF7FA1-4461-4289-AE2C-AFB7533D6539}" type="presParOf" srcId="{03DE1DB6-6FF3-4D1E-83F3-590E47CB7335}" destId="{EE9207AA-3C17-40C2-BC8A-272DF039A321}" srcOrd="5" destOrd="0" presId="urn:microsoft.com/office/officeart/2005/8/layout/process4"/>
    <dgm:cxn modelId="{6255BB3C-65E3-47BF-A970-E31E54A2C7D9}" type="presParOf" srcId="{03DE1DB6-6FF3-4D1E-83F3-590E47CB7335}" destId="{6C3F3C50-A082-4D5F-8E2C-259C3CE9224C}" srcOrd="6" destOrd="0" presId="urn:microsoft.com/office/officeart/2005/8/layout/process4"/>
    <dgm:cxn modelId="{9C016F0D-8B52-4BA8-87AF-E21D47A00F2A}" type="presParOf" srcId="{6C3F3C50-A082-4D5F-8E2C-259C3CE9224C}" destId="{F074A6B0-C346-4988-A654-7A607571BE77}" srcOrd="0" destOrd="0" presId="urn:microsoft.com/office/officeart/2005/8/layout/process4"/>
    <dgm:cxn modelId="{D0F06F26-65DA-42BA-A338-B563AC1F1B53}" type="presParOf" srcId="{03DE1DB6-6FF3-4D1E-83F3-590E47CB7335}" destId="{91A492BC-BD05-4A4F-B020-38C2B71B89ED}" srcOrd="7" destOrd="0" presId="urn:microsoft.com/office/officeart/2005/8/layout/process4"/>
    <dgm:cxn modelId="{A03A62A4-2703-4BBF-8B3F-05239080B1E1}" type="presParOf" srcId="{03DE1DB6-6FF3-4D1E-83F3-590E47CB7335}" destId="{C88B7A09-8B69-4D89-B646-DCD9C5465BE3}" srcOrd="8" destOrd="0" presId="urn:microsoft.com/office/officeart/2005/8/layout/process4"/>
    <dgm:cxn modelId="{2062B341-516A-4EDC-B580-2111813204F4}" type="presParOf" srcId="{C88B7A09-8B69-4D89-B646-DCD9C5465BE3}" destId="{4CED0C03-2A98-4E25-BF42-9C9D03775E68}" srcOrd="0" destOrd="0" presId="urn:microsoft.com/office/officeart/2005/8/layout/process4"/>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B83BB03-C0F1-4EF2-8E0C-7A28A71536CD}" type="doc">
      <dgm:prSet loTypeId="urn:microsoft.com/office/officeart/2005/8/layout/process4" loCatId="list" qsTypeId="urn:microsoft.com/office/officeart/2005/8/quickstyle/simple1#4" qsCatId="simple" csTypeId="urn:microsoft.com/office/officeart/2005/8/colors/accent1_2#4" csCatId="accent1" phldr="1"/>
      <dgm:spPr/>
      <dgm:t>
        <a:bodyPr/>
        <a:p>
          <a:endParaRPr lang="en-US"/>
        </a:p>
      </dgm:t>
    </dgm:pt>
    <dgm:pt modelId="{0056A250-127F-4290-88F8-D795B8235C16}">
      <dgm:prSet/>
      <dgm:spPr/>
      <dgm:t>
        <a:bodyPr/>
        <a:p>
          <a:pPr>
            <a:buNone/>
          </a:pPr>
          <a:r>
            <a:rPr lang="en-US" b="0"/>
            <a:t>Со</a:t>
          </a:r>
          <a:r>
            <a:rPr lang="ru-RU" b="0"/>
            <a:t>кращения кредитования реального сектора экономики РК</a:t>
          </a:r>
          <a:endParaRPr lang="en-US" b="0"/>
        </a:p>
      </dgm:t>
    </dgm:pt>
    <dgm:pt modelId="{19B67028-2B06-4079-A843-EA56196F919A}" cxnId="{CB3625C4-911C-422B-9967-8E810A2709E6}" type="parTrans">
      <dgm:prSet/>
      <dgm:spPr/>
      <dgm:t>
        <a:bodyPr/>
        <a:p>
          <a:endParaRPr lang="en-US"/>
        </a:p>
      </dgm:t>
    </dgm:pt>
    <dgm:pt modelId="{31CDB937-59E7-4DD7-81BA-DA6C83832222}" cxnId="{CB3625C4-911C-422B-9967-8E810A2709E6}" type="sibTrans">
      <dgm:prSet/>
      <dgm:spPr/>
      <dgm:t>
        <a:bodyPr/>
        <a:p>
          <a:endParaRPr lang="en-US"/>
        </a:p>
      </dgm:t>
    </dgm:pt>
    <dgm:pt modelId="{86C94165-B3F6-414E-893A-2957D6AEDDF7}">
      <dgm:prSet/>
      <dgm:spPr/>
      <dgm:t>
        <a:bodyPr/>
        <a:p>
          <a:pPr>
            <a:buNone/>
          </a:pPr>
          <a:r>
            <a:rPr lang="ru-RU" b="0"/>
            <a:t>Низкая эффективность управления</a:t>
          </a:r>
          <a:endParaRPr lang="en-US" b="0"/>
        </a:p>
      </dgm:t>
    </dgm:pt>
    <dgm:pt modelId="{4EDC8FB7-1981-4EC6-AB97-B897FA205A61}" cxnId="{F4E8A843-4518-4318-B466-018B871AF552}" type="parTrans">
      <dgm:prSet/>
      <dgm:spPr/>
      <dgm:t>
        <a:bodyPr/>
        <a:p>
          <a:endParaRPr lang="en-US"/>
        </a:p>
      </dgm:t>
    </dgm:pt>
    <dgm:pt modelId="{9830601E-602E-4F66-AAA3-85C20C8E0695}" cxnId="{F4E8A843-4518-4318-B466-018B871AF552}" type="sibTrans">
      <dgm:prSet/>
      <dgm:spPr/>
      <dgm:t>
        <a:bodyPr/>
        <a:p>
          <a:endParaRPr lang="en-US"/>
        </a:p>
      </dgm:t>
    </dgm:pt>
    <dgm:pt modelId="{4F0CF029-5A22-4880-8910-A1B4CC0F05E7}">
      <dgm:prSet/>
      <dgm:spPr/>
      <dgm:t>
        <a:bodyPr/>
        <a:p>
          <a:pPr>
            <a:buNone/>
          </a:pPr>
          <a:r>
            <a:rPr lang="ru-RU"/>
            <a:t>Отсутствие проектной логики</a:t>
          </a:r>
          <a:endParaRPr lang="en-US"/>
        </a:p>
      </dgm:t>
    </dgm:pt>
    <dgm:pt modelId="{A4084256-3BCA-4880-AEFF-0EB58F27E4AA}" cxnId="{577851E3-AEEB-46B1-A42D-86B1E2173053}" type="sibTrans">
      <dgm:prSet/>
      <dgm:spPr/>
      <dgm:t>
        <a:bodyPr/>
        <a:p>
          <a:endParaRPr lang="en-US"/>
        </a:p>
      </dgm:t>
    </dgm:pt>
    <dgm:pt modelId="{8F3D4EA8-4778-45F5-856E-5FC8AD4E2D62}" cxnId="{577851E3-AEEB-46B1-A42D-86B1E2173053}" type="parTrans">
      <dgm:prSet/>
      <dgm:spPr/>
      <dgm:t>
        <a:bodyPr/>
        <a:p>
          <a:endParaRPr lang="en-US"/>
        </a:p>
      </dgm:t>
    </dgm:pt>
    <dgm:pt modelId="{6516A316-4BD3-457B-BEFE-2E347B969665}">
      <dgm:prSet/>
      <dgm:spPr/>
      <dgm:t>
        <a:bodyPr/>
        <a:p>
          <a:pPr>
            <a:buNone/>
          </a:pPr>
          <a:r>
            <a:rPr lang="ru-RU"/>
            <a:t>Процессное управление</a:t>
          </a:r>
          <a:endParaRPr lang="en-US"/>
        </a:p>
      </dgm:t>
    </dgm:pt>
    <dgm:pt modelId="{60989DC8-0806-40EB-B963-95D3C400A430}" cxnId="{EFB6E627-5297-4B5C-8B6A-D1E5C14F2625}" type="parTrans">
      <dgm:prSet/>
      <dgm:spPr/>
      <dgm:t>
        <a:bodyPr/>
        <a:p>
          <a:endParaRPr lang="en-US"/>
        </a:p>
      </dgm:t>
    </dgm:pt>
    <dgm:pt modelId="{8A7CF13F-A619-46E8-8123-8ABB2A100161}" cxnId="{EFB6E627-5297-4B5C-8B6A-D1E5C14F2625}" type="sibTrans">
      <dgm:prSet/>
      <dgm:spPr/>
      <dgm:t>
        <a:bodyPr/>
        <a:p>
          <a:endParaRPr lang="en-US"/>
        </a:p>
      </dgm:t>
    </dgm:pt>
    <dgm:pt modelId="{A9F45E0C-6D5F-425F-A16E-553DC0DBB1D4}">
      <dgm:prSet/>
      <dgm:spPr/>
      <dgm:t>
        <a:bodyPr/>
        <a:p>
          <a:pPr>
            <a:buNone/>
          </a:pPr>
          <a:r>
            <a:rPr lang="ru-RU"/>
            <a:t>Институциональные барьеры </a:t>
          </a:r>
          <a:endParaRPr lang="en-US"/>
        </a:p>
      </dgm:t>
    </dgm:pt>
    <dgm:pt modelId="{C0349F3F-79F5-4699-8653-C15314958B0F}" cxnId="{75B9C47B-F36D-4299-B863-D0A359CF597A}" type="parTrans">
      <dgm:prSet/>
      <dgm:spPr/>
      <dgm:t>
        <a:bodyPr/>
        <a:p>
          <a:endParaRPr lang="en-US"/>
        </a:p>
      </dgm:t>
    </dgm:pt>
    <dgm:pt modelId="{BDDF3475-00A9-4897-9D15-4E00EE488E7C}" cxnId="{75B9C47B-F36D-4299-B863-D0A359CF597A}" type="sibTrans">
      <dgm:prSet/>
      <dgm:spPr/>
      <dgm:t>
        <a:bodyPr/>
        <a:p>
          <a:endParaRPr lang="en-US"/>
        </a:p>
      </dgm:t>
    </dgm:pt>
    <dgm:pt modelId="{03DE1DB6-6FF3-4D1E-83F3-590E47CB7335}" type="pres">
      <dgm:prSet presAssocID="{4B83BB03-C0F1-4EF2-8E0C-7A28A71536CD}" presName="Name0" presStyleCnt="0">
        <dgm:presLayoutVars>
          <dgm:dir/>
          <dgm:animLvl val="lvl"/>
          <dgm:resizeHandles val="exact"/>
        </dgm:presLayoutVars>
      </dgm:prSet>
      <dgm:spPr/>
    </dgm:pt>
    <dgm:pt modelId="{1BFB23DD-918E-41FF-BBC6-D4BC23CA7B2E}" type="pres">
      <dgm:prSet presAssocID="{0056A250-127F-4290-88F8-D795B8235C16}" presName="boxAndChildren" presStyleCnt="0"/>
      <dgm:spPr/>
    </dgm:pt>
    <dgm:pt modelId="{896C408D-BE79-4AD6-BA59-08E729F1D8E7}" type="pres">
      <dgm:prSet presAssocID="{0056A250-127F-4290-88F8-D795B8235C16}" presName="parentTextBox" presStyleLbl="node1" presStyleIdx="0" presStyleCnt="5"/>
      <dgm:spPr/>
    </dgm:pt>
    <dgm:pt modelId="{1C1F1A0C-4C85-470C-84F5-9E451315BF18}" type="pres">
      <dgm:prSet presAssocID="{9830601E-602E-4F66-AAA3-85C20C8E0695}" presName="sp" presStyleCnt="0"/>
      <dgm:spPr/>
    </dgm:pt>
    <dgm:pt modelId="{AD79B0D3-B8B7-4F93-BF6B-CE49B96C0DCD}" type="pres">
      <dgm:prSet presAssocID="{86C94165-B3F6-414E-893A-2957D6AEDDF7}" presName="arrowAndChildren" presStyleCnt="0"/>
      <dgm:spPr/>
    </dgm:pt>
    <dgm:pt modelId="{BA44BBF5-28E1-4CB9-BB37-2A24DE084AB3}" type="pres">
      <dgm:prSet presAssocID="{86C94165-B3F6-414E-893A-2957D6AEDDF7}" presName="parentTextArrow" presStyleLbl="node1" presStyleIdx="1" presStyleCnt="5"/>
      <dgm:spPr/>
    </dgm:pt>
    <dgm:pt modelId="{BD459B3F-2B0B-43DF-B273-1B89DF38C2B4}" type="pres">
      <dgm:prSet presAssocID="{A4084256-3BCA-4880-AEFF-0EB58F27E4AA}" presName="sp" presStyleCnt="0"/>
      <dgm:spPr/>
    </dgm:pt>
    <dgm:pt modelId="{8CD01D6D-5654-4871-BEEE-D592E9607E89}" type="pres">
      <dgm:prSet presAssocID="{4F0CF029-5A22-4880-8910-A1B4CC0F05E7}" presName="arrowAndChildren" presStyleCnt="0"/>
      <dgm:spPr/>
    </dgm:pt>
    <dgm:pt modelId="{DBC2E732-93A1-48D5-AEDB-A3F9394C1BE7}" type="pres">
      <dgm:prSet presAssocID="{4F0CF029-5A22-4880-8910-A1B4CC0F05E7}" presName="parentTextArrow" presStyleLbl="node1" presStyleIdx="2" presStyleCnt="5"/>
      <dgm:spPr/>
    </dgm:pt>
    <dgm:pt modelId="{EE9207AA-3C17-40C2-BC8A-272DF039A321}" type="pres">
      <dgm:prSet presAssocID="{8A7CF13F-A619-46E8-8123-8ABB2A100161}" presName="sp" presStyleCnt="0"/>
      <dgm:spPr/>
    </dgm:pt>
    <dgm:pt modelId="{6C3F3C50-A082-4D5F-8E2C-259C3CE9224C}" type="pres">
      <dgm:prSet presAssocID="{6516A316-4BD3-457B-BEFE-2E347B969665}" presName="arrowAndChildren" presStyleCnt="0"/>
      <dgm:spPr/>
    </dgm:pt>
    <dgm:pt modelId="{F074A6B0-C346-4988-A654-7A607571BE77}" type="pres">
      <dgm:prSet presAssocID="{6516A316-4BD3-457B-BEFE-2E347B969665}" presName="parentTextArrow" presStyleLbl="node1" presStyleIdx="3" presStyleCnt="5"/>
      <dgm:spPr/>
    </dgm:pt>
    <dgm:pt modelId="{91A492BC-BD05-4A4F-B020-38C2B71B89ED}" type="pres">
      <dgm:prSet presAssocID="{BDDF3475-00A9-4897-9D15-4E00EE488E7C}" presName="sp" presStyleCnt="0"/>
      <dgm:spPr/>
    </dgm:pt>
    <dgm:pt modelId="{C88B7A09-8B69-4D89-B646-DCD9C5465BE3}" type="pres">
      <dgm:prSet presAssocID="{A9F45E0C-6D5F-425F-A16E-553DC0DBB1D4}" presName="arrowAndChildren" presStyleCnt="0"/>
      <dgm:spPr/>
    </dgm:pt>
    <dgm:pt modelId="{4CED0C03-2A98-4E25-BF42-9C9D03775E68}" type="pres">
      <dgm:prSet presAssocID="{A9F45E0C-6D5F-425F-A16E-553DC0DBB1D4}" presName="parentTextArrow" presStyleLbl="node1" presStyleIdx="4" presStyleCnt="5"/>
      <dgm:spPr/>
    </dgm:pt>
  </dgm:ptLst>
  <dgm:cxnLst>
    <dgm:cxn modelId="{EFB6E627-5297-4B5C-8B6A-D1E5C14F2625}" srcId="{4B83BB03-C0F1-4EF2-8E0C-7A28A71536CD}" destId="{6516A316-4BD3-457B-BEFE-2E347B969665}" srcOrd="1" destOrd="0" parTransId="{60989DC8-0806-40EB-B963-95D3C400A430}" sibTransId="{8A7CF13F-A619-46E8-8123-8ABB2A100161}"/>
    <dgm:cxn modelId="{13FD4A33-8BF5-4653-96FD-32EBA47C796C}" type="presOf" srcId="{86C94165-B3F6-414E-893A-2957D6AEDDF7}" destId="{BA44BBF5-28E1-4CB9-BB37-2A24DE084AB3}" srcOrd="0" destOrd="0" presId="urn:microsoft.com/office/officeart/2005/8/layout/process4"/>
    <dgm:cxn modelId="{F4E8A843-4518-4318-B466-018B871AF552}" srcId="{4B83BB03-C0F1-4EF2-8E0C-7A28A71536CD}" destId="{86C94165-B3F6-414E-893A-2957D6AEDDF7}" srcOrd="3" destOrd="0" parTransId="{4EDC8FB7-1981-4EC6-AB97-B897FA205A61}" sibTransId="{9830601E-602E-4F66-AAA3-85C20C8E0695}"/>
    <dgm:cxn modelId="{78C77F64-625A-403A-8CC5-B68A32C92030}" type="presOf" srcId="{4F0CF029-5A22-4880-8910-A1B4CC0F05E7}" destId="{DBC2E732-93A1-48D5-AEDB-A3F9394C1BE7}" srcOrd="0" destOrd="0" presId="urn:microsoft.com/office/officeart/2005/8/layout/process4"/>
    <dgm:cxn modelId="{3DFDCF6C-6CA1-4501-B351-540860E0B123}" type="presOf" srcId="{A9F45E0C-6D5F-425F-A16E-553DC0DBB1D4}" destId="{4CED0C03-2A98-4E25-BF42-9C9D03775E68}" srcOrd="0" destOrd="0" presId="urn:microsoft.com/office/officeart/2005/8/layout/process4"/>
    <dgm:cxn modelId="{75B9C47B-F36D-4299-B863-D0A359CF597A}" srcId="{4B83BB03-C0F1-4EF2-8E0C-7A28A71536CD}" destId="{A9F45E0C-6D5F-425F-A16E-553DC0DBB1D4}" srcOrd="0" destOrd="0" parTransId="{C0349F3F-79F5-4699-8653-C15314958B0F}" sibTransId="{BDDF3475-00A9-4897-9D15-4E00EE488E7C}"/>
    <dgm:cxn modelId="{BA14A07F-6D41-43EE-A705-EC374ACC5689}" type="presOf" srcId="{4B83BB03-C0F1-4EF2-8E0C-7A28A71536CD}" destId="{03DE1DB6-6FF3-4D1E-83F3-590E47CB7335}" srcOrd="0" destOrd="0" presId="urn:microsoft.com/office/officeart/2005/8/layout/process4"/>
    <dgm:cxn modelId="{62770892-1A58-4925-A1B3-982C84DAF37A}" type="presOf" srcId="{6516A316-4BD3-457B-BEFE-2E347B969665}" destId="{F074A6B0-C346-4988-A654-7A607571BE77}" srcOrd="0" destOrd="0" presId="urn:microsoft.com/office/officeart/2005/8/layout/process4"/>
    <dgm:cxn modelId="{BAE5D1C2-D7AB-49A5-AEA6-A453C4C99077}" type="presOf" srcId="{0056A250-127F-4290-88F8-D795B8235C16}" destId="{896C408D-BE79-4AD6-BA59-08E729F1D8E7}" srcOrd="0" destOrd="0" presId="urn:microsoft.com/office/officeart/2005/8/layout/process4"/>
    <dgm:cxn modelId="{CB3625C4-911C-422B-9967-8E810A2709E6}" srcId="{4B83BB03-C0F1-4EF2-8E0C-7A28A71536CD}" destId="{0056A250-127F-4290-88F8-D795B8235C16}" srcOrd="4" destOrd="0" parTransId="{19B67028-2B06-4079-A843-EA56196F919A}" sibTransId="{31CDB937-59E7-4DD7-81BA-DA6C83832222}"/>
    <dgm:cxn modelId="{577851E3-AEEB-46B1-A42D-86B1E2173053}" srcId="{4B83BB03-C0F1-4EF2-8E0C-7A28A71536CD}" destId="{4F0CF029-5A22-4880-8910-A1B4CC0F05E7}" srcOrd="2" destOrd="0" parTransId="{8F3D4EA8-4778-45F5-856E-5FC8AD4E2D62}" sibTransId="{A4084256-3BCA-4880-AEFF-0EB58F27E4AA}"/>
    <dgm:cxn modelId="{329E3301-7DBB-44CF-AF59-9D60F76B5C4E}" type="presParOf" srcId="{03DE1DB6-6FF3-4D1E-83F3-590E47CB7335}" destId="{1BFB23DD-918E-41FF-BBC6-D4BC23CA7B2E}" srcOrd="0" destOrd="0" presId="urn:microsoft.com/office/officeart/2005/8/layout/process4"/>
    <dgm:cxn modelId="{4F0EB80B-A5C9-4E76-B539-434C9977D9E7}" type="presParOf" srcId="{1BFB23DD-918E-41FF-BBC6-D4BC23CA7B2E}" destId="{896C408D-BE79-4AD6-BA59-08E729F1D8E7}" srcOrd="0" destOrd="0" presId="urn:microsoft.com/office/officeart/2005/8/layout/process4"/>
    <dgm:cxn modelId="{F45C2FE2-2297-4354-864F-E44FC881F2C6}" type="presParOf" srcId="{03DE1DB6-6FF3-4D1E-83F3-590E47CB7335}" destId="{1C1F1A0C-4C85-470C-84F5-9E451315BF18}" srcOrd="1" destOrd="0" presId="urn:microsoft.com/office/officeart/2005/8/layout/process4"/>
    <dgm:cxn modelId="{3E084D0F-812D-4F7C-9C7E-5FD4F3F26626}" type="presParOf" srcId="{03DE1DB6-6FF3-4D1E-83F3-590E47CB7335}" destId="{AD79B0D3-B8B7-4F93-BF6B-CE49B96C0DCD}" srcOrd="2" destOrd="0" presId="urn:microsoft.com/office/officeart/2005/8/layout/process4"/>
    <dgm:cxn modelId="{5D10E04C-D04B-4F65-AFD7-76FD6314FEAF}" type="presParOf" srcId="{AD79B0D3-B8B7-4F93-BF6B-CE49B96C0DCD}" destId="{BA44BBF5-28E1-4CB9-BB37-2A24DE084AB3}" srcOrd="0" destOrd="0" presId="urn:microsoft.com/office/officeart/2005/8/layout/process4"/>
    <dgm:cxn modelId="{91232020-E9C0-4EBB-AE30-82BB5925E2A6}" type="presParOf" srcId="{03DE1DB6-6FF3-4D1E-83F3-590E47CB7335}" destId="{BD459B3F-2B0B-43DF-B273-1B89DF38C2B4}" srcOrd="3" destOrd="0" presId="urn:microsoft.com/office/officeart/2005/8/layout/process4"/>
    <dgm:cxn modelId="{962D6D8F-490A-447F-BD31-0D57E8707B06}" type="presParOf" srcId="{03DE1DB6-6FF3-4D1E-83F3-590E47CB7335}" destId="{8CD01D6D-5654-4871-BEEE-D592E9607E89}" srcOrd="4" destOrd="0" presId="urn:microsoft.com/office/officeart/2005/8/layout/process4"/>
    <dgm:cxn modelId="{9AE35229-1D54-410C-81B3-CED4AD39305A}" type="presParOf" srcId="{8CD01D6D-5654-4871-BEEE-D592E9607E89}" destId="{DBC2E732-93A1-48D5-AEDB-A3F9394C1BE7}" srcOrd="0" destOrd="0" presId="urn:microsoft.com/office/officeart/2005/8/layout/process4"/>
    <dgm:cxn modelId="{5CEF7FA1-4461-4289-AE2C-AFB7533D6539}" type="presParOf" srcId="{03DE1DB6-6FF3-4D1E-83F3-590E47CB7335}" destId="{EE9207AA-3C17-40C2-BC8A-272DF039A321}" srcOrd="5" destOrd="0" presId="urn:microsoft.com/office/officeart/2005/8/layout/process4"/>
    <dgm:cxn modelId="{6255BB3C-65E3-47BF-A970-E31E54A2C7D9}" type="presParOf" srcId="{03DE1DB6-6FF3-4D1E-83F3-590E47CB7335}" destId="{6C3F3C50-A082-4D5F-8E2C-259C3CE9224C}" srcOrd="6" destOrd="0" presId="urn:microsoft.com/office/officeart/2005/8/layout/process4"/>
    <dgm:cxn modelId="{9C016F0D-8B52-4BA8-87AF-E21D47A00F2A}" type="presParOf" srcId="{6C3F3C50-A082-4D5F-8E2C-259C3CE9224C}" destId="{F074A6B0-C346-4988-A654-7A607571BE77}" srcOrd="0" destOrd="0" presId="urn:microsoft.com/office/officeart/2005/8/layout/process4"/>
    <dgm:cxn modelId="{D0F06F26-65DA-42BA-A338-B563AC1F1B53}" type="presParOf" srcId="{03DE1DB6-6FF3-4D1E-83F3-590E47CB7335}" destId="{91A492BC-BD05-4A4F-B020-38C2B71B89ED}" srcOrd="7" destOrd="0" presId="urn:microsoft.com/office/officeart/2005/8/layout/process4"/>
    <dgm:cxn modelId="{A03A62A4-2703-4BBF-8B3F-05239080B1E1}" type="presParOf" srcId="{03DE1DB6-6FF3-4D1E-83F3-590E47CB7335}" destId="{C88B7A09-8B69-4D89-B646-DCD9C5465BE3}" srcOrd="8" destOrd="0" presId="urn:microsoft.com/office/officeart/2005/8/layout/process4"/>
    <dgm:cxn modelId="{2062B341-516A-4EDC-B580-2111813204F4}" type="presParOf" srcId="{C88B7A09-8B69-4D89-B646-DCD9C5465BE3}" destId="{4CED0C03-2A98-4E25-BF42-9C9D03775E68}" srcOrd="0" destOrd="0" presId="urn:microsoft.com/office/officeart/2005/8/layout/process4"/>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Группа 1"/>
      <dsp:cNvGrpSpPr/>
    </dsp:nvGrpSpPr>
    <dsp:grpSpPr>
      <a:xfrm>
        <a:off x="0" y="0"/>
        <a:ext cx="5486400" cy="3200400"/>
        <a:chOff x="0" y="0"/>
        <a:chExt cx="5486400" cy="3200400"/>
      </a:xfrm>
    </dsp:grpSpPr>
    <dsp:sp modelId="{1302CE62-C3A0-4C8A-92A9-F3A3DE35A537}">
      <dsp:nvSpPr>
        <dsp:cNvPr id="3" name="Прямоугольник 2"/>
        <dsp:cNvSpPr/>
      </dsp:nvSpPr>
      <dsp:spPr bwMode="white">
        <a:xfrm>
          <a:off x="0" y="2884716"/>
          <a:ext cx="5486400" cy="315684"/>
        </a:xfrm>
        <a:prstGeom prst="rect">
          <a:avLst/>
        </a:prstGeom>
      </dsp:spPr>
      <dsp:style>
        <a:lnRef idx="2">
          <a:schemeClr val="lt1"/>
        </a:lnRef>
        <a:fillRef idx="1">
          <a:schemeClr val="accent1"/>
        </a:fillRef>
        <a:effectRef idx="0">
          <a:scrgbClr r="0" g="0" b="0"/>
        </a:effectRef>
        <a:fontRef idx="minor">
          <a:schemeClr val="lt1"/>
        </a:fontRef>
      </dsp:style>
      <dsp:txBody>
        <a:bodyPr lIns="71120" tIns="71120" rIns="71120" bIns="71120" anchor="ctr"/>
        <a:lstStyle>
          <a:lvl1pPr algn="ctr">
            <a:defRPr sz="1000"/>
          </a:lvl1pPr>
          <a:lvl2pPr marL="57150" indent="-57150" algn="ctr">
            <a:defRPr sz="700"/>
          </a:lvl2pPr>
          <a:lvl3pPr marL="114300" indent="-57150" algn="ctr">
            <a:defRPr sz="700"/>
          </a:lvl3pPr>
          <a:lvl4pPr marL="171450" indent="-57150" algn="ctr">
            <a:defRPr sz="700"/>
          </a:lvl4pPr>
          <a:lvl5pPr marL="228600" indent="-57150" algn="ctr">
            <a:defRPr sz="700"/>
          </a:lvl5pPr>
          <a:lvl6pPr marL="285750" indent="-57150" algn="ctr">
            <a:defRPr sz="700"/>
          </a:lvl6pPr>
          <a:lvl7pPr marL="342900" indent="-57150" algn="ctr">
            <a:defRPr sz="700"/>
          </a:lvl7pPr>
          <a:lvl8pPr marL="400050" indent="-57150" algn="ctr">
            <a:defRPr sz="700"/>
          </a:lvl8pPr>
          <a:lvl9pPr marL="457200" indent="-57150" algn="ctr">
            <a:defRPr sz="700"/>
          </a:lvl9pPr>
        </a:lstStyle>
        <a:p>
          <a:pPr lvl="0">
            <a:lnSpc>
              <a:spcPct val="100000"/>
            </a:lnSpc>
            <a:spcBef>
              <a:spcPct val="0"/>
            </a:spcBef>
            <a:spcAft>
              <a:spcPct val="35000"/>
            </a:spcAft>
            <a:buNone/>
          </a:pPr>
          <a:r>
            <a:rPr lang="en-US"/>
            <a:t>Проблемные активы</a:t>
          </a:r>
        </a:p>
      </dsp:txBody>
      <dsp:txXfrm>
        <a:off x="0" y="2884716"/>
        <a:ext cx="5486400" cy="315684"/>
      </dsp:txXfrm>
    </dsp:sp>
    <dsp:sp modelId="{DD9C1480-A134-47F3-B074-1569A249808A}">
      <dsp:nvSpPr>
        <dsp:cNvPr id="4" name="Выноска со стрелкой вверх 3"/>
        <dsp:cNvSpPr/>
      </dsp:nvSpPr>
      <dsp:spPr bwMode="white">
        <a:xfrm rot="10800000">
          <a:off x="0" y="2403930"/>
          <a:ext cx="5486400" cy="485521"/>
        </a:xfrm>
        <a:prstGeom prst="upArrowCallout">
          <a:avLst/>
        </a:prstGeom>
      </dsp:spPr>
      <dsp:style>
        <a:lnRef idx="2">
          <a:schemeClr val="lt1"/>
        </a:lnRef>
        <a:fillRef idx="1">
          <a:schemeClr val="accent1"/>
        </a:fillRef>
        <a:effectRef idx="0">
          <a:scrgbClr r="0" g="0" b="0"/>
        </a:effectRef>
        <a:fontRef idx="minor">
          <a:schemeClr val="lt1"/>
        </a:fontRef>
      </dsp:style>
      <dsp:txBody>
        <a:bodyPr rot="10800000" lIns="71120" tIns="71120" rIns="71120" bIns="71120" anchor="ctr"/>
        <a:lstStyle>
          <a:lvl1pPr algn="ctr">
            <a:defRPr sz="1000"/>
          </a:lvl1pPr>
          <a:lvl2pPr marL="57150" indent="-57150" algn="ctr">
            <a:defRPr sz="700"/>
          </a:lvl2pPr>
          <a:lvl3pPr marL="114300" indent="-57150" algn="ctr">
            <a:defRPr sz="700"/>
          </a:lvl3pPr>
          <a:lvl4pPr marL="171450" indent="-57150" algn="ctr">
            <a:defRPr sz="700"/>
          </a:lvl4pPr>
          <a:lvl5pPr marL="228600" indent="-57150" algn="ctr">
            <a:defRPr sz="700"/>
          </a:lvl5pPr>
          <a:lvl6pPr marL="285750" indent="-57150" algn="ctr">
            <a:defRPr sz="700"/>
          </a:lvl6pPr>
          <a:lvl7pPr marL="342900" indent="-57150" algn="ctr">
            <a:defRPr sz="700"/>
          </a:lvl7pPr>
          <a:lvl8pPr marL="400050" indent="-57150" algn="ctr">
            <a:defRPr sz="700"/>
          </a:lvl8pPr>
          <a:lvl9pPr marL="457200" indent="-57150" algn="ctr">
            <a:defRPr sz="700"/>
          </a:lvl9pPr>
        </a:lstStyle>
        <a:p>
          <a:pPr lvl="0">
            <a:lnSpc>
              <a:spcPct val="100000"/>
            </a:lnSpc>
            <a:spcBef>
              <a:spcPct val="0"/>
            </a:spcBef>
            <a:spcAft>
              <a:spcPct val="35000"/>
            </a:spcAft>
            <a:buNone/>
          </a:pPr>
          <a:r>
            <a:rPr lang="ru-RU" b="0">
              <a:solidFill>
                <a:sysClr val="window" lastClr="FFFFFF"/>
              </a:solidFill>
              <a:latin typeface="Calibri" panose="020F0502020204030204"/>
              <a:ea typeface="+mn-ea"/>
              <a:cs typeface="+mn-cs"/>
            </a:rPr>
            <a:t>Реструктуризация / Взыскание</a:t>
          </a:r>
          <a:endParaRPr lang="en-US" b="0">
            <a:solidFill>
              <a:sysClr val="window" lastClr="FFFFFF"/>
            </a:solidFill>
            <a:latin typeface="Calibri" panose="020F0502020204030204"/>
            <a:ea typeface="+mn-ea"/>
            <a:cs typeface="+mn-cs"/>
          </a:endParaRPr>
        </a:p>
      </dsp:txBody>
      <dsp:txXfrm rot="10800000">
        <a:off x="0" y="2403930"/>
        <a:ext cx="5486400" cy="485521"/>
      </dsp:txXfrm>
    </dsp:sp>
    <dsp:sp modelId="{1161926F-0C3D-4D45-90ED-8A40DA6C331E}">
      <dsp:nvSpPr>
        <dsp:cNvPr id="5" name="Выноска со стрелкой вверх 4"/>
        <dsp:cNvSpPr/>
      </dsp:nvSpPr>
      <dsp:spPr bwMode="white">
        <a:xfrm rot="10800000">
          <a:off x="0" y="1923144"/>
          <a:ext cx="5486400" cy="485521"/>
        </a:xfrm>
        <a:prstGeom prst="upArrowCallou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hemeClr val="lt1"/>
        </a:lnRef>
        <a:fillRef idx="1">
          <a:schemeClr val="accent1"/>
        </a:fillRef>
        <a:effectRef idx="0">
          <a:scrgbClr r="0" g="0" b="0"/>
        </a:effectRef>
        <a:fontRef idx="minor">
          <a:schemeClr val="lt1"/>
        </a:fontRef>
      </dsp:style>
      <dsp:txBody>
        <a:bodyPr rot="10800000" lIns="71120" tIns="71120" rIns="71120" bIns="71120" anchor="ctr"/>
        <a:lstStyle>
          <a:lvl1pPr algn="ctr">
            <a:defRPr sz="1000"/>
          </a:lvl1pPr>
          <a:lvl2pPr marL="57150" indent="-57150" algn="ctr">
            <a:defRPr sz="700"/>
          </a:lvl2pPr>
          <a:lvl3pPr marL="114300" indent="-57150" algn="ctr">
            <a:defRPr sz="700"/>
          </a:lvl3pPr>
          <a:lvl4pPr marL="171450" indent="-57150" algn="ctr">
            <a:defRPr sz="700"/>
          </a:lvl4pPr>
          <a:lvl5pPr marL="228600" indent="-57150" algn="ctr">
            <a:defRPr sz="700"/>
          </a:lvl5pPr>
          <a:lvl6pPr marL="285750" indent="-57150" algn="ctr">
            <a:defRPr sz="700"/>
          </a:lvl6pPr>
          <a:lvl7pPr marL="342900" indent="-57150" algn="ctr">
            <a:defRPr sz="700"/>
          </a:lvl7pPr>
          <a:lvl8pPr marL="400050" indent="-57150" algn="ctr">
            <a:defRPr sz="700"/>
          </a:lvl8pPr>
          <a:lvl9pPr marL="457200" indent="-57150" algn="ctr">
            <a:defRPr sz="700"/>
          </a:lvl9pPr>
        </a:lstStyle>
        <a:p>
          <a:pPr lvl="0">
            <a:lnSpc>
              <a:spcPct val="100000"/>
            </a:lnSpc>
            <a:spcBef>
              <a:spcPct val="0"/>
            </a:spcBef>
            <a:spcAft>
              <a:spcPct val="35000"/>
            </a:spcAft>
            <a:buNone/>
          </a:pPr>
          <a:r>
            <a:rPr lang="ru-RU" b="0">
              <a:solidFill>
                <a:sysClr val="window" lastClr="FFFFFF"/>
              </a:solidFill>
              <a:latin typeface="Calibri" panose="020F0502020204030204"/>
              <a:ea typeface="+mn-ea"/>
              <a:cs typeface="+mn-cs"/>
            </a:rPr>
            <a:t>Просрочка обязательств</a:t>
          </a:r>
          <a:endParaRPr lang="en-US" b="0">
            <a:solidFill>
              <a:sysClr val="window" lastClr="FFFFFF"/>
            </a:solidFill>
            <a:latin typeface="Calibri" panose="020F0502020204030204"/>
            <a:ea typeface="+mn-ea"/>
            <a:cs typeface="+mn-cs"/>
          </a:endParaRPr>
        </a:p>
      </dsp:txBody>
      <dsp:txXfrm rot="10800000">
        <a:off x="0" y="1923144"/>
        <a:ext cx="5486400" cy="485521"/>
      </dsp:txXfrm>
    </dsp:sp>
    <dsp:sp modelId="{BA44BBF5-28E1-4CB9-BB37-2A24DE084AB3}">
      <dsp:nvSpPr>
        <dsp:cNvPr id="6" name="Выноска со стрелкой вверх 5"/>
        <dsp:cNvSpPr/>
      </dsp:nvSpPr>
      <dsp:spPr bwMode="white">
        <a:xfrm rot="10800000">
          <a:off x="0" y="1442358"/>
          <a:ext cx="5486400" cy="485521"/>
        </a:xfrm>
        <a:prstGeom prst="upArrowCallou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hemeClr val="lt1"/>
        </a:lnRef>
        <a:fillRef idx="1">
          <a:schemeClr val="accent1"/>
        </a:fillRef>
        <a:effectRef idx="0">
          <a:scrgbClr r="0" g="0" b="0"/>
        </a:effectRef>
        <a:fontRef idx="minor">
          <a:schemeClr val="lt1"/>
        </a:fontRef>
      </dsp:style>
      <dsp:txBody>
        <a:bodyPr rot="10800000" lIns="71120" tIns="71120" rIns="71120" bIns="71120" anchor="ctr"/>
        <a:lstStyle>
          <a:lvl1pPr algn="ctr">
            <a:defRPr sz="1000"/>
          </a:lvl1pPr>
          <a:lvl2pPr marL="57150" indent="-57150" algn="ctr">
            <a:defRPr sz="700"/>
          </a:lvl2pPr>
          <a:lvl3pPr marL="114300" indent="-57150" algn="ctr">
            <a:defRPr sz="700"/>
          </a:lvl3pPr>
          <a:lvl4pPr marL="171450" indent="-57150" algn="ctr">
            <a:defRPr sz="700"/>
          </a:lvl4pPr>
          <a:lvl5pPr marL="228600" indent="-57150" algn="ctr">
            <a:defRPr sz="700"/>
          </a:lvl5pPr>
          <a:lvl6pPr marL="285750" indent="-57150" algn="ctr">
            <a:defRPr sz="700"/>
          </a:lvl6pPr>
          <a:lvl7pPr marL="342900" indent="-57150" algn="ctr">
            <a:defRPr sz="700"/>
          </a:lvl7pPr>
          <a:lvl8pPr marL="400050" indent="-57150" algn="ctr">
            <a:defRPr sz="700"/>
          </a:lvl8pPr>
          <a:lvl9pPr marL="457200" indent="-57150" algn="ctr">
            <a:defRPr sz="700"/>
          </a:lvl9pPr>
        </a:lstStyle>
        <a:p>
          <a:pPr lvl="0">
            <a:lnSpc>
              <a:spcPct val="100000"/>
            </a:lnSpc>
            <a:spcBef>
              <a:spcPct val="0"/>
            </a:spcBef>
            <a:spcAft>
              <a:spcPct val="35000"/>
            </a:spcAft>
            <a:buNone/>
          </a:pPr>
          <a:r>
            <a:rPr lang="ru-RU" b="0">
              <a:solidFill>
                <a:sysClr val="window" lastClr="FFFFFF"/>
              </a:solidFill>
              <a:latin typeface="Calibri" panose="020F0502020204030204"/>
              <a:ea typeface="+mn-ea"/>
              <a:cs typeface="+mn-cs"/>
            </a:rPr>
            <a:t>Нарушение денежных потоков</a:t>
          </a:r>
          <a:endParaRPr lang="en-US" b="0">
            <a:solidFill>
              <a:sysClr val="window" lastClr="FFFFFF"/>
            </a:solidFill>
            <a:latin typeface="Calibri" panose="020F0502020204030204"/>
            <a:ea typeface="+mn-ea"/>
            <a:cs typeface="+mn-cs"/>
          </a:endParaRPr>
        </a:p>
      </dsp:txBody>
      <dsp:txXfrm rot="10800000">
        <a:off x="0" y="1442358"/>
        <a:ext cx="5486400" cy="485521"/>
      </dsp:txXfrm>
    </dsp:sp>
    <dsp:sp modelId="{DBC2E732-93A1-48D5-AEDB-A3F9394C1BE7}">
      <dsp:nvSpPr>
        <dsp:cNvPr id="7" name="Выноска со стрелкой вверх 6"/>
        <dsp:cNvSpPr/>
      </dsp:nvSpPr>
      <dsp:spPr bwMode="white">
        <a:xfrm rot="10800000">
          <a:off x="0" y="961572"/>
          <a:ext cx="5486400" cy="485521"/>
        </a:xfrm>
        <a:prstGeom prst="upArrowCallou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hemeClr val="lt1"/>
        </a:lnRef>
        <a:fillRef idx="1">
          <a:schemeClr val="accent1"/>
        </a:fillRef>
        <a:effectRef idx="0">
          <a:scrgbClr r="0" g="0" b="0"/>
        </a:effectRef>
        <a:fontRef idx="minor">
          <a:schemeClr val="lt1"/>
        </a:fontRef>
      </dsp:style>
      <dsp:txBody>
        <a:bodyPr rot="10800000" lIns="71120" tIns="71120" rIns="71120" bIns="71120" anchor="ctr"/>
        <a:lstStyle>
          <a:lvl1pPr algn="ctr">
            <a:defRPr sz="1000"/>
          </a:lvl1pPr>
          <a:lvl2pPr marL="57150" indent="-57150" algn="ctr">
            <a:defRPr sz="700"/>
          </a:lvl2pPr>
          <a:lvl3pPr marL="114300" indent="-57150" algn="ctr">
            <a:defRPr sz="700"/>
          </a:lvl3pPr>
          <a:lvl4pPr marL="171450" indent="-57150" algn="ctr">
            <a:defRPr sz="700"/>
          </a:lvl4pPr>
          <a:lvl5pPr marL="228600" indent="-57150" algn="ctr">
            <a:defRPr sz="700"/>
          </a:lvl5pPr>
          <a:lvl6pPr marL="285750" indent="-57150" algn="ctr">
            <a:defRPr sz="700"/>
          </a:lvl6pPr>
          <a:lvl7pPr marL="342900" indent="-57150" algn="ctr">
            <a:defRPr sz="700"/>
          </a:lvl7pPr>
          <a:lvl8pPr marL="400050" indent="-57150" algn="ctr">
            <a:defRPr sz="700"/>
          </a:lvl8pPr>
          <a:lvl9pPr marL="457200" indent="-57150" algn="ctr">
            <a:defRPr sz="700"/>
          </a:lvl9pPr>
        </a:lstStyle>
        <a:p>
          <a:pPr lvl="0">
            <a:lnSpc>
              <a:spcPct val="100000"/>
            </a:lnSpc>
            <a:spcBef>
              <a:spcPct val="0"/>
            </a:spcBef>
            <a:spcAft>
              <a:spcPct val="35000"/>
            </a:spcAft>
            <a:buNone/>
          </a:pPr>
          <a:r>
            <a:rPr lang="ru-RU">
              <a:solidFill>
                <a:sysClr val="window" lastClr="FFFFFF"/>
              </a:solidFill>
              <a:latin typeface="Calibri" panose="020F0502020204030204"/>
              <a:ea typeface="+mn-ea"/>
              <a:cs typeface="+mn-cs"/>
            </a:rPr>
            <a:t>Неадекватная структура финансирования</a:t>
          </a:r>
          <a:endParaRPr lang="en-US">
            <a:solidFill>
              <a:sysClr val="window" lastClr="FFFFFF"/>
            </a:solidFill>
            <a:latin typeface="Calibri" panose="020F0502020204030204"/>
            <a:ea typeface="+mn-ea"/>
            <a:cs typeface="+mn-cs"/>
          </a:endParaRPr>
        </a:p>
      </dsp:txBody>
      <dsp:txXfrm rot="10800000">
        <a:off x="0" y="961572"/>
        <a:ext cx="5486400" cy="485521"/>
      </dsp:txXfrm>
    </dsp:sp>
    <dsp:sp modelId="{F074A6B0-C346-4988-A654-7A607571BE77}">
      <dsp:nvSpPr>
        <dsp:cNvPr id="8" name="Выноска со стрелкой вверх 7"/>
        <dsp:cNvSpPr/>
      </dsp:nvSpPr>
      <dsp:spPr bwMode="white">
        <a:xfrm rot="10800000">
          <a:off x="0" y="480786"/>
          <a:ext cx="5486400" cy="485521"/>
        </a:xfrm>
        <a:prstGeom prst="upArrowCallou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hemeClr val="lt1"/>
        </a:lnRef>
        <a:fillRef idx="1">
          <a:schemeClr val="accent1"/>
        </a:fillRef>
        <a:effectRef idx="0">
          <a:scrgbClr r="0" g="0" b="0"/>
        </a:effectRef>
        <a:fontRef idx="minor">
          <a:schemeClr val="lt1"/>
        </a:fontRef>
      </dsp:style>
      <dsp:txBody>
        <a:bodyPr rot="10800000" lIns="71120" tIns="71120" rIns="71120" bIns="71120" anchor="ctr"/>
        <a:lstStyle>
          <a:lvl1pPr algn="ctr">
            <a:defRPr sz="1000"/>
          </a:lvl1pPr>
          <a:lvl2pPr marL="57150" indent="-57150" algn="ctr">
            <a:defRPr sz="700"/>
          </a:lvl2pPr>
          <a:lvl3pPr marL="114300" indent="-57150" algn="ctr">
            <a:defRPr sz="700"/>
          </a:lvl3pPr>
          <a:lvl4pPr marL="171450" indent="-57150" algn="ctr">
            <a:defRPr sz="700"/>
          </a:lvl4pPr>
          <a:lvl5pPr marL="228600" indent="-57150" algn="ctr">
            <a:defRPr sz="700"/>
          </a:lvl5pPr>
          <a:lvl6pPr marL="285750" indent="-57150" algn="ctr">
            <a:defRPr sz="700"/>
          </a:lvl6pPr>
          <a:lvl7pPr marL="342900" indent="-57150" algn="ctr">
            <a:defRPr sz="700"/>
          </a:lvl7pPr>
          <a:lvl8pPr marL="400050" indent="-57150" algn="ctr">
            <a:defRPr sz="700"/>
          </a:lvl8pPr>
          <a:lvl9pPr marL="457200" indent="-57150" algn="ctr">
            <a:defRPr sz="700"/>
          </a:lvl9pPr>
        </a:lstStyle>
        <a:p>
          <a:pPr lvl="0">
            <a:lnSpc>
              <a:spcPct val="100000"/>
            </a:lnSpc>
            <a:spcBef>
              <a:spcPct val="0"/>
            </a:spcBef>
            <a:spcAft>
              <a:spcPct val="35000"/>
            </a:spcAft>
            <a:buNone/>
          </a:pPr>
          <a:r>
            <a:rPr lang="ru-RU">
              <a:solidFill>
                <a:sysClr val="window" lastClr="FFFFFF"/>
              </a:solidFill>
              <a:latin typeface="Calibri" panose="020F0502020204030204"/>
              <a:ea typeface="+mn-ea"/>
              <a:cs typeface="+mn-cs"/>
            </a:rPr>
            <a:t>Недооценка жизненного цикла заемщика</a:t>
          </a:r>
          <a:endParaRPr lang="en-US">
            <a:solidFill>
              <a:sysClr val="window" lastClr="FFFFFF"/>
            </a:solidFill>
            <a:latin typeface="Calibri" panose="020F0502020204030204"/>
            <a:ea typeface="+mn-ea"/>
            <a:cs typeface="+mn-cs"/>
          </a:endParaRPr>
        </a:p>
      </dsp:txBody>
      <dsp:txXfrm rot="10800000">
        <a:off x="0" y="480786"/>
        <a:ext cx="5486400" cy="485521"/>
      </dsp:txXfrm>
    </dsp:sp>
    <dsp:sp modelId="{4CED0C03-2A98-4E25-BF42-9C9D03775E68}">
      <dsp:nvSpPr>
        <dsp:cNvPr id="9" name="Выноска со стрелкой вверх 8"/>
        <dsp:cNvSpPr/>
      </dsp:nvSpPr>
      <dsp:spPr bwMode="white">
        <a:xfrm rot="10800000">
          <a:off x="0" y="0"/>
          <a:ext cx="5486400" cy="485521"/>
        </a:xfrm>
        <a:prstGeom prst="upArrowCallou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hemeClr val="lt1"/>
        </a:lnRef>
        <a:fillRef idx="1">
          <a:schemeClr val="accent1"/>
        </a:fillRef>
        <a:effectRef idx="0">
          <a:scrgbClr r="0" g="0" b="0"/>
        </a:effectRef>
        <a:fontRef idx="minor">
          <a:schemeClr val="lt1"/>
        </a:fontRef>
      </dsp:style>
      <dsp:txBody>
        <a:bodyPr rot="10800000" lIns="71120" tIns="71120" rIns="71120" bIns="71120" anchor="ctr"/>
        <a:lstStyle>
          <a:lvl1pPr algn="ctr">
            <a:defRPr sz="1000"/>
          </a:lvl1pPr>
          <a:lvl2pPr marL="57150" indent="-57150" algn="ctr">
            <a:defRPr sz="700"/>
          </a:lvl2pPr>
          <a:lvl3pPr marL="114300" indent="-57150" algn="ctr">
            <a:defRPr sz="700"/>
          </a:lvl3pPr>
          <a:lvl4pPr marL="171450" indent="-57150" algn="ctr">
            <a:defRPr sz="700"/>
          </a:lvl4pPr>
          <a:lvl5pPr marL="228600" indent="-57150" algn="ctr">
            <a:defRPr sz="700"/>
          </a:lvl5pPr>
          <a:lvl6pPr marL="285750" indent="-57150" algn="ctr">
            <a:defRPr sz="700"/>
          </a:lvl6pPr>
          <a:lvl7pPr marL="342900" indent="-57150" algn="ctr">
            <a:defRPr sz="700"/>
          </a:lvl7pPr>
          <a:lvl8pPr marL="400050" indent="-57150" algn="ctr">
            <a:defRPr sz="700"/>
          </a:lvl8pPr>
          <a:lvl9pPr marL="457200" indent="-57150" algn="ctr">
            <a:defRPr sz="700"/>
          </a:lvl9pPr>
        </a:lstStyle>
        <a:p>
          <a:pPr lvl="0">
            <a:lnSpc>
              <a:spcPct val="100000"/>
            </a:lnSpc>
            <a:spcBef>
              <a:spcPct val="0"/>
            </a:spcBef>
            <a:spcAft>
              <a:spcPct val="35000"/>
            </a:spcAft>
            <a:buNone/>
          </a:pPr>
          <a:r>
            <a:rPr lang="ru-RU">
              <a:solidFill>
                <a:sysClr val="window" lastClr="FFFFFF"/>
              </a:solidFill>
              <a:latin typeface="Calibri" panose="020F0502020204030204"/>
              <a:ea typeface="+mn-ea"/>
              <a:cs typeface="+mn-cs"/>
            </a:rPr>
            <a:t>Отсутствие проектного подхода</a:t>
          </a:r>
          <a:endParaRPr lang="en-US">
            <a:solidFill>
              <a:sysClr val="window" lastClr="FFFFFF"/>
            </a:solidFill>
            <a:latin typeface="Calibri" panose="020F0502020204030204"/>
            <a:ea typeface="+mn-ea"/>
            <a:cs typeface="+mn-cs"/>
          </a:endParaRPr>
        </a:p>
      </dsp:txBody>
      <dsp:txXfrm rot="10800000">
        <a:off x="0" y="0"/>
        <a:ext cx="5486400" cy="4855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Группа 1"/>
      <dsp:cNvGrpSpPr/>
    </dsp:nvGrpSpPr>
    <dsp:grpSpPr>
      <a:xfrm>
        <a:off x="0" y="0"/>
        <a:ext cx="5486400" cy="3200400"/>
        <a:chOff x="0" y="0"/>
        <a:chExt cx="5486400" cy="3200400"/>
      </a:xfrm>
    </dsp:grpSpPr>
    <dsp:sp modelId="{896C408D-BE79-4AD6-BA59-08E729F1D8E7}">
      <dsp:nvSpPr>
        <dsp:cNvPr id="3" name="Прямоугольник 2"/>
        <dsp:cNvSpPr/>
      </dsp:nvSpPr>
      <dsp:spPr bwMode="white">
        <a:xfrm>
          <a:off x="0" y="2749131"/>
          <a:ext cx="5486400" cy="451269"/>
        </a:xfrm>
        <a:prstGeom prst="rect">
          <a:avLst/>
        </a:prstGeom>
      </dsp:spPr>
      <dsp:style>
        <a:lnRef idx="2">
          <a:schemeClr val="lt1"/>
        </a:lnRef>
        <a:fillRef idx="1">
          <a:schemeClr val="accent1"/>
        </a:fillRef>
        <a:effectRef idx="0">
          <a:scrgbClr r="0" g="0" b="0"/>
        </a:effectRef>
        <a:fontRef idx="minor">
          <a:schemeClr val="lt1"/>
        </a:fontRef>
      </dsp:style>
      <dsp:txBody>
        <a:bodyPr lIns="106680" tIns="106680" rIns="106680" bIns="106680" anchor="ctr"/>
        <a:lstStyle>
          <a:lvl1pPr algn="ctr">
            <a:defRPr sz="1500"/>
          </a:lvl1pPr>
          <a:lvl2pPr marL="57150" indent="-57150" algn="ctr">
            <a:defRPr sz="1100"/>
          </a:lvl2pPr>
          <a:lvl3pPr marL="114300" indent="-57150" algn="ctr">
            <a:defRPr sz="1100"/>
          </a:lvl3pPr>
          <a:lvl4pPr marL="171450" indent="-57150" algn="ctr">
            <a:defRPr sz="1100"/>
          </a:lvl4pPr>
          <a:lvl5pPr marL="228600" indent="-57150" algn="ctr">
            <a:defRPr sz="1100"/>
          </a:lvl5pPr>
          <a:lvl6pPr marL="285750" indent="-57150" algn="ctr">
            <a:defRPr sz="1100"/>
          </a:lvl6pPr>
          <a:lvl7pPr marL="342900" indent="-57150" algn="ctr">
            <a:defRPr sz="1100"/>
          </a:lvl7pPr>
          <a:lvl8pPr marL="400050" indent="-57150" algn="ctr">
            <a:defRPr sz="1100"/>
          </a:lvl8pPr>
          <a:lvl9pPr marL="457200" indent="-57150" algn="ctr">
            <a:defRPr sz="1100"/>
          </a:lvl9pPr>
        </a:lstStyle>
        <a:p>
          <a:pPr lvl="0">
            <a:lnSpc>
              <a:spcPct val="100000"/>
            </a:lnSpc>
            <a:spcBef>
              <a:spcPct val="0"/>
            </a:spcBef>
            <a:spcAft>
              <a:spcPct val="35000"/>
            </a:spcAft>
            <a:buNone/>
          </a:pPr>
          <a:r>
            <a:rPr lang="ru-RU" b="0"/>
            <a:t>Списание / Ликвидация</a:t>
          </a:r>
          <a:endParaRPr lang="en-US" b="0"/>
        </a:p>
      </dsp:txBody>
      <dsp:txXfrm>
        <a:off x="0" y="2749131"/>
        <a:ext cx="5486400" cy="451269"/>
      </dsp:txXfrm>
    </dsp:sp>
    <dsp:sp modelId="{BA44BBF5-28E1-4CB9-BB37-2A24DE084AB3}">
      <dsp:nvSpPr>
        <dsp:cNvPr id="4" name="Выноска со стрелкой вверх 3"/>
        <dsp:cNvSpPr/>
      </dsp:nvSpPr>
      <dsp:spPr bwMode="white">
        <a:xfrm rot="10800000">
          <a:off x="0" y="2061848"/>
          <a:ext cx="5486400" cy="694052"/>
        </a:xfrm>
        <a:prstGeom prst="upArrowCallout">
          <a:avLst/>
        </a:prstGeom>
      </dsp:spPr>
      <dsp:style>
        <a:lnRef idx="2">
          <a:schemeClr val="lt1"/>
        </a:lnRef>
        <a:fillRef idx="1">
          <a:schemeClr val="accent1"/>
        </a:fillRef>
        <a:effectRef idx="0">
          <a:scrgbClr r="0" g="0" b="0"/>
        </a:effectRef>
        <a:fontRef idx="minor">
          <a:schemeClr val="lt1"/>
        </a:fontRef>
      </dsp:style>
      <dsp:txBody>
        <a:bodyPr rot="10800000" lIns="106680" tIns="106680" rIns="106680" bIns="106680" anchor="ctr"/>
        <a:lstStyle>
          <a:lvl1pPr algn="ctr">
            <a:defRPr sz="1500"/>
          </a:lvl1pPr>
          <a:lvl2pPr marL="57150" indent="-57150" algn="ctr">
            <a:defRPr sz="1100"/>
          </a:lvl2pPr>
          <a:lvl3pPr marL="114300" indent="-57150" algn="ctr">
            <a:defRPr sz="1100"/>
          </a:lvl3pPr>
          <a:lvl4pPr marL="171450" indent="-57150" algn="ctr">
            <a:defRPr sz="1100"/>
          </a:lvl4pPr>
          <a:lvl5pPr marL="228600" indent="-57150" algn="ctr">
            <a:defRPr sz="1100"/>
          </a:lvl5pPr>
          <a:lvl6pPr marL="285750" indent="-57150" algn="ctr">
            <a:defRPr sz="1100"/>
          </a:lvl6pPr>
          <a:lvl7pPr marL="342900" indent="-57150" algn="ctr">
            <a:defRPr sz="1100"/>
          </a:lvl7pPr>
          <a:lvl8pPr marL="400050" indent="-57150" algn="ctr">
            <a:defRPr sz="1100"/>
          </a:lvl8pPr>
          <a:lvl9pPr marL="457200" indent="-57150" algn="ctr">
            <a:defRPr sz="1100"/>
          </a:lvl9pPr>
        </a:lstStyle>
        <a:p>
          <a:pPr lvl="0">
            <a:lnSpc>
              <a:spcPct val="100000"/>
            </a:lnSpc>
            <a:spcBef>
              <a:spcPct val="0"/>
            </a:spcBef>
            <a:spcAft>
              <a:spcPct val="35000"/>
            </a:spcAft>
            <a:buNone/>
          </a:pPr>
          <a:r>
            <a:rPr lang="ru-RU" b="0"/>
            <a:t>Реструктуризация / Взыскание</a:t>
          </a:r>
          <a:endParaRPr lang="en-US" b="0"/>
        </a:p>
      </dsp:txBody>
      <dsp:txXfrm rot="10800000">
        <a:off x="0" y="2061848"/>
        <a:ext cx="5486400" cy="694052"/>
      </dsp:txXfrm>
    </dsp:sp>
    <dsp:sp modelId="{DBC2E732-93A1-48D5-AEDB-A3F9394C1BE7}">
      <dsp:nvSpPr>
        <dsp:cNvPr id="5" name="Выноска со стрелкой вверх 4"/>
        <dsp:cNvSpPr/>
      </dsp:nvSpPr>
      <dsp:spPr bwMode="white">
        <a:xfrm rot="10800000">
          <a:off x="0" y="1374565"/>
          <a:ext cx="5486400" cy="694052"/>
        </a:xfrm>
        <a:prstGeom prst="upArrowCallout">
          <a:avLst/>
        </a:prstGeom>
      </dsp:spPr>
      <dsp:style>
        <a:lnRef idx="2">
          <a:schemeClr val="lt1"/>
        </a:lnRef>
        <a:fillRef idx="1">
          <a:schemeClr val="accent1"/>
        </a:fillRef>
        <a:effectRef idx="0">
          <a:scrgbClr r="0" g="0" b="0"/>
        </a:effectRef>
        <a:fontRef idx="minor">
          <a:schemeClr val="lt1"/>
        </a:fontRef>
      </dsp:style>
      <dsp:txBody>
        <a:bodyPr rot="10800000" lIns="106680" tIns="106680" rIns="106680" bIns="106680" anchor="ctr"/>
        <a:lstStyle>
          <a:lvl1pPr algn="ctr">
            <a:defRPr sz="1500"/>
          </a:lvl1pPr>
          <a:lvl2pPr marL="57150" indent="-57150" algn="ctr">
            <a:defRPr sz="1100"/>
          </a:lvl2pPr>
          <a:lvl3pPr marL="114300" indent="-57150" algn="ctr">
            <a:defRPr sz="1100"/>
          </a:lvl3pPr>
          <a:lvl4pPr marL="171450" indent="-57150" algn="ctr">
            <a:defRPr sz="1100"/>
          </a:lvl4pPr>
          <a:lvl5pPr marL="228600" indent="-57150" algn="ctr">
            <a:defRPr sz="1100"/>
          </a:lvl5pPr>
          <a:lvl6pPr marL="285750" indent="-57150" algn="ctr">
            <a:defRPr sz="1100"/>
          </a:lvl6pPr>
          <a:lvl7pPr marL="342900" indent="-57150" algn="ctr">
            <a:defRPr sz="1100"/>
          </a:lvl7pPr>
          <a:lvl8pPr marL="400050" indent="-57150" algn="ctr">
            <a:defRPr sz="1100"/>
          </a:lvl8pPr>
          <a:lvl9pPr marL="457200" indent="-57150" algn="ctr">
            <a:defRPr sz="1100"/>
          </a:lvl9pPr>
        </a:lstStyle>
        <a:p>
          <a:pPr lvl="0">
            <a:lnSpc>
              <a:spcPct val="100000"/>
            </a:lnSpc>
            <a:spcBef>
              <a:spcPct val="0"/>
            </a:spcBef>
            <a:spcAft>
              <a:spcPct val="35000"/>
            </a:spcAft>
            <a:buNone/>
          </a:pPr>
          <a:r>
            <a:rPr lang="ru-RU"/>
            <a:t>Резервирование</a:t>
          </a:r>
          <a:endParaRPr lang="en-US"/>
        </a:p>
      </dsp:txBody>
      <dsp:txXfrm rot="10800000">
        <a:off x="0" y="1374565"/>
        <a:ext cx="5486400" cy="694052"/>
      </dsp:txXfrm>
    </dsp:sp>
    <dsp:sp modelId="{F074A6B0-C346-4988-A654-7A607571BE77}">
      <dsp:nvSpPr>
        <dsp:cNvPr id="6" name="Выноска со стрелкой вверх 5"/>
        <dsp:cNvSpPr/>
      </dsp:nvSpPr>
      <dsp:spPr bwMode="white">
        <a:xfrm rot="10800000">
          <a:off x="0" y="687283"/>
          <a:ext cx="5486400" cy="694052"/>
        </a:xfrm>
        <a:prstGeom prst="upArrowCallout">
          <a:avLst/>
        </a:prstGeom>
      </dsp:spPr>
      <dsp:style>
        <a:lnRef idx="2">
          <a:schemeClr val="lt1"/>
        </a:lnRef>
        <a:fillRef idx="1">
          <a:schemeClr val="accent1"/>
        </a:fillRef>
        <a:effectRef idx="0">
          <a:scrgbClr r="0" g="0" b="0"/>
        </a:effectRef>
        <a:fontRef idx="minor">
          <a:schemeClr val="lt1"/>
        </a:fontRef>
      </dsp:style>
      <dsp:txBody>
        <a:bodyPr rot="10800000" lIns="106680" tIns="106680" rIns="106680" bIns="106680" anchor="ctr"/>
        <a:lstStyle>
          <a:lvl1pPr algn="ctr">
            <a:defRPr sz="1500"/>
          </a:lvl1pPr>
          <a:lvl2pPr marL="57150" indent="-57150" algn="ctr">
            <a:defRPr sz="1100"/>
          </a:lvl2pPr>
          <a:lvl3pPr marL="114300" indent="-57150" algn="ctr">
            <a:defRPr sz="1100"/>
          </a:lvl3pPr>
          <a:lvl4pPr marL="171450" indent="-57150" algn="ctr">
            <a:defRPr sz="1100"/>
          </a:lvl4pPr>
          <a:lvl5pPr marL="228600" indent="-57150" algn="ctr">
            <a:defRPr sz="1100"/>
          </a:lvl5pPr>
          <a:lvl6pPr marL="285750" indent="-57150" algn="ctr">
            <a:defRPr sz="1100"/>
          </a:lvl6pPr>
          <a:lvl7pPr marL="342900" indent="-57150" algn="ctr">
            <a:defRPr sz="1100"/>
          </a:lvl7pPr>
          <a:lvl8pPr marL="400050" indent="-57150" algn="ctr">
            <a:defRPr sz="1100"/>
          </a:lvl8pPr>
          <a:lvl9pPr marL="457200" indent="-57150" algn="ctr">
            <a:defRPr sz="1100"/>
          </a:lvl9pPr>
        </a:lstStyle>
        <a:p>
          <a:pPr lvl="0">
            <a:lnSpc>
              <a:spcPct val="100000"/>
            </a:lnSpc>
            <a:spcBef>
              <a:spcPct val="0"/>
            </a:spcBef>
            <a:spcAft>
              <a:spcPct val="35000"/>
            </a:spcAft>
            <a:buNone/>
          </a:pPr>
          <a:r>
            <a:rPr lang="ru-RU"/>
            <a:t>Классификация</a:t>
          </a:r>
          <a:endParaRPr lang="en-US"/>
        </a:p>
      </dsp:txBody>
      <dsp:txXfrm rot="10800000">
        <a:off x="0" y="687283"/>
        <a:ext cx="5486400" cy="694052"/>
      </dsp:txXfrm>
    </dsp:sp>
    <dsp:sp modelId="{4CED0C03-2A98-4E25-BF42-9C9D03775E68}">
      <dsp:nvSpPr>
        <dsp:cNvPr id="7" name="Выноска со стрелкой вверх 6"/>
        <dsp:cNvSpPr/>
      </dsp:nvSpPr>
      <dsp:spPr bwMode="white">
        <a:xfrm rot="10800000">
          <a:off x="0" y="0"/>
          <a:ext cx="5486400" cy="694052"/>
        </a:xfrm>
        <a:prstGeom prst="upArrowCallout">
          <a:avLst/>
        </a:prstGeom>
      </dsp:spPr>
      <dsp:style>
        <a:lnRef idx="2">
          <a:schemeClr val="lt1"/>
        </a:lnRef>
        <a:fillRef idx="1">
          <a:schemeClr val="accent1"/>
        </a:fillRef>
        <a:effectRef idx="0">
          <a:scrgbClr r="0" g="0" b="0"/>
        </a:effectRef>
        <a:fontRef idx="minor">
          <a:schemeClr val="lt1"/>
        </a:fontRef>
      </dsp:style>
      <dsp:txBody>
        <a:bodyPr rot="10800000" lIns="106680" tIns="106680" rIns="106680" bIns="106680" anchor="ctr"/>
        <a:lstStyle>
          <a:lvl1pPr algn="ctr">
            <a:defRPr sz="1500"/>
          </a:lvl1pPr>
          <a:lvl2pPr marL="57150" indent="-57150" algn="ctr">
            <a:defRPr sz="1100"/>
          </a:lvl2pPr>
          <a:lvl3pPr marL="114300" indent="-57150" algn="ctr">
            <a:defRPr sz="1100"/>
          </a:lvl3pPr>
          <a:lvl4pPr marL="171450" indent="-57150" algn="ctr">
            <a:defRPr sz="1100"/>
          </a:lvl4pPr>
          <a:lvl5pPr marL="228600" indent="-57150" algn="ctr">
            <a:defRPr sz="1100"/>
          </a:lvl5pPr>
          <a:lvl6pPr marL="285750" indent="-57150" algn="ctr">
            <a:defRPr sz="1100"/>
          </a:lvl6pPr>
          <a:lvl7pPr marL="342900" indent="-57150" algn="ctr">
            <a:defRPr sz="1100"/>
          </a:lvl7pPr>
          <a:lvl8pPr marL="400050" indent="-57150" algn="ctr">
            <a:defRPr sz="1100"/>
          </a:lvl8pPr>
          <a:lvl9pPr marL="457200" indent="-57150" algn="ctr">
            <a:defRPr sz="1100"/>
          </a:lvl9pPr>
        </a:lstStyle>
        <a:p>
          <a:pPr lvl="0">
            <a:lnSpc>
              <a:spcPct val="100000"/>
            </a:lnSpc>
            <a:spcBef>
              <a:spcPct val="0"/>
            </a:spcBef>
            <a:spcAft>
              <a:spcPct val="35000"/>
            </a:spcAft>
            <a:buNone/>
          </a:pPr>
          <a:r>
            <a:rPr lang="ru-RU"/>
            <a:t>Просрочка</a:t>
          </a:r>
          <a:endParaRPr lang="en-US"/>
        </a:p>
      </dsp:txBody>
      <dsp:txXfrm rot="10800000">
        <a:off x="0" y="0"/>
        <a:ext cx="5486400" cy="694052"/>
      </dsp:txXfrm>
    </dsp:sp>
  </dsp:spTree>
</dsp:drawing>
</file>

<file path=word/diagrams/drawing3.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Группа 1"/>
      <dsp:cNvGrpSpPr/>
    </dsp:nvGrpSpPr>
    <dsp:grpSpPr>
      <a:xfrm>
        <a:off x="0" y="0"/>
        <a:ext cx="5772150" cy="3200400"/>
        <a:chOff x="0" y="0"/>
        <a:chExt cx="5772150" cy="3200400"/>
      </a:xfrm>
    </dsp:grpSpPr>
    <dsp:sp modelId="{896C408D-BE79-4AD6-BA59-08E729F1D8E7}">
      <dsp:nvSpPr>
        <dsp:cNvPr id="3" name="Прямоугольник 2"/>
        <dsp:cNvSpPr/>
      </dsp:nvSpPr>
      <dsp:spPr bwMode="white">
        <a:xfrm>
          <a:off x="0" y="2749131"/>
          <a:ext cx="5772150" cy="451269"/>
        </a:xfrm>
        <a:prstGeom prst="rect">
          <a:avLst/>
        </a:prstGeom>
      </dsp:spPr>
      <dsp:style>
        <a:lnRef idx="2">
          <a:schemeClr val="lt1"/>
        </a:lnRef>
        <a:fillRef idx="1">
          <a:schemeClr val="accent1"/>
        </a:fillRef>
        <a:effectRef idx="0">
          <a:scrgbClr r="0" g="0" b="0"/>
        </a:effectRef>
        <a:fontRef idx="minor">
          <a:schemeClr val="lt1"/>
        </a:fontRef>
      </dsp:style>
      <dsp:txBody>
        <a:bodyPr lIns="106680" tIns="106680" rIns="106680" bIns="106680" anchor="ctr"/>
        <a:lstStyle>
          <a:lvl1pPr algn="ctr">
            <a:defRPr sz="1500"/>
          </a:lvl1pPr>
          <a:lvl2pPr marL="57150" indent="-57150" algn="ctr">
            <a:defRPr sz="1100"/>
          </a:lvl2pPr>
          <a:lvl3pPr marL="114300" indent="-57150" algn="ctr">
            <a:defRPr sz="1100"/>
          </a:lvl3pPr>
          <a:lvl4pPr marL="171450" indent="-57150" algn="ctr">
            <a:defRPr sz="1100"/>
          </a:lvl4pPr>
          <a:lvl5pPr marL="228600" indent="-57150" algn="ctr">
            <a:defRPr sz="1100"/>
          </a:lvl5pPr>
          <a:lvl6pPr marL="285750" indent="-57150" algn="ctr">
            <a:defRPr sz="1100"/>
          </a:lvl6pPr>
          <a:lvl7pPr marL="342900" indent="-57150" algn="ctr">
            <a:defRPr sz="1100"/>
          </a:lvl7pPr>
          <a:lvl8pPr marL="400050" indent="-57150" algn="ctr">
            <a:defRPr sz="1100"/>
          </a:lvl8pPr>
          <a:lvl9pPr marL="457200" indent="-57150" algn="ctr">
            <a:defRPr sz="1100"/>
          </a:lvl9pPr>
        </a:lstStyle>
        <a:p>
          <a:pPr lvl="0" algn="ctr">
            <a:lnSpc>
              <a:spcPct val="100000"/>
            </a:lnSpc>
            <a:spcBef>
              <a:spcPct val="0"/>
            </a:spcBef>
            <a:spcAft>
              <a:spcPct val="35000"/>
            </a:spcAft>
            <a:buNone/>
          </a:pPr>
          <a:r>
            <a:rPr lang="en-US" b="0"/>
            <a:t>Сохранение проблемной структуры активов</a:t>
          </a:r>
        </a:p>
      </dsp:txBody>
      <dsp:txXfrm>
        <a:off x="0" y="2749131"/>
        <a:ext cx="5772150" cy="451269"/>
      </dsp:txXfrm>
    </dsp:sp>
    <dsp:sp modelId="{BA44BBF5-28E1-4CB9-BB37-2A24DE084AB3}">
      <dsp:nvSpPr>
        <dsp:cNvPr id="4" name="Выноска со стрелкой вверх 3"/>
        <dsp:cNvSpPr/>
      </dsp:nvSpPr>
      <dsp:spPr bwMode="white">
        <a:xfrm rot="10800000">
          <a:off x="0" y="2061848"/>
          <a:ext cx="5772150" cy="694052"/>
        </a:xfrm>
        <a:prstGeom prst="upArrowCallout">
          <a:avLst/>
        </a:prstGeom>
      </dsp:spPr>
      <dsp:style>
        <a:lnRef idx="2">
          <a:schemeClr val="lt1"/>
        </a:lnRef>
        <a:fillRef idx="1">
          <a:schemeClr val="accent1"/>
        </a:fillRef>
        <a:effectRef idx="0">
          <a:scrgbClr r="0" g="0" b="0"/>
        </a:effectRef>
        <a:fontRef idx="minor">
          <a:schemeClr val="lt1"/>
        </a:fontRef>
      </dsp:style>
      <dsp:txBody>
        <a:bodyPr rot="10800000" lIns="106680" tIns="106680" rIns="106680" bIns="106680" anchor="ctr"/>
        <a:lstStyle>
          <a:lvl1pPr algn="ctr">
            <a:defRPr sz="1500"/>
          </a:lvl1pPr>
          <a:lvl2pPr marL="57150" indent="-57150" algn="ctr">
            <a:defRPr sz="1100"/>
          </a:lvl2pPr>
          <a:lvl3pPr marL="114300" indent="-57150" algn="ctr">
            <a:defRPr sz="1100"/>
          </a:lvl3pPr>
          <a:lvl4pPr marL="171450" indent="-57150" algn="ctr">
            <a:defRPr sz="1100"/>
          </a:lvl4pPr>
          <a:lvl5pPr marL="228600" indent="-57150" algn="ctr">
            <a:defRPr sz="1100"/>
          </a:lvl5pPr>
          <a:lvl6pPr marL="285750" indent="-57150" algn="ctr">
            <a:defRPr sz="1100"/>
          </a:lvl6pPr>
          <a:lvl7pPr marL="342900" indent="-57150" algn="ctr">
            <a:defRPr sz="1100"/>
          </a:lvl7pPr>
          <a:lvl8pPr marL="400050" indent="-57150" algn="ctr">
            <a:defRPr sz="1100"/>
          </a:lvl8pPr>
          <a:lvl9pPr marL="457200" indent="-57150" algn="ctr">
            <a:defRPr sz="1100"/>
          </a:lvl9pPr>
        </a:lstStyle>
        <a:p>
          <a:pPr lvl="0" algn="ctr">
            <a:lnSpc>
              <a:spcPct val="100000"/>
            </a:lnSpc>
            <a:spcBef>
              <a:spcPct val="0"/>
            </a:spcBef>
            <a:spcAft>
              <a:spcPct val="35000"/>
            </a:spcAft>
            <a:buNone/>
          </a:pPr>
          <a:r>
            <a:rPr lang="ru-RU" b="0"/>
            <a:t>Формальное снижение </a:t>
          </a:r>
          <a:r>
            <a:rPr lang="en-US" b="0"/>
            <a:t>NPL</a:t>
          </a:r>
        </a:p>
      </dsp:txBody>
      <dsp:txXfrm rot="10800000">
        <a:off x="0" y="2061848"/>
        <a:ext cx="5772150" cy="694052"/>
      </dsp:txXfrm>
    </dsp:sp>
    <dsp:sp modelId="{DBC2E732-93A1-48D5-AEDB-A3F9394C1BE7}">
      <dsp:nvSpPr>
        <dsp:cNvPr id="5" name="Выноска со стрелкой вверх 4"/>
        <dsp:cNvSpPr/>
      </dsp:nvSpPr>
      <dsp:spPr bwMode="white">
        <a:xfrm rot="10800000">
          <a:off x="0" y="1374565"/>
          <a:ext cx="5772150" cy="694052"/>
        </a:xfrm>
        <a:prstGeom prst="upArrowCallout">
          <a:avLst/>
        </a:prstGeom>
      </dsp:spPr>
      <dsp:style>
        <a:lnRef idx="2">
          <a:schemeClr val="lt1"/>
        </a:lnRef>
        <a:fillRef idx="1">
          <a:schemeClr val="accent1"/>
        </a:fillRef>
        <a:effectRef idx="0">
          <a:scrgbClr r="0" g="0" b="0"/>
        </a:effectRef>
        <a:fontRef idx="minor">
          <a:schemeClr val="lt1"/>
        </a:fontRef>
      </dsp:style>
      <dsp:txBody>
        <a:bodyPr rot="10800000" lIns="106680" tIns="106680" rIns="106680" bIns="106680" anchor="ctr"/>
        <a:lstStyle>
          <a:lvl1pPr algn="ctr">
            <a:defRPr sz="1500"/>
          </a:lvl1pPr>
          <a:lvl2pPr marL="57150" indent="-57150" algn="ctr">
            <a:defRPr sz="1100"/>
          </a:lvl2pPr>
          <a:lvl3pPr marL="114300" indent="-57150" algn="ctr">
            <a:defRPr sz="1100"/>
          </a:lvl3pPr>
          <a:lvl4pPr marL="171450" indent="-57150" algn="ctr">
            <a:defRPr sz="1100"/>
          </a:lvl4pPr>
          <a:lvl5pPr marL="228600" indent="-57150" algn="ctr">
            <a:defRPr sz="1100"/>
          </a:lvl5pPr>
          <a:lvl6pPr marL="285750" indent="-57150" algn="ctr">
            <a:defRPr sz="1100"/>
          </a:lvl6pPr>
          <a:lvl7pPr marL="342900" indent="-57150" algn="ctr">
            <a:defRPr sz="1100"/>
          </a:lvl7pPr>
          <a:lvl8pPr marL="400050" indent="-57150" algn="ctr">
            <a:defRPr sz="1100"/>
          </a:lvl8pPr>
          <a:lvl9pPr marL="457200" indent="-57150" algn="ctr">
            <a:defRPr sz="1100"/>
          </a:lvl9pPr>
        </a:lstStyle>
        <a:p>
          <a:pPr lvl="0" algn="ctr">
            <a:lnSpc>
              <a:spcPct val="100000"/>
            </a:lnSpc>
            <a:spcBef>
              <a:spcPct val="0"/>
            </a:spcBef>
            <a:spcAft>
              <a:spcPct val="35000"/>
            </a:spcAft>
            <a:buNone/>
          </a:pPr>
          <a:r>
            <a:rPr lang="ru-RU"/>
            <a:t>Реактивные регуляторные меры</a:t>
          </a:r>
          <a:endParaRPr lang="en-US"/>
        </a:p>
      </dsp:txBody>
      <dsp:txXfrm rot="10800000">
        <a:off x="0" y="1374565"/>
        <a:ext cx="5772150" cy="694052"/>
      </dsp:txXfrm>
    </dsp:sp>
    <dsp:sp modelId="{F074A6B0-C346-4988-A654-7A607571BE77}">
      <dsp:nvSpPr>
        <dsp:cNvPr id="6" name="Выноска со стрелкой вверх 5"/>
        <dsp:cNvSpPr/>
      </dsp:nvSpPr>
      <dsp:spPr bwMode="white">
        <a:xfrm rot="10800000">
          <a:off x="0" y="687283"/>
          <a:ext cx="5772150" cy="694052"/>
        </a:xfrm>
        <a:prstGeom prst="upArrowCallout">
          <a:avLst/>
        </a:prstGeom>
      </dsp:spPr>
      <dsp:style>
        <a:lnRef idx="2">
          <a:schemeClr val="lt1"/>
        </a:lnRef>
        <a:fillRef idx="1">
          <a:schemeClr val="accent1"/>
        </a:fillRef>
        <a:effectRef idx="0">
          <a:scrgbClr r="0" g="0" b="0"/>
        </a:effectRef>
        <a:fontRef idx="minor">
          <a:schemeClr val="lt1"/>
        </a:fontRef>
      </dsp:style>
      <dsp:txBody>
        <a:bodyPr rot="10800000" lIns="106680" tIns="106680" rIns="106680" bIns="106680" anchor="ctr"/>
        <a:lstStyle>
          <a:lvl1pPr algn="ctr">
            <a:defRPr sz="1500"/>
          </a:lvl1pPr>
          <a:lvl2pPr marL="57150" indent="-57150" algn="ctr">
            <a:defRPr sz="1100"/>
          </a:lvl2pPr>
          <a:lvl3pPr marL="114300" indent="-57150" algn="ctr">
            <a:defRPr sz="1100"/>
          </a:lvl3pPr>
          <a:lvl4pPr marL="171450" indent="-57150" algn="ctr">
            <a:defRPr sz="1100"/>
          </a:lvl4pPr>
          <a:lvl5pPr marL="228600" indent="-57150" algn="ctr">
            <a:defRPr sz="1100"/>
          </a:lvl5pPr>
          <a:lvl6pPr marL="285750" indent="-57150" algn="ctr">
            <a:defRPr sz="1100"/>
          </a:lvl6pPr>
          <a:lvl7pPr marL="342900" indent="-57150" algn="ctr">
            <a:defRPr sz="1100"/>
          </a:lvl7pPr>
          <a:lvl8pPr marL="400050" indent="-57150" algn="ctr">
            <a:defRPr sz="1100"/>
          </a:lvl8pPr>
          <a:lvl9pPr marL="457200" indent="-57150" algn="ctr">
            <a:defRPr sz="1100"/>
          </a:lvl9pPr>
        </a:lstStyle>
        <a:p>
          <a:pPr lvl="0" algn="ctr">
            <a:lnSpc>
              <a:spcPct val="100000"/>
            </a:lnSpc>
            <a:spcBef>
              <a:spcPct val="0"/>
            </a:spcBef>
            <a:spcAft>
              <a:spcPct val="35000"/>
            </a:spcAft>
            <a:buNone/>
          </a:pPr>
          <a:r>
            <a:rPr lang="ru-RU"/>
            <a:t>Рост кредитных рисков</a:t>
          </a:r>
          <a:endParaRPr lang="en-US"/>
        </a:p>
      </dsp:txBody>
      <dsp:txXfrm rot="10800000">
        <a:off x="0" y="687283"/>
        <a:ext cx="5772150" cy="694052"/>
      </dsp:txXfrm>
    </dsp:sp>
    <dsp:sp modelId="{4CED0C03-2A98-4E25-BF42-9C9D03775E68}">
      <dsp:nvSpPr>
        <dsp:cNvPr id="7" name="Выноска со стрелкой вверх 6"/>
        <dsp:cNvSpPr/>
      </dsp:nvSpPr>
      <dsp:spPr bwMode="white">
        <a:xfrm rot="10800000">
          <a:off x="0" y="0"/>
          <a:ext cx="5772150" cy="694052"/>
        </a:xfrm>
        <a:prstGeom prst="upArrowCallout">
          <a:avLst/>
        </a:prstGeom>
      </dsp:spPr>
      <dsp:style>
        <a:lnRef idx="2">
          <a:schemeClr val="lt1"/>
        </a:lnRef>
        <a:fillRef idx="1">
          <a:schemeClr val="accent1"/>
        </a:fillRef>
        <a:effectRef idx="0">
          <a:scrgbClr r="0" g="0" b="0"/>
        </a:effectRef>
        <a:fontRef idx="minor">
          <a:schemeClr val="lt1"/>
        </a:fontRef>
      </dsp:style>
      <dsp:txBody>
        <a:bodyPr rot="10800000" lIns="106680" tIns="106680" rIns="106680" bIns="106680" anchor="ctr"/>
        <a:lstStyle>
          <a:lvl1pPr algn="ctr">
            <a:defRPr sz="1500"/>
          </a:lvl1pPr>
          <a:lvl2pPr marL="57150" indent="-57150" algn="ctr">
            <a:defRPr sz="1100"/>
          </a:lvl2pPr>
          <a:lvl3pPr marL="114300" indent="-57150" algn="ctr">
            <a:defRPr sz="1100"/>
          </a:lvl3pPr>
          <a:lvl4pPr marL="171450" indent="-57150" algn="ctr">
            <a:defRPr sz="1100"/>
          </a:lvl4pPr>
          <a:lvl5pPr marL="228600" indent="-57150" algn="ctr">
            <a:defRPr sz="1100"/>
          </a:lvl5pPr>
          <a:lvl6pPr marL="285750" indent="-57150" algn="ctr">
            <a:defRPr sz="1100"/>
          </a:lvl6pPr>
          <a:lvl7pPr marL="342900" indent="-57150" algn="ctr">
            <a:defRPr sz="1100"/>
          </a:lvl7pPr>
          <a:lvl8pPr marL="400050" indent="-57150" algn="ctr">
            <a:defRPr sz="1100"/>
          </a:lvl8pPr>
          <a:lvl9pPr marL="457200" indent="-57150" algn="ctr">
            <a:defRPr sz="1100"/>
          </a:lvl9pPr>
        </a:lstStyle>
        <a:p>
          <a:pPr lvl="0" algn="ctr">
            <a:lnSpc>
              <a:spcPct val="100000"/>
            </a:lnSpc>
            <a:spcBef>
              <a:spcPct val="0"/>
            </a:spcBef>
            <a:spcAft>
              <a:spcPct val="35000"/>
            </a:spcAft>
            <a:buNone/>
          </a:pPr>
          <a:r>
            <a:rPr lang="ru-RU"/>
            <a:t>Макроэкономическая нестабильность </a:t>
          </a:r>
          <a:endParaRPr lang="en-US"/>
        </a:p>
      </dsp:txBody>
      <dsp:txXfrm rot="10800000">
        <a:off x="0" y="0"/>
        <a:ext cx="5772150" cy="694052"/>
      </dsp:txXfrm>
    </dsp:sp>
  </dsp:spTree>
</dsp:drawing>
</file>

<file path=word/diagrams/drawing4.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Группа 1"/>
      <dsp:cNvGrpSpPr/>
    </dsp:nvGrpSpPr>
    <dsp:grpSpPr>
      <a:xfrm>
        <a:off x="0" y="0"/>
        <a:ext cx="5486400" cy="3200400"/>
        <a:chOff x="0" y="0"/>
        <a:chExt cx="5486400" cy="3200400"/>
      </a:xfrm>
    </dsp:grpSpPr>
    <dsp:sp modelId="{896C408D-BE79-4AD6-BA59-08E729F1D8E7}">
      <dsp:nvSpPr>
        <dsp:cNvPr id="3" name="Прямоугольник 2"/>
        <dsp:cNvSpPr/>
      </dsp:nvSpPr>
      <dsp:spPr bwMode="white">
        <a:xfrm>
          <a:off x="0" y="2749131"/>
          <a:ext cx="5486400" cy="451269"/>
        </a:xfrm>
        <a:prstGeom prst="rect">
          <a:avLst/>
        </a:prstGeom>
      </dsp:spPr>
      <dsp:style>
        <a:lnRef idx="2">
          <a:schemeClr val="lt1"/>
        </a:lnRef>
        <a:fillRef idx="1">
          <a:schemeClr val="accent1"/>
        </a:fillRef>
        <a:effectRef idx="0">
          <a:scrgbClr r="0" g="0" b="0"/>
        </a:effectRef>
        <a:fontRef idx="minor">
          <a:schemeClr val="lt1"/>
        </a:fontRef>
      </dsp:style>
      <dsp:txBody>
        <a:bodyPr lIns="106680" tIns="106680" rIns="106680" bIns="106680" anchor="ctr"/>
        <a:lstStyle>
          <a:lvl1pPr algn="ctr">
            <a:defRPr sz="1500"/>
          </a:lvl1pPr>
          <a:lvl2pPr marL="57150" indent="-57150" algn="ctr">
            <a:defRPr sz="1100"/>
          </a:lvl2pPr>
          <a:lvl3pPr marL="114300" indent="-57150" algn="ctr">
            <a:defRPr sz="1100"/>
          </a:lvl3pPr>
          <a:lvl4pPr marL="171450" indent="-57150" algn="ctr">
            <a:defRPr sz="1100"/>
          </a:lvl4pPr>
          <a:lvl5pPr marL="228600" indent="-57150" algn="ctr">
            <a:defRPr sz="1100"/>
          </a:lvl5pPr>
          <a:lvl6pPr marL="285750" indent="-57150" algn="ctr">
            <a:defRPr sz="1100"/>
          </a:lvl6pPr>
          <a:lvl7pPr marL="342900" indent="-57150" algn="ctr">
            <a:defRPr sz="1100"/>
          </a:lvl7pPr>
          <a:lvl8pPr marL="400050" indent="-57150" algn="ctr">
            <a:defRPr sz="1100"/>
          </a:lvl8pPr>
          <a:lvl9pPr marL="457200" indent="-57150" algn="ctr">
            <a:defRPr sz="1100"/>
          </a:lvl9pPr>
        </a:lstStyle>
        <a:p>
          <a:pPr lvl="0">
            <a:lnSpc>
              <a:spcPct val="100000"/>
            </a:lnSpc>
            <a:spcBef>
              <a:spcPct val="0"/>
            </a:spcBef>
            <a:spcAft>
              <a:spcPct val="35000"/>
            </a:spcAft>
            <a:buNone/>
          </a:pPr>
          <a:r>
            <a:rPr lang="en-US" b="0"/>
            <a:t>Со</a:t>
          </a:r>
          <a:r>
            <a:rPr lang="ru-RU" b="0"/>
            <a:t>кращения кредитования реального сектора экономики РК</a:t>
          </a:r>
          <a:endParaRPr lang="en-US" b="0"/>
        </a:p>
      </dsp:txBody>
      <dsp:txXfrm>
        <a:off x="0" y="2749131"/>
        <a:ext cx="5486400" cy="451269"/>
      </dsp:txXfrm>
    </dsp:sp>
    <dsp:sp modelId="{BA44BBF5-28E1-4CB9-BB37-2A24DE084AB3}">
      <dsp:nvSpPr>
        <dsp:cNvPr id="4" name="Выноска со стрелкой вверх 3"/>
        <dsp:cNvSpPr/>
      </dsp:nvSpPr>
      <dsp:spPr bwMode="white">
        <a:xfrm rot="10800000">
          <a:off x="0" y="2061848"/>
          <a:ext cx="5486400" cy="694052"/>
        </a:xfrm>
        <a:prstGeom prst="upArrowCallout">
          <a:avLst/>
        </a:prstGeom>
      </dsp:spPr>
      <dsp:style>
        <a:lnRef idx="2">
          <a:schemeClr val="lt1"/>
        </a:lnRef>
        <a:fillRef idx="1">
          <a:schemeClr val="accent1"/>
        </a:fillRef>
        <a:effectRef idx="0">
          <a:scrgbClr r="0" g="0" b="0"/>
        </a:effectRef>
        <a:fontRef idx="minor">
          <a:schemeClr val="lt1"/>
        </a:fontRef>
      </dsp:style>
      <dsp:txBody>
        <a:bodyPr rot="10800000" lIns="106680" tIns="106680" rIns="106680" bIns="106680" anchor="ctr"/>
        <a:lstStyle>
          <a:lvl1pPr algn="ctr">
            <a:defRPr sz="1500"/>
          </a:lvl1pPr>
          <a:lvl2pPr marL="57150" indent="-57150" algn="ctr">
            <a:defRPr sz="1100"/>
          </a:lvl2pPr>
          <a:lvl3pPr marL="114300" indent="-57150" algn="ctr">
            <a:defRPr sz="1100"/>
          </a:lvl3pPr>
          <a:lvl4pPr marL="171450" indent="-57150" algn="ctr">
            <a:defRPr sz="1100"/>
          </a:lvl4pPr>
          <a:lvl5pPr marL="228600" indent="-57150" algn="ctr">
            <a:defRPr sz="1100"/>
          </a:lvl5pPr>
          <a:lvl6pPr marL="285750" indent="-57150" algn="ctr">
            <a:defRPr sz="1100"/>
          </a:lvl6pPr>
          <a:lvl7pPr marL="342900" indent="-57150" algn="ctr">
            <a:defRPr sz="1100"/>
          </a:lvl7pPr>
          <a:lvl8pPr marL="400050" indent="-57150" algn="ctr">
            <a:defRPr sz="1100"/>
          </a:lvl8pPr>
          <a:lvl9pPr marL="457200" indent="-57150" algn="ctr">
            <a:defRPr sz="1100"/>
          </a:lvl9pPr>
        </a:lstStyle>
        <a:p>
          <a:pPr lvl="0">
            <a:lnSpc>
              <a:spcPct val="100000"/>
            </a:lnSpc>
            <a:spcBef>
              <a:spcPct val="0"/>
            </a:spcBef>
            <a:spcAft>
              <a:spcPct val="35000"/>
            </a:spcAft>
            <a:buNone/>
          </a:pPr>
          <a:r>
            <a:rPr lang="ru-RU" b="0"/>
            <a:t>Низкая эффективность управления</a:t>
          </a:r>
          <a:endParaRPr lang="en-US" b="0"/>
        </a:p>
      </dsp:txBody>
      <dsp:txXfrm rot="10800000">
        <a:off x="0" y="2061848"/>
        <a:ext cx="5486400" cy="694052"/>
      </dsp:txXfrm>
    </dsp:sp>
    <dsp:sp modelId="{DBC2E732-93A1-48D5-AEDB-A3F9394C1BE7}">
      <dsp:nvSpPr>
        <dsp:cNvPr id="5" name="Выноска со стрелкой вверх 4"/>
        <dsp:cNvSpPr/>
      </dsp:nvSpPr>
      <dsp:spPr bwMode="white">
        <a:xfrm rot="10800000">
          <a:off x="0" y="1374565"/>
          <a:ext cx="5486400" cy="694052"/>
        </a:xfrm>
        <a:prstGeom prst="upArrowCallout">
          <a:avLst/>
        </a:prstGeom>
      </dsp:spPr>
      <dsp:style>
        <a:lnRef idx="2">
          <a:schemeClr val="lt1"/>
        </a:lnRef>
        <a:fillRef idx="1">
          <a:schemeClr val="accent1"/>
        </a:fillRef>
        <a:effectRef idx="0">
          <a:scrgbClr r="0" g="0" b="0"/>
        </a:effectRef>
        <a:fontRef idx="minor">
          <a:schemeClr val="lt1"/>
        </a:fontRef>
      </dsp:style>
      <dsp:txBody>
        <a:bodyPr rot="10800000" lIns="106680" tIns="106680" rIns="106680" bIns="106680" anchor="ctr"/>
        <a:lstStyle>
          <a:lvl1pPr algn="ctr">
            <a:defRPr sz="1500"/>
          </a:lvl1pPr>
          <a:lvl2pPr marL="57150" indent="-57150" algn="ctr">
            <a:defRPr sz="1100"/>
          </a:lvl2pPr>
          <a:lvl3pPr marL="114300" indent="-57150" algn="ctr">
            <a:defRPr sz="1100"/>
          </a:lvl3pPr>
          <a:lvl4pPr marL="171450" indent="-57150" algn="ctr">
            <a:defRPr sz="1100"/>
          </a:lvl4pPr>
          <a:lvl5pPr marL="228600" indent="-57150" algn="ctr">
            <a:defRPr sz="1100"/>
          </a:lvl5pPr>
          <a:lvl6pPr marL="285750" indent="-57150" algn="ctr">
            <a:defRPr sz="1100"/>
          </a:lvl6pPr>
          <a:lvl7pPr marL="342900" indent="-57150" algn="ctr">
            <a:defRPr sz="1100"/>
          </a:lvl7pPr>
          <a:lvl8pPr marL="400050" indent="-57150" algn="ctr">
            <a:defRPr sz="1100"/>
          </a:lvl8pPr>
          <a:lvl9pPr marL="457200" indent="-57150" algn="ctr">
            <a:defRPr sz="1100"/>
          </a:lvl9pPr>
        </a:lstStyle>
        <a:p>
          <a:pPr lvl="0">
            <a:lnSpc>
              <a:spcPct val="100000"/>
            </a:lnSpc>
            <a:spcBef>
              <a:spcPct val="0"/>
            </a:spcBef>
            <a:spcAft>
              <a:spcPct val="35000"/>
            </a:spcAft>
            <a:buNone/>
          </a:pPr>
          <a:r>
            <a:rPr lang="ru-RU"/>
            <a:t>Отсутствие проектной логики</a:t>
          </a:r>
          <a:endParaRPr lang="en-US"/>
        </a:p>
      </dsp:txBody>
      <dsp:txXfrm rot="10800000">
        <a:off x="0" y="1374565"/>
        <a:ext cx="5486400" cy="694052"/>
      </dsp:txXfrm>
    </dsp:sp>
    <dsp:sp modelId="{F074A6B0-C346-4988-A654-7A607571BE77}">
      <dsp:nvSpPr>
        <dsp:cNvPr id="6" name="Выноска со стрелкой вверх 5"/>
        <dsp:cNvSpPr/>
      </dsp:nvSpPr>
      <dsp:spPr bwMode="white">
        <a:xfrm rot="10800000">
          <a:off x="0" y="687283"/>
          <a:ext cx="5486400" cy="694052"/>
        </a:xfrm>
        <a:prstGeom prst="upArrowCallout">
          <a:avLst/>
        </a:prstGeom>
      </dsp:spPr>
      <dsp:style>
        <a:lnRef idx="2">
          <a:schemeClr val="lt1"/>
        </a:lnRef>
        <a:fillRef idx="1">
          <a:schemeClr val="accent1"/>
        </a:fillRef>
        <a:effectRef idx="0">
          <a:scrgbClr r="0" g="0" b="0"/>
        </a:effectRef>
        <a:fontRef idx="minor">
          <a:schemeClr val="lt1"/>
        </a:fontRef>
      </dsp:style>
      <dsp:txBody>
        <a:bodyPr rot="10800000" lIns="106680" tIns="106680" rIns="106680" bIns="106680" anchor="ctr"/>
        <a:lstStyle>
          <a:lvl1pPr algn="ctr">
            <a:defRPr sz="1500"/>
          </a:lvl1pPr>
          <a:lvl2pPr marL="57150" indent="-57150" algn="ctr">
            <a:defRPr sz="1100"/>
          </a:lvl2pPr>
          <a:lvl3pPr marL="114300" indent="-57150" algn="ctr">
            <a:defRPr sz="1100"/>
          </a:lvl3pPr>
          <a:lvl4pPr marL="171450" indent="-57150" algn="ctr">
            <a:defRPr sz="1100"/>
          </a:lvl4pPr>
          <a:lvl5pPr marL="228600" indent="-57150" algn="ctr">
            <a:defRPr sz="1100"/>
          </a:lvl5pPr>
          <a:lvl6pPr marL="285750" indent="-57150" algn="ctr">
            <a:defRPr sz="1100"/>
          </a:lvl6pPr>
          <a:lvl7pPr marL="342900" indent="-57150" algn="ctr">
            <a:defRPr sz="1100"/>
          </a:lvl7pPr>
          <a:lvl8pPr marL="400050" indent="-57150" algn="ctr">
            <a:defRPr sz="1100"/>
          </a:lvl8pPr>
          <a:lvl9pPr marL="457200" indent="-57150" algn="ctr">
            <a:defRPr sz="1100"/>
          </a:lvl9pPr>
        </a:lstStyle>
        <a:p>
          <a:pPr lvl="0">
            <a:lnSpc>
              <a:spcPct val="100000"/>
            </a:lnSpc>
            <a:spcBef>
              <a:spcPct val="0"/>
            </a:spcBef>
            <a:spcAft>
              <a:spcPct val="35000"/>
            </a:spcAft>
            <a:buNone/>
          </a:pPr>
          <a:r>
            <a:rPr lang="ru-RU"/>
            <a:t>Процессное управление</a:t>
          </a:r>
          <a:endParaRPr lang="en-US"/>
        </a:p>
      </dsp:txBody>
      <dsp:txXfrm rot="10800000">
        <a:off x="0" y="687283"/>
        <a:ext cx="5486400" cy="694052"/>
      </dsp:txXfrm>
    </dsp:sp>
    <dsp:sp modelId="{4CED0C03-2A98-4E25-BF42-9C9D03775E68}">
      <dsp:nvSpPr>
        <dsp:cNvPr id="7" name="Выноска со стрелкой вверх 6"/>
        <dsp:cNvSpPr/>
      </dsp:nvSpPr>
      <dsp:spPr bwMode="white">
        <a:xfrm rot="10800000">
          <a:off x="0" y="0"/>
          <a:ext cx="5486400" cy="694052"/>
        </a:xfrm>
        <a:prstGeom prst="upArrowCallout">
          <a:avLst/>
        </a:prstGeom>
      </dsp:spPr>
      <dsp:style>
        <a:lnRef idx="2">
          <a:schemeClr val="lt1"/>
        </a:lnRef>
        <a:fillRef idx="1">
          <a:schemeClr val="accent1"/>
        </a:fillRef>
        <a:effectRef idx="0">
          <a:scrgbClr r="0" g="0" b="0"/>
        </a:effectRef>
        <a:fontRef idx="minor">
          <a:schemeClr val="lt1"/>
        </a:fontRef>
      </dsp:style>
      <dsp:txBody>
        <a:bodyPr rot="10800000" lIns="106680" tIns="106680" rIns="106680" bIns="106680" anchor="ctr"/>
        <a:lstStyle>
          <a:lvl1pPr algn="ctr">
            <a:defRPr sz="1500"/>
          </a:lvl1pPr>
          <a:lvl2pPr marL="57150" indent="-57150" algn="ctr">
            <a:defRPr sz="1100"/>
          </a:lvl2pPr>
          <a:lvl3pPr marL="114300" indent="-57150" algn="ctr">
            <a:defRPr sz="1100"/>
          </a:lvl3pPr>
          <a:lvl4pPr marL="171450" indent="-57150" algn="ctr">
            <a:defRPr sz="1100"/>
          </a:lvl4pPr>
          <a:lvl5pPr marL="228600" indent="-57150" algn="ctr">
            <a:defRPr sz="1100"/>
          </a:lvl5pPr>
          <a:lvl6pPr marL="285750" indent="-57150" algn="ctr">
            <a:defRPr sz="1100"/>
          </a:lvl6pPr>
          <a:lvl7pPr marL="342900" indent="-57150" algn="ctr">
            <a:defRPr sz="1100"/>
          </a:lvl7pPr>
          <a:lvl8pPr marL="400050" indent="-57150" algn="ctr">
            <a:defRPr sz="1100"/>
          </a:lvl8pPr>
          <a:lvl9pPr marL="457200" indent="-57150" algn="ctr">
            <a:defRPr sz="1100"/>
          </a:lvl9pPr>
        </a:lstStyle>
        <a:p>
          <a:pPr lvl="0">
            <a:lnSpc>
              <a:spcPct val="100000"/>
            </a:lnSpc>
            <a:spcBef>
              <a:spcPct val="0"/>
            </a:spcBef>
            <a:spcAft>
              <a:spcPct val="35000"/>
            </a:spcAft>
            <a:buNone/>
          </a:pPr>
          <a:r>
            <a:rPr lang="ru-RU"/>
            <a:t>Институциональные барьеры </a:t>
          </a:r>
          <a:endParaRPr lang="en-US"/>
        </a:p>
      </dsp:txBody>
      <dsp:txXfrm rot="10800000">
        <a:off x="0" y="0"/>
        <a:ext cx="5486400" cy="69405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type="upArrowCallout" r:blip="" rot="180">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type="upArrowCallout" r:blip="" rot="180">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type="upArrowCallout" r:blip="" rot="180">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type="upArrowCallout" r:blip="" rot="180">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type="upArrowCallout" r:blip="" rot="180">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type="upArrowCallout" r:blip="" rot="180">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type="upArrowCallout" r:blip="" rot="180">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type="upArrowCallout" r:blip="" rot="180">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4">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B8106-BF4E-45B9-8AAE-5CF0619ACDC2}">
  <ds:schemaRefs/>
</ds:datastoreItem>
</file>

<file path=docProps/app.xml><?xml version="1.0" encoding="utf-8"?>
<Properties xmlns="http://schemas.openxmlformats.org/officeDocument/2006/extended-properties" xmlns:vt="http://schemas.openxmlformats.org/officeDocument/2006/docPropsVTypes">
  <Template>Normal.dotm</Template>
  <Company>CCAS</Company>
  <Pages>165</Pages>
  <Words>41030</Words>
  <Characters>295494</Characters>
  <Lines>2605</Lines>
  <Paragraphs>733</Paragraphs>
  <TotalTime>121</TotalTime>
  <ScaleCrop>false</ScaleCrop>
  <LinksUpToDate>false</LinksUpToDate>
  <CharactersWithSpaces>337969</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2026-05-20T03:16:00Z</dcterms:created>
  <dc:creator>ARDANA</dc:creator>
  <cp:lastModifiedBy>Алмас Калимолдаев</cp:lastModifiedBy>
  <dcterms:modified xsi:type="dcterms:W3CDTF">2026-05-21T11:19:36Z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eyJoZGlkIjoiNWYxOTM3MDMxOThjODE0YzljOGNiMzc4ZWJhMzg5MWUiLCJ1c2VySWQiOiI1MzYwMTIyNDExMTA0In0=</vt:lpwstr>
  </property>
  <property fmtid="{D5CDD505-2E9C-101B-9397-08002B2CF9AE}" pid="3" name="KSOProductBuildVer">
    <vt:lpwstr>1049-12.1.0.26372</vt:lpwstr>
  </property>
  <property fmtid="{D5CDD505-2E9C-101B-9397-08002B2CF9AE}" pid="4" name="ICV">
    <vt:lpwstr>64AD2B0BB92D4569B624492A78FEA451_12</vt:lpwstr>
  </property>
</Properties>
</file>