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4"/>
        <w:ind w:left="3"/>
        <w:jc w:val="center"/>
      </w:pPr>
      <w:r>
        <w:rPr/>
        <w:t>Казахский</w:t>
      </w:r>
      <w:r>
        <w:rPr>
          <w:spacing w:val="-11"/>
        </w:rPr>
        <w:t> </w:t>
      </w:r>
      <w:r>
        <w:rPr/>
        <w:t>национальный</w:t>
      </w:r>
      <w:r>
        <w:rPr>
          <w:spacing w:val="-9"/>
        </w:rPr>
        <w:t> </w:t>
      </w:r>
      <w:r>
        <w:rPr/>
        <w:t>университет</w:t>
      </w:r>
      <w:r>
        <w:rPr>
          <w:spacing w:val="-10"/>
        </w:rPr>
        <w:t> </w:t>
      </w:r>
      <w:r>
        <w:rPr/>
        <w:t>имени</w:t>
      </w:r>
      <w:r>
        <w:rPr>
          <w:spacing w:val="-8"/>
        </w:rPr>
        <w:t> </w:t>
      </w:r>
      <w:r>
        <w:rPr/>
        <w:t>аль-</w:t>
      </w:r>
      <w:r>
        <w:rPr>
          <w:spacing w:val="-2"/>
        </w:rPr>
        <w:t>Фараби</w:t>
      </w:r>
    </w:p>
    <w:p>
      <w:pPr>
        <w:pStyle w:val="BodyText"/>
        <w:spacing w:before="148"/>
        <w:jc w:val="left"/>
        <w:rPr>
          <w:sz w:val="2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18"/>
        <w:gridCol w:w="4323"/>
      </w:tblGrid>
      <w:tr>
        <w:trPr>
          <w:trHeight w:val="310" w:hRule="atLeast"/>
        </w:trPr>
        <w:tc>
          <w:tcPr>
            <w:tcW w:w="5418" w:type="dxa"/>
          </w:tcPr>
          <w:p>
            <w:pPr>
              <w:pStyle w:val="TableParagraph"/>
              <w:spacing w:line="291" w:lineRule="exact"/>
              <w:ind w:left="50"/>
              <w:rPr>
                <w:sz w:val="28"/>
              </w:rPr>
            </w:pPr>
            <w:r>
              <w:rPr>
                <w:sz w:val="28"/>
              </w:rPr>
              <w:t>УДК</w:t>
            </w:r>
            <w:r>
              <w:rPr>
                <w:spacing w:val="-9"/>
                <w:sz w:val="28"/>
              </w:rPr>
              <w:t> </w:t>
            </w:r>
            <w:r>
              <w:rPr>
                <w:sz w:val="28"/>
              </w:rPr>
              <w:t>57.034:611.013.1</w:t>
            </w:r>
            <w:r>
              <w:rPr>
                <w:spacing w:val="-7"/>
                <w:sz w:val="28"/>
              </w:rPr>
              <w:t> </w:t>
            </w:r>
            <w:r>
              <w:rPr>
                <w:spacing w:val="-2"/>
                <w:sz w:val="28"/>
              </w:rPr>
              <w:t>(043.3)</w:t>
            </w:r>
          </w:p>
        </w:tc>
        <w:tc>
          <w:tcPr>
            <w:tcW w:w="4323" w:type="dxa"/>
          </w:tcPr>
          <w:p>
            <w:pPr>
              <w:pStyle w:val="TableParagraph"/>
              <w:spacing w:line="291" w:lineRule="exact"/>
              <w:ind w:left="1863"/>
              <w:rPr>
                <w:sz w:val="28"/>
              </w:rPr>
            </w:pPr>
            <w:r>
              <w:rPr>
                <w:sz w:val="28"/>
              </w:rPr>
              <w:t>На</w:t>
            </w:r>
            <w:r>
              <w:rPr>
                <w:spacing w:val="-3"/>
                <w:sz w:val="28"/>
              </w:rPr>
              <w:t> </w:t>
            </w:r>
            <w:r>
              <w:rPr>
                <w:sz w:val="28"/>
              </w:rPr>
              <w:t>правах</w:t>
            </w:r>
            <w:r>
              <w:rPr>
                <w:spacing w:val="-2"/>
                <w:sz w:val="28"/>
              </w:rPr>
              <w:t> рукописи</w:t>
            </w:r>
          </w:p>
        </w:tc>
      </w:tr>
    </w:tbl>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257"/>
        <w:jc w:val="left"/>
      </w:pPr>
    </w:p>
    <w:p>
      <w:pPr>
        <w:pStyle w:val="Heading1"/>
        <w:spacing w:before="0"/>
        <w:ind w:left="3"/>
      </w:pPr>
      <w:r>
        <w:rPr/>
        <w:t>ЗАДУБЕНКО</w:t>
      </w:r>
      <w:r>
        <w:rPr>
          <w:spacing w:val="-8"/>
        </w:rPr>
        <w:t> </w:t>
      </w:r>
      <w:r>
        <w:rPr/>
        <w:t>ДЕНИС</w:t>
      </w:r>
      <w:r>
        <w:rPr>
          <w:spacing w:val="-4"/>
        </w:rPr>
        <w:t> </w:t>
      </w:r>
      <w:r>
        <w:rPr>
          <w:spacing w:val="-2"/>
        </w:rPr>
        <w:t>ВЛАДИМИРОВИЧ</w:t>
      </w:r>
    </w:p>
    <w:p>
      <w:pPr>
        <w:pStyle w:val="BodyText"/>
        <w:spacing w:before="42"/>
        <w:jc w:val="left"/>
        <w:rPr>
          <w:b/>
        </w:rPr>
      </w:pPr>
    </w:p>
    <w:p>
      <w:pPr>
        <w:pStyle w:val="Heading2"/>
        <w:spacing w:line="256" w:lineRule="auto"/>
        <w:ind w:left="113" w:right="111" w:firstLine="0"/>
        <w:jc w:val="center"/>
      </w:pPr>
      <w:r>
        <w:rPr/>
        <w:t>Влияние</w:t>
      </w:r>
      <w:r>
        <w:rPr>
          <w:spacing w:val="-6"/>
        </w:rPr>
        <w:t> </w:t>
      </w:r>
      <w:r>
        <w:rPr/>
        <w:t>электромагнитных</w:t>
      </w:r>
      <w:r>
        <w:rPr>
          <w:spacing w:val="-5"/>
        </w:rPr>
        <w:t> </w:t>
      </w:r>
      <w:r>
        <w:rPr/>
        <w:t>излучений</w:t>
      </w:r>
      <w:r>
        <w:rPr>
          <w:spacing w:val="-7"/>
        </w:rPr>
        <w:t> </w:t>
      </w:r>
      <w:r>
        <w:rPr/>
        <w:t>видимого</w:t>
      </w:r>
      <w:r>
        <w:rPr>
          <w:spacing w:val="-5"/>
        </w:rPr>
        <w:t> </w:t>
      </w:r>
      <w:r>
        <w:rPr/>
        <w:t>и</w:t>
      </w:r>
      <w:r>
        <w:rPr>
          <w:spacing w:val="-7"/>
        </w:rPr>
        <w:t> </w:t>
      </w:r>
      <w:r>
        <w:rPr/>
        <w:t>инфракрасного диапазонов на подвижность и ультраструктурную организацию сперматозоидов человека</w:t>
      </w:r>
    </w:p>
    <w:p>
      <w:pPr>
        <w:pStyle w:val="BodyText"/>
        <w:spacing w:before="5"/>
        <w:jc w:val="left"/>
        <w:rPr>
          <w:b/>
        </w:rPr>
      </w:pPr>
    </w:p>
    <w:p>
      <w:pPr>
        <w:pStyle w:val="BodyText"/>
        <w:spacing w:line="680" w:lineRule="atLeast"/>
        <w:ind w:left="2868" w:right="2235" w:firstLine="868"/>
        <w:jc w:val="left"/>
      </w:pPr>
      <w:r>
        <w:rPr/>
        <w:t>8D05101 – Биология Диссертация</w:t>
      </w:r>
      <w:r>
        <w:rPr>
          <w:spacing w:val="-11"/>
        </w:rPr>
        <w:t> </w:t>
      </w:r>
      <w:r>
        <w:rPr/>
        <w:t>на</w:t>
      </w:r>
      <w:r>
        <w:rPr>
          <w:spacing w:val="-11"/>
        </w:rPr>
        <w:t> </w:t>
      </w:r>
      <w:r>
        <w:rPr/>
        <w:t>соискание</w:t>
      </w:r>
      <w:r>
        <w:rPr>
          <w:spacing w:val="-11"/>
        </w:rPr>
        <w:t> </w:t>
      </w:r>
      <w:r>
        <w:rPr/>
        <w:t>степени</w:t>
      </w:r>
    </w:p>
    <w:p>
      <w:pPr>
        <w:pStyle w:val="BodyText"/>
        <w:spacing w:before="28"/>
        <w:ind w:left="3"/>
        <w:jc w:val="center"/>
      </w:pPr>
      <w:r>
        <w:rPr/>
        <w:t>доктора</w:t>
      </w:r>
      <w:r>
        <w:rPr>
          <w:spacing w:val="-8"/>
        </w:rPr>
        <w:t> </w:t>
      </w:r>
      <w:r>
        <w:rPr/>
        <w:t>философии</w:t>
      </w:r>
      <w:r>
        <w:rPr>
          <w:spacing w:val="-7"/>
        </w:rPr>
        <w:t> </w:t>
      </w:r>
      <w:r>
        <w:rPr>
          <w:spacing w:val="-4"/>
        </w:rPr>
        <w:t>(PhD)</w:t>
      </w:r>
    </w:p>
    <w:p>
      <w:pPr>
        <w:pStyle w:val="BodyText"/>
        <w:jc w:val="left"/>
        <w:rPr>
          <w:sz w:val="20"/>
        </w:rPr>
      </w:pPr>
    </w:p>
    <w:p>
      <w:pPr>
        <w:pStyle w:val="BodyText"/>
        <w:jc w:val="left"/>
        <w:rPr>
          <w:sz w:val="20"/>
        </w:rPr>
      </w:pPr>
    </w:p>
    <w:p>
      <w:pPr>
        <w:pStyle w:val="BodyText"/>
        <w:spacing w:before="29"/>
        <w:jc w:val="left"/>
        <w:rPr>
          <w:sz w:val="20"/>
        </w:rPr>
      </w:pPr>
    </w:p>
    <w:tbl>
      <w:tblPr>
        <w:tblW w:w="0" w:type="auto"/>
        <w:jc w:val="left"/>
        <w:tblInd w:w="4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0"/>
      </w:tblGrid>
      <w:tr>
        <w:trPr>
          <w:trHeight w:val="1841" w:hRule="atLeast"/>
        </w:trPr>
        <w:tc>
          <w:tcPr>
            <w:tcW w:w="4330" w:type="dxa"/>
          </w:tcPr>
          <w:p>
            <w:pPr>
              <w:pStyle w:val="TableParagraph"/>
              <w:spacing w:line="311" w:lineRule="exact"/>
              <w:ind w:left="50"/>
              <w:rPr>
                <w:sz w:val="28"/>
              </w:rPr>
            </w:pPr>
            <w:r>
              <w:rPr>
                <w:sz w:val="28"/>
              </w:rPr>
              <w:t>Научный</w:t>
            </w:r>
            <w:r>
              <w:rPr>
                <w:spacing w:val="-5"/>
                <w:sz w:val="28"/>
              </w:rPr>
              <w:t> </w:t>
            </w:r>
            <w:r>
              <w:rPr>
                <w:spacing w:val="-2"/>
                <w:sz w:val="28"/>
              </w:rPr>
              <w:t>консультант:</w:t>
            </w:r>
          </w:p>
          <w:p>
            <w:pPr>
              <w:pStyle w:val="TableParagraph"/>
              <w:spacing w:line="256" w:lineRule="auto" w:before="21"/>
              <w:ind w:left="50"/>
              <w:rPr>
                <w:sz w:val="28"/>
              </w:rPr>
            </w:pPr>
            <w:r>
              <w:rPr>
                <w:sz w:val="28"/>
              </w:rPr>
              <w:t>Локшин</w:t>
            </w:r>
            <w:r>
              <w:rPr>
                <w:spacing w:val="-12"/>
                <w:sz w:val="28"/>
              </w:rPr>
              <w:t> </w:t>
            </w:r>
            <w:r>
              <w:rPr>
                <w:sz w:val="28"/>
              </w:rPr>
              <w:t>В.Н.,</w:t>
            </w:r>
            <w:r>
              <w:rPr>
                <w:spacing w:val="-12"/>
                <w:sz w:val="28"/>
              </w:rPr>
              <w:t> </w:t>
            </w:r>
            <w:r>
              <w:rPr>
                <w:sz w:val="28"/>
              </w:rPr>
              <w:t>д.м.н.,</w:t>
            </w:r>
            <w:r>
              <w:rPr>
                <w:spacing w:val="-12"/>
                <w:sz w:val="28"/>
              </w:rPr>
              <w:t> </w:t>
            </w:r>
            <w:r>
              <w:rPr>
                <w:sz w:val="28"/>
              </w:rPr>
              <w:t>профессор, академик НАН РК, президент Казахстанской ассоциации репродуктивной медицины</w:t>
            </w:r>
          </w:p>
        </w:tc>
      </w:tr>
      <w:tr>
        <w:trPr>
          <w:trHeight w:val="1495" w:hRule="atLeast"/>
        </w:trPr>
        <w:tc>
          <w:tcPr>
            <w:tcW w:w="4330" w:type="dxa"/>
          </w:tcPr>
          <w:p>
            <w:pPr>
              <w:pStyle w:val="TableParagraph"/>
              <w:spacing w:line="256" w:lineRule="auto" w:before="144"/>
              <w:ind w:left="50" w:right="48"/>
              <w:jc w:val="both"/>
              <w:rPr>
                <w:sz w:val="28"/>
              </w:rPr>
            </w:pPr>
            <w:r>
              <w:rPr>
                <w:sz w:val="28"/>
              </w:rPr>
              <w:t>Зарубежный</w:t>
            </w:r>
            <w:r>
              <w:rPr>
                <w:spacing w:val="-18"/>
                <w:sz w:val="28"/>
              </w:rPr>
              <w:t> </w:t>
            </w:r>
            <w:r>
              <w:rPr>
                <w:sz w:val="28"/>
              </w:rPr>
              <w:t>научный</w:t>
            </w:r>
            <w:r>
              <w:rPr>
                <w:spacing w:val="-17"/>
                <w:sz w:val="28"/>
              </w:rPr>
              <w:t> </w:t>
            </w:r>
            <w:r>
              <w:rPr>
                <w:sz w:val="28"/>
              </w:rPr>
              <w:t>консультант: Голиченков</w:t>
            </w:r>
            <w:r>
              <w:rPr>
                <w:spacing w:val="-4"/>
                <w:sz w:val="28"/>
              </w:rPr>
              <w:t> </w:t>
            </w:r>
            <w:r>
              <w:rPr>
                <w:sz w:val="28"/>
              </w:rPr>
              <w:t>В.А.,</w:t>
            </w:r>
            <w:r>
              <w:rPr>
                <w:spacing w:val="-4"/>
                <w:sz w:val="28"/>
              </w:rPr>
              <w:t> </w:t>
            </w:r>
            <w:r>
              <w:rPr>
                <w:sz w:val="28"/>
              </w:rPr>
              <w:t>д.б.н.,</w:t>
            </w:r>
            <w:r>
              <w:rPr>
                <w:spacing w:val="-4"/>
                <w:sz w:val="28"/>
              </w:rPr>
              <w:t> </w:t>
            </w:r>
            <w:r>
              <w:rPr>
                <w:sz w:val="28"/>
              </w:rPr>
              <w:t>профессор кафедры эмбриологии</w:t>
            </w:r>
          </w:p>
          <w:p>
            <w:pPr>
              <w:pStyle w:val="TableParagraph"/>
              <w:spacing w:line="298" w:lineRule="exact"/>
              <w:ind w:left="50"/>
              <w:jc w:val="both"/>
              <w:rPr>
                <w:sz w:val="28"/>
              </w:rPr>
            </w:pPr>
            <w:r>
              <w:rPr>
                <w:sz w:val="28"/>
              </w:rPr>
              <w:t>МГУ</w:t>
            </w:r>
            <w:r>
              <w:rPr>
                <w:spacing w:val="-5"/>
                <w:sz w:val="28"/>
              </w:rPr>
              <w:t> </w:t>
            </w:r>
            <w:r>
              <w:rPr>
                <w:sz w:val="28"/>
              </w:rPr>
              <w:t>им.</w:t>
            </w:r>
            <w:r>
              <w:rPr>
                <w:spacing w:val="-3"/>
                <w:sz w:val="28"/>
              </w:rPr>
              <w:t> </w:t>
            </w:r>
            <w:r>
              <w:rPr>
                <w:sz w:val="28"/>
              </w:rPr>
              <w:t>М.В.</w:t>
            </w:r>
            <w:r>
              <w:rPr>
                <w:spacing w:val="-2"/>
                <w:sz w:val="28"/>
              </w:rPr>
              <w:t> Ломоносова</w:t>
            </w:r>
          </w:p>
        </w:tc>
      </w:tr>
    </w:tbl>
    <w:p>
      <w:pPr>
        <w:pStyle w:val="BodyText"/>
        <w:jc w:val="left"/>
      </w:pPr>
    </w:p>
    <w:p>
      <w:pPr>
        <w:pStyle w:val="BodyText"/>
        <w:jc w:val="left"/>
      </w:pPr>
    </w:p>
    <w:p>
      <w:pPr>
        <w:pStyle w:val="BodyText"/>
        <w:spacing w:before="88"/>
        <w:jc w:val="left"/>
      </w:pPr>
    </w:p>
    <w:p>
      <w:pPr>
        <w:pStyle w:val="BodyText"/>
        <w:spacing w:line="256" w:lineRule="auto"/>
        <w:ind w:left="3150" w:right="3146"/>
        <w:jc w:val="center"/>
      </w:pPr>
      <w:r>
        <w:rPr/>
        <w:t>Республика</w:t>
      </w:r>
      <w:r>
        <w:rPr>
          <w:spacing w:val="-18"/>
        </w:rPr>
        <w:t> </w:t>
      </w:r>
      <w:r>
        <w:rPr/>
        <w:t>Казахстан Алматы, 2026</w:t>
      </w:r>
    </w:p>
    <w:p>
      <w:pPr>
        <w:pStyle w:val="BodyText"/>
        <w:spacing w:after="0" w:line="256" w:lineRule="auto"/>
        <w:jc w:val="center"/>
        <w:sectPr>
          <w:type w:val="continuous"/>
          <w:pgSz w:w="11910" w:h="16840"/>
          <w:pgMar w:top="1040" w:bottom="280" w:left="1559" w:right="425"/>
        </w:sectPr>
      </w:pPr>
    </w:p>
    <w:p>
      <w:pPr>
        <w:pStyle w:val="Heading1"/>
        <w:spacing w:before="74"/>
        <w:ind w:right="114"/>
      </w:pPr>
      <w:r>
        <w:rPr>
          <w:spacing w:val="-2"/>
        </w:rPr>
        <w:t>СОДЕРЖАНИЕ</w:t>
      </w:r>
    </w:p>
    <w:p>
      <w:pPr>
        <w:pStyle w:val="BodyText"/>
        <w:spacing w:before="105"/>
        <w:jc w:val="left"/>
        <w:rPr>
          <w:b/>
          <w:sz w:val="2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
        <w:gridCol w:w="7679"/>
        <w:gridCol w:w="440"/>
      </w:tblGrid>
      <w:tr>
        <w:trPr>
          <w:trHeight w:val="316" w:hRule="atLeast"/>
        </w:trPr>
        <w:tc>
          <w:tcPr>
            <w:tcW w:w="8608" w:type="dxa"/>
            <w:gridSpan w:val="2"/>
          </w:tcPr>
          <w:p>
            <w:pPr>
              <w:pStyle w:val="TableParagraph"/>
              <w:spacing w:line="296" w:lineRule="exact"/>
              <w:ind w:left="50"/>
              <w:rPr>
                <w:b/>
                <w:sz w:val="28"/>
              </w:rPr>
            </w:pPr>
            <w:r>
              <w:rPr>
                <w:b/>
                <w:sz w:val="28"/>
              </w:rPr>
              <w:t>НОРМАТИВНЫЕ</w:t>
            </w:r>
            <w:r>
              <w:rPr>
                <w:b/>
                <w:spacing w:val="-8"/>
                <w:sz w:val="28"/>
              </w:rPr>
              <w:t> </w:t>
            </w:r>
            <w:r>
              <w:rPr>
                <w:b/>
                <w:spacing w:val="-2"/>
                <w:sz w:val="28"/>
              </w:rPr>
              <w:t>ССЫЛКИ</w:t>
            </w:r>
          </w:p>
        </w:tc>
        <w:tc>
          <w:tcPr>
            <w:tcW w:w="440" w:type="dxa"/>
          </w:tcPr>
          <w:p>
            <w:pPr>
              <w:pStyle w:val="TableParagraph"/>
              <w:spacing w:line="296" w:lineRule="exact"/>
              <w:ind w:left="105"/>
              <w:rPr>
                <w:sz w:val="28"/>
              </w:rPr>
            </w:pPr>
            <w:r>
              <w:rPr>
                <w:spacing w:val="-10"/>
                <w:sz w:val="28"/>
              </w:rPr>
              <w:t>5</w:t>
            </w:r>
          </w:p>
        </w:tc>
      </w:tr>
      <w:tr>
        <w:trPr>
          <w:trHeight w:val="321" w:hRule="atLeast"/>
        </w:trPr>
        <w:tc>
          <w:tcPr>
            <w:tcW w:w="8608" w:type="dxa"/>
            <w:gridSpan w:val="2"/>
          </w:tcPr>
          <w:p>
            <w:pPr>
              <w:pStyle w:val="TableParagraph"/>
              <w:spacing w:line="302" w:lineRule="exact"/>
              <w:ind w:left="50"/>
              <w:rPr>
                <w:b/>
                <w:sz w:val="28"/>
              </w:rPr>
            </w:pPr>
            <w:r>
              <w:rPr>
                <w:b/>
                <w:sz w:val="28"/>
              </w:rPr>
              <w:t>ОБОЗНАЧЕНИЯ</w:t>
            </w:r>
            <w:r>
              <w:rPr>
                <w:b/>
                <w:spacing w:val="-6"/>
                <w:sz w:val="28"/>
              </w:rPr>
              <w:t> </w:t>
            </w:r>
            <w:r>
              <w:rPr>
                <w:b/>
                <w:sz w:val="28"/>
              </w:rPr>
              <w:t>И</w:t>
            </w:r>
            <w:r>
              <w:rPr>
                <w:b/>
                <w:spacing w:val="-5"/>
                <w:sz w:val="28"/>
              </w:rPr>
              <w:t> </w:t>
            </w:r>
            <w:r>
              <w:rPr>
                <w:b/>
                <w:spacing w:val="-2"/>
                <w:sz w:val="28"/>
              </w:rPr>
              <w:t>СОКРАЩЕНИЯ</w:t>
            </w:r>
          </w:p>
        </w:tc>
        <w:tc>
          <w:tcPr>
            <w:tcW w:w="440" w:type="dxa"/>
          </w:tcPr>
          <w:p>
            <w:pPr>
              <w:pStyle w:val="TableParagraph"/>
              <w:spacing w:line="302" w:lineRule="exact"/>
              <w:ind w:left="105"/>
              <w:rPr>
                <w:sz w:val="28"/>
              </w:rPr>
            </w:pPr>
            <w:r>
              <w:rPr>
                <w:spacing w:val="-10"/>
                <w:sz w:val="28"/>
              </w:rPr>
              <w:t>6</w:t>
            </w:r>
          </w:p>
        </w:tc>
      </w:tr>
      <w:tr>
        <w:trPr>
          <w:trHeight w:val="321" w:hRule="atLeast"/>
        </w:trPr>
        <w:tc>
          <w:tcPr>
            <w:tcW w:w="8608" w:type="dxa"/>
            <w:gridSpan w:val="2"/>
          </w:tcPr>
          <w:p>
            <w:pPr>
              <w:pStyle w:val="TableParagraph"/>
              <w:spacing w:line="302" w:lineRule="exact"/>
              <w:ind w:left="50"/>
              <w:rPr>
                <w:b/>
                <w:sz w:val="28"/>
              </w:rPr>
            </w:pPr>
            <w:r>
              <w:rPr>
                <w:b/>
                <w:spacing w:val="-2"/>
                <w:sz w:val="28"/>
              </w:rPr>
              <w:t>ВВЕДЕНИЕ</w:t>
            </w:r>
          </w:p>
        </w:tc>
        <w:tc>
          <w:tcPr>
            <w:tcW w:w="440" w:type="dxa"/>
          </w:tcPr>
          <w:p>
            <w:pPr>
              <w:pStyle w:val="TableParagraph"/>
              <w:spacing w:line="302" w:lineRule="exact"/>
              <w:ind w:left="105"/>
              <w:rPr>
                <w:sz w:val="28"/>
              </w:rPr>
            </w:pPr>
            <w:r>
              <w:rPr>
                <w:spacing w:val="-10"/>
                <w:sz w:val="28"/>
              </w:rPr>
              <w:t>8</w:t>
            </w:r>
          </w:p>
        </w:tc>
      </w:tr>
      <w:tr>
        <w:trPr>
          <w:trHeight w:val="321" w:hRule="atLeast"/>
        </w:trPr>
        <w:tc>
          <w:tcPr>
            <w:tcW w:w="8608" w:type="dxa"/>
            <w:gridSpan w:val="2"/>
          </w:tcPr>
          <w:p>
            <w:pPr>
              <w:pStyle w:val="TableParagraph"/>
              <w:spacing w:line="302" w:lineRule="exact"/>
              <w:ind w:left="50"/>
              <w:rPr>
                <w:b/>
                <w:sz w:val="28"/>
              </w:rPr>
            </w:pPr>
            <w:r>
              <w:rPr>
                <w:b/>
                <w:sz w:val="28"/>
              </w:rPr>
              <w:t>ОСНОВНАЯ</w:t>
            </w:r>
            <w:r>
              <w:rPr>
                <w:b/>
                <w:spacing w:val="-7"/>
                <w:sz w:val="28"/>
              </w:rPr>
              <w:t> </w:t>
            </w:r>
            <w:r>
              <w:rPr>
                <w:b/>
                <w:spacing w:val="-2"/>
                <w:sz w:val="28"/>
              </w:rPr>
              <w:t>ЧАСТЬ</w:t>
            </w:r>
          </w:p>
        </w:tc>
        <w:tc>
          <w:tcPr>
            <w:tcW w:w="440" w:type="dxa"/>
          </w:tcPr>
          <w:p>
            <w:pPr>
              <w:pStyle w:val="TableParagraph"/>
              <w:spacing w:line="302" w:lineRule="exact"/>
              <w:ind w:left="105"/>
              <w:rPr>
                <w:sz w:val="28"/>
              </w:rPr>
            </w:pPr>
            <w:r>
              <w:rPr>
                <w:spacing w:val="-5"/>
                <w:sz w:val="28"/>
              </w:rPr>
              <w:t>14</w:t>
            </w:r>
          </w:p>
        </w:tc>
      </w:tr>
      <w:tr>
        <w:trPr>
          <w:trHeight w:val="322" w:hRule="atLeast"/>
        </w:trPr>
        <w:tc>
          <w:tcPr>
            <w:tcW w:w="929" w:type="dxa"/>
          </w:tcPr>
          <w:p>
            <w:pPr>
              <w:pStyle w:val="TableParagraph"/>
              <w:spacing w:line="303" w:lineRule="exact"/>
              <w:ind w:left="50"/>
              <w:rPr>
                <w:sz w:val="28"/>
              </w:rPr>
            </w:pPr>
            <w:r>
              <w:rPr>
                <w:spacing w:val="-5"/>
                <w:sz w:val="28"/>
              </w:rPr>
              <w:t>1.</w:t>
            </w:r>
          </w:p>
        </w:tc>
        <w:tc>
          <w:tcPr>
            <w:tcW w:w="7679" w:type="dxa"/>
          </w:tcPr>
          <w:p>
            <w:pPr>
              <w:pStyle w:val="TableParagraph"/>
              <w:spacing w:line="303" w:lineRule="exact"/>
              <w:ind w:left="107"/>
              <w:rPr>
                <w:b/>
                <w:sz w:val="28"/>
              </w:rPr>
            </w:pPr>
            <w:r>
              <w:rPr>
                <w:b/>
                <w:sz w:val="28"/>
              </w:rPr>
              <w:t>ОБЗОР</w:t>
            </w:r>
            <w:r>
              <w:rPr>
                <w:b/>
                <w:spacing w:val="-2"/>
                <w:sz w:val="28"/>
              </w:rPr>
              <w:t> ЛИТЕРАТУРЫ</w:t>
            </w:r>
          </w:p>
        </w:tc>
        <w:tc>
          <w:tcPr>
            <w:tcW w:w="440" w:type="dxa"/>
          </w:tcPr>
          <w:p>
            <w:pPr>
              <w:pStyle w:val="TableParagraph"/>
              <w:spacing w:line="303" w:lineRule="exact"/>
              <w:ind w:left="105"/>
              <w:rPr>
                <w:sz w:val="28"/>
              </w:rPr>
            </w:pPr>
            <w:r>
              <w:rPr>
                <w:spacing w:val="-5"/>
                <w:sz w:val="28"/>
              </w:rPr>
              <w:t>14</w:t>
            </w:r>
          </w:p>
        </w:tc>
      </w:tr>
      <w:tr>
        <w:trPr>
          <w:trHeight w:val="322" w:hRule="atLeast"/>
        </w:trPr>
        <w:tc>
          <w:tcPr>
            <w:tcW w:w="929" w:type="dxa"/>
          </w:tcPr>
          <w:p>
            <w:pPr>
              <w:pStyle w:val="TableParagraph"/>
              <w:spacing w:line="303" w:lineRule="exact"/>
              <w:ind w:left="50"/>
              <w:rPr>
                <w:sz w:val="28"/>
              </w:rPr>
            </w:pPr>
            <w:r>
              <w:rPr>
                <w:spacing w:val="-5"/>
                <w:sz w:val="28"/>
              </w:rPr>
              <w:t>1.1</w:t>
            </w:r>
          </w:p>
        </w:tc>
        <w:tc>
          <w:tcPr>
            <w:tcW w:w="7679" w:type="dxa"/>
          </w:tcPr>
          <w:p>
            <w:pPr>
              <w:pStyle w:val="TableParagraph"/>
              <w:spacing w:line="303" w:lineRule="exact"/>
              <w:ind w:left="107"/>
              <w:rPr>
                <w:sz w:val="28"/>
              </w:rPr>
            </w:pPr>
            <w:r>
              <w:rPr>
                <w:sz w:val="28"/>
              </w:rPr>
              <w:t>Понятие</w:t>
            </w:r>
            <w:r>
              <w:rPr>
                <w:spacing w:val="-8"/>
                <w:sz w:val="28"/>
              </w:rPr>
              <w:t> </w:t>
            </w:r>
            <w:r>
              <w:rPr>
                <w:sz w:val="28"/>
              </w:rPr>
              <w:t>о</w:t>
            </w:r>
            <w:r>
              <w:rPr>
                <w:spacing w:val="-4"/>
                <w:sz w:val="28"/>
              </w:rPr>
              <w:t> </w:t>
            </w:r>
            <w:r>
              <w:rPr>
                <w:sz w:val="28"/>
              </w:rPr>
              <w:t>фертильности</w:t>
            </w:r>
            <w:r>
              <w:rPr>
                <w:spacing w:val="-5"/>
                <w:sz w:val="28"/>
              </w:rPr>
              <w:t> </w:t>
            </w:r>
            <w:r>
              <w:rPr>
                <w:sz w:val="28"/>
              </w:rPr>
              <w:t>эякулята</w:t>
            </w:r>
            <w:r>
              <w:rPr>
                <w:spacing w:val="-5"/>
                <w:sz w:val="28"/>
              </w:rPr>
              <w:t> </w:t>
            </w:r>
            <w:r>
              <w:rPr>
                <w:spacing w:val="-2"/>
                <w:sz w:val="28"/>
              </w:rPr>
              <w:t>человека</w:t>
            </w:r>
          </w:p>
        </w:tc>
        <w:tc>
          <w:tcPr>
            <w:tcW w:w="440" w:type="dxa"/>
          </w:tcPr>
          <w:p>
            <w:pPr>
              <w:pStyle w:val="TableParagraph"/>
              <w:spacing w:line="303" w:lineRule="exact"/>
              <w:ind w:left="105"/>
              <w:rPr>
                <w:sz w:val="28"/>
              </w:rPr>
            </w:pPr>
            <w:r>
              <w:rPr>
                <w:spacing w:val="-5"/>
                <w:sz w:val="28"/>
              </w:rPr>
              <w:t>14</w:t>
            </w:r>
          </w:p>
        </w:tc>
      </w:tr>
      <w:tr>
        <w:trPr>
          <w:trHeight w:val="321" w:hRule="atLeast"/>
        </w:trPr>
        <w:tc>
          <w:tcPr>
            <w:tcW w:w="929" w:type="dxa"/>
          </w:tcPr>
          <w:p>
            <w:pPr>
              <w:pStyle w:val="TableParagraph"/>
              <w:spacing w:line="302" w:lineRule="exact"/>
              <w:ind w:left="50"/>
              <w:rPr>
                <w:sz w:val="28"/>
              </w:rPr>
            </w:pPr>
            <w:r>
              <w:rPr>
                <w:spacing w:val="-2"/>
                <w:sz w:val="28"/>
              </w:rPr>
              <w:t>1.1.1</w:t>
            </w:r>
          </w:p>
        </w:tc>
        <w:tc>
          <w:tcPr>
            <w:tcW w:w="7679" w:type="dxa"/>
          </w:tcPr>
          <w:p>
            <w:pPr>
              <w:pStyle w:val="TableParagraph"/>
              <w:spacing w:line="302" w:lineRule="exact"/>
              <w:ind w:left="107"/>
              <w:rPr>
                <w:sz w:val="28"/>
              </w:rPr>
            </w:pPr>
            <w:r>
              <w:rPr>
                <w:sz w:val="28"/>
              </w:rPr>
              <w:t>Критерии</w:t>
            </w:r>
            <w:r>
              <w:rPr>
                <w:spacing w:val="-7"/>
                <w:sz w:val="28"/>
              </w:rPr>
              <w:t> </w:t>
            </w:r>
            <w:r>
              <w:rPr>
                <w:spacing w:val="-2"/>
                <w:sz w:val="28"/>
              </w:rPr>
              <w:t>нормозооспермии</w:t>
            </w:r>
          </w:p>
        </w:tc>
        <w:tc>
          <w:tcPr>
            <w:tcW w:w="440" w:type="dxa"/>
          </w:tcPr>
          <w:p>
            <w:pPr>
              <w:pStyle w:val="TableParagraph"/>
              <w:spacing w:line="302" w:lineRule="exact"/>
              <w:ind w:left="105"/>
              <w:rPr>
                <w:sz w:val="28"/>
              </w:rPr>
            </w:pPr>
            <w:r>
              <w:rPr>
                <w:spacing w:val="-5"/>
                <w:sz w:val="28"/>
              </w:rPr>
              <w:t>15</w:t>
            </w:r>
          </w:p>
        </w:tc>
      </w:tr>
      <w:tr>
        <w:trPr>
          <w:trHeight w:val="643" w:hRule="atLeast"/>
        </w:trPr>
        <w:tc>
          <w:tcPr>
            <w:tcW w:w="929" w:type="dxa"/>
          </w:tcPr>
          <w:p>
            <w:pPr>
              <w:pStyle w:val="TableParagraph"/>
              <w:spacing w:line="316" w:lineRule="exact"/>
              <w:ind w:left="50"/>
              <w:rPr>
                <w:sz w:val="28"/>
              </w:rPr>
            </w:pPr>
            <w:r>
              <w:rPr>
                <w:spacing w:val="-2"/>
                <w:sz w:val="28"/>
              </w:rPr>
              <w:t>1.1.2</w:t>
            </w:r>
          </w:p>
        </w:tc>
        <w:tc>
          <w:tcPr>
            <w:tcW w:w="7679" w:type="dxa"/>
          </w:tcPr>
          <w:p>
            <w:pPr>
              <w:pStyle w:val="TableParagraph"/>
              <w:tabs>
                <w:tab w:pos="2207" w:val="left" w:leader="none"/>
                <w:tab w:pos="3925" w:val="left" w:leader="none"/>
                <w:tab w:pos="6514" w:val="left" w:leader="none"/>
              </w:tabs>
              <w:spacing w:line="316" w:lineRule="exact"/>
              <w:ind w:left="107"/>
              <w:rPr>
                <w:sz w:val="28"/>
              </w:rPr>
            </w:pPr>
            <w:r>
              <w:rPr>
                <w:spacing w:val="-2"/>
                <w:sz w:val="28"/>
              </w:rPr>
              <w:t>Многообразие</w:t>
            </w:r>
            <w:r>
              <w:rPr>
                <w:sz w:val="28"/>
              </w:rPr>
              <w:tab/>
            </w:r>
            <w:r>
              <w:rPr>
                <w:spacing w:val="-2"/>
                <w:sz w:val="28"/>
              </w:rPr>
              <w:t>нарушений</w:t>
            </w:r>
            <w:r>
              <w:rPr>
                <w:sz w:val="28"/>
              </w:rPr>
              <w:tab/>
            </w:r>
            <w:r>
              <w:rPr>
                <w:spacing w:val="-2"/>
                <w:sz w:val="28"/>
              </w:rPr>
              <w:t>оплодотворяющей</w:t>
            </w:r>
            <w:r>
              <w:rPr>
                <w:sz w:val="28"/>
              </w:rPr>
              <w:tab/>
            </w:r>
            <w:r>
              <w:rPr>
                <w:spacing w:val="-2"/>
                <w:sz w:val="28"/>
              </w:rPr>
              <w:t>функции</w:t>
            </w:r>
          </w:p>
          <w:p>
            <w:pPr>
              <w:pStyle w:val="TableParagraph"/>
              <w:spacing w:line="307" w:lineRule="exact"/>
              <w:ind w:left="107"/>
              <w:rPr>
                <w:sz w:val="28"/>
              </w:rPr>
            </w:pPr>
            <w:r>
              <w:rPr>
                <w:spacing w:val="-2"/>
                <w:sz w:val="28"/>
              </w:rPr>
              <w:t>эякулята</w:t>
            </w:r>
          </w:p>
        </w:tc>
        <w:tc>
          <w:tcPr>
            <w:tcW w:w="440" w:type="dxa"/>
          </w:tcPr>
          <w:p>
            <w:pPr>
              <w:pStyle w:val="TableParagraph"/>
              <w:spacing w:line="316" w:lineRule="exact"/>
              <w:ind w:left="105"/>
              <w:rPr>
                <w:sz w:val="28"/>
              </w:rPr>
            </w:pPr>
            <w:r>
              <w:rPr>
                <w:spacing w:val="-5"/>
                <w:sz w:val="28"/>
              </w:rPr>
              <w:t>16</w:t>
            </w:r>
          </w:p>
        </w:tc>
      </w:tr>
      <w:tr>
        <w:trPr>
          <w:trHeight w:val="644" w:hRule="atLeast"/>
        </w:trPr>
        <w:tc>
          <w:tcPr>
            <w:tcW w:w="929" w:type="dxa"/>
          </w:tcPr>
          <w:p>
            <w:pPr>
              <w:pStyle w:val="TableParagraph"/>
              <w:spacing w:line="316" w:lineRule="exact"/>
              <w:ind w:left="50"/>
              <w:rPr>
                <w:sz w:val="28"/>
              </w:rPr>
            </w:pPr>
            <w:r>
              <w:rPr>
                <w:spacing w:val="-2"/>
                <w:sz w:val="28"/>
              </w:rPr>
              <w:t>1.1.2.1</w:t>
            </w:r>
          </w:p>
        </w:tc>
        <w:tc>
          <w:tcPr>
            <w:tcW w:w="7679" w:type="dxa"/>
          </w:tcPr>
          <w:p>
            <w:pPr>
              <w:pStyle w:val="TableParagraph"/>
              <w:tabs>
                <w:tab w:pos="2291" w:val="left" w:leader="none"/>
                <w:tab w:pos="4700" w:val="left" w:leader="none"/>
                <w:tab w:pos="7429" w:val="left" w:leader="none"/>
              </w:tabs>
              <w:spacing w:line="316" w:lineRule="exact"/>
              <w:ind w:left="107"/>
              <w:rPr>
                <w:sz w:val="28"/>
              </w:rPr>
            </w:pPr>
            <w:r>
              <w:rPr>
                <w:spacing w:val="-2"/>
                <w:sz w:val="28"/>
              </w:rPr>
              <w:t>Нарушение</w:t>
            </w:r>
            <w:r>
              <w:rPr>
                <w:sz w:val="28"/>
              </w:rPr>
              <w:tab/>
            </w:r>
            <w:r>
              <w:rPr>
                <w:spacing w:val="-2"/>
                <w:sz w:val="28"/>
              </w:rPr>
              <w:t>подвижности</w:t>
            </w:r>
            <w:r>
              <w:rPr>
                <w:sz w:val="28"/>
              </w:rPr>
              <w:tab/>
            </w:r>
            <w:r>
              <w:rPr>
                <w:spacing w:val="-2"/>
                <w:sz w:val="28"/>
              </w:rPr>
              <w:t>сперматозоидов</w:t>
            </w:r>
            <w:r>
              <w:rPr>
                <w:sz w:val="28"/>
              </w:rPr>
              <w:tab/>
              <w:t>–</w:t>
            </w:r>
          </w:p>
          <w:p>
            <w:pPr>
              <w:pStyle w:val="TableParagraph"/>
              <w:spacing w:line="308" w:lineRule="exact"/>
              <w:ind w:left="107"/>
              <w:rPr>
                <w:sz w:val="28"/>
              </w:rPr>
            </w:pPr>
            <w:r>
              <w:rPr>
                <w:spacing w:val="-2"/>
                <w:sz w:val="28"/>
              </w:rPr>
              <w:t>астенозооспермия</w:t>
            </w:r>
          </w:p>
        </w:tc>
        <w:tc>
          <w:tcPr>
            <w:tcW w:w="440" w:type="dxa"/>
          </w:tcPr>
          <w:p>
            <w:pPr>
              <w:pStyle w:val="TableParagraph"/>
              <w:spacing w:line="316" w:lineRule="exact"/>
              <w:ind w:left="105"/>
              <w:rPr>
                <w:sz w:val="28"/>
              </w:rPr>
            </w:pPr>
            <w:r>
              <w:rPr>
                <w:spacing w:val="-5"/>
                <w:sz w:val="28"/>
              </w:rPr>
              <w:t>18</w:t>
            </w:r>
          </w:p>
        </w:tc>
      </w:tr>
      <w:tr>
        <w:trPr>
          <w:trHeight w:val="644" w:hRule="atLeast"/>
        </w:trPr>
        <w:tc>
          <w:tcPr>
            <w:tcW w:w="929" w:type="dxa"/>
          </w:tcPr>
          <w:p>
            <w:pPr>
              <w:pStyle w:val="TableParagraph"/>
              <w:spacing w:line="317" w:lineRule="exact"/>
              <w:ind w:left="50"/>
              <w:rPr>
                <w:sz w:val="28"/>
              </w:rPr>
            </w:pPr>
            <w:r>
              <w:rPr>
                <w:spacing w:val="-2"/>
                <w:sz w:val="28"/>
              </w:rPr>
              <w:t>1.1.2.2</w:t>
            </w:r>
          </w:p>
        </w:tc>
        <w:tc>
          <w:tcPr>
            <w:tcW w:w="7679" w:type="dxa"/>
          </w:tcPr>
          <w:p>
            <w:pPr>
              <w:pStyle w:val="TableParagraph"/>
              <w:tabs>
                <w:tab w:pos="1568" w:val="left" w:leader="none"/>
                <w:tab w:pos="3953" w:val="left" w:leader="none"/>
                <w:tab w:pos="5266" w:val="left" w:leader="none"/>
                <w:tab w:pos="7429" w:val="left" w:leader="none"/>
              </w:tabs>
              <w:spacing w:line="317" w:lineRule="exact"/>
              <w:ind w:left="107"/>
              <w:rPr>
                <w:sz w:val="28"/>
              </w:rPr>
            </w:pPr>
            <w:r>
              <w:rPr>
                <w:spacing w:val="-2"/>
                <w:sz w:val="28"/>
              </w:rPr>
              <w:t>Аномалия</w:t>
            </w:r>
            <w:r>
              <w:rPr>
                <w:sz w:val="28"/>
              </w:rPr>
              <w:tab/>
            </w:r>
            <w:r>
              <w:rPr>
                <w:spacing w:val="-2"/>
                <w:sz w:val="28"/>
              </w:rPr>
              <w:t>морфологических</w:t>
            </w:r>
            <w:r>
              <w:rPr>
                <w:sz w:val="28"/>
              </w:rPr>
              <w:tab/>
            </w:r>
            <w:r>
              <w:rPr>
                <w:spacing w:val="-2"/>
                <w:sz w:val="28"/>
              </w:rPr>
              <w:t>структур</w:t>
            </w:r>
            <w:r>
              <w:rPr>
                <w:sz w:val="28"/>
              </w:rPr>
              <w:tab/>
            </w:r>
            <w:r>
              <w:rPr>
                <w:spacing w:val="-2"/>
                <w:sz w:val="28"/>
              </w:rPr>
              <w:t>сперматозоидов</w:t>
            </w:r>
            <w:r>
              <w:rPr>
                <w:sz w:val="28"/>
              </w:rPr>
              <w:tab/>
              <w:t>–</w:t>
            </w:r>
          </w:p>
          <w:p>
            <w:pPr>
              <w:pStyle w:val="TableParagraph"/>
              <w:spacing w:line="307" w:lineRule="exact"/>
              <w:ind w:left="107"/>
              <w:rPr>
                <w:sz w:val="28"/>
              </w:rPr>
            </w:pPr>
            <w:r>
              <w:rPr>
                <w:spacing w:val="-2"/>
                <w:sz w:val="28"/>
              </w:rPr>
              <w:t>тератозооспермия</w:t>
            </w:r>
          </w:p>
        </w:tc>
        <w:tc>
          <w:tcPr>
            <w:tcW w:w="440" w:type="dxa"/>
          </w:tcPr>
          <w:p>
            <w:pPr>
              <w:pStyle w:val="TableParagraph"/>
              <w:spacing w:line="317" w:lineRule="exact"/>
              <w:ind w:left="105"/>
              <w:rPr>
                <w:sz w:val="28"/>
              </w:rPr>
            </w:pPr>
            <w:r>
              <w:rPr>
                <w:spacing w:val="-5"/>
                <w:sz w:val="28"/>
              </w:rPr>
              <w:t>25</w:t>
            </w:r>
          </w:p>
        </w:tc>
      </w:tr>
      <w:tr>
        <w:trPr>
          <w:trHeight w:val="643" w:hRule="atLeast"/>
        </w:trPr>
        <w:tc>
          <w:tcPr>
            <w:tcW w:w="929" w:type="dxa"/>
          </w:tcPr>
          <w:p>
            <w:pPr>
              <w:pStyle w:val="TableParagraph"/>
              <w:spacing w:line="316" w:lineRule="exact"/>
              <w:ind w:left="50"/>
              <w:rPr>
                <w:sz w:val="28"/>
              </w:rPr>
            </w:pPr>
            <w:r>
              <w:rPr>
                <w:spacing w:val="-2"/>
                <w:sz w:val="28"/>
              </w:rPr>
              <w:t>1.1.2.3</w:t>
            </w:r>
          </w:p>
        </w:tc>
        <w:tc>
          <w:tcPr>
            <w:tcW w:w="7679" w:type="dxa"/>
          </w:tcPr>
          <w:p>
            <w:pPr>
              <w:pStyle w:val="TableParagraph"/>
              <w:tabs>
                <w:tab w:pos="1967" w:val="left" w:leader="none"/>
                <w:tab w:pos="3944" w:val="left" w:leader="none"/>
                <w:tab w:pos="5012" w:val="left" w:leader="none"/>
                <w:tab w:pos="7420" w:val="left" w:leader="none"/>
              </w:tabs>
              <w:spacing w:line="316" w:lineRule="exact"/>
              <w:ind w:left="107"/>
              <w:rPr>
                <w:sz w:val="28"/>
              </w:rPr>
            </w:pPr>
            <w:r>
              <w:rPr>
                <w:spacing w:val="-2"/>
                <w:sz w:val="28"/>
              </w:rPr>
              <w:t>Нарушение</w:t>
            </w:r>
            <w:r>
              <w:rPr>
                <w:sz w:val="28"/>
              </w:rPr>
              <w:tab/>
            </w:r>
            <w:r>
              <w:rPr>
                <w:spacing w:val="-2"/>
                <w:sz w:val="28"/>
              </w:rPr>
              <w:t>целостности</w:t>
            </w:r>
            <w:r>
              <w:rPr>
                <w:sz w:val="28"/>
              </w:rPr>
              <w:tab/>
            </w:r>
            <w:r>
              <w:rPr>
                <w:spacing w:val="-5"/>
                <w:sz w:val="28"/>
              </w:rPr>
              <w:t>ДНК</w:t>
            </w:r>
            <w:r>
              <w:rPr>
                <w:sz w:val="28"/>
              </w:rPr>
              <w:tab/>
            </w:r>
            <w:r>
              <w:rPr>
                <w:spacing w:val="-2"/>
                <w:sz w:val="28"/>
              </w:rPr>
              <w:t>сперматозоидов</w:t>
            </w:r>
            <w:r>
              <w:rPr>
                <w:sz w:val="28"/>
              </w:rPr>
              <w:tab/>
            </w:r>
            <w:r>
              <w:rPr>
                <w:spacing w:val="-10"/>
                <w:sz w:val="28"/>
              </w:rPr>
              <w:t>и</w:t>
            </w:r>
          </w:p>
          <w:p>
            <w:pPr>
              <w:pStyle w:val="TableParagraph"/>
              <w:spacing w:line="307" w:lineRule="exact"/>
              <w:ind w:left="107"/>
              <w:rPr>
                <w:sz w:val="28"/>
              </w:rPr>
            </w:pPr>
            <w:r>
              <w:rPr>
                <w:sz w:val="28"/>
              </w:rPr>
              <w:t>окислительный</w:t>
            </w:r>
            <w:r>
              <w:rPr>
                <w:spacing w:val="-10"/>
                <w:sz w:val="28"/>
              </w:rPr>
              <w:t> </w:t>
            </w:r>
            <w:r>
              <w:rPr>
                <w:spacing w:val="-2"/>
                <w:sz w:val="28"/>
              </w:rPr>
              <w:t>стресс</w:t>
            </w:r>
          </w:p>
        </w:tc>
        <w:tc>
          <w:tcPr>
            <w:tcW w:w="440" w:type="dxa"/>
          </w:tcPr>
          <w:p>
            <w:pPr>
              <w:pStyle w:val="TableParagraph"/>
              <w:spacing w:line="316" w:lineRule="exact"/>
              <w:ind w:left="105"/>
              <w:rPr>
                <w:sz w:val="28"/>
              </w:rPr>
            </w:pPr>
            <w:r>
              <w:rPr>
                <w:spacing w:val="-5"/>
                <w:sz w:val="28"/>
              </w:rPr>
              <w:t>26</w:t>
            </w:r>
          </w:p>
        </w:tc>
      </w:tr>
      <w:tr>
        <w:trPr>
          <w:trHeight w:val="643" w:hRule="atLeast"/>
        </w:trPr>
        <w:tc>
          <w:tcPr>
            <w:tcW w:w="929" w:type="dxa"/>
          </w:tcPr>
          <w:p>
            <w:pPr>
              <w:pStyle w:val="TableParagraph"/>
              <w:spacing w:line="316" w:lineRule="exact"/>
              <w:ind w:left="50"/>
              <w:rPr>
                <w:sz w:val="28"/>
              </w:rPr>
            </w:pPr>
            <w:r>
              <w:rPr>
                <w:spacing w:val="-2"/>
                <w:sz w:val="28"/>
              </w:rPr>
              <w:t>1.1.2.4</w:t>
            </w:r>
          </w:p>
        </w:tc>
        <w:tc>
          <w:tcPr>
            <w:tcW w:w="7679" w:type="dxa"/>
          </w:tcPr>
          <w:p>
            <w:pPr>
              <w:pStyle w:val="TableParagraph"/>
              <w:tabs>
                <w:tab w:pos="1916" w:val="left" w:leader="none"/>
                <w:tab w:pos="3244" w:val="left" w:leader="none"/>
                <w:tab w:pos="4823" w:val="left" w:leader="none"/>
                <w:tab w:pos="6150" w:val="left" w:leader="none"/>
                <w:tab w:pos="6728" w:val="left" w:leader="none"/>
              </w:tabs>
              <w:spacing w:line="316" w:lineRule="exact"/>
              <w:ind w:left="107"/>
              <w:rPr>
                <w:sz w:val="28"/>
              </w:rPr>
            </w:pPr>
            <w:r>
              <w:rPr>
                <w:spacing w:val="-2"/>
                <w:sz w:val="28"/>
              </w:rPr>
              <w:t>Нарушение</w:t>
            </w:r>
            <w:r>
              <w:rPr>
                <w:sz w:val="28"/>
              </w:rPr>
              <w:tab/>
            </w:r>
            <w:r>
              <w:rPr>
                <w:spacing w:val="-2"/>
                <w:sz w:val="28"/>
              </w:rPr>
              <w:t>состава</w:t>
            </w:r>
            <w:r>
              <w:rPr>
                <w:sz w:val="28"/>
              </w:rPr>
              <w:tab/>
            </w:r>
            <w:r>
              <w:rPr>
                <w:spacing w:val="-2"/>
                <w:sz w:val="28"/>
              </w:rPr>
              <w:t>семенной</w:t>
            </w:r>
            <w:r>
              <w:rPr>
                <w:sz w:val="28"/>
              </w:rPr>
              <w:tab/>
            </w:r>
            <w:r>
              <w:rPr>
                <w:spacing w:val="-2"/>
                <w:sz w:val="28"/>
              </w:rPr>
              <w:t>плазмы</w:t>
            </w:r>
            <w:r>
              <w:rPr>
                <w:sz w:val="28"/>
              </w:rPr>
              <w:tab/>
              <w:t>–</w:t>
              <w:tab/>
            </w:r>
            <w:r>
              <w:rPr>
                <w:spacing w:val="-2"/>
                <w:sz w:val="28"/>
              </w:rPr>
              <w:t>фактор</w:t>
            </w:r>
          </w:p>
          <w:p>
            <w:pPr>
              <w:pStyle w:val="TableParagraph"/>
              <w:spacing w:line="307" w:lineRule="exact"/>
              <w:ind w:left="107"/>
              <w:rPr>
                <w:sz w:val="28"/>
              </w:rPr>
            </w:pPr>
            <w:r>
              <w:rPr>
                <w:sz w:val="28"/>
              </w:rPr>
              <w:t>инфертильности</w:t>
            </w:r>
            <w:r>
              <w:rPr>
                <w:spacing w:val="-10"/>
                <w:sz w:val="28"/>
              </w:rPr>
              <w:t> </w:t>
            </w:r>
            <w:r>
              <w:rPr>
                <w:spacing w:val="-2"/>
                <w:sz w:val="28"/>
              </w:rPr>
              <w:t>эякулята</w:t>
            </w:r>
          </w:p>
        </w:tc>
        <w:tc>
          <w:tcPr>
            <w:tcW w:w="440" w:type="dxa"/>
          </w:tcPr>
          <w:p>
            <w:pPr>
              <w:pStyle w:val="TableParagraph"/>
              <w:spacing w:line="316" w:lineRule="exact"/>
              <w:ind w:left="105"/>
              <w:rPr>
                <w:sz w:val="28"/>
              </w:rPr>
            </w:pPr>
            <w:r>
              <w:rPr>
                <w:spacing w:val="-5"/>
                <w:sz w:val="28"/>
              </w:rPr>
              <w:t>27</w:t>
            </w:r>
          </w:p>
        </w:tc>
      </w:tr>
      <w:tr>
        <w:trPr>
          <w:trHeight w:val="645" w:hRule="atLeast"/>
        </w:trPr>
        <w:tc>
          <w:tcPr>
            <w:tcW w:w="929" w:type="dxa"/>
          </w:tcPr>
          <w:p>
            <w:pPr>
              <w:pStyle w:val="TableParagraph"/>
              <w:spacing w:line="316" w:lineRule="exact"/>
              <w:ind w:left="50"/>
              <w:rPr>
                <w:sz w:val="28"/>
              </w:rPr>
            </w:pPr>
            <w:r>
              <w:rPr>
                <w:spacing w:val="-5"/>
                <w:sz w:val="28"/>
              </w:rPr>
              <w:t>1.2</w:t>
            </w:r>
          </w:p>
        </w:tc>
        <w:tc>
          <w:tcPr>
            <w:tcW w:w="7679" w:type="dxa"/>
          </w:tcPr>
          <w:p>
            <w:pPr>
              <w:pStyle w:val="TableParagraph"/>
              <w:spacing w:line="316" w:lineRule="exact"/>
              <w:ind w:left="107"/>
              <w:rPr>
                <w:sz w:val="28"/>
              </w:rPr>
            </w:pPr>
            <w:r>
              <w:rPr>
                <w:sz w:val="28"/>
              </w:rPr>
              <w:t>Влияние</w:t>
            </w:r>
            <w:r>
              <w:rPr>
                <w:spacing w:val="17"/>
                <w:sz w:val="28"/>
              </w:rPr>
              <w:t> </w:t>
            </w:r>
            <w:r>
              <w:rPr>
                <w:sz w:val="28"/>
              </w:rPr>
              <w:t>неионизирующего</w:t>
            </w:r>
            <w:r>
              <w:rPr>
                <w:spacing w:val="24"/>
                <w:sz w:val="28"/>
              </w:rPr>
              <w:t> </w:t>
            </w:r>
            <w:r>
              <w:rPr>
                <w:sz w:val="28"/>
              </w:rPr>
              <w:t>электромагнитного</w:t>
            </w:r>
            <w:r>
              <w:rPr>
                <w:spacing w:val="22"/>
                <w:sz w:val="28"/>
              </w:rPr>
              <w:t> </w:t>
            </w:r>
            <w:r>
              <w:rPr>
                <w:sz w:val="28"/>
              </w:rPr>
              <w:t>излучения</w:t>
            </w:r>
            <w:r>
              <w:rPr>
                <w:spacing w:val="21"/>
                <w:sz w:val="28"/>
              </w:rPr>
              <w:t> </w:t>
            </w:r>
            <w:r>
              <w:rPr>
                <w:spacing w:val="-5"/>
                <w:sz w:val="28"/>
              </w:rPr>
              <w:t>на</w:t>
            </w:r>
          </w:p>
          <w:p>
            <w:pPr>
              <w:pStyle w:val="TableParagraph"/>
              <w:spacing w:line="307" w:lineRule="exact" w:before="2"/>
              <w:ind w:left="107"/>
              <w:rPr>
                <w:sz w:val="28"/>
              </w:rPr>
            </w:pPr>
            <w:r>
              <w:rPr>
                <w:sz w:val="28"/>
              </w:rPr>
              <w:t>живые</w:t>
            </w:r>
            <w:r>
              <w:rPr>
                <w:spacing w:val="-4"/>
                <w:sz w:val="28"/>
              </w:rPr>
              <w:t> </w:t>
            </w:r>
            <w:r>
              <w:rPr>
                <w:spacing w:val="-2"/>
                <w:sz w:val="28"/>
              </w:rPr>
              <w:t>объекты</w:t>
            </w:r>
          </w:p>
        </w:tc>
        <w:tc>
          <w:tcPr>
            <w:tcW w:w="440" w:type="dxa"/>
          </w:tcPr>
          <w:p>
            <w:pPr>
              <w:pStyle w:val="TableParagraph"/>
              <w:spacing w:line="316" w:lineRule="exact"/>
              <w:ind w:left="105"/>
              <w:rPr>
                <w:sz w:val="28"/>
              </w:rPr>
            </w:pPr>
            <w:r>
              <w:rPr>
                <w:spacing w:val="-5"/>
                <w:sz w:val="28"/>
              </w:rPr>
              <w:t>29</w:t>
            </w:r>
          </w:p>
        </w:tc>
      </w:tr>
      <w:tr>
        <w:trPr>
          <w:trHeight w:val="964" w:hRule="atLeast"/>
        </w:trPr>
        <w:tc>
          <w:tcPr>
            <w:tcW w:w="929" w:type="dxa"/>
          </w:tcPr>
          <w:p>
            <w:pPr>
              <w:pStyle w:val="TableParagraph"/>
              <w:spacing w:line="316" w:lineRule="exact"/>
              <w:ind w:left="50"/>
              <w:rPr>
                <w:sz w:val="28"/>
              </w:rPr>
            </w:pPr>
            <w:r>
              <w:rPr>
                <w:spacing w:val="-2"/>
                <w:sz w:val="28"/>
              </w:rPr>
              <w:t>1.2.1</w:t>
            </w:r>
          </w:p>
        </w:tc>
        <w:tc>
          <w:tcPr>
            <w:tcW w:w="7679" w:type="dxa"/>
          </w:tcPr>
          <w:p>
            <w:pPr>
              <w:pStyle w:val="TableParagraph"/>
              <w:tabs>
                <w:tab w:pos="2929" w:val="left" w:leader="none"/>
                <w:tab w:pos="5651" w:val="left" w:leader="none"/>
                <w:tab w:pos="6227" w:val="left" w:leader="none"/>
              </w:tabs>
              <w:spacing w:line="316" w:lineRule="exact"/>
              <w:ind w:left="107"/>
              <w:rPr>
                <w:sz w:val="28"/>
              </w:rPr>
            </w:pPr>
            <w:r>
              <w:rPr>
                <w:spacing w:val="-2"/>
                <w:sz w:val="28"/>
              </w:rPr>
              <w:t>Фотоакцептивность</w:t>
            </w:r>
            <w:r>
              <w:rPr>
                <w:sz w:val="28"/>
              </w:rPr>
              <w:tab/>
            </w:r>
            <w:r>
              <w:rPr>
                <w:spacing w:val="-2"/>
                <w:sz w:val="28"/>
              </w:rPr>
              <w:t>цитохромоксидазы</w:t>
            </w:r>
            <w:r>
              <w:rPr>
                <w:sz w:val="28"/>
              </w:rPr>
              <w:tab/>
            </w:r>
            <w:r>
              <w:rPr>
                <w:spacing w:val="-10"/>
                <w:sz w:val="28"/>
              </w:rPr>
              <w:t>в</w:t>
            </w:r>
            <w:r>
              <w:rPr>
                <w:sz w:val="28"/>
              </w:rPr>
              <w:tab/>
            </w:r>
            <w:r>
              <w:rPr>
                <w:spacing w:val="-2"/>
                <w:sz w:val="28"/>
              </w:rPr>
              <w:t>отношении</w:t>
            </w:r>
          </w:p>
          <w:p>
            <w:pPr>
              <w:pStyle w:val="TableParagraph"/>
              <w:tabs>
                <w:tab w:pos="2852" w:val="left" w:leader="none"/>
                <w:tab w:pos="3226" w:val="left" w:leader="none"/>
                <w:tab w:pos="5264" w:val="left" w:leader="none"/>
              </w:tabs>
              <w:spacing w:line="322" w:lineRule="exact"/>
              <w:ind w:left="107" w:right="107"/>
              <w:rPr>
                <w:sz w:val="28"/>
              </w:rPr>
            </w:pPr>
            <w:r>
              <w:rPr>
                <w:spacing w:val="-2"/>
                <w:sz w:val="28"/>
              </w:rPr>
              <w:t>монохроматического</w:t>
            </w:r>
            <w:r>
              <w:rPr>
                <w:sz w:val="28"/>
              </w:rPr>
              <w:tab/>
            </w:r>
            <w:r>
              <w:rPr>
                <w:spacing w:val="-10"/>
                <w:sz w:val="28"/>
              </w:rPr>
              <w:t>и</w:t>
            </w:r>
            <w:r>
              <w:rPr>
                <w:sz w:val="28"/>
              </w:rPr>
              <w:tab/>
            </w:r>
            <w:r>
              <w:rPr>
                <w:spacing w:val="-2"/>
                <w:sz w:val="28"/>
              </w:rPr>
              <w:t>инфракрасного</w:t>
            </w:r>
            <w:r>
              <w:rPr>
                <w:sz w:val="28"/>
              </w:rPr>
              <w:tab/>
            </w:r>
            <w:r>
              <w:rPr>
                <w:spacing w:val="-2"/>
                <w:sz w:val="28"/>
              </w:rPr>
              <w:t>электромагнитного излучений</w:t>
            </w:r>
          </w:p>
        </w:tc>
        <w:tc>
          <w:tcPr>
            <w:tcW w:w="440" w:type="dxa"/>
          </w:tcPr>
          <w:p>
            <w:pPr>
              <w:pStyle w:val="TableParagraph"/>
              <w:spacing w:line="316" w:lineRule="exact"/>
              <w:ind w:left="105"/>
              <w:rPr>
                <w:sz w:val="28"/>
              </w:rPr>
            </w:pPr>
            <w:r>
              <w:rPr>
                <w:spacing w:val="-5"/>
                <w:sz w:val="28"/>
              </w:rPr>
              <w:t>30</w:t>
            </w:r>
          </w:p>
        </w:tc>
      </w:tr>
      <w:tr>
        <w:trPr>
          <w:trHeight w:val="644" w:hRule="atLeast"/>
        </w:trPr>
        <w:tc>
          <w:tcPr>
            <w:tcW w:w="929" w:type="dxa"/>
          </w:tcPr>
          <w:p>
            <w:pPr>
              <w:pStyle w:val="TableParagraph"/>
              <w:spacing w:line="316" w:lineRule="exact"/>
              <w:ind w:left="50"/>
              <w:rPr>
                <w:sz w:val="28"/>
              </w:rPr>
            </w:pPr>
            <w:r>
              <w:rPr>
                <w:spacing w:val="-2"/>
                <w:sz w:val="28"/>
              </w:rPr>
              <w:t>1.2.2</w:t>
            </w:r>
          </w:p>
        </w:tc>
        <w:tc>
          <w:tcPr>
            <w:tcW w:w="7679" w:type="dxa"/>
          </w:tcPr>
          <w:p>
            <w:pPr>
              <w:pStyle w:val="TableParagraph"/>
              <w:tabs>
                <w:tab w:pos="2149" w:val="left" w:leader="none"/>
                <w:tab w:pos="5077" w:val="left" w:leader="none"/>
                <w:tab w:pos="5941" w:val="left" w:leader="none"/>
              </w:tabs>
              <w:spacing w:line="316" w:lineRule="exact"/>
              <w:ind w:left="107"/>
              <w:rPr>
                <w:sz w:val="28"/>
              </w:rPr>
            </w:pPr>
            <w:r>
              <w:rPr>
                <w:spacing w:val="-2"/>
                <w:sz w:val="28"/>
              </w:rPr>
              <w:t>Экстрасинтез</w:t>
            </w:r>
            <w:r>
              <w:rPr>
                <w:sz w:val="28"/>
              </w:rPr>
              <w:tab/>
            </w:r>
            <w:r>
              <w:rPr>
                <w:spacing w:val="-2"/>
                <w:sz w:val="28"/>
              </w:rPr>
              <w:t>аденозинтрифосфата</w:t>
            </w:r>
            <w:r>
              <w:rPr>
                <w:sz w:val="28"/>
              </w:rPr>
              <w:tab/>
            </w:r>
            <w:r>
              <w:rPr>
                <w:spacing w:val="-5"/>
                <w:sz w:val="28"/>
              </w:rPr>
              <w:t>под</w:t>
            </w:r>
            <w:r>
              <w:rPr>
                <w:sz w:val="28"/>
              </w:rPr>
              <w:tab/>
            </w:r>
            <w:r>
              <w:rPr>
                <w:spacing w:val="-2"/>
                <w:sz w:val="28"/>
              </w:rPr>
              <w:t>воздействием</w:t>
            </w:r>
          </w:p>
          <w:p>
            <w:pPr>
              <w:pStyle w:val="TableParagraph"/>
              <w:spacing w:line="308" w:lineRule="exact"/>
              <w:ind w:left="107"/>
              <w:rPr>
                <w:sz w:val="28"/>
              </w:rPr>
            </w:pPr>
            <w:r>
              <w:rPr>
                <w:sz w:val="28"/>
              </w:rPr>
              <w:t>видимого</w:t>
            </w:r>
            <w:r>
              <w:rPr>
                <w:spacing w:val="-8"/>
                <w:sz w:val="28"/>
              </w:rPr>
              <w:t> </w:t>
            </w:r>
            <w:r>
              <w:rPr>
                <w:spacing w:val="-2"/>
                <w:sz w:val="28"/>
              </w:rPr>
              <w:t>излучения</w:t>
            </w:r>
          </w:p>
        </w:tc>
        <w:tc>
          <w:tcPr>
            <w:tcW w:w="440" w:type="dxa"/>
          </w:tcPr>
          <w:p>
            <w:pPr>
              <w:pStyle w:val="TableParagraph"/>
              <w:spacing w:line="316" w:lineRule="exact"/>
              <w:ind w:left="105"/>
              <w:rPr>
                <w:sz w:val="28"/>
              </w:rPr>
            </w:pPr>
            <w:r>
              <w:rPr>
                <w:spacing w:val="-5"/>
                <w:sz w:val="28"/>
              </w:rPr>
              <w:t>32</w:t>
            </w:r>
          </w:p>
        </w:tc>
      </w:tr>
      <w:tr>
        <w:trPr>
          <w:trHeight w:val="966" w:hRule="atLeast"/>
        </w:trPr>
        <w:tc>
          <w:tcPr>
            <w:tcW w:w="929" w:type="dxa"/>
          </w:tcPr>
          <w:p>
            <w:pPr>
              <w:pStyle w:val="TableParagraph"/>
              <w:spacing w:line="317" w:lineRule="exact"/>
              <w:ind w:left="50"/>
              <w:rPr>
                <w:sz w:val="28"/>
              </w:rPr>
            </w:pPr>
            <w:r>
              <w:rPr>
                <w:spacing w:val="-2"/>
                <w:sz w:val="28"/>
              </w:rPr>
              <w:t>1.2.3</w:t>
            </w:r>
          </w:p>
        </w:tc>
        <w:tc>
          <w:tcPr>
            <w:tcW w:w="7679" w:type="dxa"/>
          </w:tcPr>
          <w:p>
            <w:pPr>
              <w:pStyle w:val="TableParagraph"/>
              <w:tabs>
                <w:tab w:pos="1628" w:val="left" w:leader="none"/>
                <w:tab w:pos="3054" w:val="left" w:leader="none"/>
                <w:tab w:pos="3263" w:val="left" w:leader="none"/>
                <w:tab w:pos="3901" w:val="left" w:leader="none"/>
                <w:tab w:pos="5017" w:val="left" w:leader="none"/>
                <w:tab w:pos="5999" w:val="left" w:leader="none"/>
                <w:tab w:pos="6205" w:val="left" w:leader="none"/>
              </w:tabs>
              <w:ind w:left="107" w:right="105"/>
              <w:rPr>
                <w:sz w:val="28"/>
              </w:rPr>
            </w:pPr>
            <w:r>
              <w:rPr>
                <w:spacing w:val="-2"/>
                <w:sz w:val="28"/>
              </w:rPr>
              <w:t>Влияние</w:t>
            </w:r>
            <w:r>
              <w:rPr>
                <w:sz w:val="28"/>
              </w:rPr>
              <w:tab/>
            </w:r>
            <w:r>
              <w:rPr>
                <w:spacing w:val="-2"/>
                <w:sz w:val="28"/>
              </w:rPr>
              <w:t>видимого</w:t>
            </w:r>
            <w:r>
              <w:rPr>
                <w:sz w:val="28"/>
              </w:rPr>
              <w:tab/>
              <w:tab/>
            </w:r>
            <w:r>
              <w:rPr>
                <w:spacing w:val="-10"/>
                <w:sz w:val="28"/>
              </w:rPr>
              <w:t>и</w:t>
            </w:r>
            <w:r>
              <w:rPr>
                <w:sz w:val="28"/>
              </w:rPr>
              <w:tab/>
            </w:r>
            <w:r>
              <w:rPr>
                <w:spacing w:val="-2"/>
                <w:sz w:val="28"/>
              </w:rPr>
              <w:t>инфракрасного</w:t>
            </w:r>
            <w:r>
              <w:rPr>
                <w:sz w:val="28"/>
              </w:rPr>
              <w:tab/>
              <w:tab/>
            </w:r>
            <w:r>
              <w:rPr>
                <w:spacing w:val="-2"/>
                <w:sz w:val="28"/>
              </w:rPr>
              <w:t>диапазонов электромагнитных</w:t>
            </w:r>
            <w:r>
              <w:rPr>
                <w:sz w:val="28"/>
              </w:rPr>
              <w:tab/>
            </w:r>
            <w:r>
              <w:rPr>
                <w:spacing w:val="-2"/>
                <w:sz w:val="28"/>
              </w:rPr>
              <w:t>излучений</w:t>
            </w:r>
            <w:r>
              <w:rPr>
                <w:sz w:val="28"/>
              </w:rPr>
              <w:tab/>
            </w:r>
            <w:r>
              <w:rPr>
                <w:spacing w:val="-5"/>
                <w:sz w:val="28"/>
              </w:rPr>
              <w:t>на</w:t>
            </w:r>
            <w:r>
              <w:rPr>
                <w:sz w:val="28"/>
              </w:rPr>
              <w:tab/>
            </w:r>
            <w:r>
              <w:rPr>
                <w:spacing w:val="-2"/>
                <w:sz w:val="28"/>
              </w:rPr>
              <w:t>подвижность</w:t>
            </w:r>
          </w:p>
          <w:p>
            <w:pPr>
              <w:pStyle w:val="TableParagraph"/>
              <w:spacing w:line="307" w:lineRule="exact"/>
              <w:ind w:left="107"/>
              <w:rPr>
                <w:sz w:val="28"/>
              </w:rPr>
            </w:pPr>
            <w:r>
              <w:rPr>
                <w:spacing w:val="-2"/>
                <w:sz w:val="28"/>
              </w:rPr>
              <w:t>сперматозоидов</w:t>
            </w:r>
          </w:p>
        </w:tc>
        <w:tc>
          <w:tcPr>
            <w:tcW w:w="440" w:type="dxa"/>
          </w:tcPr>
          <w:p>
            <w:pPr>
              <w:pStyle w:val="TableParagraph"/>
              <w:spacing w:line="317" w:lineRule="exact"/>
              <w:ind w:left="105"/>
              <w:rPr>
                <w:sz w:val="28"/>
              </w:rPr>
            </w:pPr>
            <w:r>
              <w:rPr>
                <w:spacing w:val="-5"/>
                <w:sz w:val="28"/>
              </w:rPr>
              <w:t>33</w:t>
            </w:r>
          </w:p>
        </w:tc>
      </w:tr>
      <w:tr>
        <w:trPr>
          <w:trHeight w:val="964" w:hRule="atLeast"/>
        </w:trPr>
        <w:tc>
          <w:tcPr>
            <w:tcW w:w="929" w:type="dxa"/>
          </w:tcPr>
          <w:p>
            <w:pPr>
              <w:pStyle w:val="TableParagraph"/>
              <w:spacing w:line="316" w:lineRule="exact"/>
              <w:ind w:left="50"/>
              <w:rPr>
                <w:sz w:val="28"/>
              </w:rPr>
            </w:pPr>
            <w:r>
              <w:rPr>
                <w:spacing w:val="-2"/>
                <w:sz w:val="28"/>
              </w:rPr>
              <w:t>1.2.4</w:t>
            </w:r>
          </w:p>
        </w:tc>
        <w:tc>
          <w:tcPr>
            <w:tcW w:w="7679" w:type="dxa"/>
          </w:tcPr>
          <w:p>
            <w:pPr>
              <w:pStyle w:val="TableParagraph"/>
              <w:tabs>
                <w:tab w:pos="1465" w:val="left" w:leader="none"/>
                <w:tab w:pos="1640" w:val="left" w:leader="none"/>
                <w:tab w:pos="2667" w:val="left" w:leader="none"/>
                <w:tab w:pos="4028" w:val="left" w:leader="none"/>
                <w:tab w:pos="4295" w:val="left" w:leader="none"/>
                <w:tab w:pos="4832" w:val="left" w:leader="none"/>
                <w:tab w:pos="5612" w:val="left" w:leader="none"/>
                <w:tab w:pos="6212" w:val="left" w:leader="none"/>
                <w:tab w:pos="6990" w:val="left" w:leader="none"/>
              </w:tabs>
              <w:ind w:left="107" w:right="105"/>
              <w:rPr>
                <w:sz w:val="28"/>
              </w:rPr>
            </w:pPr>
            <w:r>
              <w:rPr>
                <w:spacing w:val="-2"/>
                <w:sz w:val="28"/>
              </w:rPr>
              <w:t>Влияние</w:t>
            </w:r>
            <w:r>
              <w:rPr>
                <w:sz w:val="28"/>
              </w:rPr>
              <w:tab/>
            </w:r>
            <w:r>
              <w:rPr>
                <w:spacing w:val="-2"/>
                <w:sz w:val="28"/>
              </w:rPr>
              <w:t>электромагнитных</w:t>
            </w:r>
            <w:r>
              <w:rPr>
                <w:sz w:val="28"/>
              </w:rPr>
              <w:tab/>
            </w:r>
            <w:r>
              <w:rPr>
                <w:spacing w:val="-2"/>
                <w:sz w:val="28"/>
              </w:rPr>
              <w:t>излучений</w:t>
            </w:r>
            <w:r>
              <w:rPr>
                <w:sz w:val="28"/>
              </w:rPr>
              <w:tab/>
            </w:r>
            <w:r>
              <w:rPr>
                <w:spacing w:val="-6"/>
                <w:sz w:val="28"/>
              </w:rPr>
              <w:t>на</w:t>
            </w:r>
            <w:r>
              <w:rPr>
                <w:sz w:val="28"/>
              </w:rPr>
              <w:tab/>
            </w:r>
            <w:r>
              <w:rPr>
                <w:spacing w:val="-2"/>
                <w:sz w:val="28"/>
              </w:rPr>
              <w:t>продукцию активных</w:t>
            </w:r>
            <w:r>
              <w:rPr>
                <w:sz w:val="28"/>
              </w:rPr>
              <w:tab/>
              <w:tab/>
            </w:r>
            <w:r>
              <w:rPr>
                <w:spacing w:val="-4"/>
                <w:sz w:val="28"/>
              </w:rPr>
              <w:t>форм</w:t>
            </w:r>
            <w:r>
              <w:rPr>
                <w:sz w:val="28"/>
              </w:rPr>
              <w:tab/>
            </w:r>
            <w:r>
              <w:rPr>
                <w:spacing w:val="-2"/>
                <w:sz w:val="28"/>
              </w:rPr>
              <w:t>кислорода</w:t>
            </w:r>
            <w:r>
              <w:rPr>
                <w:sz w:val="28"/>
              </w:rPr>
              <w:tab/>
              <w:tab/>
            </w:r>
            <w:r>
              <w:rPr>
                <w:spacing w:val="-10"/>
                <w:sz w:val="28"/>
              </w:rPr>
              <w:t>и</w:t>
            </w:r>
            <w:r>
              <w:rPr>
                <w:sz w:val="28"/>
              </w:rPr>
              <w:tab/>
            </w:r>
            <w:r>
              <w:rPr>
                <w:spacing w:val="-2"/>
                <w:sz w:val="28"/>
              </w:rPr>
              <w:t>фрагментацию</w:t>
            </w:r>
            <w:r>
              <w:rPr>
                <w:sz w:val="28"/>
              </w:rPr>
              <w:tab/>
            </w:r>
            <w:r>
              <w:rPr>
                <w:spacing w:val="-5"/>
                <w:sz w:val="28"/>
              </w:rPr>
              <w:t>ДНК</w:t>
            </w:r>
          </w:p>
          <w:p>
            <w:pPr>
              <w:pStyle w:val="TableParagraph"/>
              <w:spacing w:line="307" w:lineRule="exact"/>
              <w:ind w:left="107"/>
              <w:rPr>
                <w:sz w:val="28"/>
              </w:rPr>
            </w:pPr>
            <w:r>
              <w:rPr>
                <w:spacing w:val="-2"/>
                <w:sz w:val="28"/>
              </w:rPr>
              <w:t>сперматозоидов</w:t>
            </w:r>
          </w:p>
        </w:tc>
        <w:tc>
          <w:tcPr>
            <w:tcW w:w="440" w:type="dxa"/>
          </w:tcPr>
          <w:p>
            <w:pPr>
              <w:pStyle w:val="TableParagraph"/>
              <w:spacing w:line="316" w:lineRule="exact"/>
              <w:ind w:left="105"/>
              <w:rPr>
                <w:sz w:val="28"/>
              </w:rPr>
            </w:pPr>
            <w:r>
              <w:rPr>
                <w:spacing w:val="-5"/>
                <w:sz w:val="28"/>
              </w:rPr>
              <w:t>36</w:t>
            </w:r>
          </w:p>
        </w:tc>
      </w:tr>
      <w:tr>
        <w:trPr>
          <w:trHeight w:val="322" w:hRule="atLeast"/>
        </w:trPr>
        <w:tc>
          <w:tcPr>
            <w:tcW w:w="929" w:type="dxa"/>
          </w:tcPr>
          <w:p>
            <w:pPr>
              <w:pStyle w:val="TableParagraph"/>
              <w:spacing w:line="303" w:lineRule="exact"/>
              <w:ind w:left="50"/>
              <w:rPr>
                <w:sz w:val="28"/>
              </w:rPr>
            </w:pPr>
            <w:r>
              <w:rPr>
                <w:spacing w:val="-2"/>
                <w:sz w:val="28"/>
              </w:rPr>
              <w:t>1.2.5</w:t>
            </w:r>
          </w:p>
        </w:tc>
        <w:tc>
          <w:tcPr>
            <w:tcW w:w="7679" w:type="dxa"/>
          </w:tcPr>
          <w:p>
            <w:pPr>
              <w:pStyle w:val="TableParagraph"/>
              <w:spacing w:line="303" w:lineRule="exact"/>
              <w:ind w:left="107"/>
              <w:rPr>
                <w:sz w:val="28"/>
              </w:rPr>
            </w:pPr>
            <w:r>
              <w:rPr>
                <w:sz w:val="28"/>
              </w:rPr>
              <w:t>Влияние</w:t>
            </w:r>
            <w:r>
              <w:rPr>
                <w:spacing w:val="-9"/>
                <w:sz w:val="28"/>
              </w:rPr>
              <w:t> </w:t>
            </w:r>
            <w:r>
              <w:rPr>
                <w:sz w:val="28"/>
              </w:rPr>
              <w:t>света</w:t>
            </w:r>
            <w:r>
              <w:rPr>
                <w:spacing w:val="-6"/>
                <w:sz w:val="28"/>
              </w:rPr>
              <w:t> </w:t>
            </w:r>
            <w:r>
              <w:rPr>
                <w:sz w:val="28"/>
              </w:rPr>
              <w:t>на</w:t>
            </w:r>
            <w:r>
              <w:rPr>
                <w:spacing w:val="-6"/>
                <w:sz w:val="28"/>
              </w:rPr>
              <w:t> </w:t>
            </w:r>
            <w:r>
              <w:rPr>
                <w:sz w:val="28"/>
              </w:rPr>
              <w:t>капацитацию</w:t>
            </w:r>
            <w:r>
              <w:rPr>
                <w:spacing w:val="-6"/>
                <w:sz w:val="28"/>
              </w:rPr>
              <w:t> </w:t>
            </w:r>
            <w:r>
              <w:rPr>
                <w:spacing w:val="-2"/>
                <w:sz w:val="28"/>
              </w:rPr>
              <w:t>сперматозоидов</w:t>
            </w:r>
          </w:p>
        </w:tc>
        <w:tc>
          <w:tcPr>
            <w:tcW w:w="440" w:type="dxa"/>
          </w:tcPr>
          <w:p>
            <w:pPr>
              <w:pStyle w:val="TableParagraph"/>
              <w:spacing w:line="303" w:lineRule="exact"/>
              <w:ind w:left="105"/>
              <w:rPr>
                <w:sz w:val="28"/>
              </w:rPr>
            </w:pPr>
            <w:r>
              <w:rPr>
                <w:spacing w:val="-5"/>
                <w:sz w:val="28"/>
              </w:rPr>
              <w:t>37</w:t>
            </w:r>
          </w:p>
        </w:tc>
      </w:tr>
      <w:tr>
        <w:trPr>
          <w:trHeight w:val="644" w:hRule="atLeast"/>
        </w:trPr>
        <w:tc>
          <w:tcPr>
            <w:tcW w:w="929" w:type="dxa"/>
          </w:tcPr>
          <w:p>
            <w:pPr>
              <w:pStyle w:val="TableParagraph"/>
              <w:spacing w:line="317" w:lineRule="exact"/>
              <w:ind w:left="50"/>
              <w:rPr>
                <w:sz w:val="28"/>
              </w:rPr>
            </w:pPr>
            <w:r>
              <w:rPr>
                <w:spacing w:val="-5"/>
                <w:sz w:val="28"/>
              </w:rPr>
              <w:t>1.3</w:t>
            </w:r>
          </w:p>
        </w:tc>
        <w:tc>
          <w:tcPr>
            <w:tcW w:w="7679" w:type="dxa"/>
          </w:tcPr>
          <w:p>
            <w:pPr>
              <w:pStyle w:val="TableParagraph"/>
              <w:tabs>
                <w:tab w:pos="1811" w:val="left" w:leader="none"/>
                <w:tab w:pos="3659" w:val="left" w:leader="none"/>
                <w:tab w:pos="5205" w:val="left" w:leader="none"/>
                <w:tab w:pos="5756" w:val="left" w:leader="none"/>
              </w:tabs>
              <w:spacing w:line="317" w:lineRule="exact"/>
              <w:ind w:left="107"/>
              <w:rPr>
                <w:sz w:val="28"/>
              </w:rPr>
            </w:pPr>
            <w:r>
              <w:rPr>
                <w:spacing w:val="-2"/>
                <w:sz w:val="28"/>
              </w:rPr>
              <w:t>Потенциал</w:t>
            </w:r>
            <w:r>
              <w:rPr>
                <w:sz w:val="28"/>
              </w:rPr>
              <w:tab/>
            </w:r>
            <w:r>
              <w:rPr>
                <w:spacing w:val="-2"/>
                <w:sz w:val="28"/>
              </w:rPr>
              <w:t>применения</w:t>
            </w:r>
            <w:r>
              <w:rPr>
                <w:sz w:val="28"/>
              </w:rPr>
              <w:tab/>
            </w:r>
            <w:r>
              <w:rPr>
                <w:spacing w:val="-2"/>
                <w:sz w:val="28"/>
              </w:rPr>
              <w:t>видимого</w:t>
            </w:r>
            <w:r>
              <w:rPr>
                <w:sz w:val="28"/>
              </w:rPr>
              <w:tab/>
            </w:r>
            <w:r>
              <w:rPr>
                <w:spacing w:val="-10"/>
                <w:sz w:val="28"/>
              </w:rPr>
              <w:t>и</w:t>
            </w:r>
            <w:r>
              <w:rPr>
                <w:sz w:val="28"/>
              </w:rPr>
              <w:tab/>
            </w:r>
            <w:r>
              <w:rPr>
                <w:spacing w:val="-2"/>
                <w:sz w:val="28"/>
              </w:rPr>
              <w:t>инфракрасного</w:t>
            </w:r>
          </w:p>
          <w:p>
            <w:pPr>
              <w:pStyle w:val="TableParagraph"/>
              <w:spacing w:line="307" w:lineRule="exact"/>
              <w:ind w:left="107"/>
              <w:rPr>
                <w:sz w:val="28"/>
              </w:rPr>
            </w:pPr>
            <w:r>
              <w:rPr>
                <w:sz w:val="28"/>
              </w:rPr>
              <w:t>электромагнитных</w:t>
            </w:r>
            <w:r>
              <w:rPr>
                <w:spacing w:val="-12"/>
                <w:sz w:val="28"/>
              </w:rPr>
              <w:t> </w:t>
            </w:r>
            <w:r>
              <w:rPr>
                <w:sz w:val="28"/>
              </w:rPr>
              <w:t>излучений</w:t>
            </w:r>
            <w:r>
              <w:rPr>
                <w:spacing w:val="-7"/>
                <w:sz w:val="28"/>
              </w:rPr>
              <w:t> </w:t>
            </w:r>
            <w:r>
              <w:rPr>
                <w:sz w:val="28"/>
              </w:rPr>
              <w:t>в</w:t>
            </w:r>
            <w:r>
              <w:rPr>
                <w:spacing w:val="-9"/>
                <w:sz w:val="28"/>
              </w:rPr>
              <w:t> </w:t>
            </w:r>
            <w:r>
              <w:rPr>
                <w:sz w:val="28"/>
              </w:rPr>
              <w:t>репродуктивной</w:t>
            </w:r>
            <w:r>
              <w:rPr>
                <w:spacing w:val="-7"/>
                <w:sz w:val="28"/>
              </w:rPr>
              <w:t> </w:t>
            </w:r>
            <w:r>
              <w:rPr>
                <w:spacing w:val="-2"/>
                <w:sz w:val="28"/>
              </w:rPr>
              <w:t>медицине</w:t>
            </w:r>
          </w:p>
        </w:tc>
        <w:tc>
          <w:tcPr>
            <w:tcW w:w="440" w:type="dxa"/>
          </w:tcPr>
          <w:p>
            <w:pPr>
              <w:pStyle w:val="TableParagraph"/>
              <w:spacing w:line="317" w:lineRule="exact"/>
              <w:ind w:left="105"/>
              <w:rPr>
                <w:sz w:val="28"/>
              </w:rPr>
            </w:pPr>
            <w:r>
              <w:rPr>
                <w:spacing w:val="-5"/>
                <w:sz w:val="28"/>
              </w:rPr>
              <w:t>40</w:t>
            </w:r>
          </w:p>
        </w:tc>
      </w:tr>
      <w:tr>
        <w:trPr>
          <w:trHeight w:val="321" w:hRule="atLeast"/>
        </w:trPr>
        <w:tc>
          <w:tcPr>
            <w:tcW w:w="929" w:type="dxa"/>
          </w:tcPr>
          <w:p>
            <w:pPr>
              <w:pStyle w:val="TableParagraph"/>
              <w:spacing w:line="302" w:lineRule="exact"/>
              <w:ind w:left="50"/>
              <w:rPr>
                <w:sz w:val="28"/>
              </w:rPr>
            </w:pPr>
            <w:r>
              <w:rPr>
                <w:spacing w:val="-5"/>
                <w:sz w:val="28"/>
              </w:rPr>
              <w:t>2.</w:t>
            </w:r>
          </w:p>
        </w:tc>
        <w:tc>
          <w:tcPr>
            <w:tcW w:w="7679" w:type="dxa"/>
          </w:tcPr>
          <w:p>
            <w:pPr>
              <w:pStyle w:val="TableParagraph"/>
              <w:spacing w:line="302" w:lineRule="exact"/>
              <w:ind w:left="107"/>
              <w:rPr>
                <w:b/>
                <w:sz w:val="28"/>
              </w:rPr>
            </w:pPr>
            <w:r>
              <w:rPr>
                <w:b/>
                <w:sz w:val="28"/>
              </w:rPr>
              <w:t>МАТЕРИАЛЫ</w:t>
            </w:r>
            <w:r>
              <w:rPr>
                <w:b/>
                <w:spacing w:val="-7"/>
                <w:sz w:val="28"/>
              </w:rPr>
              <w:t> </w:t>
            </w:r>
            <w:r>
              <w:rPr>
                <w:b/>
                <w:sz w:val="28"/>
              </w:rPr>
              <w:t>И</w:t>
            </w:r>
            <w:r>
              <w:rPr>
                <w:b/>
                <w:spacing w:val="-6"/>
                <w:sz w:val="28"/>
              </w:rPr>
              <w:t> </w:t>
            </w:r>
            <w:r>
              <w:rPr>
                <w:b/>
                <w:sz w:val="28"/>
              </w:rPr>
              <w:t>МЕТОДЫ</w:t>
            </w:r>
            <w:r>
              <w:rPr>
                <w:b/>
                <w:spacing w:val="-4"/>
                <w:sz w:val="28"/>
              </w:rPr>
              <w:t> </w:t>
            </w:r>
            <w:r>
              <w:rPr>
                <w:b/>
                <w:spacing w:val="-2"/>
                <w:sz w:val="28"/>
              </w:rPr>
              <w:t>ИССЛЕДОВАНИЯ</w:t>
            </w:r>
          </w:p>
        </w:tc>
        <w:tc>
          <w:tcPr>
            <w:tcW w:w="440" w:type="dxa"/>
          </w:tcPr>
          <w:p>
            <w:pPr>
              <w:pStyle w:val="TableParagraph"/>
              <w:spacing w:line="302" w:lineRule="exact"/>
              <w:ind w:left="105"/>
              <w:rPr>
                <w:sz w:val="28"/>
              </w:rPr>
            </w:pPr>
            <w:r>
              <w:rPr>
                <w:spacing w:val="-5"/>
                <w:sz w:val="28"/>
              </w:rPr>
              <w:t>42</w:t>
            </w:r>
          </w:p>
        </w:tc>
      </w:tr>
      <w:tr>
        <w:trPr>
          <w:trHeight w:val="321" w:hRule="atLeast"/>
        </w:trPr>
        <w:tc>
          <w:tcPr>
            <w:tcW w:w="929" w:type="dxa"/>
          </w:tcPr>
          <w:p>
            <w:pPr>
              <w:pStyle w:val="TableParagraph"/>
              <w:spacing w:line="302" w:lineRule="exact"/>
              <w:ind w:left="50"/>
              <w:rPr>
                <w:sz w:val="28"/>
              </w:rPr>
            </w:pPr>
            <w:r>
              <w:rPr>
                <w:spacing w:val="-5"/>
                <w:sz w:val="28"/>
              </w:rPr>
              <w:t>2.1</w:t>
            </w:r>
          </w:p>
        </w:tc>
        <w:tc>
          <w:tcPr>
            <w:tcW w:w="7679" w:type="dxa"/>
          </w:tcPr>
          <w:p>
            <w:pPr>
              <w:pStyle w:val="TableParagraph"/>
              <w:spacing w:line="302" w:lineRule="exact"/>
              <w:ind w:left="107"/>
              <w:rPr>
                <w:sz w:val="28"/>
              </w:rPr>
            </w:pPr>
            <w:r>
              <w:rPr>
                <w:sz w:val="28"/>
              </w:rPr>
              <w:t>Объект</w:t>
            </w:r>
            <w:r>
              <w:rPr>
                <w:spacing w:val="-4"/>
                <w:sz w:val="28"/>
              </w:rPr>
              <w:t> </w:t>
            </w:r>
            <w:r>
              <w:rPr>
                <w:sz w:val="28"/>
              </w:rPr>
              <w:t>и</w:t>
            </w:r>
            <w:r>
              <w:rPr>
                <w:spacing w:val="-2"/>
                <w:sz w:val="28"/>
              </w:rPr>
              <w:t> </w:t>
            </w:r>
            <w:r>
              <w:rPr>
                <w:sz w:val="28"/>
              </w:rPr>
              <w:t>предмет</w:t>
            </w:r>
            <w:r>
              <w:rPr>
                <w:spacing w:val="-6"/>
                <w:sz w:val="28"/>
              </w:rPr>
              <w:t> </w:t>
            </w:r>
            <w:r>
              <w:rPr>
                <w:spacing w:val="-2"/>
                <w:sz w:val="28"/>
              </w:rPr>
              <w:t>исследований</w:t>
            </w:r>
          </w:p>
        </w:tc>
        <w:tc>
          <w:tcPr>
            <w:tcW w:w="440" w:type="dxa"/>
          </w:tcPr>
          <w:p>
            <w:pPr>
              <w:pStyle w:val="TableParagraph"/>
              <w:spacing w:line="302" w:lineRule="exact"/>
              <w:ind w:left="105"/>
              <w:rPr>
                <w:sz w:val="28"/>
              </w:rPr>
            </w:pPr>
            <w:r>
              <w:rPr>
                <w:spacing w:val="-5"/>
                <w:sz w:val="28"/>
              </w:rPr>
              <w:t>42</w:t>
            </w:r>
          </w:p>
        </w:tc>
      </w:tr>
      <w:tr>
        <w:trPr>
          <w:trHeight w:val="644" w:hRule="atLeast"/>
        </w:trPr>
        <w:tc>
          <w:tcPr>
            <w:tcW w:w="929" w:type="dxa"/>
          </w:tcPr>
          <w:p>
            <w:pPr>
              <w:pStyle w:val="TableParagraph"/>
              <w:spacing w:line="316" w:lineRule="exact"/>
              <w:ind w:left="50"/>
              <w:rPr>
                <w:sz w:val="28"/>
              </w:rPr>
            </w:pPr>
            <w:r>
              <w:rPr>
                <w:spacing w:val="-5"/>
                <w:sz w:val="28"/>
              </w:rPr>
              <w:t>2.2</w:t>
            </w:r>
          </w:p>
        </w:tc>
        <w:tc>
          <w:tcPr>
            <w:tcW w:w="7679" w:type="dxa"/>
          </w:tcPr>
          <w:p>
            <w:pPr>
              <w:pStyle w:val="TableParagraph"/>
              <w:spacing w:line="316" w:lineRule="exact"/>
              <w:ind w:left="107"/>
              <w:rPr>
                <w:sz w:val="28"/>
              </w:rPr>
            </w:pPr>
            <w:r>
              <w:rPr>
                <w:sz w:val="28"/>
              </w:rPr>
              <w:t>Подбор</w:t>
            </w:r>
            <w:r>
              <w:rPr>
                <w:spacing w:val="71"/>
                <w:sz w:val="28"/>
              </w:rPr>
              <w:t> </w:t>
            </w:r>
            <w:r>
              <w:rPr>
                <w:sz w:val="28"/>
              </w:rPr>
              <w:t>целевых</w:t>
            </w:r>
            <w:r>
              <w:rPr>
                <w:spacing w:val="73"/>
                <w:sz w:val="28"/>
              </w:rPr>
              <w:t> </w:t>
            </w:r>
            <w:r>
              <w:rPr>
                <w:sz w:val="28"/>
              </w:rPr>
              <w:t>групп</w:t>
            </w:r>
            <w:r>
              <w:rPr>
                <w:spacing w:val="74"/>
                <w:sz w:val="28"/>
              </w:rPr>
              <w:t> </w:t>
            </w:r>
            <w:r>
              <w:rPr>
                <w:sz w:val="28"/>
              </w:rPr>
              <w:t>пациентов</w:t>
            </w:r>
            <w:r>
              <w:rPr>
                <w:spacing w:val="71"/>
                <w:sz w:val="28"/>
              </w:rPr>
              <w:t> </w:t>
            </w:r>
            <w:r>
              <w:rPr>
                <w:sz w:val="28"/>
              </w:rPr>
              <w:t>с</w:t>
            </w:r>
            <w:r>
              <w:rPr>
                <w:spacing w:val="73"/>
                <w:sz w:val="28"/>
              </w:rPr>
              <w:t> </w:t>
            </w:r>
            <w:r>
              <w:rPr>
                <w:sz w:val="28"/>
              </w:rPr>
              <w:t>бесплодием</w:t>
            </w:r>
            <w:r>
              <w:rPr>
                <w:spacing w:val="74"/>
                <w:sz w:val="28"/>
              </w:rPr>
              <w:t> </w:t>
            </w:r>
            <w:r>
              <w:rPr>
                <w:sz w:val="28"/>
              </w:rPr>
              <w:t>и</w:t>
            </w:r>
            <w:r>
              <w:rPr>
                <w:spacing w:val="74"/>
                <w:sz w:val="28"/>
              </w:rPr>
              <w:t> </w:t>
            </w:r>
            <w:r>
              <w:rPr>
                <w:spacing w:val="-2"/>
                <w:sz w:val="28"/>
              </w:rPr>
              <w:t>методы</w:t>
            </w:r>
          </w:p>
          <w:p>
            <w:pPr>
              <w:pStyle w:val="TableParagraph"/>
              <w:spacing w:line="308" w:lineRule="exact"/>
              <w:ind w:left="107"/>
              <w:rPr>
                <w:sz w:val="28"/>
              </w:rPr>
            </w:pPr>
            <w:r>
              <w:rPr>
                <w:sz w:val="28"/>
              </w:rPr>
              <w:t>рутинной</w:t>
            </w:r>
            <w:r>
              <w:rPr>
                <w:spacing w:val="-9"/>
                <w:sz w:val="28"/>
              </w:rPr>
              <w:t> </w:t>
            </w:r>
            <w:r>
              <w:rPr>
                <w:sz w:val="28"/>
              </w:rPr>
              <w:t>диагностики</w:t>
            </w:r>
            <w:r>
              <w:rPr>
                <w:spacing w:val="-6"/>
                <w:sz w:val="28"/>
              </w:rPr>
              <w:t> </w:t>
            </w:r>
            <w:r>
              <w:rPr>
                <w:sz w:val="28"/>
              </w:rPr>
              <w:t>мужской</w:t>
            </w:r>
            <w:r>
              <w:rPr>
                <w:spacing w:val="-6"/>
                <w:sz w:val="28"/>
              </w:rPr>
              <w:t> </w:t>
            </w:r>
            <w:r>
              <w:rPr>
                <w:spacing w:val="-2"/>
                <w:sz w:val="28"/>
              </w:rPr>
              <w:t>фертильности</w:t>
            </w:r>
          </w:p>
        </w:tc>
        <w:tc>
          <w:tcPr>
            <w:tcW w:w="440" w:type="dxa"/>
          </w:tcPr>
          <w:p>
            <w:pPr>
              <w:pStyle w:val="TableParagraph"/>
              <w:spacing w:line="316" w:lineRule="exact"/>
              <w:ind w:left="105"/>
              <w:rPr>
                <w:sz w:val="28"/>
              </w:rPr>
            </w:pPr>
            <w:r>
              <w:rPr>
                <w:spacing w:val="-5"/>
                <w:sz w:val="28"/>
              </w:rPr>
              <w:t>42</w:t>
            </w:r>
          </w:p>
        </w:tc>
      </w:tr>
      <w:tr>
        <w:trPr>
          <w:trHeight w:val="322" w:hRule="atLeast"/>
        </w:trPr>
        <w:tc>
          <w:tcPr>
            <w:tcW w:w="929" w:type="dxa"/>
          </w:tcPr>
          <w:p>
            <w:pPr>
              <w:pStyle w:val="TableParagraph"/>
              <w:spacing w:line="303" w:lineRule="exact"/>
              <w:ind w:left="50"/>
              <w:rPr>
                <w:sz w:val="28"/>
              </w:rPr>
            </w:pPr>
            <w:r>
              <w:rPr>
                <w:spacing w:val="-2"/>
                <w:sz w:val="28"/>
              </w:rPr>
              <w:t>2.2.1</w:t>
            </w:r>
          </w:p>
        </w:tc>
        <w:tc>
          <w:tcPr>
            <w:tcW w:w="7679" w:type="dxa"/>
          </w:tcPr>
          <w:p>
            <w:pPr>
              <w:pStyle w:val="TableParagraph"/>
              <w:spacing w:line="303" w:lineRule="exact"/>
              <w:ind w:left="107"/>
              <w:rPr>
                <w:sz w:val="28"/>
              </w:rPr>
            </w:pPr>
            <w:r>
              <w:rPr>
                <w:sz w:val="28"/>
              </w:rPr>
              <w:t>Спермограмма</w:t>
            </w:r>
            <w:r>
              <w:rPr>
                <w:spacing w:val="-9"/>
                <w:sz w:val="28"/>
              </w:rPr>
              <w:t> </w:t>
            </w:r>
            <w:r>
              <w:rPr>
                <w:sz w:val="28"/>
              </w:rPr>
              <w:t>-</w:t>
            </w:r>
            <w:r>
              <w:rPr>
                <w:spacing w:val="-7"/>
                <w:sz w:val="28"/>
              </w:rPr>
              <w:t> </w:t>
            </w:r>
            <w:r>
              <w:rPr>
                <w:sz w:val="28"/>
              </w:rPr>
              <w:t>определение</w:t>
            </w:r>
            <w:r>
              <w:rPr>
                <w:spacing w:val="-9"/>
                <w:sz w:val="28"/>
              </w:rPr>
              <w:t> </w:t>
            </w:r>
            <w:r>
              <w:rPr>
                <w:sz w:val="28"/>
              </w:rPr>
              <w:t>основных</w:t>
            </w:r>
            <w:r>
              <w:rPr>
                <w:spacing w:val="-8"/>
                <w:sz w:val="28"/>
              </w:rPr>
              <w:t> </w:t>
            </w:r>
            <w:r>
              <w:rPr>
                <w:sz w:val="28"/>
              </w:rPr>
              <w:t>параметров</w:t>
            </w:r>
            <w:r>
              <w:rPr>
                <w:spacing w:val="-6"/>
                <w:sz w:val="28"/>
              </w:rPr>
              <w:t> </w:t>
            </w:r>
            <w:r>
              <w:rPr>
                <w:spacing w:val="-2"/>
                <w:sz w:val="28"/>
              </w:rPr>
              <w:t>эякулята</w:t>
            </w:r>
          </w:p>
        </w:tc>
        <w:tc>
          <w:tcPr>
            <w:tcW w:w="440" w:type="dxa"/>
          </w:tcPr>
          <w:p>
            <w:pPr>
              <w:pStyle w:val="TableParagraph"/>
              <w:spacing w:line="303" w:lineRule="exact"/>
              <w:ind w:left="105"/>
              <w:rPr>
                <w:sz w:val="28"/>
              </w:rPr>
            </w:pPr>
            <w:r>
              <w:rPr>
                <w:spacing w:val="-5"/>
                <w:sz w:val="28"/>
              </w:rPr>
              <w:t>42</w:t>
            </w:r>
          </w:p>
        </w:tc>
      </w:tr>
      <w:tr>
        <w:trPr>
          <w:trHeight w:val="321" w:hRule="atLeast"/>
        </w:trPr>
        <w:tc>
          <w:tcPr>
            <w:tcW w:w="929" w:type="dxa"/>
          </w:tcPr>
          <w:p>
            <w:pPr>
              <w:pStyle w:val="TableParagraph"/>
              <w:spacing w:line="302" w:lineRule="exact"/>
              <w:ind w:left="50"/>
              <w:rPr>
                <w:sz w:val="28"/>
              </w:rPr>
            </w:pPr>
            <w:r>
              <w:rPr>
                <w:spacing w:val="-2"/>
                <w:sz w:val="28"/>
              </w:rPr>
              <w:t>2.2.2</w:t>
            </w:r>
          </w:p>
        </w:tc>
        <w:tc>
          <w:tcPr>
            <w:tcW w:w="7679" w:type="dxa"/>
          </w:tcPr>
          <w:p>
            <w:pPr>
              <w:pStyle w:val="TableParagraph"/>
              <w:spacing w:line="302" w:lineRule="exact"/>
              <w:ind w:left="107"/>
              <w:rPr>
                <w:sz w:val="28"/>
              </w:rPr>
            </w:pPr>
            <w:r>
              <w:rPr>
                <w:sz w:val="28"/>
              </w:rPr>
              <w:t>Морфологическое</w:t>
            </w:r>
            <w:r>
              <w:rPr>
                <w:spacing w:val="-14"/>
                <w:sz w:val="28"/>
              </w:rPr>
              <w:t> </w:t>
            </w:r>
            <w:r>
              <w:rPr>
                <w:sz w:val="28"/>
              </w:rPr>
              <w:t>исследование</w:t>
            </w:r>
            <w:r>
              <w:rPr>
                <w:spacing w:val="-11"/>
                <w:sz w:val="28"/>
              </w:rPr>
              <w:t> </w:t>
            </w:r>
            <w:r>
              <w:rPr>
                <w:sz w:val="28"/>
              </w:rPr>
              <w:t>сперматозоидов</w:t>
            </w:r>
            <w:r>
              <w:rPr>
                <w:spacing w:val="-11"/>
                <w:sz w:val="28"/>
              </w:rPr>
              <w:t> </w:t>
            </w:r>
            <w:r>
              <w:rPr>
                <w:spacing w:val="-2"/>
                <w:sz w:val="28"/>
              </w:rPr>
              <w:t>человека</w:t>
            </w:r>
          </w:p>
        </w:tc>
        <w:tc>
          <w:tcPr>
            <w:tcW w:w="440" w:type="dxa"/>
          </w:tcPr>
          <w:p>
            <w:pPr>
              <w:pStyle w:val="TableParagraph"/>
              <w:spacing w:line="302" w:lineRule="exact"/>
              <w:ind w:left="105"/>
              <w:rPr>
                <w:sz w:val="28"/>
              </w:rPr>
            </w:pPr>
            <w:r>
              <w:rPr>
                <w:spacing w:val="-5"/>
                <w:sz w:val="28"/>
              </w:rPr>
              <w:t>43</w:t>
            </w:r>
          </w:p>
        </w:tc>
      </w:tr>
      <w:tr>
        <w:trPr>
          <w:trHeight w:val="321" w:hRule="atLeast"/>
        </w:trPr>
        <w:tc>
          <w:tcPr>
            <w:tcW w:w="929" w:type="dxa"/>
          </w:tcPr>
          <w:p>
            <w:pPr>
              <w:pStyle w:val="TableParagraph"/>
              <w:spacing w:line="302" w:lineRule="exact"/>
              <w:ind w:left="50"/>
              <w:rPr>
                <w:sz w:val="28"/>
              </w:rPr>
            </w:pPr>
            <w:r>
              <w:rPr>
                <w:spacing w:val="-2"/>
                <w:sz w:val="28"/>
              </w:rPr>
              <w:t>2.2.3</w:t>
            </w:r>
          </w:p>
        </w:tc>
        <w:tc>
          <w:tcPr>
            <w:tcW w:w="7679" w:type="dxa"/>
          </w:tcPr>
          <w:p>
            <w:pPr>
              <w:pStyle w:val="TableParagraph"/>
              <w:spacing w:line="302" w:lineRule="exact"/>
              <w:ind w:left="107"/>
              <w:rPr>
                <w:sz w:val="28"/>
              </w:rPr>
            </w:pPr>
            <w:r>
              <w:rPr>
                <w:sz w:val="28"/>
              </w:rPr>
              <w:t>Смешанная</w:t>
            </w:r>
            <w:r>
              <w:rPr>
                <w:spacing w:val="-11"/>
                <w:sz w:val="28"/>
              </w:rPr>
              <w:t> </w:t>
            </w:r>
            <w:r>
              <w:rPr>
                <w:sz w:val="28"/>
              </w:rPr>
              <w:t>антиглобулиновая</w:t>
            </w:r>
            <w:r>
              <w:rPr>
                <w:spacing w:val="-11"/>
                <w:sz w:val="28"/>
              </w:rPr>
              <w:t> </w:t>
            </w:r>
            <w:r>
              <w:rPr>
                <w:spacing w:val="-2"/>
                <w:sz w:val="28"/>
              </w:rPr>
              <w:t>реакция</w:t>
            </w:r>
          </w:p>
        </w:tc>
        <w:tc>
          <w:tcPr>
            <w:tcW w:w="440" w:type="dxa"/>
          </w:tcPr>
          <w:p>
            <w:pPr>
              <w:pStyle w:val="TableParagraph"/>
              <w:spacing w:line="302" w:lineRule="exact"/>
              <w:ind w:left="105"/>
              <w:rPr>
                <w:sz w:val="28"/>
              </w:rPr>
            </w:pPr>
            <w:r>
              <w:rPr>
                <w:spacing w:val="-5"/>
                <w:sz w:val="28"/>
              </w:rPr>
              <w:t>44</w:t>
            </w:r>
          </w:p>
        </w:tc>
      </w:tr>
      <w:tr>
        <w:trPr>
          <w:trHeight w:val="637" w:hRule="atLeast"/>
        </w:trPr>
        <w:tc>
          <w:tcPr>
            <w:tcW w:w="929" w:type="dxa"/>
          </w:tcPr>
          <w:p>
            <w:pPr>
              <w:pStyle w:val="TableParagraph"/>
              <w:spacing w:line="316" w:lineRule="exact"/>
              <w:ind w:left="50"/>
              <w:rPr>
                <w:sz w:val="28"/>
              </w:rPr>
            </w:pPr>
            <w:r>
              <w:rPr>
                <w:spacing w:val="-5"/>
                <w:sz w:val="28"/>
              </w:rPr>
              <w:t>2.3</w:t>
            </w:r>
          </w:p>
        </w:tc>
        <w:tc>
          <w:tcPr>
            <w:tcW w:w="7679" w:type="dxa"/>
          </w:tcPr>
          <w:p>
            <w:pPr>
              <w:pStyle w:val="TableParagraph"/>
              <w:tabs>
                <w:tab w:pos="3462" w:val="left" w:leader="none"/>
                <w:tab w:pos="5651" w:val="left" w:leader="none"/>
              </w:tabs>
              <w:spacing w:line="316" w:lineRule="exact"/>
              <w:ind w:left="107"/>
              <w:rPr>
                <w:sz w:val="28"/>
              </w:rPr>
            </w:pPr>
            <w:r>
              <w:rPr>
                <w:spacing w:val="-2"/>
                <w:sz w:val="28"/>
              </w:rPr>
              <w:t>Экспериментальная</w:t>
            </w:r>
            <w:r>
              <w:rPr>
                <w:sz w:val="28"/>
              </w:rPr>
              <w:tab/>
            </w:r>
            <w:r>
              <w:rPr>
                <w:spacing w:val="-2"/>
                <w:sz w:val="28"/>
              </w:rPr>
              <w:t>обработка</w:t>
            </w:r>
            <w:r>
              <w:rPr>
                <w:sz w:val="28"/>
              </w:rPr>
              <w:tab/>
            </w:r>
            <w:r>
              <w:rPr>
                <w:spacing w:val="-2"/>
                <w:sz w:val="28"/>
              </w:rPr>
              <w:t>сперматозоидов</w:t>
            </w:r>
          </w:p>
          <w:p>
            <w:pPr>
              <w:pStyle w:val="TableParagraph"/>
              <w:spacing w:line="302" w:lineRule="exact"/>
              <w:ind w:left="107"/>
              <w:rPr>
                <w:sz w:val="28"/>
              </w:rPr>
            </w:pPr>
            <w:r>
              <w:rPr>
                <w:sz w:val="28"/>
              </w:rPr>
              <w:t>электромагнитным</w:t>
            </w:r>
            <w:r>
              <w:rPr>
                <w:spacing w:val="-14"/>
                <w:sz w:val="28"/>
              </w:rPr>
              <w:t> </w:t>
            </w:r>
            <w:r>
              <w:rPr>
                <w:spacing w:val="-2"/>
                <w:sz w:val="28"/>
              </w:rPr>
              <w:t>излучением</w:t>
            </w:r>
          </w:p>
        </w:tc>
        <w:tc>
          <w:tcPr>
            <w:tcW w:w="440" w:type="dxa"/>
          </w:tcPr>
          <w:p>
            <w:pPr>
              <w:pStyle w:val="TableParagraph"/>
              <w:spacing w:line="316" w:lineRule="exact"/>
              <w:ind w:left="105"/>
              <w:rPr>
                <w:sz w:val="28"/>
              </w:rPr>
            </w:pPr>
            <w:r>
              <w:rPr>
                <w:spacing w:val="-5"/>
                <w:sz w:val="28"/>
              </w:rPr>
              <w:t>44</w:t>
            </w:r>
          </w:p>
        </w:tc>
      </w:tr>
    </w:tbl>
    <w:p>
      <w:pPr>
        <w:pStyle w:val="TableParagraph"/>
        <w:spacing w:after="0" w:line="316" w:lineRule="exact"/>
        <w:rPr>
          <w:sz w:val="28"/>
        </w:rPr>
        <w:sectPr>
          <w:footerReference w:type="default" r:id="rId5"/>
          <w:pgSz w:w="11910" w:h="16840"/>
          <w:pgMar w:header="0" w:footer="970" w:top="1040" w:bottom="1160" w:left="1559" w:right="425"/>
          <w:pgNumType w:start="2"/>
        </w:sectPr>
      </w:pPr>
    </w:p>
    <w:p>
      <w:pPr>
        <w:pStyle w:val="BodyText"/>
        <w:spacing w:before="2"/>
        <w:jc w:val="left"/>
        <w:rPr>
          <w:b/>
          <w:sz w:val="2"/>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
        <w:gridCol w:w="7679"/>
        <w:gridCol w:w="440"/>
      </w:tblGrid>
      <w:tr>
        <w:trPr>
          <w:trHeight w:val="640" w:hRule="atLeast"/>
        </w:trPr>
        <w:tc>
          <w:tcPr>
            <w:tcW w:w="929" w:type="dxa"/>
          </w:tcPr>
          <w:p>
            <w:pPr>
              <w:pStyle w:val="TableParagraph"/>
              <w:spacing w:line="311" w:lineRule="exact"/>
              <w:ind w:left="50"/>
              <w:rPr>
                <w:sz w:val="28"/>
              </w:rPr>
            </w:pPr>
            <w:r>
              <w:rPr>
                <w:spacing w:val="-2"/>
                <w:sz w:val="28"/>
              </w:rPr>
              <w:t>2.3.1</w:t>
            </w:r>
          </w:p>
        </w:tc>
        <w:tc>
          <w:tcPr>
            <w:tcW w:w="7679" w:type="dxa"/>
          </w:tcPr>
          <w:p>
            <w:pPr>
              <w:pStyle w:val="TableParagraph"/>
              <w:tabs>
                <w:tab w:pos="2233" w:val="left" w:leader="none"/>
                <w:tab w:pos="2939" w:val="left" w:leader="none"/>
                <w:tab w:pos="4787" w:val="left" w:leader="none"/>
                <w:tab w:pos="6490" w:val="left" w:leader="none"/>
              </w:tabs>
              <w:spacing w:line="311" w:lineRule="exact"/>
              <w:ind w:left="107"/>
              <w:rPr>
                <w:sz w:val="28"/>
              </w:rPr>
            </w:pPr>
            <w:r>
              <w:rPr>
                <w:spacing w:val="-2"/>
                <w:sz w:val="28"/>
              </w:rPr>
              <w:t>Конструкция</w:t>
            </w:r>
            <w:r>
              <w:rPr>
                <w:sz w:val="28"/>
              </w:rPr>
              <w:tab/>
            </w:r>
            <w:r>
              <w:rPr>
                <w:spacing w:val="-10"/>
                <w:sz w:val="28"/>
              </w:rPr>
              <w:t>и</w:t>
            </w:r>
            <w:r>
              <w:rPr>
                <w:sz w:val="28"/>
              </w:rPr>
              <w:tab/>
            </w:r>
            <w:r>
              <w:rPr>
                <w:spacing w:val="-2"/>
                <w:sz w:val="28"/>
              </w:rPr>
              <w:t>параметры</w:t>
            </w:r>
            <w:r>
              <w:rPr>
                <w:sz w:val="28"/>
              </w:rPr>
              <w:tab/>
            </w:r>
            <w:r>
              <w:rPr>
                <w:spacing w:val="-2"/>
                <w:sz w:val="28"/>
              </w:rPr>
              <w:t>опытного</w:t>
            </w:r>
            <w:r>
              <w:rPr>
                <w:sz w:val="28"/>
              </w:rPr>
              <w:tab/>
              <w:t>прибора-</w:t>
            </w:r>
          </w:p>
          <w:p>
            <w:pPr>
              <w:pStyle w:val="TableParagraph"/>
              <w:spacing w:line="307" w:lineRule="exact" w:before="2"/>
              <w:ind w:left="107"/>
              <w:rPr>
                <w:sz w:val="28"/>
              </w:rPr>
            </w:pPr>
            <w:r>
              <w:rPr>
                <w:sz w:val="28"/>
              </w:rPr>
              <w:t>электромагнитного</w:t>
            </w:r>
            <w:r>
              <w:rPr>
                <w:spacing w:val="-15"/>
                <w:sz w:val="28"/>
              </w:rPr>
              <w:t> </w:t>
            </w:r>
            <w:r>
              <w:rPr>
                <w:spacing w:val="-2"/>
                <w:sz w:val="28"/>
              </w:rPr>
              <w:t>излучателя</w:t>
            </w:r>
          </w:p>
        </w:tc>
        <w:tc>
          <w:tcPr>
            <w:tcW w:w="440" w:type="dxa"/>
          </w:tcPr>
          <w:p>
            <w:pPr>
              <w:pStyle w:val="TableParagraph"/>
              <w:spacing w:line="311" w:lineRule="exact"/>
              <w:ind w:left="55" w:right="1"/>
              <w:jc w:val="center"/>
              <w:rPr>
                <w:sz w:val="28"/>
              </w:rPr>
            </w:pPr>
            <w:r>
              <w:rPr>
                <w:spacing w:val="-5"/>
                <w:sz w:val="28"/>
              </w:rPr>
              <w:t>44</w:t>
            </w:r>
          </w:p>
        </w:tc>
      </w:tr>
      <w:tr>
        <w:trPr>
          <w:trHeight w:val="643" w:hRule="atLeast"/>
        </w:trPr>
        <w:tc>
          <w:tcPr>
            <w:tcW w:w="929" w:type="dxa"/>
          </w:tcPr>
          <w:p>
            <w:pPr>
              <w:pStyle w:val="TableParagraph"/>
              <w:spacing w:line="316" w:lineRule="exact"/>
              <w:ind w:left="50"/>
              <w:rPr>
                <w:sz w:val="28"/>
              </w:rPr>
            </w:pPr>
            <w:r>
              <w:rPr>
                <w:spacing w:val="-2"/>
                <w:sz w:val="28"/>
              </w:rPr>
              <w:t>2.3.2</w:t>
            </w:r>
          </w:p>
        </w:tc>
        <w:tc>
          <w:tcPr>
            <w:tcW w:w="7679" w:type="dxa"/>
          </w:tcPr>
          <w:p>
            <w:pPr>
              <w:pStyle w:val="TableParagraph"/>
              <w:spacing w:line="316" w:lineRule="exact"/>
              <w:ind w:left="107"/>
              <w:rPr>
                <w:sz w:val="28"/>
              </w:rPr>
            </w:pPr>
            <w:r>
              <w:rPr>
                <w:sz w:val="28"/>
              </w:rPr>
              <w:t>Определение</w:t>
            </w:r>
            <w:r>
              <w:rPr>
                <w:spacing w:val="18"/>
                <w:sz w:val="28"/>
              </w:rPr>
              <w:t> </w:t>
            </w:r>
            <w:r>
              <w:rPr>
                <w:sz w:val="28"/>
              </w:rPr>
              <w:t>длин</w:t>
            </w:r>
            <w:r>
              <w:rPr>
                <w:spacing w:val="20"/>
                <w:sz w:val="28"/>
              </w:rPr>
              <w:t> </w:t>
            </w:r>
            <w:r>
              <w:rPr>
                <w:sz w:val="28"/>
              </w:rPr>
              <w:t>и</w:t>
            </w:r>
            <w:r>
              <w:rPr>
                <w:spacing w:val="24"/>
                <w:sz w:val="28"/>
              </w:rPr>
              <w:t> </w:t>
            </w:r>
            <w:r>
              <w:rPr>
                <w:sz w:val="28"/>
              </w:rPr>
              <w:t>энергетических</w:t>
            </w:r>
            <w:r>
              <w:rPr>
                <w:spacing w:val="21"/>
                <w:sz w:val="28"/>
              </w:rPr>
              <w:t> </w:t>
            </w:r>
            <w:r>
              <w:rPr>
                <w:sz w:val="28"/>
              </w:rPr>
              <w:t>параметров</w:t>
            </w:r>
            <w:r>
              <w:rPr>
                <w:spacing w:val="20"/>
                <w:sz w:val="28"/>
              </w:rPr>
              <w:t> </w:t>
            </w:r>
            <w:r>
              <w:rPr>
                <w:spacing w:val="-2"/>
                <w:sz w:val="28"/>
              </w:rPr>
              <w:t>излучаемых</w:t>
            </w:r>
          </w:p>
          <w:p>
            <w:pPr>
              <w:pStyle w:val="TableParagraph"/>
              <w:spacing w:line="307" w:lineRule="exact"/>
              <w:ind w:left="107"/>
              <w:rPr>
                <w:sz w:val="28"/>
              </w:rPr>
            </w:pPr>
            <w:r>
              <w:rPr>
                <w:spacing w:val="-4"/>
                <w:sz w:val="28"/>
              </w:rPr>
              <w:t>волн</w:t>
            </w:r>
          </w:p>
        </w:tc>
        <w:tc>
          <w:tcPr>
            <w:tcW w:w="440" w:type="dxa"/>
          </w:tcPr>
          <w:p>
            <w:pPr>
              <w:pStyle w:val="TableParagraph"/>
              <w:spacing w:line="316" w:lineRule="exact"/>
              <w:ind w:left="55" w:right="1"/>
              <w:jc w:val="center"/>
              <w:rPr>
                <w:sz w:val="28"/>
              </w:rPr>
            </w:pPr>
            <w:r>
              <w:rPr>
                <w:spacing w:val="-5"/>
                <w:sz w:val="28"/>
              </w:rPr>
              <w:t>45</w:t>
            </w:r>
          </w:p>
        </w:tc>
      </w:tr>
      <w:tr>
        <w:trPr>
          <w:trHeight w:val="643" w:hRule="atLeast"/>
        </w:trPr>
        <w:tc>
          <w:tcPr>
            <w:tcW w:w="929" w:type="dxa"/>
          </w:tcPr>
          <w:p>
            <w:pPr>
              <w:pStyle w:val="TableParagraph"/>
              <w:spacing w:line="316" w:lineRule="exact"/>
              <w:ind w:left="50"/>
              <w:rPr>
                <w:sz w:val="28"/>
              </w:rPr>
            </w:pPr>
            <w:r>
              <w:rPr>
                <w:spacing w:val="-2"/>
                <w:sz w:val="28"/>
              </w:rPr>
              <w:t>2.3.3</w:t>
            </w:r>
          </w:p>
        </w:tc>
        <w:tc>
          <w:tcPr>
            <w:tcW w:w="7679" w:type="dxa"/>
          </w:tcPr>
          <w:p>
            <w:pPr>
              <w:pStyle w:val="TableParagraph"/>
              <w:tabs>
                <w:tab w:pos="1921" w:val="left" w:leader="none"/>
                <w:tab w:pos="4227" w:val="left" w:leader="none"/>
                <w:tab w:pos="5055" w:val="left" w:leader="none"/>
              </w:tabs>
              <w:spacing w:line="316" w:lineRule="exact"/>
              <w:ind w:left="107"/>
              <w:rPr>
                <w:sz w:val="28"/>
              </w:rPr>
            </w:pPr>
            <w:r>
              <w:rPr>
                <w:spacing w:val="-2"/>
                <w:sz w:val="28"/>
              </w:rPr>
              <w:t>Экспозиция</w:t>
            </w:r>
            <w:r>
              <w:rPr>
                <w:sz w:val="28"/>
              </w:rPr>
              <w:tab/>
            </w:r>
            <w:r>
              <w:rPr>
                <w:spacing w:val="-2"/>
                <w:sz w:val="28"/>
              </w:rPr>
              <w:t>сперматозоидов</w:t>
            </w:r>
            <w:r>
              <w:rPr>
                <w:sz w:val="28"/>
              </w:rPr>
              <w:tab/>
            </w:r>
            <w:r>
              <w:rPr>
                <w:spacing w:val="-5"/>
                <w:sz w:val="28"/>
              </w:rPr>
              <w:t>при</w:t>
            </w:r>
            <w:r>
              <w:rPr>
                <w:sz w:val="28"/>
              </w:rPr>
              <w:tab/>
            </w:r>
            <w:r>
              <w:rPr>
                <w:spacing w:val="-2"/>
                <w:sz w:val="28"/>
              </w:rPr>
              <w:t>монохроматическом,</w:t>
            </w:r>
          </w:p>
          <w:p>
            <w:pPr>
              <w:pStyle w:val="TableParagraph"/>
              <w:spacing w:line="307" w:lineRule="exact"/>
              <w:ind w:left="107"/>
              <w:rPr>
                <w:sz w:val="28"/>
              </w:rPr>
            </w:pPr>
            <w:r>
              <w:rPr>
                <w:sz w:val="28"/>
              </w:rPr>
              <w:t>лазерном</w:t>
            </w:r>
            <w:r>
              <w:rPr>
                <w:spacing w:val="-11"/>
                <w:sz w:val="28"/>
              </w:rPr>
              <w:t> </w:t>
            </w:r>
            <w:r>
              <w:rPr>
                <w:sz w:val="28"/>
              </w:rPr>
              <w:t>и</w:t>
            </w:r>
            <w:r>
              <w:rPr>
                <w:spacing w:val="-6"/>
                <w:sz w:val="28"/>
              </w:rPr>
              <w:t> </w:t>
            </w:r>
            <w:r>
              <w:rPr>
                <w:sz w:val="28"/>
              </w:rPr>
              <w:t>инфракрасном</w:t>
            </w:r>
            <w:r>
              <w:rPr>
                <w:spacing w:val="-7"/>
                <w:sz w:val="28"/>
              </w:rPr>
              <w:t> </w:t>
            </w:r>
            <w:r>
              <w:rPr>
                <w:sz w:val="28"/>
              </w:rPr>
              <w:t>электромагнитных</w:t>
            </w:r>
            <w:r>
              <w:rPr>
                <w:spacing w:val="-6"/>
                <w:sz w:val="28"/>
              </w:rPr>
              <w:t> </w:t>
            </w:r>
            <w:r>
              <w:rPr>
                <w:spacing w:val="-2"/>
                <w:sz w:val="28"/>
              </w:rPr>
              <w:t>излучениях</w:t>
            </w:r>
          </w:p>
        </w:tc>
        <w:tc>
          <w:tcPr>
            <w:tcW w:w="440" w:type="dxa"/>
          </w:tcPr>
          <w:p>
            <w:pPr>
              <w:pStyle w:val="TableParagraph"/>
              <w:spacing w:line="316" w:lineRule="exact"/>
              <w:ind w:left="55" w:right="1"/>
              <w:jc w:val="center"/>
              <w:rPr>
                <w:sz w:val="28"/>
              </w:rPr>
            </w:pPr>
            <w:r>
              <w:rPr>
                <w:spacing w:val="-5"/>
                <w:sz w:val="28"/>
              </w:rPr>
              <w:t>47</w:t>
            </w:r>
          </w:p>
        </w:tc>
      </w:tr>
      <w:tr>
        <w:trPr>
          <w:trHeight w:val="645" w:hRule="atLeast"/>
        </w:trPr>
        <w:tc>
          <w:tcPr>
            <w:tcW w:w="929" w:type="dxa"/>
          </w:tcPr>
          <w:p>
            <w:pPr>
              <w:pStyle w:val="TableParagraph"/>
              <w:spacing w:line="316" w:lineRule="exact"/>
              <w:ind w:left="50"/>
              <w:rPr>
                <w:sz w:val="28"/>
              </w:rPr>
            </w:pPr>
            <w:r>
              <w:rPr>
                <w:spacing w:val="-5"/>
                <w:sz w:val="28"/>
              </w:rPr>
              <w:t>2.4</w:t>
            </w:r>
          </w:p>
        </w:tc>
        <w:tc>
          <w:tcPr>
            <w:tcW w:w="7679" w:type="dxa"/>
          </w:tcPr>
          <w:p>
            <w:pPr>
              <w:pStyle w:val="TableParagraph"/>
              <w:tabs>
                <w:tab w:pos="1333" w:val="left" w:leader="none"/>
                <w:tab w:pos="3128" w:val="left" w:leader="none"/>
                <w:tab w:pos="5703" w:val="left" w:leader="none"/>
                <w:tab w:pos="7294" w:val="left" w:leader="none"/>
              </w:tabs>
              <w:spacing w:line="316" w:lineRule="exact"/>
              <w:ind w:left="107"/>
              <w:rPr>
                <w:sz w:val="28"/>
              </w:rPr>
            </w:pPr>
            <w:r>
              <w:rPr>
                <w:spacing w:val="-2"/>
                <w:sz w:val="28"/>
              </w:rPr>
              <w:t>Оценка</w:t>
            </w:r>
            <w:r>
              <w:rPr>
                <w:sz w:val="28"/>
              </w:rPr>
              <w:tab/>
            </w:r>
            <w:r>
              <w:rPr>
                <w:spacing w:val="-2"/>
                <w:sz w:val="28"/>
              </w:rPr>
              <w:t>воздействия</w:t>
            </w:r>
            <w:r>
              <w:rPr>
                <w:sz w:val="28"/>
              </w:rPr>
              <w:tab/>
            </w:r>
            <w:r>
              <w:rPr>
                <w:spacing w:val="-2"/>
                <w:sz w:val="28"/>
              </w:rPr>
              <w:t>электромагнитных</w:t>
            </w:r>
            <w:r>
              <w:rPr>
                <w:sz w:val="28"/>
              </w:rPr>
              <w:tab/>
            </w:r>
            <w:r>
              <w:rPr>
                <w:spacing w:val="-2"/>
                <w:sz w:val="28"/>
              </w:rPr>
              <w:t>излучений</w:t>
            </w:r>
            <w:r>
              <w:rPr>
                <w:sz w:val="28"/>
              </w:rPr>
              <w:tab/>
            </w:r>
            <w:r>
              <w:rPr>
                <w:spacing w:val="-5"/>
                <w:sz w:val="28"/>
              </w:rPr>
              <w:t>на</w:t>
            </w:r>
          </w:p>
          <w:p>
            <w:pPr>
              <w:pStyle w:val="TableParagraph"/>
              <w:spacing w:line="307" w:lineRule="exact" w:before="2"/>
              <w:ind w:left="107"/>
              <w:rPr>
                <w:sz w:val="28"/>
              </w:rPr>
            </w:pPr>
            <w:r>
              <w:rPr>
                <w:sz w:val="28"/>
              </w:rPr>
              <w:t>сперматозоиды</w:t>
            </w:r>
            <w:r>
              <w:rPr>
                <w:spacing w:val="-10"/>
                <w:sz w:val="28"/>
              </w:rPr>
              <w:t> </w:t>
            </w:r>
            <w:r>
              <w:rPr>
                <w:spacing w:val="-2"/>
                <w:sz w:val="28"/>
              </w:rPr>
              <w:t>человека</w:t>
            </w:r>
          </w:p>
        </w:tc>
        <w:tc>
          <w:tcPr>
            <w:tcW w:w="440" w:type="dxa"/>
          </w:tcPr>
          <w:p>
            <w:pPr>
              <w:pStyle w:val="TableParagraph"/>
              <w:spacing w:line="316" w:lineRule="exact"/>
              <w:ind w:left="55" w:right="1"/>
              <w:jc w:val="center"/>
              <w:rPr>
                <w:sz w:val="28"/>
              </w:rPr>
            </w:pPr>
            <w:r>
              <w:rPr>
                <w:spacing w:val="-5"/>
                <w:sz w:val="28"/>
              </w:rPr>
              <w:t>48</w:t>
            </w:r>
          </w:p>
        </w:tc>
      </w:tr>
      <w:tr>
        <w:trPr>
          <w:trHeight w:val="643" w:hRule="atLeast"/>
        </w:trPr>
        <w:tc>
          <w:tcPr>
            <w:tcW w:w="929" w:type="dxa"/>
          </w:tcPr>
          <w:p>
            <w:pPr>
              <w:pStyle w:val="TableParagraph"/>
              <w:spacing w:line="316" w:lineRule="exact"/>
              <w:ind w:left="50"/>
              <w:rPr>
                <w:sz w:val="28"/>
              </w:rPr>
            </w:pPr>
            <w:r>
              <w:rPr>
                <w:spacing w:val="-2"/>
                <w:sz w:val="28"/>
              </w:rPr>
              <w:t>2.4.1</w:t>
            </w:r>
          </w:p>
        </w:tc>
        <w:tc>
          <w:tcPr>
            <w:tcW w:w="7679" w:type="dxa"/>
          </w:tcPr>
          <w:p>
            <w:pPr>
              <w:pStyle w:val="TableParagraph"/>
              <w:tabs>
                <w:tab w:pos="1921" w:val="left" w:leader="none"/>
                <w:tab w:pos="3759" w:val="left" w:leader="none"/>
                <w:tab w:pos="5917" w:val="left" w:leader="none"/>
                <w:tab w:pos="6598" w:val="left" w:leader="none"/>
              </w:tabs>
              <w:spacing w:line="316" w:lineRule="exact"/>
              <w:ind w:left="107"/>
              <w:rPr>
                <w:sz w:val="28"/>
              </w:rPr>
            </w:pPr>
            <w:r>
              <w:rPr>
                <w:spacing w:val="-2"/>
                <w:sz w:val="28"/>
              </w:rPr>
              <w:t>Определение</w:t>
            </w:r>
            <w:r>
              <w:rPr>
                <w:sz w:val="28"/>
              </w:rPr>
              <w:tab/>
            </w:r>
            <w:r>
              <w:rPr>
                <w:spacing w:val="-2"/>
                <w:sz w:val="28"/>
              </w:rPr>
              <w:t>подвижности</w:t>
            </w:r>
            <w:r>
              <w:rPr>
                <w:sz w:val="28"/>
              </w:rPr>
              <w:tab/>
            </w:r>
            <w:r>
              <w:rPr>
                <w:spacing w:val="-2"/>
                <w:sz w:val="28"/>
              </w:rPr>
              <w:t>сперматозоидов</w:t>
            </w:r>
            <w:r>
              <w:rPr>
                <w:sz w:val="28"/>
              </w:rPr>
              <w:tab/>
            </w:r>
            <w:r>
              <w:rPr>
                <w:spacing w:val="-5"/>
                <w:sz w:val="28"/>
              </w:rPr>
              <w:t>при</w:t>
            </w:r>
            <w:r>
              <w:rPr>
                <w:sz w:val="28"/>
              </w:rPr>
              <w:tab/>
            </w:r>
            <w:r>
              <w:rPr>
                <w:spacing w:val="-2"/>
                <w:sz w:val="28"/>
              </w:rPr>
              <w:t>помощи</w:t>
            </w:r>
          </w:p>
          <w:p>
            <w:pPr>
              <w:pStyle w:val="TableParagraph"/>
              <w:spacing w:line="307" w:lineRule="exact"/>
              <w:ind w:left="107"/>
              <w:rPr>
                <w:sz w:val="28"/>
              </w:rPr>
            </w:pPr>
            <w:r>
              <w:rPr>
                <w:sz w:val="28"/>
              </w:rPr>
              <w:t>компьютерных</w:t>
            </w:r>
            <w:r>
              <w:rPr>
                <w:spacing w:val="-9"/>
                <w:sz w:val="28"/>
              </w:rPr>
              <w:t> </w:t>
            </w:r>
            <w:r>
              <w:rPr>
                <w:spacing w:val="-2"/>
                <w:sz w:val="28"/>
              </w:rPr>
              <w:t>технологий</w:t>
            </w:r>
          </w:p>
        </w:tc>
        <w:tc>
          <w:tcPr>
            <w:tcW w:w="440" w:type="dxa"/>
          </w:tcPr>
          <w:p>
            <w:pPr>
              <w:pStyle w:val="TableParagraph"/>
              <w:spacing w:line="316" w:lineRule="exact"/>
              <w:ind w:left="55" w:right="1"/>
              <w:jc w:val="center"/>
              <w:rPr>
                <w:sz w:val="28"/>
              </w:rPr>
            </w:pPr>
            <w:r>
              <w:rPr>
                <w:spacing w:val="-5"/>
                <w:sz w:val="28"/>
              </w:rPr>
              <w:t>48</w:t>
            </w:r>
          </w:p>
        </w:tc>
      </w:tr>
      <w:tr>
        <w:trPr>
          <w:trHeight w:val="966" w:hRule="atLeast"/>
        </w:trPr>
        <w:tc>
          <w:tcPr>
            <w:tcW w:w="929" w:type="dxa"/>
          </w:tcPr>
          <w:p>
            <w:pPr>
              <w:pStyle w:val="TableParagraph"/>
              <w:spacing w:line="316" w:lineRule="exact"/>
              <w:ind w:left="50"/>
              <w:rPr>
                <w:sz w:val="28"/>
              </w:rPr>
            </w:pPr>
            <w:r>
              <w:rPr>
                <w:spacing w:val="-2"/>
                <w:sz w:val="28"/>
              </w:rPr>
              <w:t>2.4.2</w:t>
            </w:r>
          </w:p>
        </w:tc>
        <w:tc>
          <w:tcPr>
            <w:tcW w:w="7679" w:type="dxa"/>
          </w:tcPr>
          <w:p>
            <w:pPr>
              <w:pStyle w:val="TableParagraph"/>
              <w:tabs>
                <w:tab w:pos="2229" w:val="left" w:leader="none"/>
                <w:tab w:pos="2605" w:val="left" w:leader="none"/>
                <w:tab w:pos="3340" w:val="left" w:leader="none"/>
                <w:tab w:pos="4523" w:val="left" w:leader="none"/>
                <w:tab w:pos="5987" w:val="left" w:leader="none"/>
                <w:tab w:pos="6493" w:val="left" w:leader="none"/>
              </w:tabs>
              <w:ind w:left="107" w:right="105"/>
              <w:rPr>
                <w:sz w:val="28"/>
              </w:rPr>
            </w:pPr>
            <w:r>
              <w:rPr>
                <w:spacing w:val="-2"/>
                <w:sz w:val="28"/>
              </w:rPr>
              <w:t>Потенциалзависимое</w:t>
            </w:r>
            <w:r>
              <w:rPr>
                <w:sz w:val="28"/>
              </w:rPr>
              <w:tab/>
            </w:r>
            <w:r>
              <w:rPr>
                <w:spacing w:val="-2"/>
                <w:sz w:val="28"/>
              </w:rPr>
              <w:t>флуоресцентное</w:t>
            </w:r>
            <w:r>
              <w:rPr>
                <w:sz w:val="28"/>
              </w:rPr>
              <w:tab/>
            </w:r>
            <w:r>
              <w:rPr>
                <w:spacing w:val="-2"/>
                <w:sz w:val="28"/>
              </w:rPr>
              <w:t>окрашивание митохондриона</w:t>
            </w:r>
            <w:r>
              <w:rPr>
                <w:sz w:val="28"/>
              </w:rPr>
              <w:tab/>
            </w:r>
            <w:r>
              <w:rPr>
                <w:spacing w:val="-10"/>
                <w:sz w:val="28"/>
              </w:rPr>
              <w:t>с</w:t>
            </w:r>
            <w:r>
              <w:rPr>
                <w:sz w:val="28"/>
              </w:rPr>
              <w:tab/>
            </w:r>
            <w:r>
              <w:rPr>
                <w:spacing w:val="-2"/>
                <w:sz w:val="28"/>
              </w:rPr>
              <w:t>последующей</w:t>
            </w:r>
            <w:r>
              <w:rPr>
                <w:sz w:val="28"/>
              </w:rPr>
              <w:tab/>
            </w:r>
            <w:r>
              <w:rPr>
                <w:spacing w:val="-2"/>
                <w:sz w:val="28"/>
              </w:rPr>
              <w:t>конфокальной</w:t>
            </w:r>
            <w:r>
              <w:rPr>
                <w:sz w:val="28"/>
              </w:rPr>
              <w:tab/>
            </w:r>
            <w:r>
              <w:rPr>
                <w:spacing w:val="-2"/>
                <w:sz w:val="28"/>
              </w:rPr>
              <w:t>лазерной</w:t>
            </w:r>
          </w:p>
          <w:p>
            <w:pPr>
              <w:pStyle w:val="TableParagraph"/>
              <w:spacing w:line="308" w:lineRule="exact"/>
              <w:ind w:left="107"/>
              <w:rPr>
                <w:sz w:val="28"/>
              </w:rPr>
            </w:pPr>
            <w:r>
              <w:rPr>
                <w:sz w:val="28"/>
              </w:rPr>
              <w:t>сканирующей</w:t>
            </w:r>
            <w:r>
              <w:rPr>
                <w:spacing w:val="-12"/>
                <w:sz w:val="28"/>
              </w:rPr>
              <w:t> </w:t>
            </w:r>
            <w:r>
              <w:rPr>
                <w:sz w:val="28"/>
              </w:rPr>
              <w:t>микроскопией</w:t>
            </w:r>
            <w:r>
              <w:rPr>
                <w:spacing w:val="-9"/>
                <w:sz w:val="28"/>
              </w:rPr>
              <w:t> </w:t>
            </w:r>
            <w:r>
              <w:rPr>
                <w:sz w:val="28"/>
              </w:rPr>
              <w:t>сперматозоидов</w:t>
            </w:r>
            <w:r>
              <w:rPr>
                <w:spacing w:val="-9"/>
                <w:sz w:val="28"/>
              </w:rPr>
              <w:t> </w:t>
            </w:r>
            <w:r>
              <w:rPr>
                <w:spacing w:val="-2"/>
                <w:sz w:val="28"/>
              </w:rPr>
              <w:t>человека</w:t>
            </w:r>
          </w:p>
        </w:tc>
        <w:tc>
          <w:tcPr>
            <w:tcW w:w="440" w:type="dxa"/>
          </w:tcPr>
          <w:p>
            <w:pPr>
              <w:pStyle w:val="TableParagraph"/>
              <w:spacing w:line="316" w:lineRule="exact"/>
              <w:ind w:left="55" w:right="1"/>
              <w:jc w:val="center"/>
              <w:rPr>
                <w:sz w:val="28"/>
              </w:rPr>
            </w:pPr>
            <w:r>
              <w:rPr>
                <w:spacing w:val="-5"/>
                <w:sz w:val="28"/>
              </w:rPr>
              <w:t>49</w:t>
            </w:r>
          </w:p>
        </w:tc>
      </w:tr>
      <w:tr>
        <w:trPr>
          <w:trHeight w:val="644" w:hRule="atLeast"/>
        </w:trPr>
        <w:tc>
          <w:tcPr>
            <w:tcW w:w="929" w:type="dxa"/>
          </w:tcPr>
          <w:p>
            <w:pPr>
              <w:pStyle w:val="TableParagraph"/>
              <w:spacing w:line="317" w:lineRule="exact"/>
              <w:ind w:left="50"/>
              <w:rPr>
                <w:sz w:val="28"/>
              </w:rPr>
            </w:pPr>
            <w:r>
              <w:rPr>
                <w:spacing w:val="-2"/>
                <w:sz w:val="28"/>
              </w:rPr>
              <w:t>2.4.3</w:t>
            </w:r>
          </w:p>
        </w:tc>
        <w:tc>
          <w:tcPr>
            <w:tcW w:w="7679" w:type="dxa"/>
          </w:tcPr>
          <w:p>
            <w:pPr>
              <w:pStyle w:val="TableParagraph"/>
              <w:spacing w:line="317" w:lineRule="exact"/>
              <w:ind w:left="107"/>
              <w:rPr>
                <w:sz w:val="28"/>
              </w:rPr>
            </w:pPr>
            <w:r>
              <w:rPr>
                <w:sz w:val="28"/>
              </w:rPr>
              <w:t>Электронно-микроскопическое</w:t>
            </w:r>
            <w:r>
              <w:rPr>
                <w:spacing w:val="-7"/>
                <w:sz w:val="28"/>
              </w:rPr>
              <w:t> </w:t>
            </w:r>
            <w:r>
              <w:rPr>
                <w:sz w:val="28"/>
              </w:rPr>
              <w:t>исследование</w:t>
            </w:r>
            <w:r>
              <w:rPr>
                <w:spacing w:val="-4"/>
                <w:sz w:val="28"/>
              </w:rPr>
              <w:t> </w:t>
            </w:r>
            <w:r>
              <w:rPr>
                <w:spacing w:val="-2"/>
                <w:sz w:val="28"/>
              </w:rPr>
              <w:t>сперматозоидов</w:t>
            </w:r>
          </w:p>
          <w:p>
            <w:pPr>
              <w:pStyle w:val="TableParagraph"/>
              <w:spacing w:line="307" w:lineRule="exact"/>
              <w:ind w:left="107"/>
              <w:rPr>
                <w:sz w:val="28"/>
              </w:rPr>
            </w:pPr>
            <w:r>
              <w:rPr>
                <w:spacing w:val="-2"/>
                <w:sz w:val="28"/>
              </w:rPr>
              <w:t>человека</w:t>
            </w:r>
          </w:p>
        </w:tc>
        <w:tc>
          <w:tcPr>
            <w:tcW w:w="440" w:type="dxa"/>
          </w:tcPr>
          <w:p>
            <w:pPr>
              <w:pStyle w:val="TableParagraph"/>
              <w:spacing w:line="317" w:lineRule="exact"/>
              <w:ind w:left="55" w:right="1"/>
              <w:jc w:val="center"/>
              <w:rPr>
                <w:sz w:val="28"/>
              </w:rPr>
            </w:pPr>
            <w:r>
              <w:rPr>
                <w:spacing w:val="-5"/>
                <w:sz w:val="28"/>
              </w:rPr>
              <w:t>51</w:t>
            </w:r>
          </w:p>
        </w:tc>
      </w:tr>
      <w:tr>
        <w:trPr>
          <w:trHeight w:val="643" w:hRule="atLeast"/>
        </w:trPr>
        <w:tc>
          <w:tcPr>
            <w:tcW w:w="929" w:type="dxa"/>
          </w:tcPr>
          <w:p>
            <w:pPr>
              <w:pStyle w:val="TableParagraph"/>
              <w:spacing w:line="316" w:lineRule="exact"/>
              <w:ind w:left="50"/>
              <w:rPr>
                <w:sz w:val="28"/>
              </w:rPr>
            </w:pPr>
            <w:r>
              <w:rPr>
                <w:spacing w:val="-2"/>
                <w:sz w:val="28"/>
              </w:rPr>
              <w:t>2.4.4</w:t>
            </w:r>
          </w:p>
        </w:tc>
        <w:tc>
          <w:tcPr>
            <w:tcW w:w="7679" w:type="dxa"/>
          </w:tcPr>
          <w:p>
            <w:pPr>
              <w:pStyle w:val="TableParagraph"/>
              <w:tabs>
                <w:tab w:pos="2087" w:val="left" w:leader="none"/>
                <w:tab w:pos="4379" w:val="left" w:leader="none"/>
                <w:tab w:pos="5876" w:val="left" w:leader="none"/>
              </w:tabs>
              <w:spacing w:line="316" w:lineRule="exact"/>
              <w:ind w:left="107"/>
              <w:rPr>
                <w:sz w:val="28"/>
              </w:rPr>
            </w:pPr>
            <w:r>
              <w:rPr>
                <w:spacing w:val="-2"/>
                <w:sz w:val="28"/>
              </w:rPr>
              <w:t>Мечение</w:t>
            </w:r>
            <w:r>
              <w:rPr>
                <w:sz w:val="28"/>
              </w:rPr>
              <w:tab/>
            </w:r>
            <w:r>
              <w:rPr>
                <w:spacing w:val="-2"/>
                <w:sz w:val="28"/>
              </w:rPr>
              <w:t>ник-концов</w:t>
            </w:r>
            <w:r>
              <w:rPr>
                <w:sz w:val="28"/>
              </w:rPr>
              <w:tab/>
            </w:r>
            <w:r>
              <w:rPr>
                <w:spacing w:val="-5"/>
                <w:sz w:val="28"/>
              </w:rPr>
              <w:t>ДНК</w:t>
            </w:r>
            <w:r>
              <w:rPr>
                <w:sz w:val="28"/>
              </w:rPr>
              <w:tab/>
            </w:r>
            <w:r>
              <w:rPr>
                <w:spacing w:val="-2"/>
                <w:sz w:val="28"/>
              </w:rPr>
              <w:t>терминальной</w:t>
            </w:r>
          </w:p>
          <w:p>
            <w:pPr>
              <w:pStyle w:val="TableParagraph"/>
              <w:spacing w:line="307" w:lineRule="exact"/>
              <w:ind w:left="107"/>
              <w:rPr>
                <w:sz w:val="28"/>
              </w:rPr>
            </w:pPr>
            <w:r>
              <w:rPr>
                <w:spacing w:val="-2"/>
                <w:sz w:val="28"/>
              </w:rPr>
              <w:t>дезоксинуклеотидилтрансферазой</w:t>
            </w:r>
            <w:r>
              <w:rPr>
                <w:spacing w:val="34"/>
                <w:sz w:val="28"/>
              </w:rPr>
              <w:t> </w:t>
            </w:r>
            <w:r>
              <w:rPr>
                <w:spacing w:val="-4"/>
                <w:sz w:val="28"/>
              </w:rPr>
              <w:t>dUTP</w:t>
            </w:r>
          </w:p>
        </w:tc>
        <w:tc>
          <w:tcPr>
            <w:tcW w:w="440" w:type="dxa"/>
          </w:tcPr>
          <w:p>
            <w:pPr>
              <w:pStyle w:val="TableParagraph"/>
              <w:spacing w:line="316" w:lineRule="exact"/>
              <w:ind w:left="55"/>
              <w:jc w:val="center"/>
              <w:rPr>
                <w:sz w:val="28"/>
              </w:rPr>
            </w:pPr>
            <w:r>
              <w:rPr>
                <w:spacing w:val="-5"/>
                <w:sz w:val="28"/>
              </w:rPr>
              <w:t>52</w:t>
            </w:r>
          </w:p>
        </w:tc>
      </w:tr>
      <w:tr>
        <w:trPr>
          <w:trHeight w:val="321" w:hRule="atLeast"/>
        </w:trPr>
        <w:tc>
          <w:tcPr>
            <w:tcW w:w="929" w:type="dxa"/>
          </w:tcPr>
          <w:p>
            <w:pPr>
              <w:pStyle w:val="TableParagraph"/>
              <w:spacing w:line="302" w:lineRule="exact"/>
              <w:ind w:left="50"/>
              <w:rPr>
                <w:sz w:val="28"/>
              </w:rPr>
            </w:pPr>
            <w:r>
              <w:rPr>
                <w:spacing w:val="-5"/>
                <w:sz w:val="28"/>
              </w:rPr>
              <w:t>2.5</w:t>
            </w:r>
          </w:p>
        </w:tc>
        <w:tc>
          <w:tcPr>
            <w:tcW w:w="7679" w:type="dxa"/>
          </w:tcPr>
          <w:p>
            <w:pPr>
              <w:pStyle w:val="TableParagraph"/>
              <w:spacing w:line="302" w:lineRule="exact"/>
              <w:ind w:left="107"/>
              <w:rPr>
                <w:sz w:val="28"/>
              </w:rPr>
            </w:pPr>
            <w:r>
              <w:rPr>
                <w:sz w:val="28"/>
              </w:rPr>
              <w:t>Статистическая</w:t>
            </w:r>
            <w:r>
              <w:rPr>
                <w:spacing w:val="-13"/>
                <w:sz w:val="28"/>
              </w:rPr>
              <w:t> </w:t>
            </w:r>
            <w:r>
              <w:rPr>
                <w:sz w:val="28"/>
              </w:rPr>
              <w:t>обработка</w:t>
            </w:r>
            <w:r>
              <w:rPr>
                <w:spacing w:val="-9"/>
                <w:sz w:val="28"/>
              </w:rPr>
              <w:t> </w:t>
            </w:r>
            <w:r>
              <w:rPr>
                <w:sz w:val="28"/>
              </w:rPr>
              <w:t>полученных</w:t>
            </w:r>
            <w:r>
              <w:rPr>
                <w:spacing w:val="-9"/>
                <w:sz w:val="28"/>
              </w:rPr>
              <w:t> </w:t>
            </w:r>
            <w:r>
              <w:rPr>
                <w:spacing w:val="-2"/>
                <w:sz w:val="28"/>
              </w:rPr>
              <w:t>результатов</w:t>
            </w:r>
          </w:p>
        </w:tc>
        <w:tc>
          <w:tcPr>
            <w:tcW w:w="440" w:type="dxa"/>
          </w:tcPr>
          <w:p>
            <w:pPr>
              <w:pStyle w:val="TableParagraph"/>
              <w:spacing w:line="302" w:lineRule="exact"/>
              <w:ind w:left="55" w:right="1"/>
              <w:jc w:val="center"/>
              <w:rPr>
                <w:sz w:val="28"/>
              </w:rPr>
            </w:pPr>
            <w:r>
              <w:rPr>
                <w:spacing w:val="-5"/>
                <w:sz w:val="28"/>
              </w:rPr>
              <w:t>53</w:t>
            </w:r>
          </w:p>
        </w:tc>
      </w:tr>
      <w:tr>
        <w:trPr>
          <w:trHeight w:val="321" w:hRule="atLeast"/>
        </w:trPr>
        <w:tc>
          <w:tcPr>
            <w:tcW w:w="929" w:type="dxa"/>
          </w:tcPr>
          <w:p>
            <w:pPr>
              <w:pStyle w:val="TableParagraph"/>
              <w:spacing w:line="302" w:lineRule="exact"/>
              <w:ind w:left="50"/>
              <w:rPr>
                <w:sz w:val="28"/>
              </w:rPr>
            </w:pPr>
            <w:r>
              <w:rPr>
                <w:spacing w:val="-5"/>
                <w:sz w:val="28"/>
              </w:rPr>
              <w:t>3.</w:t>
            </w:r>
          </w:p>
        </w:tc>
        <w:tc>
          <w:tcPr>
            <w:tcW w:w="7679" w:type="dxa"/>
          </w:tcPr>
          <w:p>
            <w:pPr>
              <w:pStyle w:val="TableParagraph"/>
              <w:spacing w:line="302" w:lineRule="exact"/>
              <w:ind w:left="107"/>
              <w:rPr>
                <w:b/>
                <w:sz w:val="28"/>
              </w:rPr>
            </w:pPr>
            <w:r>
              <w:rPr>
                <w:b/>
                <w:sz w:val="28"/>
              </w:rPr>
              <w:t>РЕЗУЛЬТАТЫ</w:t>
            </w:r>
            <w:r>
              <w:rPr>
                <w:b/>
                <w:spacing w:val="-4"/>
                <w:sz w:val="28"/>
              </w:rPr>
              <w:t> </w:t>
            </w:r>
            <w:r>
              <w:rPr>
                <w:b/>
                <w:sz w:val="28"/>
              </w:rPr>
              <w:t>И</w:t>
            </w:r>
            <w:r>
              <w:rPr>
                <w:b/>
                <w:spacing w:val="-6"/>
                <w:sz w:val="28"/>
              </w:rPr>
              <w:t> </w:t>
            </w:r>
            <w:r>
              <w:rPr>
                <w:b/>
                <w:spacing w:val="-2"/>
                <w:sz w:val="28"/>
              </w:rPr>
              <w:t>ОБСУЖДЕНИЕ</w:t>
            </w:r>
          </w:p>
        </w:tc>
        <w:tc>
          <w:tcPr>
            <w:tcW w:w="440" w:type="dxa"/>
          </w:tcPr>
          <w:p>
            <w:pPr>
              <w:pStyle w:val="TableParagraph"/>
              <w:spacing w:line="302" w:lineRule="exact"/>
              <w:ind w:left="55" w:right="1"/>
              <w:jc w:val="center"/>
              <w:rPr>
                <w:sz w:val="28"/>
              </w:rPr>
            </w:pPr>
            <w:r>
              <w:rPr>
                <w:spacing w:val="-5"/>
                <w:sz w:val="28"/>
              </w:rPr>
              <w:t>55</w:t>
            </w:r>
          </w:p>
        </w:tc>
      </w:tr>
      <w:tr>
        <w:trPr>
          <w:trHeight w:val="645" w:hRule="atLeast"/>
        </w:trPr>
        <w:tc>
          <w:tcPr>
            <w:tcW w:w="929" w:type="dxa"/>
          </w:tcPr>
          <w:p>
            <w:pPr>
              <w:pStyle w:val="TableParagraph"/>
              <w:spacing w:line="316" w:lineRule="exact"/>
              <w:ind w:left="50"/>
              <w:rPr>
                <w:sz w:val="28"/>
              </w:rPr>
            </w:pPr>
            <w:r>
              <w:rPr>
                <w:spacing w:val="-5"/>
                <w:sz w:val="28"/>
              </w:rPr>
              <w:t>3.1</w:t>
            </w:r>
          </w:p>
        </w:tc>
        <w:tc>
          <w:tcPr>
            <w:tcW w:w="7679" w:type="dxa"/>
          </w:tcPr>
          <w:p>
            <w:pPr>
              <w:pStyle w:val="TableParagraph"/>
              <w:spacing w:line="316" w:lineRule="exact"/>
              <w:ind w:left="107"/>
              <w:rPr>
                <w:sz w:val="28"/>
              </w:rPr>
            </w:pPr>
            <w:r>
              <w:rPr>
                <w:sz w:val="28"/>
              </w:rPr>
              <w:t>Показатели</w:t>
            </w:r>
            <w:r>
              <w:rPr>
                <w:spacing w:val="63"/>
                <w:w w:val="150"/>
                <w:sz w:val="28"/>
              </w:rPr>
              <w:t> </w:t>
            </w:r>
            <w:r>
              <w:rPr>
                <w:sz w:val="28"/>
              </w:rPr>
              <w:t>фертильности</w:t>
            </w:r>
            <w:r>
              <w:rPr>
                <w:spacing w:val="66"/>
                <w:w w:val="150"/>
                <w:sz w:val="28"/>
              </w:rPr>
              <w:t> </w:t>
            </w:r>
            <w:r>
              <w:rPr>
                <w:sz w:val="28"/>
              </w:rPr>
              <w:t>эякулята</w:t>
            </w:r>
            <w:r>
              <w:rPr>
                <w:spacing w:val="65"/>
                <w:w w:val="150"/>
                <w:sz w:val="28"/>
              </w:rPr>
              <w:t> </w:t>
            </w:r>
            <w:r>
              <w:rPr>
                <w:sz w:val="28"/>
              </w:rPr>
              <w:t>бесплодных</w:t>
            </w:r>
            <w:r>
              <w:rPr>
                <w:spacing w:val="66"/>
                <w:w w:val="150"/>
                <w:sz w:val="28"/>
              </w:rPr>
              <w:t> </w:t>
            </w:r>
            <w:r>
              <w:rPr>
                <w:sz w:val="28"/>
              </w:rPr>
              <w:t>мужчин</w:t>
            </w:r>
            <w:r>
              <w:rPr>
                <w:spacing w:val="64"/>
                <w:w w:val="150"/>
                <w:sz w:val="28"/>
              </w:rPr>
              <w:t> </w:t>
            </w:r>
            <w:r>
              <w:rPr>
                <w:spacing w:val="-10"/>
                <w:sz w:val="28"/>
              </w:rPr>
              <w:t>-</w:t>
            </w:r>
          </w:p>
          <w:p>
            <w:pPr>
              <w:pStyle w:val="TableParagraph"/>
              <w:spacing w:line="307" w:lineRule="exact" w:before="2"/>
              <w:ind w:left="107"/>
              <w:rPr>
                <w:sz w:val="28"/>
              </w:rPr>
            </w:pPr>
            <w:r>
              <w:rPr>
                <w:sz w:val="28"/>
              </w:rPr>
              <w:t>жителей</w:t>
            </w:r>
            <w:r>
              <w:rPr>
                <w:spacing w:val="-7"/>
                <w:sz w:val="28"/>
              </w:rPr>
              <w:t> </w:t>
            </w:r>
            <w:r>
              <w:rPr>
                <w:sz w:val="28"/>
              </w:rPr>
              <w:t>Центральной</w:t>
            </w:r>
            <w:r>
              <w:rPr>
                <w:spacing w:val="-7"/>
                <w:sz w:val="28"/>
              </w:rPr>
              <w:t> </w:t>
            </w:r>
            <w:r>
              <w:rPr>
                <w:spacing w:val="-4"/>
                <w:sz w:val="28"/>
              </w:rPr>
              <w:t>Азии</w:t>
            </w:r>
          </w:p>
        </w:tc>
        <w:tc>
          <w:tcPr>
            <w:tcW w:w="440" w:type="dxa"/>
          </w:tcPr>
          <w:p>
            <w:pPr>
              <w:pStyle w:val="TableParagraph"/>
              <w:spacing w:line="316" w:lineRule="exact"/>
              <w:ind w:left="55" w:right="1"/>
              <w:jc w:val="center"/>
              <w:rPr>
                <w:sz w:val="28"/>
              </w:rPr>
            </w:pPr>
            <w:r>
              <w:rPr>
                <w:spacing w:val="-5"/>
                <w:sz w:val="28"/>
              </w:rPr>
              <w:t>55</w:t>
            </w:r>
          </w:p>
        </w:tc>
      </w:tr>
      <w:tr>
        <w:trPr>
          <w:trHeight w:val="643" w:hRule="atLeast"/>
        </w:trPr>
        <w:tc>
          <w:tcPr>
            <w:tcW w:w="929" w:type="dxa"/>
          </w:tcPr>
          <w:p>
            <w:pPr>
              <w:pStyle w:val="TableParagraph"/>
              <w:spacing w:line="316" w:lineRule="exact"/>
              <w:ind w:left="50"/>
              <w:rPr>
                <w:sz w:val="28"/>
              </w:rPr>
            </w:pPr>
            <w:r>
              <w:rPr>
                <w:spacing w:val="-2"/>
                <w:sz w:val="28"/>
              </w:rPr>
              <w:t>3.1.1</w:t>
            </w:r>
          </w:p>
        </w:tc>
        <w:tc>
          <w:tcPr>
            <w:tcW w:w="7679" w:type="dxa"/>
          </w:tcPr>
          <w:p>
            <w:pPr>
              <w:pStyle w:val="TableParagraph"/>
              <w:spacing w:line="316" w:lineRule="exact"/>
              <w:ind w:left="107"/>
              <w:rPr>
                <w:sz w:val="28"/>
              </w:rPr>
            </w:pPr>
            <w:r>
              <w:rPr>
                <w:sz w:val="28"/>
              </w:rPr>
              <w:t>Ключевые</w:t>
            </w:r>
            <w:r>
              <w:rPr>
                <w:spacing w:val="22"/>
                <w:sz w:val="28"/>
              </w:rPr>
              <w:t>  </w:t>
            </w:r>
            <w:r>
              <w:rPr>
                <w:sz w:val="28"/>
              </w:rPr>
              <w:t>параметры</w:t>
            </w:r>
            <w:r>
              <w:rPr>
                <w:spacing w:val="23"/>
                <w:sz w:val="28"/>
              </w:rPr>
              <w:t>  </w:t>
            </w:r>
            <w:r>
              <w:rPr>
                <w:sz w:val="28"/>
              </w:rPr>
              <w:t>фертильности</w:t>
            </w:r>
            <w:r>
              <w:rPr>
                <w:spacing w:val="22"/>
                <w:sz w:val="28"/>
              </w:rPr>
              <w:t>  </w:t>
            </w:r>
            <w:r>
              <w:rPr>
                <w:sz w:val="28"/>
              </w:rPr>
              <w:t>эякулята</w:t>
            </w:r>
            <w:r>
              <w:rPr>
                <w:spacing w:val="23"/>
                <w:sz w:val="28"/>
              </w:rPr>
              <w:t>  </w:t>
            </w:r>
            <w:r>
              <w:rPr>
                <w:spacing w:val="-2"/>
                <w:sz w:val="28"/>
              </w:rPr>
              <w:t>бесплодных</w:t>
            </w:r>
          </w:p>
          <w:p>
            <w:pPr>
              <w:pStyle w:val="TableParagraph"/>
              <w:spacing w:line="307" w:lineRule="exact"/>
              <w:ind w:left="107"/>
              <w:rPr>
                <w:sz w:val="28"/>
              </w:rPr>
            </w:pPr>
            <w:r>
              <w:rPr>
                <w:spacing w:val="-2"/>
                <w:sz w:val="28"/>
              </w:rPr>
              <w:t>мужчин</w:t>
            </w:r>
          </w:p>
        </w:tc>
        <w:tc>
          <w:tcPr>
            <w:tcW w:w="440" w:type="dxa"/>
          </w:tcPr>
          <w:p>
            <w:pPr>
              <w:pStyle w:val="TableParagraph"/>
              <w:spacing w:line="316" w:lineRule="exact"/>
              <w:ind w:left="55" w:right="1"/>
              <w:jc w:val="center"/>
              <w:rPr>
                <w:sz w:val="28"/>
              </w:rPr>
            </w:pPr>
            <w:r>
              <w:rPr>
                <w:spacing w:val="-5"/>
                <w:sz w:val="28"/>
              </w:rPr>
              <w:t>55</w:t>
            </w:r>
          </w:p>
        </w:tc>
      </w:tr>
      <w:tr>
        <w:trPr>
          <w:trHeight w:val="643" w:hRule="atLeast"/>
        </w:trPr>
        <w:tc>
          <w:tcPr>
            <w:tcW w:w="929" w:type="dxa"/>
          </w:tcPr>
          <w:p>
            <w:pPr>
              <w:pStyle w:val="TableParagraph"/>
              <w:spacing w:line="316" w:lineRule="exact"/>
              <w:ind w:left="50"/>
              <w:rPr>
                <w:sz w:val="28"/>
              </w:rPr>
            </w:pPr>
            <w:r>
              <w:rPr>
                <w:spacing w:val="-2"/>
                <w:sz w:val="28"/>
              </w:rPr>
              <w:t>3.1.2</w:t>
            </w:r>
          </w:p>
        </w:tc>
        <w:tc>
          <w:tcPr>
            <w:tcW w:w="7679" w:type="dxa"/>
          </w:tcPr>
          <w:p>
            <w:pPr>
              <w:pStyle w:val="TableParagraph"/>
              <w:spacing w:line="316" w:lineRule="exact"/>
              <w:ind w:left="107"/>
              <w:rPr>
                <w:sz w:val="28"/>
              </w:rPr>
            </w:pPr>
            <w:r>
              <w:rPr>
                <w:sz w:val="28"/>
              </w:rPr>
              <w:t>Нормальные</w:t>
            </w:r>
            <w:r>
              <w:rPr>
                <w:spacing w:val="75"/>
                <w:sz w:val="28"/>
              </w:rPr>
              <w:t> </w:t>
            </w:r>
            <w:r>
              <w:rPr>
                <w:sz w:val="28"/>
              </w:rPr>
              <w:t>и</w:t>
            </w:r>
            <w:r>
              <w:rPr>
                <w:spacing w:val="76"/>
                <w:sz w:val="28"/>
              </w:rPr>
              <w:t> </w:t>
            </w:r>
            <w:r>
              <w:rPr>
                <w:sz w:val="28"/>
              </w:rPr>
              <w:t>патологические</w:t>
            </w:r>
            <w:r>
              <w:rPr>
                <w:spacing w:val="77"/>
                <w:sz w:val="28"/>
              </w:rPr>
              <w:t> </w:t>
            </w:r>
            <w:r>
              <w:rPr>
                <w:sz w:val="28"/>
              </w:rPr>
              <w:t>спермограммы</w:t>
            </w:r>
            <w:r>
              <w:rPr>
                <w:spacing w:val="76"/>
                <w:sz w:val="28"/>
              </w:rPr>
              <w:t> </w:t>
            </w:r>
            <w:r>
              <w:rPr>
                <w:sz w:val="28"/>
              </w:rPr>
              <w:t>у</w:t>
            </w:r>
            <w:r>
              <w:rPr>
                <w:spacing w:val="78"/>
                <w:sz w:val="28"/>
              </w:rPr>
              <w:t> </w:t>
            </w:r>
            <w:r>
              <w:rPr>
                <w:sz w:val="28"/>
              </w:rPr>
              <w:t>мужчин</w:t>
            </w:r>
            <w:r>
              <w:rPr>
                <w:spacing w:val="78"/>
                <w:sz w:val="28"/>
              </w:rPr>
              <w:t> </w:t>
            </w:r>
            <w:r>
              <w:rPr>
                <w:spacing w:val="-10"/>
                <w:sz w:val="28"/>
              </w:rPr>
              <w:t>в</w:t>
            </w:r>
          </w:p>
          <w:p>
            <w:pPr>
              <w:pStyle w:val="TableParagraph"/>
              <w:spacing w:line="307" w:lineRule="exact"/>
              <w:ind w:left="107"/>
              <w:rPr>
                <w:sz w:val="28"/>
              </w:rPr>
            </w:pPr>
            <w:r>
              <w:rPr>
                <w:sz w:val="28"/>
              </w:rPr>
              <w:t>бесплодном</w:t>
            </w:r>
            <w:r>
              <w:rPr>
                <w:spacing w:val="-8"/>
                <w:sz w:val="28"/>
              </w:rPr>
              <w:t> </w:t>
            </w:r>
            <w:r>
              <w:rPr>
                <w:spacing w:val="-2"/>
                <w:sz w:val="28"/>
              </w:rPr>
              <w:t>браке</w:t>
            </w:r>
          </w:p>
        </w:tc>
        <w:tc>
          <w:tcPr>
            <w:tcW w:w="440" w:type="dxa"/>
          </w:tcPr>
          <w:p>
            <w:pPr>
              <w:pStyle w:val="TableParagraph"/>
              <w:spacing w:line="316" w:lineRule="exact"/>
              <w:ind w:left="55" w:right="1"/>
              <w:jc w:val="center"/>
              <w:rPr>
                <w:sz w:val="28"/>
              </w:rPr>
            </w:pPr>
            <w:r>
              <w:rPr>
                <w:spacing w:val="-5"/>
                <w:sz w:val="28"/>
              </w:rPr>
              <w:t>57</w:t>
            </w:r>
          </w:p>
        </w:tc>
      </w:tr>
      <w:tr>
        <w:trPr>
          <w:trHeight w:val="322" w:hRule="atLeast"/>
        </w:trPr>
        <w:tc>
          <w:tcPr>
            <w:tcW w:w="929" w:type="dxa"/>
          </w:tcPr>
          <w:p>
            <w:pPr>
              <w:pStyle w:val="TableParagraph"/>
              <w:spacing w:line="303" w:lineRule="exact"/>
              <w:ind w:left="50"/>
              <w:rPr>
                <w:sz w:val="28"/>
              </w:rPr>
            </w:pPr>
            <w:r>
              <w:rPr>
                <w:spacing w:val="-2"/>
                <w:sz w:val="28"/>
              </w:rPr>
              <w:t>3.1.3</w:t>
            </w:r>
          </w:p>
        </w:tc>
        <w:tc>
          <w:tcPr>
            <w:tcW w:w="7679" w:type="dxa"/>
          </w:tcPr>
          <w:p>
            <w:pPr>
              <w:pStyle w:val="TableParagraph"/>
              <w:spacing w:line="303" w:lineRule="exact"/>
              <w:ind w:left="107"/>
              <w:rPr>
                <w:sz w:val="28"/>
              </w:rPr>
            </w:pPr>
            <w:r>
              <w:rPr>
                <w:sz w:val="28"/>
              </w:rPr>
              <w:t>Антиспермальные</w:t>
            </w:r>
            <w:r>
              <w:rPr>
                <w:spacing w:val="-7"/>
                <w:sz w:val="28"/>
              </w:rPr>
              <w:t> </w:t>
            </w:r>
            <w:r>
              <w:rPr>
                <w:sz w:val="28"/>
              </w:rPr>
              <w:t>антитела</w:t>
            </w:r>
            <w:r>
              <w:rPr>
                <w:spacing w:val="-7"/>
                <w:sz w:val="28"/>
              </w:rPr>
              <w:t> </w:t>
            </w:r>
            <w:r>
              <w:rPr>
                <w:sz w:val="28"/>
              </w:rPr>
              <w:t>IgG</w:t>
            </w:r>
            <w:r>
              <w:rPr>
                <w:spacing w:val="-6"/>
                <w:sz w:val="28"/>
              </w:rPr>
              <w:t> </w:t>
            </w:r>
            <w:r>
              <w:rPr>
                <w:sz w:val="28"/>
              </w:rPr>
              <w:t>в</w:t>
            </w:r>
            <w:r>
              <w:rPr>
                <w:spacing w:val="-6"/>
                <w:sz w:val="28"/>
              </w:rPr>
              <w:t> </w:t>
            </w:r>
            <w:r>
              <w:rPr>
                <w:spacing w:val="-2"/>
                <w:sz w:val="28"/>
              </w:rPr>
              <w:t>сперме</w:t>
            </w:r>
          </w:p>
        </w:tc>
        <w:tc>
          <w:tcPr>
            <w:tcW w:w="440" w:type="dxa"/>
          </w:tcPr>
          <w:p>
            <w:pPr>
              <w:pStyle w:val="TableParagraph"/>
              <w:spacing w:line="303" w:lineRule="exact"/>
              <w:ind w:left="55"/>
              <w:jc w:val="center"/>
              <w:rPr>
                <w:sz w:val="28"/>
              </w:rPr>
            </w:pPr>
            <w:r>
              <w:rPr>
                <w:spacing w:val="-5"/>
                <w:sz w:val="28"/>
              </w:rPr>
              <w:t>60</w:t>
            </w:r>
          </w:p>
        </w:tc>
      </w:tr>
      <w:tr>
        <w:trPr>
          <w:trHeight w:val="644" w:hRule="atLeast"/>
        </w:trPr>
        <w:tc>
          <w:tcPr>
            <w:tcW w:w="929" w:type="dxa"/>
          </w:tcPr>
          <w:p>
            <w:pPr>
              <w:pStyle w:val="TableParagraph"/>
              <w:spacing w:line="317" w:lineRule="exact"/>
              <w:ind w:left="50"/>
              <w:rPr>
                <w:sz w:val="28"/>
              </w:rPr>
            </w:pPr>
            <w:r>
              <w:rPr>
                <w:spacing w:val="-2"/>
                <w:sz w:val="28"/>
              </w:rPr>
              <w:t>3.1.4</w:t>
            </w:r>
          </w:p>
        </w:tc>
        <w:tc>
          <w:tcPr>
            <w:tcW w:w="7679" w:type="dxa"/>
          </w:tcPr>
          <w:p>
            <w:pPr>
              <w:pStyle w:val="TableParagraph"/>
              <w:tabs>
                <w:tab w:pos="1412" w:val="left" w:leader="none"/>
                <w:tab w:pos="2701" w:val="left" w:leader="none"/>
                <w:tab w:pos="3251" w:val="left" w:leader="none"/>
                <w:tab w:pos="4813" w:val="left" w:leader="none"/>
                <w:tab w:pos="6128" w:val="left" w:leader="none"/>
              </w:tabs>
              <w:spacing w:line="317" w:lineRule="exact"/>
              <w:ind w:left="107"/>
              <w:rPr>
                <w:sz w:val="28"/>
              </w:rPr>
            </w:pPr>
            <w:r>
              <w:rPr>
                <w:spacing w:val="-2"/>
                <w:sz w:val="28"/>
              </w:rPr>
              <w:t>Влияние</w:t>
            </w:r>
            <w:r>
              <w:rPr>
                <w:sz w:val="28"/>
              </w:rPr>
              <w:tab/>
            </w:r>
            <w:r>
              <w:rPr>
                <w:spacing w:val="-2"/>
                <w:sz w:val="28"/>
              </w:rPr>
              <w:t>возраста</w:t>
            </w:r>
            <w:r>
              <w:rPr>
                <w:sz w:val="28"/>
              </w:rPr>
              <w:tab/>
            </w:r>
            <w:r>
              <w:rPr>
                <w:spacing w:val="-5"/>
                <w:sz w:val="28"/>
              </w:rPr>
              <w:t>на</w:t>
            </w:r>
            <w:r>
              <w:rPr>
                <w:sz w:val="28"/>
              </w:rPr>
              <w:tab/>
            </w:r>
            <w:r>
              <w:rPr>
                <w:spacing w:val="-2"/>
                <w:sz w:val="28"/>
              </w:rPr>
              <w:t>параметры</w:t>
            </w:r>
            <w:r>
              <w:rPr>
                <w:sz w:val="28"/>
              </w:rPr>
              <w:tab/>
            </w:r>
            <w:r>
              <w:rPr>
                <w:spacing w:val="-2"/>
                <w:sz w:val="28"/>
              </w:rPr>
              <w:t>эякулята</w:t>
            </w:r>
            <w:r>
              <w:rPr>
                <w:sz w:val="28"/>
              </w:rPr>
              <w:tab/>
            </w:r>
            <w:r>
              <w:rPr>
                <w:spacing w:val="-2"/>
                <w:sz w:val="28"/>
              </w:rPr>
              <w:t>бесплодных</w:t>
            </w:r>
          </w:p>
          <w:p>
            <w:pPr>
              <w:pStyle w:val="TableParagraph"/>
              <w:spacing w:line="307" w:lineRule="exact"/>
              <w:ind w:left="107"/>
              <w:rPr>
                <w:sz w:val="28"/>
              </w:rPr>
            </w:pPr>
            <w:r>
              <w:rPr>
                <w:spacing w:val="-2"/>
                <w:sz w:val="28"/>
              </w:rPr>
              <w:t>мужчин</w:t>
            </w:r>
          </w:p>
        </w:tc>
        <w:tc>
          <w:tcPr>
            <w:tcW w:w="440" w:type="dxa"/>
          </w:tcPr>
          <w:p>
            <w:pPr>
              <w:pStyle w:val="TableParagraph"/>
              <w:spacing w:line="317" w:lineRule="exact"/>
              <w:ind w:left="55" w:right="1"/>
              <w:jc w:val="center"/>
              <w:rPr>
                <w:sz w:val="28"/>
              </w:rPr>
            </w:pPr>
            <w:r>
              <w:rPr>
                <w:spacing w:val="-5"/>
                <w:sz w:val="28"/>
              </w:rPr>
              <w:t>61</w:t>
            </w:r>
          </w:p>
        </w:tc>
      </w:tr>
      <w:tr>
        <w:trPr>
          <w:trHeight w:val="321" w:hRule="atLeast"/>
        </w:trPr>
        <w:tc>
          <w:tcPr>
            <w:tcW w:w="929" w:type="dxa"/>
          </w:tcPr>
          <w:p>
            <w:pPr>
              <w:pStyle w:val="TableParagraph"/>
              <w:spacing w:line="302" w:lineRule="exact"/>
              <w:ind w:left="50"/>
              <w:rPr>
                <w:sz w:val="28"/>
              </w:rPr>
            </w:pPr>
            <w:r>
              <w:rPr>
                <w:spacing w:val="-2"/>
                <w:sz w:val="28"/>
              </w:rPr>
              <w:t>3.1.4.1</w:t>
            </w:r>
          </w:p>
        </w:tc>
        <w:tc>
          <w:tcPr>
            <w:tcW w:w="7679" w:type="dxa"/>
          </w:tcPr>
          <w:p>
            <w:pPr>
              <w:pStyle w:val="TableParagraph"/>
              <w:spacing w:line="302" w:lineRule="exact"/>
              <w:ind w:left="107"/>
              <w:rPr>
                <w:sz w:val="28"/>
              </w:rPr>
            </w:pPr>
            <w:r>
              <w:rPr>
                <w:sz w:val="28"/>
              </w:rPr>
              <w:t>Концентрация</w:t>
            </w:r>
            <w:r>
              <w:rPr>
                <w:spacing w:val="-6"/>
                <w:sz w:val="28"/>
              </w:rPr>
              <w:t> </w:t>
            </w:r>
            <w:r>
              <w:rPr>
                <w:sz w:val="28"/>
              </w:rPr>
              <w:t>и</w:t>
            </w:r>
            <w:r>
              <w:rPr>
                <w:spacing w:val="-7"/>
                <w:sz w:val="28"/>
              </w:rPr>
              <w:t> </w:t>
            </w:r>
            <w:r>
              <w:rPr>
                <w:sz w:val="28"/>
              </w:rPr>
              <w:t>подвижность</w:t>
            </w:r>
            <w:r>
              <w:rPr>
                <w:spacing w:val="-7"/>
                <w:sz w:val="28"/>
              </w:rPr>
              <w:t> </w:t>
            </w:r>
            <w:r>
              <w:rPr>
                <w:spacing w:val="-2"/>
                <w:sz w:val="28"/>
              </w:rPr>
              <w:t>сперматозоидов</w:t>
            </w:r>
          </w:p>
        </w:tc>
        <w:tc>
          <w:tcPr>
            <w:tcW w:w="440" w:type="dxa"/>
          </w:tcPr>
          <w:p>
            <w:pPr>
              <w:pStyle w:val="TableParagraph"/>
              <w:spacing w:line="302" w:lineRule="exact"/>
              <w:ind w:left="55" w:right="1"/>
              <w:jc w:val="center"/>
              <w:rPr>
                <w:sz w:val="28"/>
              </w:rPr>
            </w:pPr>
            <w:r>
              <w:rPr>
                <w:spacing w:val="-5"/>
                <w:sz w:val="28"/>
              </w:rPr>
              <w:t>62</w:t>
            </w:r>
          </w:p>
        </w:tc>
      </w:tr>
      <w:tr>
        <w:trPr>
          <w:trHeight w:val="321" w:hRule="atLeast"/>
        </w:trPr>
        <w:tc>
          <w:tcPr>
            <w:tcW w:w="929" w:type="dxa"/>
          </w:tcPr>
          <w:p>
            <w:pPr>
              <w:pStyle w:val="TableParagraph"/>
              <w:spacing w:line="302" w:lineRule="exact"/>
              <w:ind w:left="50"/>
              <w:rPr>
                <w:sz w:val="28"/>
              </w:rPr>
            </w:pPr>
            <w:r>
              <w:rPr>
                <w:spacing w:val="-2"/>
                <w:sz w:val="28"/>
              </w:rPr>
              <w:t>3.1.4.2</w:t>
            </w:r>
          </w:p>
        </w:tc>
        <w:tc>
          <w:tcPr>
            <w:tcW w:w="7679" w:type="dxa"/>
          </w:tcPr>
          <w:p>
            <w:pPr>
              <w:pStyle w:val="TableParagraph"/>
              <w:spacing w:line="302" w:lineRule="exact"/>
              <w:ind w:left="107"/>
              <w:rPr>
                <w:sz w:val="28"/>
              </w:rPr>
            </w:pPr>
            <w:r>
              <w:rPr>
                <w:sz w:val="28"/>
              </w:rPr>
              <w:t>Морфологические</w:t>
            </w:r>
            <w:r>
              <w:rPr>
                <w:spacing w:val="-10"/>
                <w:sz w:val="28"/>
              </w:rPr>
              <w:t> </w:t>
            </w:r>
            <w:r>
              <w:rPr>
                <w:sz w:val="28"/>
              </w:rPr>
              <w:t>параметры</w:t>
            </w:r>
            <w:r>
              <w:rPr>
                <w:spacing w:val="-9"/>
                <w:sz w:val="28"/>
              </w:rPr>
              <w:t> </w:t>
            </w:r>
            <w:r>
              <w:rPr>
                <w:spacing w:val="-2"/>
                <w:sz w:val="28"/>
              </w:rPr>
              <w:t>сперматозоидов</w:t>
            </w:r>
          </w:p>
        </w:tc>
        <w:tc>
          <w:tcPr>
            <w:tcW w:w="440" w:type="dxa"/>
          </w:tcPr>
          <w:p>
            <w:pPr>
              <w:pStyle w:val="TableParagraph"/>
              <w:spacing w:line="302" w:lineRule="exact"/>
              <w:ind w:left="55" w:right="1"/>
              <w:jc w:val="center"/>
              <w:rPr>
                <w:sz w:val="28"/>
              </w:rPr>
            </w:pPr>
            <w:r>
              <w:rPr>
                <w:spacing w:val="-5"/>
                <w:sz w:val="28"/>
              </w:rPr>
              <w:t>64</w:t>
            </w:r>
          </w:p>
        </w:tc>
      </w:tr>
      <w:tr>
        <w:trPr>
          <w:trHeight w:val="321" w:hRule="atLeast"/>
        </w:trPr>
        <w:tc>
          <w:tcPr>
            <w:tcW w:w="929" w:type="dxa"/>
          </w:tcPr>
          <w:p>
            <w:pPr>
              <w:pStyle w:val="TableParagraph"/>
              <w:spacing w:line="302" w:lineRule="exact"/>
              <w:ind w:left="50"/>
              <w:rPr>
                <w:sz w:val="28"/>
              </w:rPr>
            </w:pPr>
            <w:r>
              <w:rPr>
                <w:spacing w:val="-2"/>
                <w:sz w:val="28"/>
              </w:rPr>
              <w:t>3.1.4.3</w:t>
            </w:r>
          </w:p>
        </w:tc>
        <w:tc>
          <w:tcPr>
            <w:tcW w:w="7679" w:type="dxa"/>
          </w:tcPr>
          <w:p>
            <w:pPr>
              <w:pStyle w:val="TableParagraph"/>
              <w:spacing w:line="302" w:lineRule="exact"/>
              <w:ind w:left="107"/>
              <w:rPr>
                <w:sz w:val="28"/>
              </w:rPr>
            </w:pPr>
            <w:r>
              <w:rPr>
                <w:sz w:val="28"/>
              </w:rPr>
              <w:t>Вязкость</w:t>
            </w:r>
            <w:r>
              <w:rPr>
                <w:spacing w:val="-5"/>
                <w:sz w:val="28"/>
              </w:rPr>
              <w:t> </w:t>
            </w:r>
            <w:r>
              <w:rPr>
                <w:sz w:val="28"/>
              </w:rPr>
              <w:t>и</w:t>
            </w:r>
            <w:r>
              <w:rPr>
                <w:spacing w:val="-3"/>
                <w:sz w:val="28"/>
              </w:rPr>
              <w:t> </w:t>
            </w:r>
            <w:r>
              <w:rPr>
                <w:sz w:val="28"/>
              </w:rPr>
              <w:t>объем</w:t>
            </w:r>
            <w:r>
              <w:rPr>
                <w:spacing w:val="-3"/>
                <w:sz w:val="28"/>
              </w:rPr>
              <w:t> </w:t>
            </w:r>
            <w:r>
              <w:rPr>
                <w:spacing w:val="-2"/>
                <w:sz w:val="28"/>
              </w:rPr>
              <w:t>спермы</w:t>
            </w:r>
          </w:p>
        </w:tc>
        <w:tc>
          <w:tcPr>
            <w:tcW w:w="440" w:type="dxa"/>
          </w:tcPr>
          <w:p>
            <w:pPr>
              <w:pStyle w:val="TableParagraph"/>
              <w:spacing w:line="302" w:lineRule="exact"/>
              <w:ind w:left="55" w:right="1"/>
              <w:jc w:val="center"/>
              <w:rPr>
                <w:sz w:val="28"/>
              </w:rPr>
            </w:pPr>
            <w:r>
              <w:rPr>
                <w:spacing w:val="-5"/>
                <w:sz w:val="28"/>
              </w:rPr>
              <w:t>65</w:t>
            </w:r>
          </w:p>
        </w:tc>
      </w:tr>
      <w:tr>
        <w:trPr>
          <w:trHeight w:val="644" w:hRule="atLeast"/>
        </w:trPr>
        <w:tc>
          <w:tcPr>
            <w:tcW w:w="929" w:type="dxa"/>
          </w:tcPr>
          <w:p>
            <w:pPr>
              <w:pStyle w:val="TableParagraph"/>
              <w:spacing w:line="316" w:lineRule="exact"/>
              <w:ind w:left="50"/>
              <w:rPr>
                <w:sz w:val="28"/>
              </w:rPr>
            </w:pPr>
            <w:r>
              <w:rPr>
                <w:spacing w:val="-5"/>
                <w:sz w:val="28"/>
              </w:rPr>
              <w:t>3.2</w:t>
            </w:r>
          </w:p>
        </w:tc>
        <w:tc>
          <w:tcPr>
            <w:tcW w:w="7679" w:type="dxa"/>
          </w:tcPr>
          <w:p>
            <w:pPr>
              <w:pStyle w:val="TableParagraph"/>
              <w:spacing w:line="316" w:lineRule="exact"/>
              <w:ind w:left="107"/>
              <w:rPr>
                <w:sz w:val="28"/>
              </w:rPr>
            </w:pPr>
            <w:r>
              <w:rPr>
                <w:sz w:val="28"/>
              </w:rPr>
              <w:t>Воздействие</w:t>
            </w:r>
            <w:r>
              <w:rPr>
                <w:spacing w:val="-3"/>
                <w:sz w:val="28"/>
              </w:rPr>
              <w:t> </w:t>
            </w:r>
            <w:r>
              <w:rPr>
                <w:sz w:val="28"/>
              </w:rPr>
              <w:t>электромагнитного</w:t>
            </w:r>
            <w:r>
              <w:rPr>
                <w:spacing w:val="-2"/>
                <w:sz w:val="28"/>
              </w:rPr>
              <w:t> </w:t>
            </w:r>
            <w:r>
              <w:rPr>
                <w:sz w:val="28"/>
              </w:rPr>
              <w:t>излучения</w:t>
            </w:r>
            <w:r>
              <w:rPr>
                <w:spacing w:val="-3"/>
                <w:sz w:val="28"/>
              </w:rPr>
              <w:t> </w:t>
            </w:r>
            <w:r>
              <w:rPr>
                <w:sz w:val="28"/>
              </w:rPr>
              <w:t>на </w:t>
            </w:r>
            <w:r>
              <w:rPr>
                <w:spacing w:val="-2"/>
                <w:sz w:val="28"/>
              </w:rPr>
              <w:t>сперматозоиды</w:t>
            </w:r>
          </w:p>
          <w:p>
            <w:pPr>
              <w:pStyle w:val="TableParagraph"/>
              <w:spacing w:line="308" w:lineRule="exact"/>
              <w:ind w:left="107"/>
              <w:rPr>
                <w:sz w:val="28"/>
              </w:rPr>
            </w:pPr>
            <w:r>
              <w:rPr>
                <w:spacing w:val="-2"/>
                <w:sz w:val="28"/>
              </w:rPr>
              <w:t>человека</w:t>
            </w:r>
          </w:p>
        </w:tc>
        <w:tc>
          <w:tcPr>
            <w:tcW w:w="440" w:type="dxa"/>
          </w:tcPr>
          <w:p>
            <w:pPr>
              <w:pStyle w:val="TableParagraph"/>
              <w:spacing w:line="316" w:lineRule="exact"/>
              <w:ind w:left="55" w:right="1"/>
              <w:jc w:val="center"/>
              <w:rPr>
                <w:sz w:val="28"/>
              </w:rPr>
            </w:pPr>
            <w:r>
              <w:rPr>
                <w:spacing w:val="-5"/>
                <w:sz w:val="28"/>
              </w:rPr>
              <w:t>66</w:t>
            </w:r>
          </w:p>
        </w:tc>
      </w:tr>
      <w:tr>
        <w:trPr>
          <w:trHeight w:val="644" w:hRule="atLeast"/>
        </w:trPr>
        <w:tc>
          <w:tcPr>
            <w:tcW w:w="929" w:type="dxa"/>
          </w:tcPr>
          <w:p>
            <w:pPr>
              <w:pStyle w:val="TableParagraph"/>
              <w:spacing w:line="317" w:lineRule="exact"/>
              <w:ind w:left="50"/>
              <w:rPr>
                <w:sz w:val="28"/>
              </w:rPr>
            </w:pPr>
            <w:r>
              <w:rPr>
                <w:spacing w:val="-2"/>
                <w:sz w:val="28"/>
              </w:rPr>
              <w:t>3.2.1</w:t>
            </w:r>
          </w:p>
        </w:tc>
        <w:tc>
          <w:tcPr>
            <w:tcW w:w="7679" w:type="dxa"/>
          </w:tcPr>
          <w:p>
            <w:pPr>
              <w:pStyle w:val="TableParagraph"/>
              <w:tabs>
                <w:tab w:pos="3459" w:val="left" w:leader="none"/>
                <w:tab w:pos="5852" w:val="left" w:leader="none"/>
              </w:tabs>
              <w:spacing w:line="317" w:lineRule="exact"/>
              <w:ind w:left="107"/>
              <w:rPr>
                <w:sz w:val="28"/>
              </w:rPr>
            </w:pPr>
            <w:r>
              <w:rPr>
                <w:spacing w:val="-2"/>
                <w:sz w:val="28"/>
              </w:rPr>
              <w:t>Оптико-энергетические</w:t>
            </w:r>
            <w:r>
              <w:rPr>
                <w:sz w:val="28"/>
              </w:rPr>
              <w:tab/>
            </w:r>
            <w:r>
              <w:rPr>
                <w:spacing w:val="-2"/>
                <w:sz w:val="28"/>
              </w:rPr>
              <w:t>характеристики</w:t>
            </w:r>
            <w:r>
              <w:rPr>
                <w:sz w:val="28"/>
              </w:rPr>
              <w:tab/>
            </w:r>
            <w:r>
              <w:rPr>
                <w:spacing w:val="-2"/>
                <w:sz w:val="28"/>
              </w:rPr>
              <w:t>применяемого</w:t>
            </w:r>
          </w:p>
          <w:p>
            <w:pPr>
              <w:pStyle w:val="TableParagraph"/>
              <w:spacing w:line="307" w:lineRule="exact"/>
              <w:ind w:left="107"/>
              <w:rPr>
                <w:sz w:val="28"/>
              </w:rPr>
            </w:pPr>
            <w:r>
              <w:rPr>
                <w:spacing w:val="-2"/>
                <w:sz w:val="28"/>
              </w:rPr>
              <w:t>излучения</w:t>
            </w:r>
          </w:p>
        </w:tc>
        <w:tc>
          <w:tcPr>
            <w:tcW w:w="440" w:type="dxa"/>
          </w:tcPr>
          <w:p>
            <w:pPr>
              <w:pStyle w:val="TableParagraph"/>
              <w:spacing w:line="317" w:lineRule="exact"/>
              <w:ind w:left="55" w:right="1"/>
              <w:jc w:val="center"/>
              <w:rPr>
                <w:sz w:val="28"/>
              </w:rPr>
            </w:pPr>
            <w:r>
              <w:rPr>
                <w:spacing w:val="-5"/>
                <w:sz w:val="28"/>
              </w:rPr>
              <w:t>67</w:t>
            </w:r>
          </w:p>
        </w:tc>
      </w:tr>
      <w:tr>
        <w:trPr>
          <w:trHeight w:val="643" w:hRule="atLeast"/>
        </w:trPr>
        <w:tc>
          <w:tcPr>
            <w:tcW w:w="929" w:type="dxa"/>
          </w:tcPr>
          <w:p>
            <w:pPr>
              <w:pStyle w:val="TableParagraph"/>
              <w:spacing w:line="316" w:lineRule="exact"/>
              <w:ind w:left="50"/>
              <w:rPr>
                <w:sz w:val="28"/>
              </w:rPr>
            </w:pPr>
            <w:r>
              <w:rPr>
                <w:spacing w:val="-2"/>
                <w:sz w:val="28"/>
              </w:rPr>
              <w:t>3.2.2</w:t>
            </w:r>
          </w:p>
        </w:tc>
        <w:tc>
          <w:tcPr>
            <w:tcW w:w="7679" w:type="dxa"/>
          </w:tcPr>
          <w:p>
            <w:pPr>
              <w:pStyle w:val="TableParagraph"/>
              <w:spacing w:line="316" w:lineRule="exact"/>
              <w:ind w:left="107"/>
              <w:rPr>
                <w:sz w:val="28"/>
              </w:rPr>
            </w:pPr>
            <w:r>
              <w:rPr>
                <w:sz w:val="28"/>
              </w:rPr>
              <w:t>Влияние</w:t>
            </w:r>
            <w:r>
              <w:rPr>
                <w:spacing w:val="59"/>
                <w:w w:val="150"/>
                <w:sz w:val="28"/>
              </w:rPr>
              <w:t> </w:t>
            </w:r>
            <w:r>
              <w:rPr>
                <w:sz w:val="28"/>
              </w:rPr>
              <w:t>монохроматического,</w:t>
            </w:r>
            <w:r>
              <w:rPr>
                <w:spacing w:val="61"/>
                <w:w w:val="150"/>
                <w:sz w:val="28"/>
              </w:rPr>
              <w:t> </w:t>
            </w:r>
            <w:r>
              <w:rPr>
                <w:sz w:val="28"/>
              </w:rPr>
              <w:t>лазерного</w:t>
            </w:r>
            <w:r>
              <w:rPr>
                <w:spacing w:val="60"/>
                <w:w w:val="150"/>
                <w:sz w:val="28"/>
              </w:rPr>
              <w:t> </w:t>
            </w:r>
            <w:r>
              <w:rPr>
                <w:sz w:val="28"/>
              </w:rPr>
              <w:t>и</w:t>
            </w:r>
            <w:r>
              <w:rPr>
                <w:spacing w:val="63"/>
                <w:w w:val="150"/>
                <w:sz w:val="28"/>
              </w:rPr>
              <w:t> </w:t>
            </w:r>
            <w:r>
              <w:rPr>
                <w:spacing w:val="-2"/>
                <w:sz w:val="28"/>
              </w:rPr>
              <w:t>инфракрасного</w:t>
            </w:r>
          </w:p>
          <w:p>
            <w:pPr>
              <w:pStyle w:val="TableParagraph"/>
              <w:spacing w:line="307" w:lineRule="exact"/>
              <w:ind w:left="107"/>
              <w:rPr>
                <w:sz w:val="28"/>
              </w:rPr>
            </w:pPr>
            <w:r>
              <w:rPr>
                <w:sz w:val="28"/>
              </w:rPr>
              <w:t>излучений</w:t>
            </w:r>
            <w:r>
              <w:rPr>
                <w:spacing w:val="-9"/>
                <w:sz w:val="28"/>
              </w:rPr>
              <w:t> </w:t>
            </w:r>
            <w:r>
              <w:rPr>
                <w:sz w:val="28"/>
              </w:rPr>
              <w:t>на</w:t>
            </w:r>
            <w:r>
              <w:rPr>
                <w:spacing w:val="-6"/>
                <w:sz w:val="28"/>
              </w:rPr>
              <w:t> </w:t>
            </w:r>
            <w:r>
              <w:rPr>
                <w:sz w:val="28"/>
              </w:rPr>
              <w:t>подвижность</w:t>
            </w:r>
            <w:r>
              <w:rPr>
                <w:spacing w:val="-7"/>
                <w:sz w:val="28"/>
              </w:rPr>
              <w:t> </w:t>
            </w:r>
            <w:r>
              <w:rPr>
                <w:sz w:val="28"/>
              </w:rPr>
              <w:t>сперматозоидов</w:t>
            </w:r>
            <w:r>
              <w:rPr>
                <w:spacing w:val="-6"/>
                <w:sz w:val="28"/>
              </w:rPr>
              <w:t> </w:t>
            </w:r>
            <w:r>
              <w:rPr>
                <w:spacing w:val="-2"/>
                <w:sz w:val="28"/>
              </w:rPr>
              <w:t>человека</w:t>
            </w:r>
          </w:p>
        </w:tc>
        <w:tc>
          <w:tcPr>
            <w:tcW w:w="440" w:type="dxa"/>
          </w:tcPr>
          <w:p>
            <w:pPr>
              <w:pStyle w:val="TableParagraph"/>
              <w:spacing w:line="316" w:lineRule="exact"/>
              <w:ind w:left="55" w:right="1"/>
              <w:jc w:val="center"/>
              <w:rPr>
                <w:sz w:val="28"/>
              </w:rPr>
            </w:pPr>
            <w:r>
              <w:rPr>
                <w:spacing w:val="-5"/>
                <w:sz w:val="28"/>
              </w:rPr>
              <w:t>71</w:t>
            </w:r>
          </w:p>
        </w:tc>
      </w:tr>
      <w:tr>
        <w:trPr>
          <w:trHeight w:val="644" w:hRule="atLeast"/>
        </w:trPr>
        <w:tc>
          <w:tcPr>
            <w:tcW w:w="929" w:type="dxa"/>
          </w:tcPr>
          <w:p>
            <w:pPr>
              <w:pStyle w:val="TableParagraph"/>
              <w:spacing w:line="316" w:lineRule="exact"/>
              <w:ind w:left="50"/>
              <w:rPr>
                <w:sz w:val="28"/>
              </w:rPr>
            </w:pPr>
            <w:r>
              <w:rPr>
                <w:spacing w:val="-2"/>
                <w:sz w:val="28"/>
              </w:rPr>
              <w:t>3.2.3</w:t>
            </w:r>
          </w:p>
        </w:tc>
        <w:tc>
          <w:tcPr>
            <w:tcW w:w="7679" w:type="dxa"/>
          </w:tcPr>
          <w:p>
            <w:pPr>
              <w:pStyle w:val="TableParagraph"/>
              <w:spacing w:line="316" w:lineRule="exact"/>
              <w:ind w:left="107"/>
              <w:rPr>
                <w:sz w:val="28"/>
              </w:rPr>
            </w:pPr>
            <w:r>
              <w:rPr>
                <w:sz w:val="28"/>
              </w:rPr>
              <w:t>Влияние</w:t>
            </w:r>
            <w:r>
              <w:rPr>
                <w:spacing w:val="59"/>
                <w:w w:val="150"/>
                <w:sz w:val="28"/>
              </w:rPr>
              <w:t> </w:t>
            </w:r>
            <w:r>
              <w:rPr>
                <w:sz w:val="28"/>
              </w:rPr>
              <w:t>монохроматического,</w:t>
            </w:r>
            <w:r>
              <w:rPr>
                <w:spacing w:val="61"/>
                <w:w w:val="150"/>
                <w:sz w:val="28"/>
              </w:rPr>
              <w:t> </w:t>
            </w:r>
            <w:r>
              <w:rPr>
                <w:sz w:val="28"/>
              </w:rPr>
              <w:t>лазерного</w:t>
            </w:r>
            <w:r>
              <w:rPr>
                <w:spacing w:val="60"/>
                <w:w w:val="150"/>
                <w:sz w:val="28"/>
              </w:rPr>
              <w:t> </w:t>
            </w:r>
            <w:r>
              <w:rPr>
                <w:sz w:val="28"/>
              </w:rPr>
              <w:t>и</w:t>
            </w:r>
            <w:r>
              <w:rPr>
                <w:spacing w:val="63"/>
                <w:w w:val="150"/>
                <w:sz w:val="28"/>
              </w:rPr>
              <w:t> </w:t>
            </w:r>
            <w:r>
              <w:rPr>
                <w:spacing w:val="-2"/>
                <w:sz w:val="28"/>
              </w:rPr>
              <w:t>инфракрасного</w:t>
            </w:r>
          </w:p>
          <w:p>
            <w:pPr>
              <w:pStyle w:val="TableParagraph"/>
              <w:spacing w:line="308" w:lineRule="exact"/>
              <w:ind w:left="107"/>
              <w:rPr>
                <w:sz w:val="28"/>
              </w:rPr>
            </w:pPr>
            <w:r>
              <w:rPr>
                <w:sz w:val="28"/>
              </w:rPr>
              <w:t>излучений</w:t>
            </w:r>
            <w:r>
              <w:rPr>
                <w:spacing w:val="-11"/>
                <w:sz w:val="28"/>
              </w:rPr>
              <w:t> </w:t>
            </w:r>
            <w:r>
              <w:rPr>
                <w:sz w:val="28"/>
              </w:rPr>
              <w:t>на</w:t>
            </w:r>
            <w:r>
              <w:rPr>
                <w:spacing w:val="-8"/>
                <w:sz w:val="28"/>
              </w:rPr>
              <w:t> </w:t>
            </w:r>
            <w:r>
              <w:rPr>
                <w:sz w:val="28"/>
              </w:rPr>
              <w:t>ультраструктуры</w:t>
            </w:r>
            <w:r>
              <w:rPr>
                <w:spacing w:val="-7"/>
                <w:sz w:val="28"/>
              </w:rPr>
              <w:t> </w:t>
            </w:r>
            <w:r>
              <w:rPr>
                <w:sz w:val="28"/>
              </w:rPr>
              <w:t>сперматозоидов</w:t>
            </w:r>
            <w:r>
              <w:rPr>
                <w:spacing w:val="-8"/>
                <w:sz w:val="28"/>
              </w:rPr>
              <w:t> </w:t>
            </w:r>
            <w:r>
              <w:rPr>
                <w:spacing w:val="-2"/>
                <w:sz w:val="28"/>
              </w:rPr>
              <w:t>человека</w:t>
            </w:r>
          </w:p>
        </w:tc>
        <w:tc>
          <w:tcPr>
            <w:tcW w:w="440" w:type="dxa"/>
          </w:tcPr>
          <w:p>
            <w:pPr>
              <w:pStyle w:val="TableParagraph"/>
              <w:spacing w:line="316" w:lineRule="exact"/>
              <w:ind w:left="55" w:right="1"/>
              <w:jc w:val="center"/>
              <w:rPr>
                <w:sz w:val="28"/>
              </w:rPr>
            </w:pPr>
            <w:r>
              <w:rPr>
                <w:spacing w:val="-5"/>
                <w:sz w:val="28"/>
              </w:rPr>
              <w:t>76</w:t>
            </w:r>
          </w:p>
        </w:tc>
      </w:tr>
      <w:tr>
        <w:trPr>
          <w:trHeight w:val="966" w:hRule="atLeast"/>
        </w:trPr>
        <w:tc>
          <w:tcPr>
            <w:tcW w:w="929" w:type="dxa"/>
          </w:tcPr>
          <w:p>
            <w:pPr>
              <w:pStyle w:val="TableParagraph"/>
              <w:spacing w:line="317" w:lineRule="exact"/>
              <w:ind w:left="50"/>
              <w:rPr>
                <w:sz w:val="28"/>
              </w:rPr>
            </w:pPr>
            <w:r>
              <w:rPr>
                <w:spacing w:val="-2"/>
                <w:sz w:val="28"/>
              </w:rPr>
              <w:t>3.2.4</w:t>
            </w:r>
          </w:p>
        </w:tc>
        <w:tc>
          <w:tcPr>
            <w:tcW w:w="7679" w:type="dxa"/>
          </w:tcPr>
          <w:p>
            <w:pPr>
              <w:pStyle w:val="TableParagraph"/>
              <w:tabs>
                <w:tab w:pos="3570" w:val="left" w:leader="none"/>
              </w:tabs>
              <w:ind w:left="107" w:right="106"/>
              <w:rPr>
                <w:sz w:val="28"/>
              </w:rPr>
            </w:pPr>
            <w:r>
              <w:rPr>
                <w:spacing w:val="-2"/>
                <w:sz w:val="28"/>
              </w:rPr>
              <w:t>Регистрация</w:t>
            </w:r>
            <w:r>
              <w:rPr>
                <w:sz w:val="28"/>
              </w:rPr>
              <w:tab/>
            </w:r>
            <w:r>
              <w:rPr>
                <w:spacing w:val="-2"/>
                <w:sz w:val="28"/>
              </w:rPr>
              <w:t>генетически-детерминированных </w:t>
            </w:r>
            <w:r>
              <w:rPr>
                <w:sz w:val="28"/>
              </w:rPr>
              <w:t>ультраструктурных</w:t>
            </w:r>
            <w:r>
              <w:rPr>
                <w:spacing w:val="69"/>
                <w:w w:val="150"/>
                <w:sz w:val="28"/>
              </w:rPr>
              <w:t> </w:t>
            </w:r>
            <w:r>
              <w:rPr>
                <w:sz w:val="28"/>
              </w:rPr>
              <w:t>пороков</w:t>
            </w:r>
            <w:r>
              <w:rPr>
                <w:spacing w:val="69"/>
                <w:w w:val="150"/>
                <w:sz w:val="28"/>
              </w:rPr>
              <w:t> </w:t>
            </w:r>
            <w:r>
              <w:rPr>
                <w:sz w:val="28"/>
              </w:rPr>
              <w:t>сперматозоидов</w:t>
            </w:r>
            <w:r>
              <w:rPr>
                <w:spacing w:val="67"/>
                <w:w w:val="150"/>
                <w:sz w:val="28"/>
              </w:rPr>
              <w:t> </w:t>
            </w:r>
            <w:r>
              <w:rPr>
                <w:sz w:val="28"/>
              </w:rPr>
              <w:t>человека</w:t>
            </w:r>
            <w:r>
              <w:rPr>
                <w:spacing w:val="69"/>
                <w:w w:val="150"/>
                <w:sz w:val="28"/>
              </w:rPr>
              <w:t> </w:t>
            </w:r>
            <w:r>
              <w:rPr>
                <w:spacing w:val="-5"/>
                <w:sz w:val="28"/>
              </w:rPr>
              <w:t>при</w:t>
            </w:r>
          </w:p>
          <w:p>
            <w:pPr>
              <w:pStyle w:val="TableParagraph"/>
              <w:spacing w:line="307" w:lineRule="exact"/>
              <w:ind w:left="107"/>
              <w:rPr>
                <w:sz w:val="28"/>
              </w:rPr>
            </w:pPr>
            <w:r>
              <w:rPr>
                <w:spacing w:val="-2"/>
                <w:sz w:val="28"/>
              </w:rPr>
              <w:t>астенозооспермии</w:t>
            </w:r>
          </w:p>
        </w:tc>
        <w:tc>
          <w:tcPr>
            <w:tcW w:w="440" w:type="dxa"/>
          </w:tcPr>
          <w:p>
            <w:pPr>
              <w:pStyle w:val="TableParagraph"/>
              <w:spacing w:line="317" w:lineRule="exact"/>
              <w:ind w:left="55" w:right="1"/>
              <w:jc w:val="center"/>
              <w:rPr>
                <w:sz w:val="28"/>
              </w:rPr>
            </w:pPr>
            <w:r>
              <w:rPr>
                <w:spacing w:val="-5"/>
                <w:sz w:val="28"/>
              </w:rPr>
              <w:t>83</w:t>
            </w:r>
          </w:p>
        </w:tc>
      </w:tr>
      <w:tr>
        <w:trPr>
          <w:trHeight w:val="637" w:hRule="atLeast"/>
        </w:trPr>
        <w:tc>
          <w:tcPr>
            <w:tcW w:w="929" w:type="dxa"/>
          </w:tcPr>
          <w:p>
            <w:pPr>
              <w:pStyle w:val="TableParagraph"/>
              <w:spacing w:line="316" w:lineRule="exact"/>
              <w:ind w:left="50"/>
              <w:rPr>
                <w:sz w:val="28"/>
              </w:rPr>
            </w:pPr>
            <w:r>
              <w:rPr>
                <w:spacing w:val="-2"/>
                <w:sz w:val="28"/>
              </w:rPr>
              <w:t>3.2.5</w:t>
            </w:r>
          </w:p>
        </w:tc>
        <w:tc>
          <w:tcPr>
            <w:tcW w:w="7679" w:type="dxa"/>
          </w:tcPr>
          <w:p>
            <w:pPr>
              <w:pStyle w:val="TableParagraph"/>
              <w:tabs>
                <w:tab w:pos="2293" w:val="left" w:leader="none"/>
                <w:tab w:pos="5559" w:val="left" w:leader="none"/>
                <w:tab w:pos="7419" w:val="left" w:leader="none"/>
              </w:tabs>
              <w:spacing w:line="316" w:lineRule="exact"/>
              <w:ind w:left="107"/>
              <w:rPr>
                <w:sz w:val="28"/>
              </w:rPr>
            </w:pPr>
            <w:r>
              <w:rPr>
                <w:spacing w:val="-2"/>
                <w:sz w:val="28"/>
              </w:rPr>
              <w:t>Воздействие</w:t>
            </w:r>
            <w:r>
              <w:rPr>
                <w:sz w:val="28"/>
              </w:rPr>
              <w:tab/>
            </w:r>
            <w:r>
              <w:rPr>
                <w:spacing w:val="-2"/>
                <w:sz w:val="28"/>
              </w:rPr>
              <w:t>монохроматического,</w:t>
            </w:r>
            <w:r>
              <w:rPr>
                <w:sz w:val="28"/>
              </w:rPr>
              <w:tab/>
            </w:r>
            <w:r>
              <w:rPr>
                <w:spacing w:val="-2"/>
                <w:sz w:val="28"/>
              </w:rPr>
              <w:t>лазерного</w:t>
            </w:r>
            <w:r>
              <w:rPr>
                <w:sz w:val="28"/>
              </w:rPr>
              <w:tab/>
            </w:r>
            <w:r>
              <w:rPr>
                <w:spacing w:val="-10"/>
                <w:sz w:val="28"/>
              </w:rPr>
              <w:t>и</w:t>
            </w:r>
          </w:p>
          <w:p>
            <w:pPr>
              <w:pStyle w:val="TableParagraph"/>
              <w:tabs>
                <w:tab w:pos="2365" w:val="left" w:leader="none"/>
                <w:tab w:pos="4062" w:val="left" w:leader="none"/>
                <w:tab w:pos="4779" w:val="left" w:leader="none"/>
                <w:tab w:pos="6990" w:val="left" w:leader="none"/>
              </w:tabs>
              <w:spacing w:line="302" w:lineRule="exact"/>
              <w:ind w:left="107"/>
              <w:rPr>
                <w:sz w:val="28"/>
              </w:rPr>
            </w:pPr>
            <w:r>
              <w:rPr>
                <w:spacing w:val="-2"/>
                <w:sz w:val="28"/>
              </w:rPr>
              <w:t>инфракрасного</w:t>
            </w:r>
            <w:r>
              <w:rPr>
                <w:sz w:val="28"/>
              </w:rPr>
              <w:tab/>
            </w:r>
            <w:r>
              <w:rPr>
                <w:spacing w:val="-2"/>
                <w:sz w:val="28"/>
              </w:rPr>
              <w:t>излучений</w:t>
            </w:r>
            <w:r>
              <w:rPr>
                <w:sz w:val="28"/>
              </w:rPr>
              <w:tab/>
            </w:r>
            <w:r>
              <w:rPr>
                <w:spacing w:val="-5"/>
                <w:sz w:val="28"/>
              </w:rPr>
              <w:t>на</w:t>
            </w:r>
            <w:r>
              <w:rPr>
                <w:sz w:val="28"/>
              </w:rPr>
              <w:tab/>
            </w:r>
            <w:r>
              <w:rPr>
                <w:spacing w:val="-2"/>
                <w:sz w:val="28"/>
              </w:rPr>
              <w:t>фрагментацию</w:t>
            </w:r>
            <w:r>
              <w:rPr>
                <w:sz w:val="28"/>
              </w:rPr>
              <w:tab/>
            </w:r>
            <w:r>
              <w:rPr>
                <w:spacing w:val="-5"/>
                <w:sz w:val="28"/>
              </w:rPr>
              <w:t>ДНК</w:t>
            </w:r>
          </w:p>
        </w:tc>
        <w:tc>
          <w:tcPr>
            <w:tcW w:w="440" w:type="dxa"/>
          </w:tcPr>
          <w:p>
            <w:pPr>
              <w:pStyle w:val="TableParagraph"/>
              <w:spacing w:line="316" w:lineRule="exact"/>
              <w:ind w:left="55" w:right="1"/>
              <w:jc w:val="center"/>
              <w:rPr>
                <w:sz w:val="28"/>
              </w:rPr>
            </w:pPr>
            <w:r>
              <w:rPr>
                <w:spacing w:val="-5"/>
                <w:sz w:val="28"/>
              </w:rPr>
              <w:t>86</w:t>
            </w:r>
          </w:p>
        </w:tc>
      </w:tr>
    </w:tbl>
    <w:p>
      <w:pPr>
        <w:pStyle w:val="TableParagraph"/>
        <w:spacing w:after="0" w:line="316" w:lineRule="exact"/>
        <w:jc w:val="center"/>
        <w:rPr>
          <w:sz w:val="28"/>
        </w:rPr>
        <w:sectPr>
          <w:pgSz w:w="11910" w:h="16840"/>
          <w:pgMar w:header="0" w:footer="970" w:top="1100" w:bottom="1200" w:left="1559" w:right="425"/>
        </w:sectPr>
      </w:pPr>
    </w:p>
    <w:p>
      <w:pPr>
        <w:pStyle w:val="BodyText"/>
        <w:spacing w:before="2"/>
        <w:jc w:val="left"/>
        <w:rPr>
          <w:b/>
          <w:sz w:val="2"/>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
        <w:gridCol w:w="7678"/>
        <w:gridCol w:w="578"/>
      </w:tblGrid>
      <w:tr>
        <w:trPr>
          <w:trHeight w:val="317" w:hRule="atLeast"/>
        </w:trPr>
        <w:tc>
          <w:tcPr>
            <w:tcW w:w="929" w:type="dxa"/>
          </w:tcPr>
          <w:p>
            <w:pPr>
              <w:pStyle w:val="TableParagraph"/>
              <w:rPr>
                <w:sz w:val="24"/>
              </w:rPr>
            </w:pPr>
          </w:p>
        </w:tc>
        <w:tc>
          <w:tcPr>
            <w:tcW w:w="7678" w:type="dxa"/>
          </w:tcPr>
          <w:p>
            <w:pPr>
              <w:pStyle w:val="TableParagraph"/>
              <w:spacing w:line="297" w:lineRule="exact"/>
              <w:ind w:left="107"/>
              <w:rPr>
                <w:sz w:val="28"/>
              </w:rPr>
            </w:pPr>
            <w:r>
              <w:rPr>
                <w:sz w:val="28"/>
              </w:rPr>
              <w:t>сперматозоидов</w:t>
            </w:r>
            <w:r>
              <w:rPr>
                <w:spacing w:val="-10"/>
                <w:sz w:val="28"/>
              </w:rPr>
              <w:t> </w:t>
            </w:r>
            <w:r>
              <w:rPr>
                <w:spacing w:val="-2"/>
                <w:sz w:val="28"/>
              </w:rPr>
              <w:t>человека</w:t>
            </w:r>
          </w:p>
        </w:tc>
        <w:tc>
          <w:tcPr>
            <w:tcW w:w="578" w:type="dxa"/>
          </w:tcPr>
          <w:p>
            <w:pPr>
              <w:pStyle w:val="TableParagraph"/>
              <w:rPr>
                <w:sz w:val="24"/>
              </w:rPr>
            </w:pPr>
          </w:p>
        </w:tc>
      </w:tr>
      <w:tr>
        <w:trPr>
          <w:trHeight w:val="966" w:hRule="atLeast"/>
        </w:trPr>
        <w:tc>
          <w:tcPr>
            <w:tcW w:w="929" w:type="dxa"/>
          </w:tcPr>
          <w:p>
            <w:pPr>
              <w:pStyle w:val="TableParagraph"/>
              <w:spacing w:line="317" w:lineRule="exact"/>
              <w:ind w:left="50"/>
              <w:rPr>
                <w:sz w:val="28"/>
              </w:rPr>
            </w:pPr>
            <w:r>
              <w:rPr>
                <w:spacing w:val="-2"/>
                <w:sz w:val="28"/>
              </w:rPr>
              <w:t>3.2.6</w:t>
            </w:r>
          </w:p>
        </w:tc>
        <w:tc>
          <w:tcPr>
            <w:tcW w:w="7678" w:type="dxa"/>
          </w:tcPr>
          <w:p>
            <w:pPr>
              <w:pStyle w:val="TableParagraph"/>
              <w:spacing w:line="317" w:lineRule="exact"/>
              <w:ind w:left="107"/>
              <w:rPr>
                <w:sz w:val="28"/>
              </w:rPr>
            </w:pPr>
            <w:r>
              <w:rPr>
                <w:sz w:val="28"/>
              </w:rPr>
              <w:t>Воздействие</w:t>
            </w:r>
            <w:r>
              <w:rPr>
                <w:spacing w:val="56"/>
                <w:sz w:val="28"/>
              </w:rPr>
              <w:t> </w:t>
            </w:r>
            <w:r>
              <w:rPr>
                <w:sz w:val="28"/>
              </w:rPr>
              <w:t>монохроматического</w:t>
            </w:r>
            <w:r>
              <w:rPr>
                <w:spacing w:val="58"/>
                <w:sz w:val="28"/>
              </w:rPr>
              <w:t> </w:t>
            </w:r>
            <w:r>
              <w:rPr>
                <w:sz w:val="28"/>
              </w:rPr>
              <w:t>светодиодного,</w:t>
            </w:r>
            <w:r>
              <w:rPr>
                <w:spacing w:val="58"/>
                <w:sz w:val="28"/>
              </w:rPr>
              <w:t> </w:t>
            </w:r>
            <w:r>
              <w:rPr>
                <w:spacing w:val="-2"/>
                <w:sz w:val="28"/>
              </w:rPr>
              <w:t>лазерного</w:t>
            </w:r>
          </w:p>
          <w:p>
            <w:pPr>
              <w:pStyle w:val="TableParagraph"/>
              <w:spacing w:line="322" w:lineRule="exact"/>
              <w:ind w:left="107"/>
              <w:rPr>
                <w:sz w:val="28"/>
              </w:rPr>
            </w:pPr>
            <w:r>
              <w:rPr>
                <w:sz w:val="28"/>
              </w:rPr>
              <w:t>и инфракрасного излучений на митохондрии сперматозоидов </w:t>
            </w:r>
            <w:r>
              <w:rPr>
                <w:spacing w:val="-2"/>
                <w:sz w:val="28"/>
              </w:rPr>
              <w:t>человека</w:t>
            </w:r>
          </w:p>
        </w:tc>
        <w:tc>
          <w:tcPr>
            <w:tcW w:w="578" w:type="dxa"/>
          </w:tcPr>
          <w:p>
            <w:pPr>
              <w:pStyle w:val="TableParagraph"/>
              <w:spacing w:line="317" w:lineRule="exact"/>
              <w:ind w:left="107"/>
              <w:rPr>
                <w:sz w:val="28"/>
              </w:rPr>
            </w:pPr>
            <w:r>
              <w:rPr>
                <w:spacing w:val="-5"/>
                <w:sz w:val="28"/>
              </w:rPr>
              <w:t>89</w:t>
            </w:r>
          </w:p>
        </w:tc>
      </w:tr>
      <w:tr>
        <w:trPr>
          <w:trHeight w:val="965" w:hRule="atLeast"/>
        </w:trPr>
        <w:tc>
          <w:tcPr>
            <w:tcW w:w="929" w:type="dxa"/>
          </w:tcPr>
          <w:p>
            <w:pPr>
              <w:pStyle w:val="TableParagraph"/>
              <w:spacing w:line="316" w:lineRule="exact"/>
              <w:ind w:left="50"/>
              <w:rPr>
                <w:sz w:val="28"/>
              </w:rPr>
            </w:pPr>
            <w:r>
              <w:rPr>
                <w:spacing w:val="-2"/>
                <w:sz w:val="28"/>
              </w:rPr>
              <w:t>3.2.6.1</w:t>
            </w:r>
          </w:p>
        </w:tc>
        <w:tc>
          <w:tcPr>
            <w:tcW w:w="7678" w:type="dxa"/>
          </w:tcPr>
          <w:p>
            <w:pPr>
              <w:pStyle w:val="TableParagraph"/>
              <w:tabs>
                <w:tab w:pos="2015" w:val="left" w:leader="none"/>
                <w:tab w:pos="2099" w:val="left" w:leader="none"/>
                <w:tab w:pos="4100" w:val="left" w:leader="none"/>
                <w:tab w:pos="4278" w:val="left" w:leader="none"/>
                <w:tab w:pos="4621" w:val="left" w:leader="none"/>
                <w:tab w:pos="5908" w:val="left" w:leader="none"/>
                <w:tab w:pos="6111" w:val="left" w:leader="none"/>
              </w:tabs>
              <w:ind w:left="107" w:right="105"/>
              <w:rPr>
                <w:sz w:val="28"/>
              </w:rPr>
            </w:pPr>
            <w:r>
              <w:rPr>
                <w:spacing w:val="-2"/>
                <w:sz w:val="28"/>
              </w:rPr>
              <w:t>Результаты</w:t>
            </w:r>
            <w:r>
              <w:rPr>
                <w:sz w:val="28"/>
              </w:rPr>
              <w:tab/>
            </w:r>
            <w:r>
              <w:rPr>
                <w:spacing w:val="-2"/>
                <w:sz w:val="28"/>
              </w:rPr>
              <w:t>конфокальной</w:t>
            </w:r>
            <w:r>
              <w:rPr>
                <w:sz w:val="28"/>
              </w:rPr>
              <w:tab/>
              <w:tab/>
            </w:r>
            <w:r>
              <w:rPr>
                <w:spacing w:val="-2"/>
                <w:sz w:val="28"/>
              </w:rPr>
              <w:t>лазерной</w:t>
            </w:r>
            <w:r>
              <w:rPr>
                <w:sz w:val="28"/>
              </w:rPr>
              <w:tab/>
            </w:r>
            <w:r>
              <w:rPr>
                <w:spacing w:val="-2"/>
                <w:sz w:val="28"/>
              </w:rPr>
              <w:t>сканирующей микроскопии</w:t>
            </w:r>
            <w:r>
              <w:rPr>
                <w:sz w:val="28"/>
              </w:rPr>
              <w:tab/>
              <w:tab/>
            </w:r>
            <w:r>
              <w:rPr>
                <w:spacing w:val="-2"/>
                <w:sz w:val="28"/>
              </w:rPr>
              <w:t>митохондрий</w:t>
            </w:r>
            <w:r>
              <w:rPr>
                <w:sz w:val="28"/>
              </w:rPr>
              <w:tab/>
            </w:r>
            <w:r>
              <w:rPr>
                <w:spacing w:val="-10"/>
                <w:sz w:val="28"/>
              </w:rPr>
              <w:t>с</w:t>
            </w:r>
            <w:r>
              <w:rPr>
                <w:sz w:val="28"/>
              </w:rPr>
              <w:tab/>
              <w:tab/>
            </w:r>
            <w:r>
              <w:rPr>
                <w:spacing w:val="-2"/>
                <w:sz w:val="28"/>
              </w:rPr>
              <w:t>окраской</w:t>
            </w:r>
            <w:r>
              <w:rPr>
                <w:sz w:val="28"/>
              </w:rPr>
              <w:tab/>
              <w:tab/>
            </w:r>
            <w:r>
              <w:rPr>
                <w:spacing w:val="-2"/>
                <w:sz w:val="28"/>
              </w:rPr>
              <w:t>витальными</w:t>
            </w:r>
          </w:p>
          <w:p>
            <w:pPr>
              <w:pStyle w:val="TableParagraph"/>
              <w:spacing w:line="308" w:lineRule="exact"/>
              <w:ind w:left="107"/>
              <w:rPr>
                <w:sz w:val="28"/>
              </w:rPr>
            </w:pPr>
            <w:r>
              <w:rPr>
                <w:sz w:val="28"/>
              </w:rPr>
              <w:t>флуоресцентными</w:t>
            </w:r>
            <w:r>
              <w:rPr>
                <w:spacing w:val="-13"/>
                <w:sz w:val="28"/>
              </w:rPr>
              <w:t> </w:t>
            </w:r>
            <w:r>
              <w:rPr>
                <w:spacing w:val="-2"/>
                <w:sz w:val="28"/>
              </w:rPr>
              <w:t>красителями</w:t>
            </w:r>
          </w:p>
        </w:tc>
        <w:tc>
          <w:tcPr>
            <w:tcW w:w="578" w:type="dxa"/>
          </w:tcPr>
          <w:p>
            <w:pPr>
              <w:pStyle w:val="TableParagraph"/>
              <w:spacing w:line="316" w:lineRule="exact"/>
              <w:ind w:left="107"/>
              <w:rPr>
                <w:sz w:val="28"/>
              </w:rPr>
            </w:pPr>
            <w:r>
              <w:rPr>
                <w:spacing w:val="-5"/>
                <w:sz w:val="28"/>
              </w:rPr>
              <w:t>89</w:t>
            </w:r>
          </w:p>
        </w:tc>
      </w:tr>
      <w:tr>
        <w:trPr>
          <w:trHeight w:val="644" w:hRule="atLeast"/>
        </w:trPr>
        <w:tc>
          <w:tcPr>
            <w:tcW w:w="929" w:type="dxa"/>
          </w:tcPr>
          <w:p>
            <w:pPr>
              <w:pStyle w:val="TableParagraph"/>
              <w:spacing w:line="317" w:lineRule="exact"/>
              <w:ind w:left="50"/>
              <w:rPr>
                <w:sz w:val="28"/>
              </w:rPr>
            </w:pPr>
            <w:r>
              <w:rPr>
                <w:spacing w:val="-5"/>
                <w:sz w:val="28"/>
              </w:rPr>
              <w:t>3.3</w:t>
            </w:r>
          </w:p>
        </w:tc>
        <w:tc>
          <w:tcPr>
            <w:tcW w:w="7678" w:type="dxa"/>
          </w:tcPr>
          <w:p>
            <w:pPr>
              <w:pStyle w:val="TableParagraph"/>
              <w:spacing w:line="317" w:lineRule="exact"/>
              <w:ind w:left="107"/>
              <w:rPr>
                <w:sz w:val="28"/>
              </w:rPr>
            </w:pPr>
            <w:r>
              <w:rPr>
                <w:sz w:val="28"/>
              </w:rPr>
              <w:t>Перспективы</w:t>
            </w:r>
            <w:r>
              <w:rPr>
                <w:spacing w:val="44"/>
                <w:sz w:val="28"/>
              </w:rPr>
              <w:t> </w:t>
            </w:r>
            <w:r>
              <w:rPr>
                <w:sz w:val="28"/>
              </w:rPr>
              <w:t>практического</w:t>
            </w:r>
            <w:r>
              <w:rPr>
                <w:spacing w:val="47"/>
                <w:sz w:val="28"/>
              </w:rPr>
              <w:t> </w:t>
            </w:r>
            <w:r>
              <w:rPr>
                <w:sz w:val="28"/>
              </w:rPr>
              <w:t>применения</w:t>
            </w:r>
            <w:r>
              <w:rPr>
                <w:spacing w:val="47"/>
                <w:sz w:val="28"/>
              </w:rPr>
              <w:t> </w:t>
            </w:r>
            <w:r>
              <w:rPr>
                <w:spacing w:val="-2"/>
                <w:sz w:val="28"/>
              </w:rPr>
              <w:t>электромагнитного</w:t>
            </w:r>
          </w:p>
          <w:p>
            <w:pPr>
              <w:pStyle w:val="TableParagraph"/>
              <w:spacing w:line="307" w:lineRule="exact"/>
              <w:ind w:left="107"/>
              <w:rPr>
                <w:sz w:val="28"/>
              </w:rPr>
            </w:pPr>
            <w:r>
              <w:rPr>
                <w:sz w:val="28"/>
              </w:rPr>
              <w:t>излучения</w:t>
            </w:r>
            <w:r>
              <w:rPr>
                <w:spacing w:val="-8"/>
                <w:sz w:val="28"/>
              </w:rPr>
              <w:t> </w:t>
            </w:r>
            <w:r>
              <w:rPr>
                <w:sz w:val="28"/>
              </w:rPr>
              <w:t>в</w:t>
            </w:r>
            <w:r>
              <w:rPr>
                <w:spacing w:val="-7"/>
                <w:sz w:val="28"/>
              </w:rPr>
              <w:t> </w:t>
            </w:r>
            <w:r>
              <w:rPr>
                <w:sz w:val="28"/>
              </w:rPr>
              <w:t>экстракорпоральном</w:t>
            </w:r>
            <w:r>
              <w:rPr>
                <w:spacing w:val="-8"/>
                <w:sz w:val="28"/>
              </w:rPr>
              <w:t> </w:t>
            </w:r>
            <w:r>
              <w:rPr>
                <w:spacing w:val="-2"/>
                <w:sz w:val="28"/>
              </w:rPr>
              <w:t>оплодотворении</w:t>
            </w:r>
          </w:p>
        </w:tc>
        <w:tc>
          <w:tcPr>
            <w:tcW w:w="578" w:type="dxa"/>
          </w:tcPr>
          <w:p>
            <w:pPr>
              <w:pStyle w:val="TableParagraph"/>
              <w:spacing w:line="317" w:lineRule="exact"/>
              <w:ind w:left="107"/>
              <w:rPr>
                <w:sz w:val="28"/>
              </w:rPr>
            </w:pPr>
            <w:r>
              <w:rPr>
                <w:spacing w:val="-5"/>
                <w:sz w:val="28"/>
              </w:rPr>
              <w:t>95</w:t>
            </w:r>
          </w:p>
        </w:tc>
      </w:tr>
      <w:tr>
        <w:trPr>
          <w:trHeight w:val="321" w:hRule="atLeast"/>
        </w:trPr>
        <w:tc>
          <w:tcPr>
            <w:tcW w:w="8607" w:type="dxa"/>
            <w:gridSpan w:val="2"/>
          </w:tcPr>
          <w:p>
            <w:pPr>
              <w:pStyle w:val="TableParagraph"/>
              <w:spacing w:line="302" w:lineRule="exact"/>
              <w:ind w:left="50"/>
              <w:rPr>
                <w:b/>
                <w:sz w:val="28"/>
              </w:rPr>
            </w:pPr>
            <w:r>
              <w:rPr>
                <w:b/>
                <w:spacing w:val="-2"/>
                <w:sz w:val="28"/>
              </w:rPr>
              <w:t>ЗАКЛЮЧЕНИЕ</w:t>
            </w:r>
          </w:p>
        </w:tc>
        <w:tc>
          <w:tcPr>
            <w:tcW w:w="578" w:type="dxa"/>
          </w:tcPr>
          <w:p>
            <w:pPr>
              <w:pStyle w:val="TableParagraph"/>
              <w:spacing w:line="302" w:lineRule="exact"/>
              <w:ind w:left="107"/>
              <w:rPr>
                <w:sz w:val="28"/>
              </w:rPr>
            </w:pPr>
            <w:r>
              <w:rPr>
                <w:spacing w:val="-5"/>
                <w:sz w:val="28"/>
              </w:rPr>
              <w:t>97</w:t>
            </w:r>
          </w:p>
        </w:tc>
      </w:tr>
      <w:tr>
        <w:trPr>
          <w:trHeight w:val="321" w:hRule="atLeast"/>
        </w:trPr>
        <w:tc>
          <w:tcPr>
            <w:tcW w:w="8607" w:type="dxa"/>
            <w:gridSpan w:val="2"/>
          </w:tcPr>
          <w:p>
            <w:pPr>
              <w:pStyle w:val="TableParagraph"/>
              <w:spacing w:line="302" w:lineRule="exact"/>
              <w:ind w:left="50"/>
              <w:rPr>
                <w:b/>
                <w:sz w:val="28"/>
              </w:rPr>
            </w:pPr>
            <w:r>
              <w:rPr>
                <w:b/>
                <w:sz w:val="28"/>
              </w:rPr>
              <w:t>СПИСОК</w:t>
            </w:r>
            <w:r>
              <w:rPr>
                <w:b/>
                <w:spacing w:val="-10"/>
                <w:sz w:val="28"/>
              </w:rPr>
              <w:t> </w:t>
            </w:r>
            <w:r>
              <w:rPr>
                <w:b/>
                <w:sz w:val="28"/>
              </w:rPr>
              <w:t>ИСПОЛЬЗОВАННЫХ</w:t>
            </w:r>
            <w:r>
              <w:rPr>
                <w:b/>
                <w:spacing w:val="-10"/>
                <w:sz w:val="28"/>
              </w:rPr>
              <w:t> </w:t>
            </w:r>
            <w:r>
              <w:rPr>
                <w:b/>
                <w:spacing w:val="-2"/>
                <w:sz w:val="28"/>
              </w:rPr>
              <w:t>ИСТОЧНИКОВ</w:t>
            </w:r>
          </w:p>
        </w:tc>
        <w:tc>
          <w:tcPr>
            <w:tcW w:w="578" w:type="dxa"/>
          </w:tcPr>
          <w:p>
            <w:pPr>
              <w:pStyle w:val="TableParagraph"/>
              <w:spacing w:line="302" w:lineRule="exact"/>
              <w:ind w:left="107"/>
              <w:rPr>
                <w:sz w:val="28"/>
              </w:rPr>
            </w:pPr>
            <w:r>
              <w:rPr>
                <w:spacing w:val="-5"/>
                <w:sz w:val="28"/>
              </w:rPr>
              <w:t>98</w:t>
            </w:r>
          </w:p>
        </w:tc>
      </w:tr>
      <w:tr>
        <w:trPr>
          <w:trHeight w:val="321" w:hRule="atLeast"/>
        </w:trPr>
        <w:tc>
          <w:tcPr>
            <w:tcW w:w="8607" w:type="dxa"/>
            <w:gridSpan w:val="2"/>
          </w:tcPr>
          <w:p>
            <w:pPr>
              <w:pStyle w:val="TableParagraph"/>
              <w:spacing w:line="302" w:lineRule="exact"/>
              <w:ind w:left="50"/>
              <w:rPr>
                <w:b/>
                <w:sz w:val="28"/>
              </w:rPr>
            </w:pPr>
            <w:r>
              <w:rPr>
                <w:b/>
                <w:sz w:val="28"/>
              </w:rPr>
              <w:t>ПРИЛОЖЕНИЕ</w:t>
            </w:r>
            <w:r>
              <w:rPr>
                <w:b/>
                <w:spacing w:val="-11"/>
                <w:sz w:val="28"/>
              </w:rPr>
              <w:t> </w:t>
            </w:r>
            <w:r>
              <w:rPr>
                <w:b/>
                <w:spacing w:val="-10"/>
                <w:sz w:val="28"/>
              </w:rPr>
              <w:t>А</w:t>
            </w:r>
          </w:p>
        </w:tc>
        <w:tc>
          <w:tcPr>
            <w:tcW w:w="578" w:type="dxa"/>
          </w:tcPr>
          <w:p>
            <w:pPr>
              <w:pStyle w:val="TableParagraph"/>
              <w:spacing w:line="302" w:lineRule="exact"/>
              <w:ind w:left="107"/>
              <w:rPr>
                <w:sz w:val="28"/>
              </w:rPr>
            </w:pPr>
            <w:r>
              <w:rPr>
                <w:spacing w:val="-5"/>
                <w:sz w:val="28"/>
              </w:rPr>
              <w:t>114</w:t>
            </w:r>
          </w:p>
        </w:tc>
      </w:tr>
      <w:tr>
        <w:trPr>
          <w:trHeight w:val="322" w:hRule="atLeast"/>
        </w:trPr>
        <w:tc>
          <w:tcPr>
            <w:tcW w:w="8607" w:type="dxa"/>
            <w:gridSpan w:val="2"/>
          </w:tcPr>
          <w:p>
            <w:pPr>
              <w:pStyle w:val="TableParagraph"/>
              <w:spacing w:line="303" w:lineRule="exact"/>
              <w:ind w:left="50"/>
              <w:rPr>
                <w:b/>
                <w:sz w:val="28"/>
              </w:rPr>
            </w:pPr>
            <w:r>
              <w:rPr>
                <w:b/>
                <w:sz w:val="28"/>
              </w:rPr>
              <w:t>ПРИЛОЖЕНИЕ</w:t>
            </w:r>
            <w:r>
              <w:rPr>
                <w:b/>
                <w:spacing w:val="-9"/>
                <w:sz w:val="28"/>
              </w:rPr>
              <w:t> </w:t>
            </w:r>
            <w:r>
              <w:rPr>
                <w:b/>
                <w:spacing w:val="-10"/>
                <w:sz w:val="28"/>
              </w:rPr>
              <w:t>Б</w:t>
            </w:r>
          </w:p>
        </w:tc>
        <w:tc>
          <w:tcPr>
            <w:tcW w:w="578" w:type="dxa"/>
          </w:tcPr>
          <w:p>
            <w:pPr>
              <w:pStyle w:val="TableParagraph"/>
              <w:spacing w:line="303" w:lineRule="exact"/>
              <w:ind w:left="107"/>
              <w:rPr>
                <w:sz w:val="28"/>
              </w:rPr>
            </w:pPr>
            <w:r>
              <w:rPr>
                <w:spacing w:val="-5"/>
                <w:sz w:val="28"/>
              </w:rPr>
              <w:t>115</w:t>
            </w:r>
          </w:p>
        </w:tc>
      </w:tr>
      <w:tr>
        <w:trPr>
          <w:trHeight w:val="322" w:hRule="atLeast"/>
        </w:trPr>
        <w:tc>
          <w:tcPr>
            <w:tcW w:w="8607" w:type="dxa"/>
            <w:gridSpan w:val="2"/>
          </w:tcPr>
          <w:p>
            <w:pPr>
              <w:pStyle w:val="TableParagraph"/>
              <w:spacing w:line="303" w:lineRule="exact"/>
              <w:ind w:left="50"/>
              <w:rPr>
                <w:b/>
                <w:sz w:val="28"/>
              </w:rPr>
            </w:pPr>
            <w:r>
              <w:rPr>
                <w:b/>
                <w:sz w:val="28"/>
              </w:rPr>
              <w:t>ПРИЛОЖЕНИЕ</w:t>
            </w:r>
            <w:r>
              <w:rPr>
                <w:b/>
                <w:spacing w:val="-9"/>
                <w:sz w:val="28"/>
              </w:rPr>
              <w:t> </w:t>
            </w:r>
            <w:r>
              <w:rPr>
                <w:b/>
                <w:spacing w:val="-10"/>
                <w:sz w:val="28"/>
              </w:rPr>
              <w:t>В</w:t>
            </w:r>
          </w:p>
        </w:tc>
        <w:tc>
          <w:tcPr>
            <w:tcW w:w="578" w:type="dxa"/>
          </w:tcPr>
          <w:p>
            <w:pPr>
              <w:pStyle w:val="TableParagraph"/>
              <w:spacing w:line="303" w:lineRule="exact"/>
              <w:ind w:left="107"/>
              <w:rPr>
                <w:sz w:val="28"/>
              </w:rPr>
            </w:pPr>
            <w:r>
              <w:rPr>
                <w:spacing w:val="-5"/>
                <w:sz w:val="28"/>
              </w:rPr>
              <w:t>116</w:t>
            </w:r>
          </w:p>
        </w:tc>
      </w:tr>
      <w:tr>
        <w:trPr>
          <w:trHeight w:val="316" w:hRule="atLeast"/>
        </w:trPr>
        <w:tc>
          <w:tcPr>
            <w:tcW w:w="8607" w:type="dxa"/>
            <w:gridSpan w:val="2"/>
          </w:tcPr>
          <w:p>
            <w:pPr>
              <w:pStyle w:val="TableParagraph"/>
              <w:spacing w:line="296" w:lineRule="exact"/>
              <w:ind w:left="50"/>
              <w:rPr>
                <w:b/>
                <w:sz w:val="28"/>
              </w:rPr>
            </w:pPr>
            <w:r>
              <w:rPr>
                <w:b/>
                <w:sz w:val="28"/>
              </w:rPr>
              <w:t>ПРИЛОЖЕНИЕ</w:t>
            </w:r>
            <w:r>
              <w:rPr>
                <w:b/>
                <w:spacing w:val="-9"/>
                <w:sz w:val="28"/>
              </w:rPr>
              <w:t> </w:t>
            </w:r>
            <w:r>
              <w:rPr>
                <w:b/>
                <w:spacing w:val="-10"/>
                <w:sz w:val="28"/>
              </w:rPr>
              <w:t>Г</w:t>
            </w:r>
          </w:p>
        </w:tc>
        <w:tc>
          <w:tcPr>
            <w:tcW w:w="578" w:type="dxa"/>
          </w:tcPr>
          <w:p>
            <w:pPr>
              <w:pStyle w:val="TableParagraph"/>
              <w:spacing w:line="296" w:lineRule="exact"/>
              <w:ind w:left="107"/>
              <w:rPr>
                <w:sz w:val="28"/>
              </w:rPr>
            </w:pPr>
            <w:r>
              <w:rPr>
                <w:spacing w:val="-5"/>
                <w:sz w:val="28"/>
              </w:rPr>
              <w:t>118</w:t>
            </w:r>
          </w:p>
        </w:tc>
      </w:tr>
    </w:tbl>
    <w:p>
      <w:pPr>
        <w:pStyle w:val="TableParagraph"/>
        <w:spacing w:after="0" w:line="296" w:lineRule="exact"/>
        <w:rPr>
          <w:sz w:val="28"/>
        </w:rPr>
        <w:sectPr>
          <w:pgSz w:w="11910" w:h="16840"/>
          <w:pgMar w:header="0" w:footer="970" w:top="1100" w:bottom="1200" w:left="1559" w:right="425"/>
        </w:sectPr>
      </w:pPr>
    </w:p>
    <w:p>
      <w:pPr>
        <w:pStyle w:val="Heading1"/>
        <w:spacing w:before="77"/>
        <w:ind w:right="111"/>
      </w:pPr>
      <w:r>
        <w:rPr/>
        <w:t>НОРМАТИВНЫЕ</w:t>
      </w:r>
      <w:r>
        <w:rPr>
          <w:spacing w:val="-8"/>
        </w:rPr>
        <w:t> </w:t>
      </w:r>
      <w:r>
        <w:rPr>
          <w:spacing w:val="-2"/>
        </w:rPr>
        <w:t>ССЫЛКИ</w:t>
      </w:r>
    </w:p>
    <w:p>
      <w:pPr>
        <w:pStyle w:val="BodyText"/>
        <w:spacing w:before="278"/>
        <w:ind w:left="142" w:right="137" w:firstLine="851"/>
      </w:pPr>
      <w:r>
        <w:rPr/>
        <w:t>В настоящей диссертации использованы ссылки на следующие </w:t>
      </w:r>
      <w:r>
        <w:rPr>
          <w:spacing w:val="-2"/>
        </w:rPr>
        <w:t>стандарты:</w:t>
      </w:r>
    </w:p>
    <w:p>
      <w:pPr>
        <w:pStyle w:val="BodyText"/>
        <w:spacing w:before="1"/>
        <w:ind w:left="142" w:right="136" w:firstLine="838"/>
      </w:pPr>
      <w:r>
        <w:rPr/>
        <w:t>ГОСТ РК 5.04.034-2011. Государственный общеобразовательный стандарт образования Республики Казахстан. Послевузовское образование. Докторантура. Основные положения (изменения от 23 августа 2012 г. №1080).</w:t>
      </w:r>
    </w:p>
    <w:p>
      <w:pPr>
        <w:pStyle w:val="BodyText"/>
        <w:ind w:left="142" w:right="137" w:firstLine="837"/>
      </w:pPr>
      <w:r>
        <w:rPr/>
        <w:t>ГОСТ 7.1–2003. Библиографическая запись. Библиографическое описание. Общие требования и правила составления.</w:t>
      </w:r>
    </w:p>
    <w:p>
      <w:pPr>
        <w:pStyle w:val="BodyText"/>
        <w:ind w:left="142" w:right="135" w:firstLine="838"/>
      </w:pPr>
      <w:r>
        <w:rPr/>
        <w:t>ГОСТ 7.32–2017. Система стандартов по информации, библиотечному и издательскому делу. Отчёт о научно-исследовательской работе. Структура и правила оформления.</w:t>
      </w:r>
    </w:p>
    <w:p>
      <w:pPr>
        <w:pStyle w:val="BodyText"/>
        <w:spacing w:after="0"/>
        <w:sectPr>
          <w:pgSz w:w="11910" w:h="16840"/>
          <w:pgMar w:header="0" w:footer="970" w:top="1040" w:bottom="1200" w:left="1559" w:right="425"/>
        </w:sectPr>
      </w:pPr>
    </w:p>
    <w:p>
      <w:pPr>
        <w:pStyle w:val="Heading1"/>
        <w:spacing w:before="74"/>
        <w:ind w:right="112"/>
      </w:pPr>
      <w:r>
        <w:rPr/>
        <w:t>ОБОЗНАЧЕНИЯ</w:t>
      </w:r>
      <w:r>
        <w:rPr>
          <w:spacing w:val="-6"/>
        </w:rPr>
        <w:t> </w:t>
      </w:r>
      <w:r>
        <w:rPr/>
        <w:t>И</w:t>
      </w:r>
      <w:r>
        <w:rPr>
          <w:spacing w:val="-5"/>
        </w:rPr>
        <w:t> </w:t>
      </w:r>
      <w:r>
        <w:rPr>
          <w:spacing w:val="-2"/>
        </w:rPr>
        <w:t>СОКРАЩЕНИЯ</w:t>
      </w:r>
    </w:p>
    <w:p>
      <w:pPr>
        <w:pStyle w:val="BodyText"/>
        <w:spacing w:before="105"/>
        <w:jc w:val="left"/>
        <w:rPr>
          <w:b/>
          <w:sz w:val="2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3"/>
        <w:gridCol w:w="635"/>
        <w:gridCol w:w="7562"/>
      </w:tblGrid>
      <w:tr>
        <w:trPr>
          <w:trHeight w:val="316" w:hRule="atLeast"/>
        </w:trPr>
        <w:tc>
          <w:tcPr>
            <w:tcW w:w="1543" w:type="dxa"/>
          </w:tcPr>
          <w:p>
            <w:pPr>
              <w:pStyle w:val="TableParagraph"/>
              <w:spacing w:line="296" w:lineRule="exact"/>
              <w:ind w:left="50"/>
              <w:rPr>
                <w:sz w:val="28"/>
              </w:rPr>
            </w:pPr>
            <w:r>
              <w:rPr>
                <w:spacing w:val="-4"/>
                <w:sz w:val="28"/>
              </w:rPr>
              <w:t>ANO1</w:t>
            </w:r>
          </w:p>
        </w:tc>
        <w:tc>
          <w:tcPr>
            <w:tcW w:w="635" w:type="dxa"/>
          </w:tcPr>
          <w:p>
            <w:pPr>
              <w:pStyle w:val="TableParagraph"/>
              <w:spacing w:line="296" w:lineRule="exact"/>
              <w:ind w:left="28"/>
              <w:jc w:val="center"/>
              <w:rPr>
                <w:sz w:val="28"/>
              </w:rPr>
            </w:pPr>
            <w:r>
              <w:rPr>
                <w:sz w:val="28"/>
              </w:rPr>
              <w:t>–</w:t>
            </w:r>
          </w:p>
        </w:tc>
        <w:tc>
          <w:tcPr>
            <w:tcW w:w="7562" w:type="dxa"/>
          </w:tcPr>
          <w:p>
            <w:pPr>
              <w:pStyle w:val="TableParagraph"/>
              <w:spacing w:line="296" w:lineRule="exact"/>
              <w:ind w:left="233"/>
              <w:rPr>
                <w:sz w:val="28"/>
              </w:rPr>
            </w:pPr>
            <w:r>
              <w:rPr>
                <w:spacing w:val="-2"/>
                <w:sz w:val="28"/>
              </w:rPr>
              <w:t>anoctamin-1</w:t>
            </w:r>
            <w:r>
              <w:rPr>
                <w:spacing w:val="23"/>
                <w:sz w:val="28"/>
              </w:rPr>
              <w:t> </w:t>
            </w:r>
            <w:r>
              <w:rPr>
                <w:spacing w:val="-2"/>
                <w:sz w:val="28"/>
              </w:rPr>
              <w:t>(аноктамин-</w:t>
            </w:r>
            <w:r>
              <w:rPr>
                <w:spacing w:val="-5"/>
                <w:sz w:val="28"/>
              </w:rPr>
              <w:t>1)</w:t>
            </w:r>
          </w:p>
        </w:tc>
      </w:tr>
      <w:tr>
        <w:trPr>
          <w:trHeight w:val="643" w:hRule="atLeast"/>
        </w:trPr>
        <w:tc>
          <w:tcPr>
            <w:tcW w:w="1543" w:type="dxa"/>
          </w:tcPr>
          <w:p>
            <w:pPr>
              <w:pStyle w:val="TableParagraph"/>
              <w:spacing w:line="316" w:lineRule="exact"/>
              <w:ind w:left="50"/>
              <w:rPr>
                <w:sz w:val="28"/>
              </w:rPr>
            </w:pPr>
            <w:r>
              <w:rPr>
                <w:spacing w:val="-4"/>
                <w:sz w:val="28"/>
              </w:rPr>
              <w:t>CASA</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2496" w:val="left" w:leader="none"/>
                <w:tab w:pos="3422" w:val="left" w:leader="none"/>
                <w:tab w:pos="4565" w:val="left" w:leader="none"/>
                <w:tab w:pos="6713" w:val="left" w:leader="none"/>
              </w:tabs>
              <w:spacing w:line="316" w:lineRule="exact"/>
              <w:ind w:left="233"/>
              <w:rPr>
                <w:sz w:val="28"/>
              </w:rPr>
            </w:pPr>
            <w:r>
              <w:rPr>
                <w:spacing w:val="-2"/>
                <w:sz w:val="28"/>
              </w:rPr>
              <w:t>сomputer-assisted</w:t>
            </w:r>
            <w:r>
              <w:rPr>
                <w:sz w:val="28"/>
              </w:rPr>
              <w:tab/>
            </w:r>
            <w:r>
              <w:rPr>
                <w:spacing w:val="-2"/>
                <w:sz w:val="28"/>
              </w:rPr>
              <w:t>sperm</w:t>
            </w:r>
            <w:r>
              <w:rPr>
                <w:sz w:val="28"/>
              </w:rPr>
              <w:tab/>
            </w:r>
            <w:r>
              <w:rPr>
                <w:spacing w:val="-2"/>
                <w:sz w:val="28"/>
              </w:rPr>
              <w:t>analysis</w:t>
            </w:r>
            <w:r>
              <w:rPr>
                <w:sz w:val="28"/>
              </w:rPr>
              <w:tab/>
            </w:r>
            <w:r>
              <w:rPr>
                <w:spacing w:val="-2"/>
                <w:sz w:val="28"/>
              </w:rPr>
              <w:t>(компьютерный</w:t>
            </w:r>
            <w:r>
              <w:rPr>
                <w:sz w:val="28"/>
              </w:rPr>
              <w:tab/>
            </w:r>
            <w:r>
              <w:rPr>
                <w:spacing w:val="-2"/>
                <w:sz w:val="28"/>
              </w:rPr>
              <w:t>анализ</w:t>
            </w:r>
          </w:p>
          <w:p>
            <w:pPr>
              <w:pStyle w:val="TableParagraph"/>
              <w:spacing w:line="307" w:lineRule="exact"/>
              <w:ind w:left="233"/>
              <w:rPr>
                <w:sz w:val="28"/>
              </w:rPr>
            </w:pPr>
            <w:r>
              <w:rPr>
                <w:spacing w:val="-2"/>
                <w:sz w:val="28"/>
              </w:rPr>
              <w:t>спермы)</w:t>
            </w:r>
          </w:p>
        </w:tc>
      </w:tr>
      <w:tr>
        <w:trPr>
          <w:trHeight w:val="321" w:hRule="atLeast"/>
        </w:trPr>
        <w:tc>
          <w:tcPr>
            <w:tcW w:w="1543" w:type="dxa"/>
          </w:tcPr>
          <w:p>
            <w:pPr>
              <w:pStyle w:val="TableParagraph"/>
              <w:spacing w:line="302" w:lineRule="exact"/>
              <w:ind w:left="50"/>
              <w:rPr>
                <w:sz w:val="28"/>
              </w:rPr>
            </w:pPr>
            <w:r>
              <w:rPr>
                <w:spacing w:val="-5"/>
                <w:sz w:val="28"/>
              </w:rPr>
              <w:t>CI</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confidence</w:t>
            </w:r>
            <w:r>
              <w:rPr>
                <w:spacing w:val="-10"/>
                <w:sz w:val="28"/>
              </w:rPr>
              <w:t> </w:t>
            </w:r>
            <w:r>
              <w:rPr>
                <w:sz w:val="28"/>
              </w:rPr>
              <w:t>interval</w:t>
            </w:r>
            <w:r>
              <w:rPr>
                <w:spacing w:val="-7"/>
                <w:sz w:val="28"/>
              </w:rPr>
              <w:t> </w:t>
            </w:r>
            <w:r>
              <w:rPr>
                <w:sz w:val="28"/>
              </w:rPr>
              <w:t>(доверительный</w:t>
            </w:r>
            <w:r>
              <w:rPr>
                <w:spacing w:val="-8"/>
                <w:sz w:val="28"/>
              </w:rPr>
              <w:t> </w:t>
            </w:r>
            <w:r>
              <w:rPr>
                <w:spacing w:val="-2"/>
                <w:sz w:val="28"/>
              </w:rPr>
              <w:t>интервал)</w:t>
            </w:r>
          </w:p>
        </w:tc>
      </w:tr>
      <w:tr>
        <w:trPr>
          <w:trHeight w:val="967" w:hRule="atLeast"/>
        </w:trPr>
        <w:tc>
          <w:tcPr>
            <w:tcW w:w="1543" w:type="dxa"/>
          </w:tcPr>
          <w:p>
            <w:pPr>
              <w:pStyle w:val="TableParagraph"/>
              <w:spacing w:line="316" w:lineRule="exact"/>
              <w:ind w:left="50"/>
              <w:rPr>
                <w:sz w:val="28"/>
              </w:rPr>
            </w:pPr>
            <w:r>
              <w:rPr>
                <w:spacing w:val="-4"/>
                <w:sz w:val="28"/>
              </w:rPr>
              <w:t>CFTR</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838" w:val="left" w:leader="none"/>
                <w:tab w:pos="1752" w:val="left" w:leader="none"/>
                <w:tab w:pos="2851" w:val="left" w:leader="none"/>
                <w:tab w:pos="4841" w:val="left" w:leader="none"/>
                <w:tab w:pos="6502" w:val="left" w:leader="none"/>
              </w:tabs>
              <w:spacing w:line="316" w:lineRule="exact"/>
              <w:ind w:left="233"/>
              <w:rPr>
                <w:sz w:val="28"/>
              </w:rPr>
            </w:pPr>
            <w:r>
              <w:rPr>
                <w:spacing w:val="-5"/>
                <w:sz w:val="28"/>
              </w:rPr>
              <w:t>the</w:t>
            </w:r>
            <w:r>
              <w:rPr>
                <w:sz w:val="28"/>
              </w:rPr>
              <w:tab/>
            </w:r>
            <w:r>
              <w:rPr>
                <w:spacing w:val="-2"/>
                <w:sz w:val="28"/>
              </w:rPr>
              <w:t>cystic</w:t>
            </w:r>
            <w:r>
              <w:rPr>
                <w:sz w:val="28"/>
              </w:rPr>
              <w:tab/>
            </w:r>
            <w:r>
              <w:rPr>
                <w:spacing w:val="-2"/>
                <w:sz w:val="28"/>
              </w:rPr>
              <w:t>fibrosis</w:t>
            </w:r>
            <w:r>
              <w:rPr>
                <w:sz w:val="28"/>
              </w:rPr>
              <w:tab/>
            </w:r>
            <w:r>
              <w:rPr>
                <w:spacing w:val="-2"/>
                <w:sz w:val="28"/>
              </w:rPr>
              <w:t>transmembrane</w:t>
            </w:r>
            <w:r>
              <w:rPr>
                <w:sz w:val="28"/>
              </w:rPr>
              <w:tab/>
            </w:r>
            <w:r>
              <w:rPr>
                <w:spacing w:val="-2"/>
                <w:sz w:val="28"/>
              </w:rPr>
              <w:t>conductance</w:t>
            </w:r>
            <w:r>
              <w:rPr>
                <w:sz w:val="28"/>
              </w:rPr>
              <w:tab/>
            </w:r>
            <w:r>
              <w:rPr>
                <w:spacing w:val="-2"/>
                <w:sz w:val="28"/>
              </w:rPr>
              <w:t>regulator</w:t>
            </w:r>
          </w:p>
          <w:p>
            <w:pPr>
              <w:pStyle w:val="TableParagraph"/>
              <w:tabs>
                <w:tab w:pos="2088" w:val="left" w:leader="none"/>
                <w:tab w:pos="4793" w:val="left" w:leader="none"/>
                <w:tab w:pos="7070" w:val="left" w:leader="none"/>
              </w:tabs>
              <w:spacing w:line="322" w:lineRule="exact"/>
              <w:ind w:left="233" w:right="48"/>
              <w:rPr>
                <w:sz w:val="28"/>
              </w:rPr>
            </w:pPr>
            <w:r>
              <w:rPr>
                <w:spacing w:val="-2"/>
                <w:sz w:val="28"/>
              </w:rPr>
              <w:t>(регулятор</w:t>
            </w:r>
            <w:r>
              <w:rPr>
                <w:sz w:val="28"/>
              </w:rPr>
              <w:tab/>
            </w:r>
            <w:r>
              <w:rPr>
                <w:spacing w:val="-2"/>
                <w:sz w:val="28"/>
              </w:rPr>
              <w:t>трансмембранной</w:t>
            </w:r>
            <w:r>
              <w:rPr>
                <w:sz w:val="28"/>
              </w:rPr>
              <w:tab/>
            </w:r>
            <w:r>
              <w:rPr>
                <w:spacing w:val="-2"/>
                <w:sz w:val="28"/>
              </w:rPr>
              <w:t>проводимости</w:t>
            </w:r>
            <w:r>
              <w:rPr>
                <w:sz w:val="28"/>
              </w:rPr>
              <w:tab/>
            </w:r>
            <w:r>
              <w:rPr>
                <w:spacing w:val="-4"/>
                <w:sz w:val="28"/>
              </w:rPr>
              <w:t>при </w:t>
            </w:r>
            <w:r>
              <w:rPr>
                <w:spacing w:val="-2"/>
                <w:sz w:val="28"/>
              </w:rPr>
              <w:t>муковисцидозе)</w:t>
            </w:r>
          </w:p>
        </w:tc>
      </w:tr>
      <w:tr>
        <w:trPr>
          <w:trHeight w:val="321" w:hRule="atLeast"/>
        </w:trPr>
        <w:tc>
          <w:tcPr>
            <w:tcW w:w="1543" w:type="dxa"/>
          </w:tcPr>
          <w:p>
            <w:pPr>
              <w:pStyle w:val="TableParagraph"/>
              <w:spacing w:line="302" w:lineRule="exact"/>
              <w:ind w:left="50"/>
              <w:rPr>
                <w:sz w:val="28"/>
              </w:rPr>
            </w:pPr>
            <w:r>
              <w:rPr>
                <w:spacing w:val="-2"/>
                <w:sz w:val="28"/>
              </w:rPr>
              <w:t>CATSPER</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cation</w:t>
            </w:r>
            <w:r>
              <w:rPr>
                <w:spacing w:val="-7"/>
                <w:sz w:val="28"/>
              </w:rPr>
              <w:t> </w:t>
            </w:r>
            <w:r>
              <w:rPr>
                <w:sz w:val="28"/>
              </w:rPr>
              <w:t>channels</w:t>
            </w:r>
            <w:r>
              <w:rPr>
                <w:spacing w:val="-4"/>
                <w:sz w:val="28"/>
              </w:rPr>
              <w:t> </w:t>
            </w:r>
            <w:r>
              <w:rPr>
                <w:sz w:val="28"/>
              </w:rPr>
              <w:t>of</w:t>
            </w:r>
            <w:r>
              <w:rPr>
                <w:spacing w:val="-6"/>
                <w:sz w:val="28"/>
              </w:rPr>
              <w:t> </w:t>
            </w:r>
            <w:r>
              <w:rPr>
                <w:sz w:val="28"/>
              </w:rPr>
              <w:t>sperm</w:t>
            </w:r>
            <w:r>
              <w:rPr>
                <w:spacing w:val="-5"/>
                <w:sz w:val="28"/>
              </w:rPr>
              <w:t> </w:t>
            </w:r>
            <w:r>
              <w:rPr>
                <w:sz w:val="28"/>
              </w:rPr>
              <w:t>(катионные</w:t>
            </w:r>
            <w:r>
              <w:rPr>
                <w:spacing w:val="-4"/>
                <w:sz w:val="28"/>
              </w:rPr>
              <w:t> </w:t>
            </w:r>
            <w:r>
              <w:rPr>
                <w:sz w:val="28"/>
              </w:rPr>
              <w:t>каналы</w:t>
            </w:r>
            <w:r>
              <w:rPr>
                <w:spacing w:val="-4"/>
                <w:sz w:val="28"/>
              </w:rPr>
              <w:t> </w:t>
            </w:r>
            <w:r>
              <w:rPr>
                <w:spacing w:val="-2"/>
                <w:sz w:val="28"/>
              </w:rPr>
              <w:t>сперматозоида)</w:t>
            </w:r>
          </w:p>
        </w:tc>
      </w:tr>
      <w:tr>
        <w:trPr>
          <w:trHeight w:val="643" w:hRule="atLeast"/>
        </w:trPr>
        <w:tc>
          <w:tcPr>
            <w:tcW w:w="1543" w:type="dxa"/>
          </w:tcPr>
          <w:p>
            <w:pPr>
              <w:pStyle w:val="TableParagraph"/>
              <w:spacing w:line="316" w:lineRule="exact"/>
              <w:ind w:left="50"/>
              <w:rPr>
                <w:sz w:val="28"/>
              </w:rPr>
            </w:pPr>
            <w:r>
              <w:rPr>
                <w:spacing w:val="-4"/>
                <w:sz w:val="28"/>
              </w:rPr>
              <w:t>CNBD</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1267" w:val="left" w:leader="none"/>
                <w:tab w:pos="3744" w:val="left" w:leader="none"/>
                <w:tab w:pos="4951" w:val="left" w:leader="none"/>
                <w:tab w:pos="6142" w:val="left" w:leader="none"/>
              </w:tabs>
              <w:spacing w:line="316" w:lineRule="exact"/>
              <w:ind w:left="233"/>
              <w:rPr>
                <w:sz w:val="28"/>
              </w:rPr>
            </w:pPr>
            <w:r>
              <w:rPr>
                <w:spacing w:val="-2"/>
                <w:sz w:val="28"/>
              </w:rPr>
              <w:t>cyclic</w:t>
            </w:r>
            <w:r>
              <w:rPr>
                <w:sz w:val="28"/>
              </w:rPr>
              <w:tab/>
            </w:r>
            <w:r>
              <w:rPr>
                <w:spacing w:val="-2"/>
                <w:sz w:val="28"/>
              </w:rPr>
              <w:t>nucleotide-binding</w:t>
            </w:r>
            <w:r>
              <w:rPr>
                <w:sz w:val="28"/>
              </w:rPr>
              <w:tab/>
            </w:r>
            <w:r>
              <w:rPr>
                <w:spacing w:val="-2"/>
                <w:sz w:val="28"/>
              </w:rPr>
              <w:t>domain</w:t>
            </w:r>
            <w:r>
              <w:rPr>
                <w:sz w:val="28"/>
              </w:rPr>
              <w:tab/>
            </w:r>
            <w:r>
              <w:rPr>
                <w:spacing w:val="-2"/>
                <w:sz w:val="28"/>
              </w:rPr>
              <w:t>(домен</w:t>
            </w:r>
            <w:r>
              <w:rPr>
                <w:sz w:val="28"/>
              </w:rPr>
              <w:tab/>
            </w:r>
            <w:r>
              <w:rPr>
                <w:spacing w:val="-2"/>
                <w:sz w:val="28"/>
              </w:rPr>
              <w:t>связывания</w:t>
            </w:r>
          </w:p>
          <w:p>
            <w:pPr>
              <w:pStyle w:val="TableParagraph"/>
              <w:spacing w:line="307" w:lineRule="exact"/>
              <w:ind w:left="233"/>
              <w:rPr>
                <w:sz w:val="28"/>
              </w:rPr>
            </w:pPr>
            <w:r>
              <w:rPr>
                <w:sz w:val="28"/>
              </w:rPr>
              <w:t>циклических</w:t>
            </w:r>
            <w:r>
              <w:rPr>
                <w:spacing w:val="-9"/>
                <w:sz w:val="28"/>
              </w:rPr>
              <w:t> </w:t>
            </w:r>
            <w:r>
              <w:rPr>
                <w:spacing w:val="-2"/>
                <w:sz w:val="28"/>
              </w:rPr>
              <w:t>нуклеотидов)</w:t>
            </w:r>
          </w:p>
        </w:tc>
      </w:tr>
      <w:tr>
        <w:trPr>
          <w:trHeight w:val="322" w:hRule="atLeast"/>
        </w:trPr>
        <w:tc>
          <w:tcPr>
            <w:tcW w:w="1543" w:type="dxa"/>
          </w:tcPr>
          <w:p>
            <w:pPr>
              <w:pStyle w:val="TableParagraph"/>
              <w:spacing w:line="303" w:lineRule="exact"/>
              <w:ind w:left="50"/>
              <w:rPr>
                <w:sz w:val="28"/>
              </w:rPr>
            </w:pPr>
            <w:r>
              <w:rPr>
                <w:spacing w:val="-2"/>
                <w:sz w:val="28"/>
              </w:rPr>
              <w:t>CMXRos</w:t>
            </w:r>
          </w:p>
        </w:tc>
        <w:tc>
          <w:tcPr>
            <w:tcW w:w="635" w:type="dxa"/>
          </w:tcPr>
          <w:p>
            <w:pPr>
              <w:pStyle w:val="TableParagraph"/>
              <w:spacing w:line="303" w:lineRule="exact"/>
              <w:ind w:left="28"/>
              <w:jc w:val="center"/>
              <w:rPr>
                <w:sz w:val="28"/>
              </w:rPr>
            </w:pPr>
            <w:r>
              <w:rPr>
                <w:sz w:val="28"/>
              </w:rPr>
              <w:t>–</w:t>
            </w:r>
          </w:p>
        </w:tc>
        <w:tc>
          <w:tcPr>
            <w:tcW w:w="7562" w:type="dxa"/>
          </w:tcPr>
          <w:p>
            <w:pPr>
              <w:pStyle w:val="TableParagraph"/>
              <w:spacing w:line="303" w:lineRule="exact"/>
              <w:ind w:left="233"/>
              <w:rPr>
                <w:sz w:val="28"/>
              </w:rPr>
            </w:pPr>
            <w:r>
              <w:rPr>
                <w:spacing w:val="-2"/>
                <w:sz w:val="28"/>
              </w:rPr>
              <w:t>chloromethyl-X-rosamine</w:t>
            </w:r>
            <w:r>
              <w:rPr>
                <w:spacing w:val="38"/>
                <w:sz w:val="28"/>
              </w:rPr>
              <w:t> </w:t>
            </w:r>
            <w:r>
              <w:rPr>
                <w:spacing w:val="-2"/>
                <w:sz w:val="28"/>
              </w:rPr>
              <w:t>(хлорметил-Х-розамин)</w:t>
            </w:r>
          </w:p>
        </w:tc>
      </w:tr>
      <w:tr>
        <w:trPr>
          <w:trHeight w:val="322" w:hRule="atLeast"/>
        </w:trPr>
        <w:tc>
          <w:tcPr>
            <w:tcW w:w="1543" w:type="dxa"/>
          </w:tcPr>
          <w:p>
            <w:pPr>
              <w:pStyle w:val="TableParagraph"/>
              <w:spacing w:line="303" w:lineRule="exact"/>
              <w:ind w:left="50"/>
              <w:rPr>
                <w:sz w:val="28"/>
              </w:rPr>
            </w:pPr>
            <w:r>
              <w:rPr>
                <w:spacing w:val="-5"/>
                <w:sz w:val="28"/>
              </w:rPr>
              <w:t>DIS</w:t>
            </w:r>
          </w:p>
        </w:tc>
        <w:tc>
          <w:tcPr>
            <w:tcW w:w="635" w:type="dxa"/>
          </w:tcPr>
          <w:p>
            <w:pPr>
              <w:pStyle w:val="TableParagraph"/>
              <w:spacing w:line="303" w:lineRule="exact"/>
              <w:ind w:left="28"/>
              <w:jc w:val="center"/>
              <w:rPr>
                <w:sz w:val="28"/>
              </w:rPr>
            </w:pPr>
            <w:r>
              <w:rPr>
                <w:sz w:val="28"/>
              </w:rPr>
              <w:t>–</w:t>
            </w:r>
          </w:p>
        </w:tc>
        <w:tc>
          <w:tcPr>
            <w:tcW w:w="7562" w:type="dxa"/>
          </w:tcPr>
          <w:p>
            <w:pPr>
              <w:pStyle w:val="TableParagraph"/>
              <w:spacing w:line="303" w:lineRule="exact"/>
              <w:ind w:left="233"/>
              <w:rPr>
                <w:sz w:val="28"/>
              </w:rPr>
            </w:pPr>
            <w:r>
              <w:rPr>
                <w:sz w:val="28"/>
              </w:rPr>
              <w:t>deafness-infertility</w:t>
            </w:r>
            <w:r>
              <w:rPr>
                <w:spacing w:val="-8"/>
                <w:sz w:val="28"/>
              </w:rPr>
              <w:t> </w:t>
            </w:r>
            <w:r>
              <w:rPr>
                <w:sz w:val="28"/>
              </w:rPr>
              <w:t>syndrome</w:t>
            </w:r>
            <w:r>
              <w:rPr>
                <w:spacing w:val="-6"/>
                <w:sz w:val="28"/>
              </w:rPr>
              <w:t> </w:t>
            </w:r>
            <w:r>
              <w:rPr>
                <w:sz w:val="28"/>
              </w:rPr>
              <w:t>(синдром</w:t>
            </w:r>
            <w:r>
              <w:rPr>
                <w:spacing w:val="-7"/>
                <w:sz w:val="28"/>
              </w:rPr>
              <w:t> </w:t>
            </w:r>
            <w:r>
              <w:rPr>
                <w:sz w:val="28"/>
              </w:rPr>
              <w:t>глухоты</w:t>
            </w:r>
            <w:r>
              <w:rPr>
                <w:spacing w:val="-6"/>
                <w:sz w:val="28"/>
              </w:rPr>
              <w:t> </w:t>
            </w:r>
            <w:r>
              <w:rPr>
                <w:sz w:val="28"/>
              </w:rPr>
              <w:t>и</w:t>
            </w:r>
            <w:r>
              <w:rPr>
                <w:spacing w:val="-6"/>
                <w:sz w:val="28"/>
              </w:rPr>
              <w:t> </w:t>
            </w:r>
            <w:r>
              <w:rPr>
                <w:spacing w:val="-2"/>
                <w:sz w:val="28"/>
              </w:rPr>
              <w:t>бесплодия)</w:t>
            </w:r>
          </w:p>
        </w:tc>
      </w:tr>
      <w:tr>
        <w:trPr>
          <w:trHeight w:val="643" w:hRule="atLeast"/>
        </w:trPr>
        <w:tc>
          <w:tcPr>
            <w:tcW w:w="1543" w:type="dxa"/>
          </w:tcPr>
          <w:p>
            <w:pPr>
              <w:pStyle w:val="TableParagraph"/>
              <w:spacing w:line="316" w:lineRule="exact"/>
              <w:ind w:left="50"/>
              <w:rPr>
                <w:sz w:val="28"/>
              </w:rPr>
            </w:pPr>
            <w:r>
              <w:rPr>
                <w:spacing w:val="-4"/>
                <w:sz w:val="28"/>
              </w:rPr>
              <w:t>dUTP</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2494" w:val="left" w:leader="none"/>
                <w:tab w:pos="4591" w:val="left" w:leader="none"/>
                <w:tab w:pos="7183" w:val="left" w:leader="none"/>
              </w:tabs>
              <w:spacing w:line="316" w:lineRule="exact"/>
              <w:ind w:left="233"/>
              <w:rPr>
                <w:sz w:val="28"/>
              </w:rPr>
            </w:pPr>
            <w:r>
              <w:rPr>
                <w:spacing w:val="-2"/>
                <w:sz w:val="28"/>
              </w:rPr>
              <w:t>2´-deoxyuridine,</w:t>
            </w:r>
            <w:r>
              <w:rPr>
                <w:sz w:val="28"/>
              </w:rPr>
              <w:tab/>
            </w:r>
            <w:r>
              <w:rPr>
                <w:spacing w:val="-2"/>
                <w:sz w:val="28"/>
              </w:rPr>
              <w:t>5´-triphosphate</w:t>
            </w:r>
            <w:r>
              <w:rPr>
                <w:sz w:val="28"/>
              </w:rPr>
              <w:tab/>
            </w:r>
            <w:r>
              <w:rPr>
                <w:spacing w:val="-2"/>
                <w:sz w:val="28"/>
              </w:rPr>
              <w:t>(2´-диоксиуридин,</w:t>
            </w:r>
            <w:r>
              <w:rPr>
                <w:sz w:val="28"/>
              </w:rPr>
              <w:tab/>
              <w:t>5´-</w:t>
            </w:r>
          </w:p>
          <w:p>
            <w:pPr>
              <w:pStyle w:val="TableParagraph"/>
              <w:spacing w:line="307" w:lineRule="exact"/>
              <w:ind w:left="233"/>
              <w:rPr>
                <w:sz w:val="28"/>
              </w:rPr>
            </w:pPr>
            <w:r>
              <w:rPr>
                <w:spacing w:val="-2"/>
                <w:sz w:val="28"/>
              </w:rPr>
              <w:t>трифосфат)</w:t>
            </w:r>
          </w:p>
        </w:tc>
      </w:tr>
      <w:tr>
        <w:trPr>
          <w:trHeight w:val="321" w:hRule="atLeast"/>
        </w:trPr>
        <w:tc>
          <w:tcPr>
            <w:tcW w:w="1543" w:type="dxa"/>
          </w:tcPr>
          <w:p>
            <w:pPr>
              <w:pStyle w:val="TableParagraph"/>
              <w:spacing w:line="302" w:lineRule="exact"/>
              <w:ind w:left="50"/>
              <w:rPr>
                <w:sz w:val="28"/>
              </w:rPr>
            </w:pPr>
            <w:r>
              <w:rPr>
                <w:spacing w:val="-4"/>
                <w:sz w:val="28"/>
              </w:rPr>
              <w:t>ENaC</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epithelial</w:t>
            </w:r>
            <w:r>
              <w:rPr>
                <w:spacing w:val="-14"/>
                <w:sz w:val="28"/>
              </w:rPr>
              <w:t> </w:t>
            </w:r>
            <w:r>
              <w:rPr>
                <w:sz w:val="28"/>
              </w:rPr>
              <w:t>sodium</w:t>
            </w:r>
            <w:r>
              <w:rPr>
                <w:spacing w:val="-8"/>
                <w:sz w:val="28"/>
              </w:rPr>
              <w:t> </w:t>
            </w:r>
            <w:r>
              <w:rPr>
                <w:sz w:val="28"/>
              </w:rPr>
              <w:t>channel</w:t>
            </w:r>
            <w:r>
              <w:rPr>
                <w:spacing w:val="-21"/>
                <w:sz w:val="28"/>
              </w:rPr>
              <w:t> </w:t>
            </w:r>
            <w:r>
              <w:rPr>
                <w:sz w:val="28"/>
              </w:rPr>
              <w:t>(эпителиальный</w:t>
            </w:r>
            <w:r>
              <w:rPr>
                <w:spacing w:val="-7"/>
                <w:sz w:val="28"/>
              </w:rPr>
              <w:t> </w:t>
            </w:r>
            <w:r>
              <w:rPr>
                <w:sz w:val="28"/>
              </w:rPr>
              <w:t>натриевый</w:t>
            </w:r>
            <w:r>
              <w:rPr>
                <w:spacing w:val="-7"/>
                <w:sz w:val="28"/>
              </w:rPr>
              <w:t> </w:t>
            </w:r>
            <w:r>
              <w:rPr>
                <w:spacing w:val="-2"/>
                <w:sz w:val="28"/>
              </w:rPr>
              <w:t>канал)</w:t>
            </w:r>
          </w:p>
        </w:tc>
      </w:tr>
      <w:tr>
        <w:trPr>
          <w:trHeight w:val="643" w:hRule="atLeast"/>
        </w:trPr>
        <w:tc>
          <w:tcPr>
            <w:tcW w:w="1543" w:type="dxa"/>
          </w:tcPr>
          <w:p>
            <w:pPr>
              <w:pStyle w:val="TableParagraph"/>
              <w:spacing w:line="316" w:lineRule="exact"/>
              <w:ind w:left="50"/>
              <w:rPr>
                <w:sz w:val="28"/>
              </w:rPr>
            </w:pPr>
            <w:r>
              <w:rPr>
                <w:spacing w:val="-4"/>
                <w:sz w:val="28"/>
              </w:rPr>
              <w:t>EGFR</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spacing w:line="316" w:lineRule="exact"/>
              <w:ind w:left="233"/>
              <w:rPr>
                <w:sz w:val="28"/>
              </w:rPr>
            </w:pPr>
            <w:r>
              <w:rPr>
                <w:sz w:val="28"/>
              </w:rPr>
              <w:t>epidermal</w:t>
            </w:r>
            <w:r>
              <w:rPr>
                <w:spacing w:val="57"/>
                <w:sz w:val="28"/>
              </w:rPr>
              <w:t> </w:t>
            </w:r>
            <w:r>
              <w:rPr>
                <w:sz w:val="28"/>
              </w:rPr>
              <w:t>growth</w:t>
            </w:r>
            <w:r>
              <w:rPr>
                <w:spacing w:val="57"/>
                <w:sz w:val="28"/>
              </w:rPr>
              <w:t> </w:t>
            </w:r>
            <w:r>
              <w:rPr>
                <w:sz w:val="28"/>
              </w:rPr>
              <w:t>factor</w:t>
            </w:r>
            <w:r>
              <w:rPr>
                <w:spacing w:val="59"/>
                <w:sz w:val="28"/>
              </w:rPr>
              <w:t> </w:t>
            </w:r>
            <w:r>
              <w:rPr>
                <w:sz w:val="28"/>
              </w:rPr>
              <w:t>receptor</w:t>
            </w:r>
            <w:r>
              <w:rPr>
                <w:spacing w:val="58"/>
                <w:sz w:val="28"/>
              </w:rPr>
              <w:t> </w:t>
            </w:r>
            <w:r>
              <w:rPr>
                <w:sz w:val="28"/>
              </w:rPr>
              <w:t>(рецептор</w:t>
            </w:r>
            <w:r>
              <w:rPr>
                <w:spacing w:val="58"/>
                <w:sz w:val="28"/>
              </w:rPr>
              <w:t> </w:t>
            </w:r>
            <w:r>
              <w:rPr>
                <w:spacing w:val="-2"/>
                <w:sz w:val="28"/>
              </w:rPr>
              <w:t>эпидермального</w:t>
            </w:r>
          </w:p>
          <w:p>
            <w:pPr>
              <w:pStyle w:val="TableParagraph"/>
              <w:spacing w:line="307" w:lineRule="exact"/>
              <w:ind w:left="233"/>
              <w:rPr>
                <w:sz w:val="28"/>
              </w:rPr>
            </w:pPr>
            <w:r>
              <w:rPr>
                <w:sz w:val="28"/>
              </w:rPr>
              <w:t>фактора</w:t>
            </w:r>
            <w:r>
              <w:rPr>
                <w:spacing w:val="-4"/>
                <w:sz w:val="28"/>
              </w:rPr>
              <w:t> </w:t>
            </w:r>
            <w:r>
              <w:rPr>
                <w:spacing w:val="-2"/>
                <w:sz w:val="28"/>
              </w:rPr>
              <w:t>роста)</w:t>
            </w:r>
          </w:p>
        </w:tc>
      </w:tr>
      <w:tr>
        <w:trPr>
          <w:trHeight w:val="645" w:hRule="atLeast"/>
        </w:trPr>
        <w:tc>
          <w:tcPr>
            <w:tcW w:w="1543" w:type="dxa"/>
          </w:tcPr>
          <w:p>
            <w:pPr>
              <w:pStyle w:val="TableParagraph"/>
              <w:spacing w:line="316" w:lineRule="exact"/>
              <w:ind w:left="50"/>
              <w:rPr>
                <w:sz w:val="28"/>
              </w:rPr>
            </w:pPr>
            <w:r>
              <w:rPr>
                <w:spacing w:val="-5"/>
                <w:sz w:val="28"/>
              </w:rPr>
              <w:t>GLP</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1169" w:val="left" w:leader="none"/>
                <w:tab w:pos="2693" w:val="left" w:leader="none"/>
                <w:tab w:pos="3958" w:val="left" w:leader="none"/>
                <w:tab w:pos="5894" w:val="left" w:leader="none"/>
              </w:tabs>
              <w:spacing w:line="316" w:lineRule="exact"/>
              <w:ind w:left="233"/>
              <w:rPr>
                <w:sz w:val="28"/>
              </w:rPr>
            </w:pPr>
            <w:r>
              <w:rPr>
                <w:spacing w:val="-4"/>
                <w:sz w:val="28"/>
              </w:rPr>
              <w:t>good</w:t>
            </w:r>
            <w:r>
              <w:rPr>
                <w:sz w:val="28"/>
              </w:rPr>
              <w:tab/>
            </w:r>
            <w:r>
              <w:rPr>
                <w:spacing w:val="-2"/>
                <w:sz w:val="28"/>
              </w:rPr>
              <w:t>laboratory</w:t>
            </w:r>
            <w:r>
              <w:rPr>
                <w:sz w:val="28"/>
              </w:rPr>
              <w:tab/>
            </w:r>
            <w:r>
              <w:rPr>
                <w:spacing w:val="-2"/>
                <w:sz w:val="28"/>
              </w:rPr>
              <w:t>practice</w:t>
            </w:r>
            <w:r>
              <w:rPr>
                <w:sz w:val="28"/>
              </w:rPr>
              <w:tab/>
            </w:r>
            <w:r>
              <w:rPr>
                <w:spacing w:val="-2"/>
                <w:sz w:val="28"/>
              </w:rPr>
              <w:t>(надлежащая</w:t>
            </w:r>
            <w:r>
              <w:rPr>
                <w:sz w:val="28"/>
              </w:rPr>
              <w:tab/>
            </w:r>
            <w:r>
              <w:rPr>
                <w:spacing w:val="-2"/>
                <w:sz w:val="28"/>
              </w:rPr>
              <w:t>лабораторная</w:t>
            </w:r>
          </w:p>
          <w:p>
            <w:pPr>
              <w:pStyle w:val="TableParagraph"/>
              <w:spacing w:line="307" w:lineRule="exact" w:before="2"/>
              <w:ind w:left="233"/>
              <w:rPr>
                <w:sz w:val="28"/>
              </w:rPr>
            </w:pPr>
            <w:r>
              <w:rPr>
                <w:spacing w:val="-2"/>
                <w:sz w:val="28"/>
              </w:rPr>
              <w:t>практика)</w:t>
            </w:r>
          </w:p>
        </w:tc>
      </w:tr>
      <w:tr>
        <w:trPr>
          <w:trHeight w:val="964" w:hRule="atLeast"/>
        </w:trPr>
        <w:tc>
          <w:tcPr>
            <w:tcW w:w="1543" w:type="dxa"/>
          </w:tcPr>
          <w:p>
            <w:pPr>
              <w:pStyle w:val="TableParagraph"/>
              <w:spacing w:line="316" w:lineRule="exact"/>
              <w:ind w:left="50"/>
              <w:rPr>
                <w:sz w:val="28"/>
              </w:rPr>
            </w:pPr>
            <w:r>
              <w:rPr>
                <w:spacing w:val="-2"/>
                <w:sz w:val="28"/>
              </w:rPr>
              <w:t>hSLO3</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2427" w:val="left" w:leader="none"/>
                <w:tab w:pos="4961" w:val="left" w:leader="none"/>
                <w:tab w:pos="6641" w:val="left" w:leader="none"/>
              </w:tabs>
              <w:spacing w:line="316" w:lineRule="exact"/>
              <w:ind w:left="233"/>
              <w:rPr>
                <w:sz w:val="28"/>
              </w:rPr>
            </w:pPr>
            <w:r>
              <w:rPr>
                <w:spacing w:val="-2"/>
                <w:sz w:val="28"/>
              </w:rPr>
              <w:t>sperm-specific</w:t>
            </w:r>
            <w:r>
              <w:rPr>
                <w:sz w:val="28"/>
              </w:rPr>
              <w:tab/>
            </w:r>
            <w:r>
              <w:rPr>
                <w:spacing w:val="-2"/>
                <w:sz w:val="28"/>
              </w:rPr>
              <w:t>calcium-activated</w:t>
            </w:r>
            <w:r>
              <w:rPr>
                <w:sz w:val="28"/>
              </w:rPr>
              <w:tab/>
            </w:r>
            <w:r>
              <w:rPr>
                <w:spacing w:val="-2"/>
                <w:sz w:val="28"/>
              </w:rPr>
              <w:t>potassium</w:t>
            </w:r>
            <w:r>
              <w:rPr>
                <w:sz w:val="28"/>
              </w:rPr>
              <w:tab/>
            </w:r>
            <w:r>
              <w:rPr>
                <w:spacing w:val="-2"/>
                <w:sz w:val="28"/>
              </w:rPr>
              <w:t>channel</w:t>
            </w:r>
          </w:p>
          <w:p>
            <w:pPr>
              <w:pStyle w:val="TableParagraph"/>
              <w:tabs>
                <w:tab w:pos="3300" w:val="left" w:leader="none"/>
                <w:tab w:pos="6367" w:val="left" w:leader="none"/>
              </w:tabs>
              <w:spacing w:line="322" w:lineRule="exact"/>
              <w:ind w:left="233" w:right="48"/>
              <w:rPr>
                <w:sz w:val="28"/>
              </w:rPr>
            </w:pPr>
            <w:r>
              <w:rPr>
                <w:spacing w:val="-2"/>
                <w:sz w:val="28"/>
              </w:rPr>
              <w:t>(спермоспецифический</w:t>
            </w:r>
            <w:r>
              <w:rPr>
                <w:sz w:val="28"/>
              </w:rPr>
              <w:tab/>
            </w:r>
            <w:r>
              <w:rPr>
                <w:spacing w:val="-2"/>
                <w:sz w:val="28"/>
              </w:rPr>
              <w:t>кальций-активируемый</w:t>
            </w:r>
            <w:r>
              <w:rPr>
                <w:sz w:val="28"/>
              </w:rPr>
              <w:tab/>
            </w:r>
            <w:r>
              <w:rPr>
                <w:spacing w:val="-2"/>
                <w:sz w:val="28"/>
              </w:rPr>
              <w:t>калиевый канал)</w:t>
            </w:r>
          </w:p>
        </w:tc>
      </w:tr>
      <w:tr>
        <w:trPr>
          <w:trHeight w:val="321" w:hRule="atLeast"/>
        </w:trPr>
        <w:tc>
          <w:tcPr>
            <w:tcW w:w="1543" w:type="dxa"/>
          </w:tcPr>
          <w:p>
            <w:pPr>
              <w:pStyle w:val="TableParagraph"/>
              <w:spacing w:line="302" w:lineRule="exact"/>
              <w:ind w:left="50"/>
              <w:rPr>
                <w:sz w:val="28"/>
              </w:rPr>
            </w:pPr>
            <w:r>
              <w:rPr>
                <w:spacing w:val="-5"/>
                <w:sz w:val="28"/>
              </w:rPr>
              <w:t>IM</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immotility</w:t>
            </w:r>
            <w:r>
              <w:rPr>
                <w:spacing w:val="-5"/>
                <w:sz w:val="28"/>
              </w:rPr>
              <w:t> </w:t>
            </w:r>
            <w:r>
              <w:rPr>
                <w:spacing w:val="-2"/>
                <w:sz w:val="28"/>
              </w:rPr>
              <w:t>(неподвижность)</w:t>
            </w:r>
          </w:p>
        </w:tc>
      </w:tr>
      <w:tr>
        <w:trPr>
          <w:trHeight w:val="322" w:hRule="atLeast"/>
        </w:trPr>
        <w:tc>
          <w:tcPr>
            <w:tcW w:w="1543" w:type="dxa"/>
          </w:tcPr>
          <w:p>
            <w:pPr>
              <w:pStyle w:val="TableParagraph"/>
              <w:spacing w:line="303" w:lineRule="exact"/>
              <w:ind w:left="50"/>
              <w:rPr>
                <w:sz w:val="28"/>
              </w:rPr>
            </w:pPr>
            <w:r>
              <w:rPr>
                <w:spacing w:val="-5"/>
                <w:sz w:val="28"/>
              </w:rPr>
              <w:t>IgG</w:t>
            </w:r>
          </w:p>
        </w:tc>
        <w:tc>
          <w:tcPr>
            <w:tcW w:w="635" w:type="dxa"/>
          </w:tcPr>
          <w:p>
            <w:pPr>
              <w:pStyle w:val="TableParagraph"/>
              <w:spacing w:line="303" w:lineRule="exact"/>
              <w:ind w:left="28"/>
              <w:jc w:val="center"/>
              <w:rPr>
                <w:sz w:val="28"/>
              </w:rPr>
            </w:pPr>
            <w:r>
              <w:rPr>
                <w:sz w:val="28"/>
              </w:rPr>
              <w:t>–</w:t>
            </w:r>
          </w:p>
        </w:tc>
        <w:tc>
          <w:tcPr>
            <w:tcW w:w="7562" w:type="dxa"/>
          </w:tcPr>
          <w:p>
            <w:pPr>
              <w:pStyle w:val="TableParagraph"/>
              <w:spacing w:line="303" w:lineRule="exact"/>
              <w:ind w:left="233"/>
              <w:rPr>
                <w:sz w:val="28"/>
              </w:rPr>
            </w:pPr>
            <w:r>
              <w:rPr>
                <w:sz w:val="28"/>
              </w:rPr>
              <w:t>immunoglobulin</w:t>
            </w:r>
            <w:r>
              <w:rPr>
                <w:spacing w:val="-10"/>
                <w:sz w:val="28"/>
              </w:rPr>
              <w:t> </w:t>
            </w:r>
            <w:r>
              <w:rPr>
                <w:sz w:val="28"/>
              </w:rPr>
              <w:t>G</w:t>
            </w:r>
            <w:r>
              <w:rPr>
                <w:spacing w:val="-9"/>
                <w:sz w:val="28"/>
              </w:rPr>
              <w:t> </w:t>
            </w:r>
            <w:r>
              <w:rPr>
                <w:sz w:val="28"/>
              </w:rPr>
              <w:t>(иммуноглобулин</w:t>
            </w:r>
            <w:r>
              <w:rPr>
                <w:spacing w:val="-9"/>
                <w:sz w:val="28"/>
              </w:rPr>
              <w:t> </w:t>
            </w:r>
            <w:r>
              <w:rPr>
                <w:spacing w:val="-5"/>
                <w:sz w:val="28"/>
              </w:rPr>
              <w:t>G)</w:t>
            </w:r>
          </w:p>
        </w:tc>
      </w:tr>
      <w:tr>
        <w:trPr>
          <w:trHeight w:val="644" w:hRule="atLeast"/>
        </w:trPr>
        <w:tc>
          <w:tcPr>
            <w:tcW w:w="1543" w:type="dxa"/>
          </w:tcPr>
          <w:p>
            <w:pPr>
              <w:pStyle w:val="TableParagraph"/>
              <w:spacing w:line="317" w:lineRule="exact"/>
              <w:ind w:left="50"/>
              <w:rPr>
                <w:sz w:val="28"/>
              </w:rPr>
            </w:pPr>
            <w:r>
              <w:rPr>
                <w:spacing w:val="-5"/>
                <w:sz w:val="28"/>
              </w:rPr>
              <w:t>MAR</w:t>
            </w:r>
          </w:p>
        </w:tc>
        <w:tc>
          <w:tcPr>
            <w:tcW w:w="635" w:type="dxa"/>
          </w:tcPr>
          <w:p>
            <w:pPr>
              <w:pStyle w:val="TableParagraph"/>
              <w:spacing w:line="317" w:lineRule="exact"/>
              <w:ind w:left="28"/>
              <w:jc w:val="center"/>
              <w:rPr>
                <w:sz w:val="28"/>
              </w:rPr>
            </w:pPr>
            <w:r>
              <w:rPr>
                <w:sz w:val="28"/>
              </w:rPr>
              <w:t>–</w:t>
            </w:r>
          </w:p>
        </w:tc>
        <w:tc>
          <w:tcPr>
            <w:tcW w:w="7562" w:type="dxa"/>
          </w:tcPr>
          <w:p>
            <w:pPr>
              <w:pStyle w:val="TableParagraph"/>
              <w:spacing w:line="317" w:lineRule="exact"/>
              <w:ind w:left="233"/>
              <w:rPr>
                <w:sz w:val="28"/>
              </w:rPr>
            </w:pPr>
            <w:r>
              <w:rPr>
                <w:sz w:val="28"/>
              </w:rPr>
              <w:t>mixed</w:t>
            </w:r>
            <w:r>
              <w:rPr>
                <w:spacing w:val="66"/>
                <w:w w:val="150"/>
                <w:sz w:val="28"/>
              </w:rPr>
              <w:t> </w:t>
            </w:r>
            <w:r>
              <w:rPr>
                <w:sz w:val="28"/>
              </w:rPr>
              <w:t>antiglobulin</w:t>
            </w:r>
            <w:r>
              <w:rPr>
                <w:spacing w:val="66"/>
                <w:w w:val="150"/>
                <w:sz w:val="28"/>
              </w:rPr>
              <w:t> </w:t>
            </w:r>
            <w:r>
              <w:rPr>
                <w:sz w:val="28"/>
              </w:rPr>
              <w:t>reaction</w:t>
            </w:r>
            <w:r>
              <w:rPr>
                <w:spacing w:val="69"/>
                <w:w w:val="150"/>
                <w:sz w:val="28"/>
              </w:rPr>
              <w:t> </w:t>
            </w:r>
            <w:r>
              <w:rPr>
                <w:sz w:val="28"/>
              </w:rPr>
              <w:t>(смешанная</w:t>
            </w:r>
            <w:r>
              <w:rPr>
                <w:spacing w:val="68"/>
                <w:w w:val="150"/>
                <w:sz w:val="28"/>
              </w:rPr>
              <w:t> </w:t>
            </w:r>
            <w:r>
              <w:rPr>
                <w:spacing w:val="-2"/>
                <w:sz w:val="28"/>
              </w:rPr>
              <w:t>антиглобулиновая</w:t>
            </w:r>
          </w:p>
          <w:p>
            <w:pPr>
              <w:pStyle w:val="TableParagraph"/>
              <w:spacing w:line="307" w:lineRule="exact"/>
              <w:ind w:left="233"/>
              <w:rPr>
                <w:sz w:val="28"/>
              </w:rPr>
            </w:pPr>
            <w:r>
              <w:rPr>
                <w:spacing w:val="-2"/>
                <w:sz w:val="28"/>
              </w:rPr>
              <w:t>реакция)</w:t>
            </w:r>
          </w:p>
        </w:tc>
      </w:tr>
      <w:tr>
        <w:trPr>
          <w:trHeight w:val="643" w:hRule="atLeast"/>
        </w:trPr>
        <w:tc>
          <w:tcPr>
            <w:tcW w:w="1543" w:type="dxa"/>
          </w:tcPr>
          <w:p>
            <w:pPr>
              <w:pStyle w:val="TableParagraph"/>
              <w:spacing w:line="316" w:lineRule="exact"/>
              <w:ind w:left="50"/>
              <w:rPr>
                <w:sz w:val="28"/>
              </w:rPr>
            </w:pPr>
            <w:r>
              <w:rPr>
                <w:spacing w:val="-5"/>
                <w:sz w:val="28"/>
              </w:rPr>
              <w:t>NaV</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2227" w:val="left" w:leader="none"/>
                <w:tab w:pos="3523" w:val="left" w:leader="none"/>
                <w:tab w:pos="4863" w:val="left" w:leader="none"/>
              </w:tabs>
              <w:spacing w:line="316" w:lineRule="exact"/>
              <w:ind w:left="233"/>
              <w:rPr>
                <w:sz w:val="28"/>
              </w:rPr>
            </w:pPr>
            <w:r>
              <w:rPr>
                <w:spacing w:val="-2"/>
                <w:sz w:val="28"/>
              </w:rPr>
              <w:t>voltage-</w:t>
            </w:r>
            <w:r>
              <w:rPr>
                <w:spacing w:val="-4"/>
                <w:sz w:val="28"/>
              </w:rPr>
              <w:t>gated</w:t>
            </w:r>
            <w:r>
              <w:rPr>
                <w:sz w:val="28"/>
              </w:rPr>
              <w:tab/>
            </w:r>
            <w:r>
              <w:rPr>
                <w:spacing w:val="-2"/>
                <w:sz w:val="28"/>
              </w:rPr>
              <w:t>sodium</w:t>
            </w:r>
            <w:r>
              <w:rPr>
                <w:sz w:val="28"/>
              </w:rPr>
              <w:tab/>
            </w:r>
            <w:r>
              <w:rPr>
                <w:spacing w:val="-2"/>
                <w:sz w:val="28"/>
              </w:rPr>
              <w:t>channel</w:t>
            </w:r>
            <w:r>
              <w:rPr>
                <w:sz w:val="28"/>
              </w:rPr>
              <w:tab/>
            </w:r>
            <w:r>
              <w:rPr>
                <w:spacing w:val="-2"/>
                <w:sz w:val="28"/>
              </w:rPr>
              <w:t>(потенциалзависимый</w:t>
            </w:r>
          </w:p>
          <w:p>
            <w:pPr>
              <w:pStyle w:val="TableParagraph"/>
              <w:spacing w:line="307" w:lineRule="exact"/>
              <w:ind w:left="233"/>
              <w:rPr>
                <w:sz w:val="28"/>
              </w:rPr>
            </w:pPr>
            <w:r>
              <w:rPr>
                <w:sz w:val="28"/>
              </w:rPr>
              <w:t>натриевый</w:t>
            </w:r>
            <w:r>
              <w:rPr>
                <w:spacing w:val="-6"/>
                <w:sz w:val="28"/>
              </w:rPr>
              <w:t> </w:t>
            </w:r>
            <w:r>
              <w:rPr>
                <w:spacing w:val="-2"/>
                <w:sz w:val="28"/>
              </w:rPr>
              <w:t>канал)</w:t>
            </w:r>
          </w:p>
        </w:tc>
      </w:tr>
      <w:tr>
        <w:trPr>
          <w:trHeight w:val="643" w:hRule="atLeast"/>
        </w:trPr>
        <w:tc>
          <w:tcPr>
            <w:tcW w:w="1543" w:type="dxa"/>
          </w:tcPr>
          <w:p>
            <w:pPr>
              <w:pStyle w:val="TableParagraph"/>
              <w:spacing w:line="316" w:lineRule="exact"/>
              <w:ind w:left="50"/>
              <w:rPr>
                <w:sz w:val="28"/>
              </w:rPr>
            </w:pPr>
            <w:r>
              <w:rPr>
                <w:spacing w:val="-5"/>
                <w:sz w:val="28"/>
              </w:rPr>
              <w:t>NBC</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1985" w:val="left" w:leader="none"/>
                <w:tab w:pos="3756" w:val="left" w:leader="none"/>
                <w:tab w:pos="5618" w:val="left" w:leader="none"/>
              </w:tabs>
              <w:spacing w:line="316" w:lineRule="exact"/>
              <w:ind w:left="233"/>
              <w:rPr>
                <w:sz w:val="28"/>
              </w:rPr>
            </w:pPr>
            <w:r>
              <w:rPr>
                <w:spacing w:val="-2"/>
                <w:sz w:val="28"/>
              </w:rPr>
              <w:t>electrogenic</w:t>
            </w:r>
            <w:r>
              <w:rPr>
                <w:sz w:val="28"/>
              </w:rPr>
              <w:tab/>
              <w:t>Na+/HCO3-</w:t>
              <w:tab/>
            </w:r>
            <w:r>
              <w:rPr>
                <w:spacing w:val="-2"/>
                <w:sz w:val="28"/>
              </w:rPr>
              <w:t>cotransporter</w:t>
            </w:r>
            <w:r>
              <w:rPr>
                <w:sz w:val="28"/>
              </w:rPr>
              <w:tab/>
            </w:r>
            <w:r>
              <w:rPr>
                <w:spacing w:val="-2"/>
                <w:sz w:val="28"/>
              </w:rPr>
              <w:t>(электрогенный</w:t>
            </w:r>
          </w:p>
          <w:p>
            <w:pPr>
              <w:pStyle w:val="TableParagraph"/>
              <w:spacing w:line="307" w:lineRule="exact"/>
              <w:ind w:left="233"/>
              <w:rPr>
                <w:sz w:val="28"/>
              </w:rPr>
            </w:pPr>
            <w:r>
              <w:rPr>
                <w:spacing w:val="-2"/>
                <w:sz w:val="28"/>
              </w:rPr>
              <w:t>котранспортер)</w:t>
            </w:r>
          </w:p>
        </w:tc>
      </w:tr>
      <w:tr>
        <w:trPr>
          <w:trHeight w:val="322" w:hRule="atLeast"/>
        </w:trPr>
        <w:tc>
          <w:tcPr>
            <w:tcW w:w="1543" w:type="dxa"/>
          </w:tcPr>
          <w:p>
            <w:pPr>
              <w:pStyle w:val="TableParagraph"/>
              <w:spacing w:line="303" w:lineRule="exact"/>
              <w:ind w:left="50"/>
              <w:rPr>
                <w:sz w:val="28"/>
              </w:rPr>
            </w:pPr>
            <w:r>
              <w:rPr>
                <w:spacing w:val="-5"/>
                <w:sz w:val="28"/>
              </w:rPr>
              <w:t>NCX</w:t>
            </w:r>
          </w:p>
        </w:tc>
        <w:tc>
          <w:tcPr>
            <w:tcW w:w="635" w:type="dxa"/>
          </w:tcPr>
          <w:p>
            <w:pPr>
              <w:pStyle w:val="TableParagraph"/>
              <w:spacing w:line="303" w:lineRule="exact"/>
              <w:ind w:left="28"/>
              <w:jc w:val="center"/>
              <w:rPr>
                <w:sz w:val="28"/>
              </w:rPr>
            </w:pPr>
            <w:r>
              <w:rPr>
                <w:sz w:val="28"/>
              </w:rPr>
              <w:t>–</w:t>
            </w:r>
          </w:p>
        </w:tc>
        <w:tc>
          <w:tcPr>
            <w:tcW w:w="7562" w:type="dxa"/>
          </w:tcPr>
          <w:p>
            <w:pPr>
              <w:pStyle w:val="TableParagraph"/>
              <w:spacing w:line="303" w:lineRule="exact"/>
              <w:ind w:left="233"/>
              <w:rPr>
                <w:sz w:val="28"/>
              </w:rPr>
            </w:pPr>
            <w:r>
              <w:rPr>
                <w:sz w:val="28"/>
              </w:rPr>
              <w:t>sodium-calcium</w:t>
            </w:r>
            <w:r>
              <w:rPr>
                <w:spacing w:val="-14"/>
                <w:sz w:val="28"/>
              </w:rPr>
              <w:t> </w:t>
            </w:r>
            <w:r>
              <w:rPr>
                <w:sz w:val="28"/>
              </w:rPr>
              <w:t>exchanger</w:t>
            </w:r>
            <w:r>
              <w:rPr>
                <w:spacing w:val="-11"/>
                <w:sz w:val="28"/>
              </w:rPr>
              <w:t> </w:t>
            </w:r>
            <w:r>
              <w:rPr>
                <w:sz w:val="28"/>
              </w:rPr>
              <w:t>(натриево-кальциевый</w:t>
            </w:r>
            <w:r>
              <w:rPr>
                <w:spacing w:val="-11"/>
                <w:sz w:val="28"/>
              </w:rPr>
              <w:t> </w:t>
            </w:r>
            <w:r>
              <w:rPr>
                <w:spacing w:val="-2"/>
                <w:sz w:val="28"/>
              </w:rPr>
              <w:t>обменник)</w:t>
            </w:r>
          </w:p>
        </w:tc>
      </w:tr>
      <w:tr>
        <w:trPr>
          <w:trHeight w:val="644" w:hRule="atLeast"/>
        </w:trPr>
        <w:tc>
          <w:tcPr>
            <w:tcW w:w="1543" w:type="dxa"/>
          </w:tcPr>
          <w:p>
            <w:pPr>
              <w:pStyle w:val="TableParagraph"/>
              <w:spacing w:line="317" w:lineRule="exact"/>
              <w:ind w:left="50"/>
              <w:rPr>
                <w:sz w:val="28"/>
              </w:rPr>
            </w:pPr>
            <w:r>
              <w:rPr>
                <w:spacing w:val="-4"/>
                <w:sz w:val="28"/>
              </w:rPr>
              <w:t>NHE1</w:t>
            </w:r>
          </w:p>
        </w:tc>
        <w:tc>
          <w:tcPr>
            <w:tcW w:w="635" w:type="dxa"/>
          </w:tcPr>
          <w:p>
            <w:pPr>
              <w:pStyle w:val="TableParagraph"/>
              <w:spacing w:line="317" w:lineRule="exact"/>
              <w:ind w:left="28"/>
              <w:jc w:val="center"/>
              <w:rPr>
                <w:sz w:val="28"/>
              </w:rPr>
            </w:pPr>
            <w:r>
              <w:rPr>
                <w:sz w:val="28"/>
              </w:rPr>
              <w:t>–</w:t>
            </w:r>
          </w:p>
        </w:tc>
        <w:tc>
          <w:tcPr>
            <w:tcW w:w="7562" w:type="dxa"/>
          </w:tcPr>
          <w:p>
            <w:pPr>
              <w:pStyle w:val="TableParagraph"/>
              <w:spacing w:line="317" w:lineRule="exact"/>
              <w:ind w:left="233"/>
              <w:rPr>
                <w:sz w:val="28"/>
              </w:rPr>
            </w:pPr>
            <w:r>
              <w:rPr>
                <w:sz w:val="28"/>
              </w:rPr>
              <w:t>sodium-hydrogen</w:t>
            </w:r>
            <w:r>
              <w:rPr>
                <w:spacing w:val="23"/>
                <w:sz w:val="28"/>
              </w:rPr>
              <w:t> </w:t>
            </w:r>
            <w:r>
              <w:rPr>
                <w:sz w:val="28"/>
              </w:rPr>
              <w:t>antiporter</w:t>
            </w:r>
            <w:r>
              <w:rPr>
                <w:spacing w:val="25"/>
                <w:sz w:val="28"/>
              </w:rPr>
              <w:t> </w:t>
            </w:r>
            <w:r>
              <w:rPr>
                <w:sz w:val="28"/>
              </w:rPr>
              <w:t>1</w:t>
            </w:r>
            <w:r>
              <w:rPr>
                <w:spacing w:val="25"/>
                <w:sz w:val="28"/>
              </w:rPr>
              <w:t> </w:t>
            </w:r>
            <w:r>
              <w:rPr>
                <w:sz w:val="28"/>
              </w:rPr>
              <w:t>(натрий-водородный</w:t>
            </w:r>
            <w:r>
              <w:rPr>
                <w:spacing w:val="26"/>
                <w:sz w:val="28"/>
              </w:rPr>
              <w:t> </w:t>
            </w:r>
            <w:r>
              <w:rPr>
                <w:spacing w:val="-2"/>
                <w:sz w:val="28"/>
              </w:rPr>
              <w:t>обменник</w:t>
            </w:r>
          </w:p>
          <w:p>
            <w:pPr>
              <w:pStyle w:val="TableParagraph"/>
              <w:spacing w:line="307" w:lineRule="exact"/>
              <w:ind w:left="233"/>
              <w:rPr>
                <w:sz w:val="28"/>
              </w:rPr>
            </w:pPr>
            <w:r>
              <w:rPr>
                <w:sz w:val="28"/>
              </w:rPr>
              <w:t>изоформы</w:t>
            </w:r>
            <w:r>
              <w:rPr>
                <w:spacing w:val="-7"/>
                <w:sz w:val="28"/>
              </w:rPr>
              <w:t> </w:t>
            </w:r>
            <w:r>
              <w:rPr>
                <w:spacing w:val="-5"/>
                <w:sz w:val="28"/>
              </w:rPr>
              <w:t>1)</w:t>
            </w:r>
          </w:p>
        </w:tc>
      </w:tr>
      <w:tr>
        <w:trPr>
          <w:trHeight w:val="643" w:hRule="atLeast"/>
        </w:trPr>
        <w:tc>
          <w:tcPr>
            <w:tcW w:w="1543" w:type="dxa"/>
          </w:tcPr>
          <w:p>
            <w:pPr>
              <w:pStyle w:val="TableParagraph"/>
              <w:spacing w:line="316" w:lineRule="exact"/>
              <w:ind w:left="50"/>
              <w:rPr>
                <w:sz w:val="28"/>
              </w:rPr>
            </w:pPr>
            <w:r>
              <w:rPr>
                <w:spacing w:val="-4"/>
                <w:sz w:val="28"/>
              </w:rPr>
              <w:t>NHE5</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spacing w:line="316" w:lineRule="exact"/>
              <w:ind w:left="233"/>
              <w:rPr>
                <w:sz w:val="28"/>
              </w:rPr>
            </w:pPr>
            <w:r>
              <w:rPr>
                <w:sz w:val="28"/>
              </w:rPr>
              <w:t>sodium-hydrogen</w:t>
            </w:r>
            <w:r>
              <w:rPr>
                <w:spacing w:val="23"/>
                <w:sz w:val="28"/>
              </w:rPr>
              <w:t> </w:t>
            </w:r>
            <w:r>
              <w:rPr>
                <w:sz w:val="28"/>
              </w:rPr>
              <w:t>antiporter</w:t>
            </w:r>
            <w:r>
              <w:rPr>
                <w:spacing w:val="25"/>
                <w:sz w:val="28"/>
              </w:rPr>
              <w:t> </w:t>
            </w:r>
            <w:r>
              <w:rPr>
                <w:sz w:val="28"/>
              </w:rPr>
              <w:t>5</w:t>
            </w:r>
            <w:r>
              <w:rPr>
                <w:spacing w:val="25"/>
                <w:sz w:val="28"/>
              </w:rPr>
              <w:t> </w:t>
            </w:r>
            <w:r>
              <w:rPr>
                <w:sz w:val="28"/>
              </w:rPr>
              <w:t>(натрий-водородный</w:t>
            </w:r>
            <w:r>
              <w:rPr>
                <w:spacing w:val="26"/>
                <w:sz w:val="28"/>
              </w:rPr>
              <w:t> </w:t>
            </w:r>
            <w:r>
              <w:rPr>
                <w:spacing w:val="-2"/>
                <w:sz w:val="28"/>
              </w:rPr>
              <w:t>обменник</w:t>
            </w:r>
          </w:p>
          <w:p>
            <w:pPr>
              <w:pStyle w:val="TableParagraph"/>
              <w:spacing w:line="307" w:lineRule="exact"/>
              <w:ind w:left="233"/>
              <w:rPr>
                <w:sz w:val="28"/>
              </w:rPr>
            </w:pPr>
            <w:r>
              <w:rPr>
                <w:sz w:val="28"/>
              </w:rPr>
              <w:t>изоформы</w:t>
            </w:r>
            <w:r>
              <w:rPr>
                <w:spacing w:val="-7"/>
                <w:sz w:val="28"/>
              </w:rPr>
              <w:t> </w:t>
            </w:r>
            <w:r>
              <w:rPr>
                <w:spacing w:val="-5"/>
                <w:sz w:val="28"/>
              </w:rPr>
              <w:t>5)</w:t>
            </w:r>
          </w:p>
        </w:tc>
      </w:tr>
      <w:tr>
        <w:trPr>
          <w:trHeight w:val="321" w:hRule="atLeast"/>
        </w:trPr>
        <w:tc>
          <w:tcPr>
            <w:tcW w:w="1543" w:type="dxa"/>
          </w:tcPr>
          <w:p>
            <w:pPr>
              <w:pStyle w:val="TableParagraph"/>
              <w:spacing w:line="302" w:lineRule="exact"/>
              <w:ind w:left="50"/>
              <w:rPr>
                <w:sz w:val="28"/>
              </w:rPr>
            </w:pPr>
            <w:r>
              <w:rPr>
                <w:spacing w:val="-5"/>
                <w:sz w:val="28"/>
              </w:rPr>
              <w:t>NP</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non-progressive</w:t>
            </w:r>
            <w:r>
              <w:rPr>
                <w:spacing w:val="-14"/>
                <w:sz w:val="28"/>
              </w:rPr>
              <w:t> </w:t>
            </w:r>
            <w:r>
              <w:rPr>
                <w:sz w:val="28"/>
              </w:rPr>
              <w:t>motility</w:t>
            </w:r>
            <w:r>
              <w:rPr>
                <w:spacing w:val="-10"/>
                <w:sz w:val="28"/>
              </w:rPr>
              <w:t> </w:t>
            </w:r>
            <w:r>
              <w:rPr>
                <w:sz w:val="28"/>
              </w:rPr>
              <w:t>(непрогрессивная</w:t>
            </w:r>
            <w:r>
              <w:rPr>
                <w:spacing w:val="-10"/>
                <w:sz w:val="28"/>
              </w:rPr>
              <w:t> </w:t>
            </w:r>
            <w:r>
              <w:rPr>
                <w:spacing w:val="-2"/>
                <w:sz w:val="28"/>
              </w:rPr>
              <w:t>подвижность)</w:t>
            </w:r>
          </w:p>
        </w:tc>
      </w:tr>
      <w:tr>
        <w:trPr>
          <w:trHeight w:val="645" w:hRule="atLeast"/>
        </w:trPr>
        <w:tc>
          <w:tcPr>
            <w:tcW w:w="1543" w:type="dxa"/>
          </w:tcPr>
          <w:p>
            <w:pPr>
              <w:pStyle w:val="TableParagraph"/>
              <w:spacing w:line="316" w:lineRule="exact"/>
              <w:ind w:left="50"/>
              <w:rPr>
                <w:sz w:val="28"/>
              </w:rPr>
            </w:pPr>
            <w:r>
              <w:rPr>
                <w:spacing w:val="-2"/>
                <w:sz w:val="28"/>
              </w:rPr>
              <w:t>OXPHOS</w:t>
            </w:r>
          </w:p>
        </w:tc>
        <w:tc>
          <w:tcPr>
            <w:tcW w:w="635" w:type="dxa"/>
          </w:tcPr>
          <w:p>
            <w:pPr>
              <w:pStyle w:val="TableParagraph"/>
              <w:spacing w:line="316" w:lineRule="exact"/>
              <w:ind w:left="28"/>
              <w:jc w:val="center"/>
              <w:rPr>
                <w:sz w:val="28"/>
              </w:rPr>
            </w:pPr>
            <w:r>
              <w:rPr>
                <w:sz w:val="28"/>
              </w:rPr>
              <w:t>–</w:t>
            </w:r>
          </w:p>
        </w:tc>
        <w:tc>
          <w:tcPr>
            <w:tcW w:w="7562" w:type="dxa"/>
          </w:tcPr>
          <w:p>
            <w:pPr>
              <w:pStyle w:val="TableParagraph"/>
              <w:tabs>
                <w:tab w:pos="2551" w:val="left" w:leader="none"/>
                <w:tab w:pos="5647" w:val="left" w:leader="none"/>
              </w:tabs>
              <w:spacing w:line="316" w:lineRule="exact"/>
              <w:ind w:left="233"/>
              <w:rPr>
                <w:sz w:val="28"/>
              </w:rPr>
            </w:pPr>
            <w:r>
              <w:rPr>
                <w:spacing w:val="-2"/>
                <w:sz w:val="28"/>
              </w:rPr>
              <w:t>oxidative</w:t>
            </w:r>
            <w:r>
              <w:rPr>
                <w:sz w:val="28"/>
              </w:rPr>
              <w:tab/>
            </w:r>
            <w:r>
              <w:rPr>
                <w:spacing w:val="-2"/>
                <w:sz w:val="28"/>
              </w:rPr>
              <w:t>phosphorylation</w:t>
            </w:r>
            <w:r>
              <w:rPr>
                <w:sz w:val="28"/>
              </w:rPr>
              <w:tab/>
            </w:r>
            <w:r>
              <w:rPr>
                <w:spacing w:val="-2"/>
                <w:sz w:val="28"/>
              </w:rPr>
              <w:t>(окислительное</w:t>
            </w:r>
          </w:p>
          <w:p>
            <w:pPr>
              <w:pStyle w:val="TableParagraph"/>
              <w:spacing w:line="307" w:lineRule="exact" w:before="2"/>
              <w:ind w:left="233"/>
              <w:rPr>
                <w:sz w:val="28"/>
              </w:rPr>
            </w:pPr>
            <w:r>
              <w:rPr>
                <w:spacing w:val="-2"/>
                <w:sz w:val="28"/>
              </w:rPr>
              <w:t>фосфорилирование)</w:t>
            </w:r>
          </w:p>
        </w:tc>
      </w:tr>
      <w:tr>
        <w:trPr>
          <w:trHeight w:val="321" w:hRule="atLeast"/>
        </w:trPr>
        <w:tc>
          <w:tcPr>
            <w:tcW w:w="1543" w:type="dxa"/>
          </w:tcPr>
          <w:p>
            <w:pPr>
              <w:pStyle w:val="TableParagraph"/>
              <w:spacing w:line="302" w:lineRule="exact"/>
              <w:ind w:left="50"/>
              <w:rPr>
                <w:sz w:val="28"/>
              </w:rPr>
            </w:pPr>
            <w:r>
              <w:rPr>
                <w:spacing w:val="-5"/>
                <w:sz w:val="28"/>
              </w:rPr>
              <w:t>PBS</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phosphate-buffered</w:t>
            </w:r>
            <w:r>
              <w:rPr>
                <w:spacing w:val="-11"/>
                <w:sz w:val="28"/>
              </w:rPr>
              <w:t> </w:t>
            </w:r>
            <w:r>
              <w:rPr>
                <w:sz w:val="28"/>
              </w:rPr>
              <w:t>saline</w:t>
            </w:r>
            <w:r>
              <w:rPr>
                <w:spacing w:val="-10"/>
                <w:sz w:val="28"/>
              </w:rPr>
              <w:t> </w:t>
            </w:r>
            <w:r>
              <w:rPr>
                <w:sz w:val="28"/>
              </w:rPr>
              <w:t>(фосфатно-солевой</w:t>
            </w:r>
            <w:r>
              <w:rPr>
                <w:spacing w:val="-10"/>
                <w:sz w:val="28"/>
              </w:rPr>
              <w:t> </w:t>
            </w:r>
            <w:r>
              <w:rPr>
                <w:spacing w:val="-2"/>
                <w:sz w:val="28"/>
              </w:rPr>
              <w:t>буфер)</w:t>
            </w:r>
          </w:p>
        </w:tc>
      </w:tr>
      <w:tr>
        <w:trPr>
          <w:trHeight w:val="321" w:hRule="atLeast"/>
        </w:trPr>
        <w:tc>
          <w:tcPr>
            <w:tcW w:w="1543" w:type="dxa"/>
          </w:tcPr>
          <w:p>
            <w:pPr>
              <w:pStyle w:val="TableParagraph"/>
              <w:spacing w:line="302" w:lineRule="exact"/>
              <w:ind w:left="50"/>
              <w:rPr>
                <w:sz w:val="28"/>
              </w:rPr>
            </w:pPr>
            <w:r>
              <w:rPr>
                <w:spacing w:val="-5"/>
                <w:sz w:val="28"/>
              </w:rPr>
              <w:t>PKA</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protein</w:t>
            </w:r>
            <w:r>
              <w:rPr>
                <w:spacing w:val="-7"/>
                <w:sz w:val="28"/>
              </w:rPr>
              <w:t> </w:t>
            </w:r>
            <w:r>
              <w:rPr>
                <w:sz w:val="28"/>
              </w:rPr>
              <w:t>kinase</w:t>
            </w:r>
            <w:r>
              <w:rPr>
                <w:spacing w:val="-8"/>
                <w:sz w:val="28"/>
              </w:rPr>
              <w:t> </w:t>
            </w:r>
            <w:r>
              <w:rPr>
                <w:sz w:val="28"/>
              </w:rPr>
              <w:t>A</w:t>
            </w:r>
            <w:r>
              <w:rPr>
                <w:spacing w:val="-5"/>
                <w:sz w:val="28"/>
              </w:rPr>
              <w:t> </w:t>
            </w:r>
            <w:r>
              <w:rPr>
                <w:sz w:val="28"/>
              </w:rPr>
              <w:t>(протеинкиназа</w:t>
            </w:r>
            <w:r>
              <w:rPr>
                <w:spacing w:val="-7"/>
                <w:sz w:val="28"/>
              </w:rPr>
              <w:t> </w:t>
            </w:r>
            <w:r>
              <w:rPr>
                <w:spacing w:val="-5"/>
                <w:sz w:val="28"/>
              </w:rPr>
              <w:t>А)</w:t>
            </w:r>
          </w:p>
        </w:tc>
      </w:tr>
      <w:tr>
        <w:trPr>
          <w:trHeight w:val="321" w:hRule="atLeast"/>
        </w:trPr>
        <w:tc>
          <w:tcPr>
            <w:tcW w:w="1543" w:type="dxa"/>
          </w:tcPr>
          <w:p>
            <w:pPr>
              <w:pStyle w:val="TableParagraph"/>
              <w:spacing w:line="302" w:lineRule="exact"/>
              <w:ind w:left="50"/>
              <w:rPr>
                <w:sz w:val="28"/>
              </w:rPr>
            </w:pPr>
            <w:r>
              <w:rPr>
                <w:spacing w:val="-5"/>
                <w:sz w:val="28"/>
              </w:rPr>
              <w:t>PVP</w:t>
            </w:r>
          </w:p>
        </w:tc>
        <w:tc>
          <w:tcPr>
            <w:tcW w:w="635" w:type="dxa"/>
          </w:tcPr>
          <w:p>
            <w:pPr>
              <w:pStyle w:val="TableParagraph"/>
              <w:spacing w:line="302" w:lineRule="exact"/>
              <w:ind w:left="28"/>
              <w:jc w:val="center"/>
              <w:rPr>
                <w:sz w:val="28"/>
              </w:rPr>
            </w:pPr>
            <w:r>
              <w:rPr>
                <w:sz w:val="28"/>
              </w:rPr>
              <w:t>–</w:t>
            </w:r>
          </w:p>
        </w:tc>
        <w:tc>
          <w:tcPr>
            <w:tcW w:w="7562" w:type="dxa"/>
          </w:tcPr>
          <w:p>
            <w:pPr>
              <w:pStyle w:val="TableParagraph"/>
              <w:spacing w:line="302" w:lineRule="exact"/>
              <w:ind w:left="233"/>
              <w:rPr>
                <w:sz w:val="28"/>
              </w:rPr>
            </w:pPr>
            <w:r>
              <w:rPr>
                <w:sz w:val="28"/>
              </w:rPr>
              <w:t>polyvinylpyrrolidone</w:t>
            </w:r>
            <w:r>
              <w:rPr>
                <w:spacing w:val="-16"/>
                <w:sz w:val="28"/>
              </w:rPr>
              <w:t> </w:t>
            </w:r>
            <w:r>
              <w:rPr>
                <w:spacing w:val="-2"/>
                <w:sz w:val="28"/>
              </w:rPr>
              <w:t>(поливинилпирролидон)</w:t>
            </w:r>
          </w:p>
        </w:tc>
      </w:tr>
      <w:tr>
        <w:trPr>
          <w:trHeight w:val="316" w:hRule="atLeast"/>
        </w:trPr>
        <w:tc>
          <w:tcPr>
            <w:tcW w:w="1543" w:type="dxa"/>
          </w:tcPr>
          <w:p>
            <w:pPr>
              <w:pStyle w:val="TableParagraph"/>
              <w:spacing w:line="296" w:lineRule="exact"/>
              <w:ind w:left="50"/>
              <w:rPr>
                <w:sz w:val="28"/>
              </w:rPr>
            </w:pPr>
            <w:r>
              <w:rPr>
                <w:spacing w:val="-5"/>
                <w:sz w:val="28"/>
              </w:rPr>
              <w:t>PR</w:t>
            </w:r>
          </w:p>
        </w:tc>
        <w:tc>
          <w:tcPr>
            <w:tcW w:w="635" w:type="dxa"/>
          </w:tcPr>
          <w:p>
            <w:pPr>
              <w:pStyle w:val="TableParagraph"/>
              <w:spacing w:line="296" w:lineRule="exact"/>
              <w:ind w:left="28"/>
              <w:jc w:val="center"/>
              <w:rPr>
                <w:sz w:val="28"/>
              </w:rPr>
            </w:pPr>
            <w:r>
              <w:rPr>
                <w:sz w:val="28"/>
              </w:rPr>
              <w:t>–</w:t>
            </w:r>
          </w:p>
        </w:tc>
        <w:tc>
          <w:tcPr>
            <w:tcW w:w="7562" w:type="dxa"/>
          </w:tcPr>
          <w:p>
            <w:pPr>
              <w:pStyle w:val="TableParagraph"/>
              <w:spacing w:line="296" w:lineRule="exact"/>
              <w:ind w:left="233"/>
              <w:rPr>
                <w:sz w:val="28"/>
              </w:rPr>
            </w:pPr>
            <w:r>
              <w:rPr>
                <w:sz w:val="28"/>
              </w:rPr>
              <w:t>progressive</w:t>
            </w:r>
            <w:r>
              <w:rPr>
                <w:spacing w:val="-9"/>
                <w:sz w:val="28"/>
              </w:rPr>
              <w:t> </w:t>
            </w:r>
            <w:r>
              <w:rPr>
                <w:sz w:val="28"/>
              </w:rPr>
              <w:t>motility</w:t>
            </w:r>
            <w:r>
              <w:rPr>
                <w:spacing w:val="-7"/>
                <w:sz w:val="28"/>
              </w:rPr>
              <w:t> </w:t>
            </w:r>
            <w:r>
              <w:rPr>
                <w:sz w:val="28"/>
              </w:rPr>
              <w:t>(прогрессивная</w:t>
            </w:r>
            <w:r>
              <w:rPr>
                <w:spacing w:val="-7"/>
                <w:sz w:val="28"/>
              </w:rPr>
              <w:t> </w:t>
            </w:r>
            <w:r>
              <w:rPr>
                <w:spacing w:val="-2"/>
                <w:sz w:val="28"/>
              </w:rPr>
              <w:t>подвижность)</w:t>
            </w:r>
          </w:p>
        </w:tc>
      </w:tr>
    </w:tbl>
    <w:p>
      <w:pPr>
        <w:pStyle w:val="TableParagraph"/>
        <w:spacing w:after="0" w:line="296" w:lineRule="exact"/>
        <w:rPr>
          <w:sz w:val="28"/>
        </w:rPr>
        <w:sectPr>
          <w:pgSz w:w="11910" w:h="16840"/>
          <w:pgMar w:header="0" w:footer="970" w:top="1040" w:bottom="1200" w:left="1559" w:right="425"/>
        </w:sectPr>
      </w:pPr>
    </w:p>
    <w:p>
      <w:pPr>
        <w:pStyle w:val="BodyText"/>
        <w:spacing w:before="2"/>
        <w:jc w:val="left"/>
        <w:rPr>
          <w:b/>
          <w:sz w:val="2"/>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73"/>
        <w:gridCol w:w="605"/>
        <w:gridCol w:w="7562"/>
      </w:tblGrid>
      <w:tr>
        <w:trPr>
          <w:trHeight w:val="317" w:hRule="atLeast"/>
        </w:trPr>
        <w:tc>
          <w:tcPr>
            <w:tcW w:w="1573" w:type="dxa"/>
          </w:tcPr>
          <w:p>
            <w:pPr>
              <w:pStyle w:val="TableParagraph"/>
              <w:spacing w:line="297" w:lineRule="exact"/>
              <w:ind w:left="50"/>
              <w:rPr>
                <w:sz w:val="28"/>
              </w:rPr>
            </w:pPr>
            <w:r>
              <w:rPr>
                <w:spacing w:val="-5"/>
                <w:sz w:val="28"/>
              </w:rPr>
              <w:t>sAC</w:t>
            </w:r>
          </w:p>
        </w:tc>
        <w:tc>
          <w:tcPr>
            <w:tcW w:w="605" w:type="dxa"/>
          </w:tcPr>
          <w:p>
            <w:pPr>
              <w:pStyle w:val="TableParagraph"/>
              <w:spacing w:line="297" w:lineRule="exact"/>
              <w:ind w:right="1"/>
              <w:jc w:val="center"/>
              <w:rPr>
                <w:sz w:val="28"/>
              </w:rPr>
            </w:pPr>
            <w:r>
              <w:rPr>
                <w:sz w:val="28"/>
              </w:rPr>
              <w:t>–</w:t>
            </w:r>
          </w:p>
        </w:tc>
        <w:tc>
          <w:tcPr>
            <w:tcW w:w="7562" w:type="dxa"/>
          </w:tcPr>
          <w:p>
            <w:pPr>
              <w:pStyle w:val="TableParagraph"/>
              <w:spacing w:line="297" w:lineRule="exact"/>
              <w:ind w:left="233"/>
              <w:rPr>
                <w:sz w:val="28"/>
              </w:rPr>
            </w:pPr>
            <w:r>
              <w:rPr>
                <w:sz w:val="28"/>
              </w:rPr>
              <w:t>soluble</w:t>
            </w:r>
            <w:r>
              <w:rPr>
                <w:spacing w:val="-9"/>
                <w:sz w:val="28"/>
              </w:rPr>
              <w:t> </w:t>
            </w:r>
            <w:r>
              <w:rPr>
                <w:sz w:val="28"/>
              </w:rPr>
              <w:t>adenylate</w:t>
            </w:r>
            <w:r>
              <w:rPr>
                <w:spacing w:val="-7"/>
                <w:sz w:val="28"/>
              </w:rPr>
              <w:t> </w:t>
            </w:r>
            <w:r>
              <w:rPr>
                <w:sz w:val="28"/>
              </w:rPr>
              <w:t>cyclase</w:t>
            </w:r>
            <w:r>
              <w:rPr>
                <w:spacing w:val="-7"/>
                <w:sz w:val="28"/>
              </w:rPr>
              <w:t> </w:t>
            </w:r>
            <w:r>
              <w:rPr>
                <w:sz w:val="28"/>
              </w:rPr>
              <w:t>(растворимая</w:t>
            </w:r>
            <w:r>
              <w:rPr>
                <w:spacing w:val="-6"/>
                <w:sz w:val="28"/>
              </w:rPr>
              <w:t> </w:t>
            </w:r>
            <w:r>
              <w:rPr>
                <w:spacing w:val="-2"/>
                <w:sz w:val="28"/>
              </w:rPr>
              <w:t>аденилатциклаза)</w:t>
            </w:r>
          </w:p>
        </w:tc>
      </w:tr>
      <w:tr>
        <w:trPr>
          <w:trHeight w:val="322" w:hRule="atLeast"/>
        </w:trPr>
        <w:tc>
          <w:tcPr>
            <w:tcW w:w="1573" w:type="dxa"/>
          </w:tcPr>
          <w:p>
            <w:pPr>
              <w:pStyle w:val="TableParagraph"/>
              <w:spacing w:line="303" w:lineRule="exact"/>
              <w:ind w:left="50"/>
              <w:rPr>
                <w:sz w:val="28"/>
              </w:rPr>
            </w:pPr>
            <w:r>
              <w:rPr>
                <w:spacing w:val="-2"/>
                <w:sz w:val="28"/>
              </w:rPr>
              <w:t>SLC26</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z w:val="28"/>
              </w:rPr>
              <w:t>solute</w:t>
            </w:r>
            <w:r>
              <w:rPr>
                <w:spacing w:val="-9"/>
                <w:sz w:val="28"/>
              </w:rPr>
              <w:t> </w:t>
            </w:r>
            <w:r>
              <w:rPr>
                <w:sz w:val="28"/>
              </w:rPr>
              <w:t>carrier</w:t>
            </w:r>
            <w:r>
              <w:rPr>
                <w:spacing w:val="-5"/>
                <w:sz w:val="28"/>
              </w:rPr>
              <w:t> </w:t>
            </w:r>
            <w:r>
              <w:rPr>
                <w:sz w:val="28"/>
              </w:rPr>
              <w:t>26</w:t>
            </w:r>
            <w:r>
              <w:rPr>
                <w:spacing w:val="-6"/>
                <w:sz w:val="28"/>
              </w:rPr>
              <w:t> </w:t>
            </w:r>
            <w:r>
              <w:rPr>
                <w:sz w:val="28"/>
              </w:rPr>
              <w:t>(переносчик</w:t>
            </w:r>
            <w:r>
              <w:rPr>
                <w:spacing w:val="-6"/>
                <w:sz w:val="28"/>
              </w:rPr>
              <w:t> </w:t>
            </w:r>
            <w:r>
              <w:rPr>
                <w:sz w:val="28"/>
              </w:rPr>
              <w:t>растовримых</w:t>
            </w:r>
            <w:r>
              <w:rPr>
                <w:spacing w:val="-5"/>
                <w:sz w:val="28"/>
              </w:rPr>
              <w:t> </w:t>
            </w:r>
            <w:r>
              <w:rPr>
                <w:spacing w:val="-2"/>
                <w:sz w:val="28"/>
              </w:rPr>
              <w:t>веществ)</w:t>
            </w:r>
          </w:p>
        </w:tc>
      </w:tr>
      <w:tr>
        <w:trPr>
          <w:trHeight w:val="643" w:hRule="atLeast"/>
        </w:trPr>
        <w:tc>
          <w:tcPr>
            <w:tcW w:w="1573" w:type="dxa"/>
          </w:tcPr>
          <w:p>
            <w:pPr>
              <w:pStyle w:val="TableParagraph"/>
              <w:spacing w:line="316" w:lineRule="exact"/>
              <w:ind w:left="50"/>
              <w:rPr>
                <w:sz w:val="28"/>
              </w:rPr>
            </w:pPr>
            <w:r>
              <w:rPr>
                <w:spacing w:val="-2"/>
                <w:sz w:val="28"/>
              </w:rPr>
              <w:t>TRPV1</w:t>
            </w:r>
          </w:p>
        </w:tc>
        <w:tc>
          <w:tcPr>
            <w:tcW w:w="605" w:type="dxa"/>
          </w:tcPr>
          <w:p>
            <w:pPr>
              <w:pStyle w:val="TableParagraph"/>
              <w:spacing w:line="316" w:lineRule="exact"/>
              <w:ind w:right="1"/>
              <w:jc w:val="center"/>
              <w:rPr>
                <w:sz w:val="28"/>
              </w:rPr>
            </w:pPr>
            <w:r>
              <w:rPr>
                <w:sz w:val="28"/>
              </w:rPr>
              <w:t>–</w:t>
            </w:r>
          </w:p>
        </w:tc>
        <w:tc>
          <w:tcPr>
            <w:tcW w:w="7562" w:type="dxa"/>
          </w:tcPr>
          <w:p>
            <w:pPr>
              <w:pStyle w:val="TableParagraph"/>
              <w:tabs>
                <w:tab w:pos="1476" w:val="left" w:leader="none"/>
                <w:tab w:pos="2669" w:val="left" w:leader="none"/>
                <w:tab w:pos="3927" w:val="left" w:leader="none"/>
                <w:tab w:pos="4546" w:val="left" w:leader="none"/>
                <w:tab w:pos="6648" w:val="left" w:leader="none"/>
              </w:tabs>
              <w:spacing w:line="316" w:lineRule="exact"/>
              <w:ind w:left="233"/>
              <w:rPr>
                <w:sz w:val="28"/>
              </w:rPr>
            </w:pPr>
            <w:r>
              <w:rPr>
                <w:spacing w:val="-2"/>
                <w:sz w:val="28"/>
              </w:rPr>
              <w:t>transient</w:t>
            </w:r>
            <w:r>
              <w:rPr>
                <w:sz w:val="28"/>
              </w:rPr>
              <w:tab/>
            </w:r>
            <w:r>
              <w:rPr>
                <w:spacing w:val="-2"/>
                <w:sz w:val="28"/>
              </w:rPr>
              <w:t>receptor</w:t>
            </w:r>
            <w:r>
              <w:rPr>
                <w:sz w:val="28"/>
              </w:rPr>
              <w:tab/>
            </w:r>
            <w:r>
              <w:rPr>
                <w:spacing w:val="-2"/>
                <w:sz w:val="28"/>
              </w:rPr>
              <w:t>potential</w:t>
            </w:r>
            <w:r>
              <w:rPr>
                <w:sz w:val="28"/>
              </w:rPr>
              <w:tab/>
            </w:r>
            <w:r>
              <w:rPr>
                <w:spacing w:val="-5"/>
                <w:sz w:val="28"/>
              </w:rPr>
              <w:t>V1</w:t>
            </w:r>
            <w:r>
              <w:rPr>
                <w:sz w:val="28"/>
              </w:rPr>
              <w:tab/>
            </w:r>
            <w:r>
              <w:rPr>
                <w:spacing w:val="-2"/>
                <w:sz w:val="28"/>
              </w:rPr>
              <w:t>(ваниллоидные</w:t>
            </w:r>
            <w:r>
              <w:rPr>
                <w:sz w:val="28"/>
              </w:rPr>
              <w:tab/>
            </w:r>
            <w:r>
              <w:rPr>
                <w:spacing w:val="-2"/>
                <w:sz w:val="28"/>
              </w:rPr>
              <w:t>каналы</w:t>
            </w:r>
          </w:p>
          <w:p>
            <w:pPr>
              <w:pStyle w:val="TableParagraph"/>
              <w:spacing w:line="307" w:lineRule="exact"/>
              <w:ind w:left="233"/>
              <w:rPr>
                <w:sz w:val="28"/>
              </w:rPr>
            </w:pPr>
            <w:r>
              <w:rPr>
                <w:sz w:val="28"/>
              </w:rPr>
              <w:t>переменного</w:t>
            </w:r>
            <w:r>
              <w:rPr>
                <w:spacing w:val="-11"/>
                <w:sz w:val="28"/>
              </w:rPr>
              <w:t> </w:t>
            </w:r>
            <w:r>
              <w:rPr>
                <w:sz w:val="28"/>
              </w:rPr>
              <w:t>рецепторного</w:t>
            </w:r>
            <w:r>
              <w:rPr>
                <w:spacing w:val="-11"/>
                <w:sz w:val="28"/>
              </w:rPr>
              <w:t> </w:t>
            </w:r>
            <w:r>
              <w:rPr>
                <w:spacing w:val="-2"/>
                <w:sz w:val="28"/>
              </w:rPr>
              <w:t>потенциала)</w:t>
            </w:r>
          </w:p>
        </w:tc>
      </w:tr>
      <w:tr>
        <w:trPr>
          <w:trHeight w:val="643" w:hRule="atLeast"/>
        </w:trPr>
        <w:tc>
          <w:tcPr>
            <w:tcW w:w="1573" w:type="dxa"/>
          </w:tcPr>
          <w:p>
            <w:pPr>
              <w:pStyle w:val="TableParagraph"/>
              <w:spacing w:line="316" w:lineRule="exact"/>
              <w:ind w:left="50"/>
              <w:rPr>
                <w:sz w:val="28"/>
              </w:rPr>
            </w:pPr>
            <w:r>
              <w:rPr>
                <w:spacing w:val="-5"/>
                <w:sz w:val="28"/>
              </w:rPr>
              <w:t>TdT</w:t>
            </w:r>
          </w:p>
        </w:tc>
        <w:tc>
          <w:tcPr>
            <w:tcW w:w="605" w:type="dxa"/>
          </w:tcPr>
          <w:p>
            <w:pPr>
              <w:pStyle w:val="TableParagraph"/>
              <w:spacing w:line="316" w:lineRule="exact"/>
              <w:ind w:right="1"/>
              <w:jc w:val="center"/>
              <w:rPr>
                <w:sz w:val="28"/>
              </w:rPr>
            </w:pPr>
            <w:r>
              <w:rPr>
                <w:sz w:val="28"/>
              </w:rPr>
              <w:t>–</w:t>
            </w:r>
          </w:p>
        </w:tc>
        <w:tc>
          <w:tcPr>
            <w:tcW w:w="7562" w:type="dxa"/>
          </w:tcPr>
          <w:p>
            <w:pPr>
              <w:pStyle w:val="TableParagraph"/>
              <w:tabs>
                <w:tab w:pos="1644" w:val="left" w:leader="none"/>
                <w:tab w:pos="4068" w:val="left" w:leader="none"/>
                <w:tab w:pos="5760" w:val="left" w:leader="none"/>
              </w:tabs>
              <w:spacing w:line="316" w:lineRule="exact"/>
              <w:ind w:left="233"/>
              <w:rPr>
                <w:sz w:val="28"/>
              </w:rPr>
            </w:pPr>
            <w:r>
              <w:rPr>
                <w:spacing w:val="-2"/>
                <w:sz w:val="28"/>
              </w:rPr>
              <w:t>terminal</w:t>
            </w:r>
            <w:r>
              <w:rPr>
                <w:sz w:val="28"/>
              </w:rPr>
              <w:tab/>
            </w:r>
            <w:r>
              <w:rPr>
                <w:spacing w:val="-2"/>
                <w:sz w:val="28"/>
              </w:rPr>
              <w:t>deoxynucleotidyl</w:t>
            </w:r>
            <w:r>
              <w:rPr>
                <w:sz w:val="28"/>
              </w:rPr>
              <w:tab/>
            </w:r>
            <w:r>
              <w:rPr>
                <w:spacing w:val="-2"/>
                <w:sz w:val="28"/>
              </w:rPr>
              <w:t>transferase</w:t>
            </w:r>
            <w:r>
              <w:rPr>
                <w:sz w:val="28"/>
              </w:rPr>
              <w:tab/>
            </w:r>
            <w:r>
              <w:rPr>
                <w:spacing w:val="-2"/>
                <w:sz w:val="28"/>
              </w:rPr>
              <w:t>(терминальная</w:t>
            </w:r>
          </w:p>
          <w:p>
            <w:pPr>
              <w:pStyle w:val="TableParagraph"/>
              <w:spacing w:line="307" w:lineRule="exact"/>
              <w:ind w:left="233"/>
              <w:rPr>
                <w:sz w:val="28"/>
              </w:rPr>
            </w:pPr>
            <w:r>
              <w:rPr>
                <w:spacing w:val="-2"/>
                <w:sz w:val="28"/>
              </w:rPr>
              <w:t>дезоксинуклеотидилтрансфераза)</w:t>
            </w:r>
          </w:p>
        </w:tc>
      </w:tr>
      <w:tr>
        <w:trPr>
          <w:trHeight w:val="967" w:hRule="atLeast"/>
        </w:trPr>
        <w:tc>
          <w:tcPr>
            <w:tcW w:w="1573" w:type="dxa"/>
          </w:tcPr>
          <w:p>
            <w:pPr>
              <w:pStyle w:val="TableParagraph"/>
              <w:spacing w:line="316" w:lineRule="exact"/>
              <w:ind w:left="50"/>
              <w:rPr>
                <w:sz w:val="28"/>
              </w:rPr>
            </w:pPr>
            <w:r>
              <w:rPr>
                <w:spacing w:val="-2"/>
                <w:sz w:val="28"/>
              </w:rPr>
              <w:t>TUNEL</w:t>
            </w:r>
          </w:p>
        </w:tc>
        <w:tc>
          <w:tcPr>
            <w:tcW w:w="605" w:type="dxa"/>
          </w:tcPr>
          <w:p>
            <w:pPr>
              <w:pStyle w:val="TableParagraph"/>
              <w:spacing w:line="316" w:lineRule="exact"/>
              <w:ind w:right="1"/>
              <w:jc w:val="center"/>
              <w:rPr>
                <w:sz w:val="28"/>
              </w:rPr>
            </w:pPr>
            <w:r>
              <w:rPr>
                <w:sz w:val="28"/>
              </w:rPr>
              <w:t>–</w:t>
            </w:r>
          </w:p>
        </w:tc>
        <w:tc>
          <w:tcPr>
            <w:tcW w:w="7562" w:type="dxa"/>
          </w:tcPr>
          <w:p>
            <w:pPr>
              <w:pStyle w:val="TableParagraph"/>
              <w:spacing w:line="316" w:lineRule="exact"/>
              <w:ind w:left="233"/>
              <w:rPr>
                <w:sz w:val="28"/>
              </w:rPr>
            </w:pPr>
            <w:r>
              <w:rPr>
                <w:sz w:val="28"/>
              </w:rPr>
              <w:t>terminal</w:t>
            </w:r>
            <w:r>
              <w:rPr>
                <w:spacing w:val="44"/>
                <w:sz w:val="28"/>
              </w:rPr>
              <w:t> </w:t>
            </w:r>
            <w:r>
              <w:rPr>
                <w:sz w:val="28"/>
              </w:rPr>
              <w:t>deoxynucleotidyl</w:t>
            </w:r>
            <w:r>
              <w:rPr>
                <w:spacing w:val="46"/>
                <w:sz w:val="28"/>
              </w:rPr>
              <w:t> </w:t>
            </w:r>
            <w:r>
              <w:rPr>
                <w:sz w:val="28"/>
              </w:rPr>
              <w:t>transferase</w:t>
            </w:r>
            <w:r>
              <w:rPr>
                <w:spacing w:val="45"/>
                <w:sz w:val="28"/>
              </w:rPr>
              <w:t> </w:t>
            </w:r>
            <w:r>
              <w:rPr>
                <w:sz w:val="28"/>
              </w:rPr>
              <w:t>dUTP</w:t>
            </w:r>
            <w:r>
              <w:rPr>
                <w:spacing w:val="44"/>
                <w:sz w:val="28"/>
              </w:rPr>
              <w:t> </w:t>
            </w:r>
            <w:r>
              <w:rPr>
                <w:sz w:val="28"/>
              </w:rPr>
              <w:t>nick</w:t>
            </w:r>
            <w:r>
              <w:rPr>
                <w:spacing w:val="46"/>
                <w:sz w:val="28"/>
              </w:rPr>
              <w:t> </w:t>
            </w:r>
            <w:r>
              <w:rPr>
                <w:sz w:val="28"/>
              </w:rPr>
              <w:t>end</w:t>
            </w:r>
            <w:r>
              <w:rPr>
                <w:spacing w:val="47"/>
                <w:sz w:val="28"/>
              </w:rPr>
              <w:t> </w:t>
            </w:r>
            <w:r>
              <w:rPr>
                <w:spacing w:val="-2"/>
                <w:sz w:val="28"/>
              </w:rPr>
              <w:t>labeling</w:t>
            </w:r>
          </w:p>
          <w:p>
            <w:pPr>
              <w:pStyle w:val="TableParagraph"/>
              <w:tabs>
                <w:tab w:pos="1745" w:val="left" w:leader="none"/>
                <w:tab w:pos="3550" w:val="left" w:leader="none"/>
                <w:tab w:pos="4416" w:val="left" w:leader="none"/>
                <w:tab w:pos="5818" w:val="left" w:leader="none"/>
              </w:tabs>
              <w:spacing w:line="322" w:lineRule="exact"/>
              <w:ind w:left="233" w:right="47"/>
              <w:rPr>
                <w:sz w:val="28"/>
              </w:rPr>
            </w:pPr>
            <w:r>
              <w:rPr>
                <w:spacing w:val="-2"/>
                <w:sz w:val="28"/>
              </w:rPr>
              <w:t>(мечение</w:t>
            </w:r>
            <w:r>
              <w:rPr>
                <w:sz w:val="28"/>
              </w:rPr>
              <w:tab/>
            </w:r>
            <w:r>
              <w:rPr>
                <w:spacing w:val="-2"/>
                <w:sz w:val="28"/>
              </w:rPr>
              <w:t>ник-концов</w:t>
            </w:r>
            <w:r>
              <w:rPr>
                <w:sz w:val="28"/>
              </w:rPr>
              <w:tab/>
            </w:r>
            <w:r>
              <w:rPr>
                <w:spacing w:val="-4"/>
                <w:sz w:val="28"/>
              </w:rPr>
              <w:t>при</w:t>
            </w:r>
            <w:r>
              <w:rPr>
                <w:sz w:val="28"/>
              </w:rPr>
              <w:tab/>
            </w:r>
            <w:r>
              <w:rPr>
                <w:spacing w:val="-2"/>
                <w:sz w:val="28"/>
              </w:rPr>
              <w:t>помощи</w:t>
            </w:r>
            <w:r>
              <w:rPr>
                <w:sz w:val="28"/>
              </w:rPr>
              <w:tab/>
            </w:r>
            <w:r>
              <w:rPr>
                <w:spacing w:val="-2"/>
                <w:sz w:val="28"/>
              </w:rPr>
              <w:t>терминальной дезоксинуклеотидилтрансферазы)</w:t>
            </w:r>
          </w:p>
        </w:tc>
      </w:tr>
      <w:tr>
        <w:trPr>
          <w:trHeight w:val="643" w:hRule="atLeast"/>
        </w:trPr>
        <w:tc>
          <w:tcPr>
            <w:tcW w:w="1573" w:type="dxa"/>
          </w:tcPr>
          <w:p>
            <w:pPr>
              <w:pStyle w:val="TableParagraph"/>
              <w:spacing w:line="316" w:lineRule="exact"/>
              <w:ind w:left="50"/>
              <w:rPr>
                <w:sz w:val="28"/>
              </w:rPr>
            </w:pPr>
            <w:r>
              <w:rPr>
                <w:spacing w:val="-4"/>
                <w:sz w:val="28"/>
              </w:rPr>
              <w:t>VDAC</w:t>
            </w:r>
          </w:p>
        </w:tc>
        <w:tc>
          <w:tcPr>
            <w:tcW w:w="605" w:type="dxa"/>
          </w:tcPr>
          <w:p>
            <w:pPr>
              <w:pStyle w:val="TableParagraph"/>
              <w:spacing w:line="316" w:lineRule="exact"/>
              <w:ind w:right="1"/>
              <w:jc w:val="center"/>
              <w:rPr>
                <w:sz w:val="28"/>
              </w:rPr>
            </w:pPr>
            <w:r>
              <w:rPr>
                <w:sz w:val="28"/>
              </w:rPr>
              <w:t>–</w:t>
            </w:r>
          </w:p>
        </w:tc>
        <w:tc>
          <w:tcPr>
            <w:tcW w:w="7562" w:type="dxa"/>
          </w:tcPr>
          <w:p>
            <w:pPr>
              <w:pStyle w:val="TableParagraph"/>
              <w:spacing w:line="316" w:lineRule="exact"/>
              <w:ind w:left="233"/>
              <w:rPr>
                <w:sz w:val="28"/>
              </w:rPr>
            </w:pPr>
            <w:r>
              <w:rPr>
                <w:sz w:val="28"/>
              </w:rPr>
              <w:t>voltage-dependent</w:t>
            </w:r>
            <w:r>
              <w:rPr>
                <w:spacing w:val="28"/>
                <w:sz w:val="28"/>
              </w:rPr>
              <w:t> </w:t>
            </w:r>
            <w:r>
              <w:rPr>
                <w:sz w:val="28"/>
              </w:rPr>
              <w:t>anion</w:t>
            </w:r>
            <w:r>
              <w:rPr>
                <w:spacing w:val="30"/>
                <w:sz w:val="28"/>
              </w:rPr>
              <w:t> </w:t>
            </w:r>
            <w:r>
              <w:rPr>
                <w:sz w:val="28"/>
              </w:rPr>
              <w:t>channels</w:t>
            </w:r>
            <w:r>
              <w:rPr>
                <w:spacing w:val="31"/>
                <w:sz w:val="28"/>
              </w:rPr>
              <w:t> </w:t>
            </w:r>
            <w:r>
              <w:rPr>
                <w:sz w:val="28"/>
              </w:rPr>
              <w:t>(зависимые</w:t>
            </w:r>
            <w:r>
              <w:rPr>
                <w:spacing w:val="29"/>
                <w:sz w:val="28"/>
              </w:rPr>
              <w:t> </w:t>
            </w:r>
            <w:r>
              <w:rPr>
                <w:sz w:val="28"/>
              </w:rPr>
              <w:t>от</w:t>
            </w:r>
            <w:r>
              <w:rPr>
                <w:spacing w:val="26"/>
                <w:sz w:val="28"/>
              </w:rPr>
              <w:t> </w:t>
            </w:r>
            <w:r>
              <w:rPr>
                <w:spacing w:val="-2"/>
                <w:sz w:val="28"/>
              </w:rPr>
              <w:t>напряжения</w:t>
            </w:r>
          </w:p>
          <w:p>
            <w:pPr>
              <w:pStyle w:val="TableParagraph"/>
              <w:spacing w:line="307" w:lineRule="exact"/>
              <w:ind w:left="233"/>
              <w:rPr>
                <w:sz w:val="28"/>
              </w:rPr>
            </w:pPr>
            <w:r>
              <w:rPr>
                <w:sz w:val="28"/>
              </w:rPr>
              <w:t>анионселективные</w:t>
            </w:r>
            <w:r>
              <w:rPr>
                <w:spacing w:val="-12"/>
                <w:sz w:val="28"/>
              </w:rPr>
              <w:t> </w:t>
            </w:r>
            <w:r>
              <w:rPr>
                <w:spacing w:val="-2"/>
                <w:sz w:val="28"/>
              </w:rPr>
              <w:t>каналы)</w:t>
            </w:r>
          </w:p>
        </w:tc>
      </w:tr>
      <w:tr>
        <w:trPr>
          <w:trHeight w:val="321" w:hRule="atLeast"/>
        </w:trPr>
        <w:tc>
          <w:tcPr>
            <w:tcW w:w="1573" w:type="dxa"/>
          </w:tcPr>
          <w:p>
            <w:pPr>
              <w:pStyle w:val="TableParagraph"/>
              <w:spacing w:line="302" w:lineRule="exact"/>
              <w:ind w:left="50"/>
              <w:rPr>
                <w:sz w:val="28"/>
              </w:rPr>
            </w:pPr>
            <w:r>
              <w:rPr>
                <w:spacing w:val="-5"/>
                <w:sz w:val="28"/>
              </w:rPr>
              <w:t>VSD</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voltage</w:t>
            </w:r>
            <w:r>
              <w:rPr>
                <w:spacing w:val="-11"/>
                <w:sz w:val="28"/>
              </w:rPr>
              <w:t> </w:t>
            </w:r>
            <w:r>
              <w:rPr>
                <w:sz w:val="28"/>
              </w:rPr>
              <w:t>sensor</w:t>
            </w:r>
            <w:r>
              <w:rPr>
                <w:spacing w:val="-10"/>
                <w:sz w:val="28"/>
              </w:rPr>
              <w:t> </w:t>
            </w:r>
            <w:r>
              <w:rPr>
                <w:sz w:val="28"/>
              </w:rPr>
              <w:t>domain</w:t>
            </w:r>
            <w:r>
              <w:rPr>
                <w:spacing w:val="-8"/>
                <w:sz w:val="28"/>
              </w:rPr>
              <w:t> </w:t>
            </w:r>
            <w:r>
              <w:rPr>
                <w:sz w:val="28"/>
              </w:rPr>
              <w:t>(потенциалчувствительный</w:t>
            </w:r>
            <w:r>
              <w:rPr>
                <w:spacing w:val="-9"/>
                <w:sz w:val="28"/>
              </w:rPr>
              <w:t> </w:t>
            </w:r>
            <w:r>
              <w:rPr>
                <w:spacing w:val="-2"/>
                <w:sz w:val="28"/>
              </w:rPr>
              <w:t>домен)</w:t>
            </w:r>
          </w:p>
        </w:tc>
      </w:tr>
      <w:tr>
        <w:trPr>
          <w:trHeight w:val="322" w:hRule="atLeast"/>
        </w:trPr>
        <w:tc>
          <w:tcPr>
            <w:tcW w:w="1573" w:type="dxa"/>
          </w:tcPr>
          <w:p>
            <w:pPr>
              <w:pStyle w:val="TableParagraph"/>
              <w:spacing w:line="303" w:lineRule="exact"/>
              <w:ind w:left="50"/>
              <w:rPr>
                <w:sz w:val="28"/>
              </w:rPr>
            </w:pPr>
            <w:r>
              <w:rPr>
                <w:spacing w:val="-5"/>
                <w:sz w:val="28"/>
              </w:rPr>
              <w:t>ZP</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z w:val="28"/>
              </w:rPr>
              <w:t>zona</w:t>
            </w:r>
            <w:r>
              <w:rPr>
                <w:spacing w:val="-6"/>
                <w:sz w:val="28"/>
              </w:rPr>
              <w:t> </w:t>
            </w:r>
            <w:r>
              <w:rPr>
                <w:sz w:val="28"/>
              </w:rPr>
              <w:t>pellucida</w:t>
            </w:r>
            <w:r>
              <w:rPr>
                <w:spacing w:val="-6"/>
                <w:sz w:val="28"/>
              </w:rPr>
              <w:t> </w:t>
            </w:r>
            <w:r>
              <w:rPr>
                <w:sz w:val="28"/>
              </w:rPr>
              <w:t>(блестящая</w:t>
            </w:r>
            <w:r>
              <w:rPr>
                <w:spacing w:val="-7"/>
                <w:sz w:val="28"/>
              </w:rPr>
              <w:t> </w:t>
            </w:r>
            <w:r>
              <w:rPr>
                <w:spacing w:val="-2"/>
                <w:sz w:val="28"/>
              </w:rPr>
              <w:t>оболочка)</w:t>
            </w:r>
          </w:p>
        </w:tc>
      </w:tr>
      <w:tr>
        <w:trPr>
          <w:trHeight w:val="322" w:hRule="atLeast"/>
        </w:trPr>
        <w:tc>
          <w:tcPr>
            <w:tcW w:w="1573" w:type="dxa"/>
          </w:tcPr>
          <w:p>
            <w:pPr>
              <w:pStyle w:val="TableParagraph"/>
              <w:spacing w:line="303" w:lineRule="exact"/>
              <w:ind w:left="50"/>
              <w:rPr>
                <w:sz w:val="28"/>
              </w:rPr>
            </w:pPr>
            <w:r>
              <w:rPr>
                <w:spacing w:val="-5"/>
                <w:sz w:val="28"/>
              </w:rPr>
              <w:t>АТФ</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аденозинтрифосфосфат</w:t>
            </w:r>
          </w:p>
        </w:tc>
      </w:tr>
      <w:tr>
        <w:trPr>
          <w:trHeight w:val="321" w:hRule="atLeast"/>
        </w:trPr>
        <w:tc>
          <w:tcPr>
            <w:tcW w:w="1573" w:type="dxa"/>
          </w:tcPr>
          <w:p>
            <w:pPr>
              <w:pStyle w:val="TableParagraph"/>
              <w:spacing w:line="302" w:lineRule="exact"/>
              <w:ind w:left="50"/>
              <w:rPr>
                <w:sz w:val="28"/>
              </w:rPr>
            </w:pPr>
            <w:r>
              <w:rPr>
                <w:spacing w:val="-4"/>
                <w:sz w:val="28"/>
              </w:rPr>
              <w:t>АСАТ</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антиспермальные</w:t>
            </w:r>
            <w:r>
              <w:rPr>
                <w:spacing w:val="-12"/>
                <w:sz w:val="28"/>
              </w:rPr>
              <w:t> </w:t>
            </w:r>
            <w:r>
              <w:rPr>
                <w:spacing w:val="-2"/>
                <w:sz w:val="28"/>
              </w:rPr>
              <w:t>антитела</w:t>
            </w:r>
          </w:p>
        </w:tc>
      </w:tr>
      <w:tr>
        <w:trPr>
          <w:trHeight w:val="321" w:hRule="atLeast"/>
        </w:trPr>
        <w:tc>
          <w:tcPr>
            <w:tcW w:w="1573" w:type="dxa"/>
          </w:tcPr>
          <w:p>
            <w:pPr>
              <w:pStyle w:val="TableParagraph"/>
              <w:spacing w:line="302" w:lineRule="exact"/>
              <w:ind w:left="50"/>
              <w:rPr>
                <w:sz w:val="28"/>
              </w:rPr>
            </w:pPr>
            <w:r>
              <w:rPr>
                <w:spacing w:val="-5"/>
                <w:sz w:val="28"/>
              </w:rPr>
              <w:t>АФК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активные</w:t>
            </w:r>
            <w:r>
              <w:rPr>
                <w:spacing w:val="-7"/>
                <w:sz w:val="28"/>
              </w:rPr>
              <w:t> </w:t>
            </w:r>
            <w:r>
              <w:rPr>
                <w:sz w:val="28"/>
              </w:rPr>
              <w:t>формы</w:t>
            </w:r>
            <w:r>
              <w:rPr>
                <w:spacing w:val="-4"/>
                <w:sz w:val="28"/>
              </w:rPr>
              <w:t> </w:t>
            </w:r>
            <w:r>
              <w:rPr>
                <w:spacing w:val="-2"/>
                <w:sz w:val="28"/>
              </w:rPr>
              <w:t>кислорода</w:t>
            </w:r>
          </w:p>
        </w:tc>
      </w:tr>
      <w:tr>
        <w:trPr>
          <w:trHeight w:val="321" w:hRule="atLeast"/>
        </w:trPr>
        <w:tc>
          <w:tcPr>
            <w:tcW w:w="1573" w:type="dxa"/>
          </w:tcPr>
          <w:p>
            <w:pPr>
              <w:pStyle w:val="TableParagraph"/>
              <w:spacing w:line="302" w:lineRule="exact"/>
              <w:ind w:left="50"/>
              <w:rPr>
                <w:sz w:val="28"/>
              </w:rPr>
            </w:pPr>
            <w:r>
              <w:rPr>
                <w:spacing w:val="-2"/>
                <w:sz w:val="28"/>
              </w:rPr>
              <w:t>АДПБП</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аутосомно-доминантная</w:t>
            </w:r>
            <w:r>
              <w:rPr>
                <w:spacing w:val="-11"/>
                <w:sz w:val="28"/>
              </w:rPr>
              <w:t> </w:t>
            </w:r>
            <w:r>
              <w:rPr>
                <w:sz w:val="28"/>
              </w:rPr>
              <w:t>поликистозная</w:t>
            </w:r>
            <w:r>
              <w:rPr>
                <w:spacing w:val="-11"/>
                <w:sz w:val="28"/>
              </w:rPr>
              <w:t> </w:t>
            </w:r>
            <w:r>
              <w:rPr>
                <w:sz w:val="28"/>
              </w:rPr>
              <w:t>болезнь</w:t>
            </w:r>
            <w:r>
              <w:rPr>
                <w:spacing w:val="-10"/>
                <w:sz w:val="28"/>
              </w:rPr>
              <w:t> </w:t>
            </w:r>
            <w:r>
              <w:rPr>
                <w:spacing w:val="-2"/>
                <w:sz w:val="28"/>
              </w:rPr>
              <w:t>почек</w:t>
            </w:r>
          </w:p>
        </w:tc>
      </w:tr>
      <w:tr>
        <w:trPr>
          <w:trHeight w:val="321" w:hRule="atLeast"/>
        </w:trPr>
        <w:tc>
          <w:tcPr>
            <w:tcW w:w="1573" w:type="dxa"/>
          </w:tcPr>
          <w:p>
            <w:pPr>
              <w:pStyle w:val="TableParagraph"/>
              <w:spacing w:line="302" w:lineRule="exact"/>
              <w:ind w:left="50"/>
              <w:rPr>
                <w:sz w:val="28"/>
              </w:rPr>
            </w:pPr>
            <w:r>
              <w:rPr>
                <w:spacing w:val="-5"/>
                <w:sz w:val="28"/>
              </w:rPr>
              <w:t>ВРТ</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вспомогательные</w:t>
            </w:r>
            <w:r>
              <w:rPr>
                <w:spacing w:val="-12"/>
                <w:sz w:val="28"/>
              </w:rPr>
              <w:t> </w:t>
            </w:r>
            <w:r>
              <w:rPr>
                <w:sz w:val="28"/>
              </w:rPr>
              <w:t>репродуктивные</w:t>
            </w:r>
            <w:r>
              <w:rPr>
                <w:spacing w:val="-12"/>
                <w:sz w:val="28"/>
              </w:rPr>
              <w:t> </w:t>
            </w:r>
            <w:r>
              <w:rPr>
                <w:spacing w:val="-2"/>
                <w:sz w:val="28"/>
              </w:rPr>
              <w:t>технологии</w:t>
            </w:r>
          </w:p>
        </w:tc>
      </w:tr>
      <w:tr>
        <w:trPr>
          <w:trHeight w:val="321" w:hRule="atLeast"/>
        </w:trPr>
        <w:tc>
          <w:tcPr>
            <w:tcW w:w="1573" w:type="dxa"/>
          </w:tcPr>
          <w:p>
            <w:pPr>
              <w:pStyle w:val="TableParagraph"/>
              <w:spacing w:line="302" w:lineRule="exact"/>
              <w:ind w:left="50"/>
              <w:rPr>
                <w:sz w:val="28"/>
              </w:rPr>
            </w:pPr>
            <w:r>
              <w:rPr>
                <w:spacing w:val="-5"/>
                <w:sz w:val="28"/>
              </w:rPr>
              <w:t>ВОЗ</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Всемирная</w:t>
            </w:r>
            <w:r>
              <w:rPr>
                <w:spacing w:val="-10"/>
                <w:sz w:val="28"/>
              </w:rPr>
              <w:t> </w:t>
            </w:r>
            <w:r>
              <w:rPr>
                <w:sz w:val="28"/>
              </w:rPr>
              <w:t>организация</w:t>
            </w:r>
            <w:r>
              <w:rPr>
                <w:spacing w:val="-6"/>
                <w:sz w:val="28"/>
              </w:rPr>
              <w:t> </w:t>
            </w:r>
            <w:r>
              <w:rPr>
                <w:spacing w:val="-2"/>
                <w:sz w:val="28"/>
              </w:rPr>
              <w:t>здравоохранения</w:t>
            </w:r>
          </w:p>
        </w:tc>
      </w:tr>
      <w:tr>
        <w:trPr>
          <w:trHeight w:val="322" w:hRule="atLeast"/>
        </w:trPr>
        <w:tc>
          <w:tcPr>
            <w:tcW w:w="1573" w:type="dxa"/>
          </w:tcPr>
          <w:p>
            <w:pPr>
              <w:pStyle w:val="TableParagraph"/>
              <w:spacing w:line="303" w:lineRule="exact"/>
              <w:ind w:left="50"/>
              <w:rPr>
                <w:sz w:val="28"/>
              </w:rPr>
            </w:pPr>
            <w:r>
              <w:rPr>
                <w:spacing w:val="-2"/>
                <w:sz w:val="28"/>
              </w:rPr>
              <w:t>ГАФДс</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D-глицеральдегид-3-фосфатдегидрогеназа</w:t>
            </w:r>
          </w:p>
        </w:tc>
      </w:tr>
      <w:tr>
        <w:trPr>
          <w:trHeight w:val="322" w:hRule="atLeast"/>
        </w:trPr>
        <w:tc>
          <w:tcPr>
            <w:tcW w:w="1573" w:type="dxa"/>
          </w:tcPr>
          <w:p>
            <w:pPr>
              <w:pStyle w:val="TableParagraph"/>
              <w:spacing w:line="303" w:lineRule="exact"/>
              <w:ind w:left="50"/>
              <w:rPr>
                <w:sz w:val="28"/>
              </w:rPr>
            </w:pPr>
            <w:r>
              <w:rPr>
                <w:spacing w:val="-5"/>
                <w:sz w:val="28"/>
              </w:rPr>
              <w:t>ДНК</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дезоксирибонуклеиновая</w:t>
            </w:r>
            <w:r>
              <w:rPr>
                <w:spacing w:val="24"/>
                <w:sz w:val="28"/>
              </w:rPr>
              <w:t> </w:t>
            </w:r>
            <w:r>
              <w:rPr>
                <w:spacing w:val="-2"/>
                <w:sz w:val="28"/>
              </w:rPr>
              <w:t>кислота</w:t>
            </w:r>
          </w:p>
        </w:tc>
      </w:tr>
      <w:tr>
        <w:trPr>
          <w:trHeight w:val="321" w:hRule="atLeast"/>
        </w:trPr>
        <w:tc>
          <w:tcPr>
            <w:tcW w:w="1573" w:type="dxa"/>
          </w:tcPr>
          <w:p>
            <w:pPr>
              <w:pStyle w:val="TableParagraph"/>
              <w:spacing w:line="302" w:lineRule="exact"/>
              <w:ind w:left="50"/>
              <w:rPr>
                <w:sz w:val="28"/>
              </w:rPr>
            </w:pPr>
            <w:r>
              <w:rPr>
                <w:spacing w:val="-5"/>
                <w:sz w:val="28"/>
              </w:rPr>
              <w:t>Дж</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pacing w:val="-2"/>
                <w:sz w:val="28"/>
              </w:rPr>
              <w:t>джоуль</w:t>
            </w:r>
          </w:p>
        </w:tc>
      </w:tr>
      <w:tr>
        <w:trPr>
          <w:trHeight w:val="321" w:hRule="atLeast"/>
        </w:trPr>
        <w:tc>
          <w:tcPr>
            <w:tcW w:w="1573" w:type="dxa"/>
          </w:tcPr>
          <w:p>
            <w:pPr>
              <w:pStyle w:val="TableParagraph"/>
              <w:spacing w:line="302" w:lineRule="exact"/>
              <w:ind w:left="50"/>
              <w:rPr>
                <w:sz w:val="28"/>
              </w:rPr>
            </w:pPr>
            <w:r>
              <w:rPr>
                <w:spacing w:val="-4"/>
                <w:sz w:val="28"/>
              </w:rPr>
              <w:t>иТЗС</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изолированная</w:t>
            </w:r>
            <w:r>
              <w:rPr>
                <w:spacing w:val="-10"/>
                <w:sz w:val="28"/>
              </w:rPr>
              <w:t> </w:t>
            </w:r>
            <w:r>
              <w:rPr>
                <w:spacing w:val="-2"/>
                <w:sz w:val="28"/>
              </w:rPr>
              <w:t>тератозооспермия</w:t>
            </w:r>
          </w:p>
        </w:tc>
      </w:tr>
      <w:tr>
        <w:trPr>
          <w:trHeight w:val="321" w:hRule="atLeast"/>
        </w:trPr>
        <w:tc>
          <w:tcPr>
            <w:tcW w:w="1573" w:type="dxa"/>
          </w:tcPr>
          <w:p>
            <w:pPr>
              <w:pStyle w:val="TableParagraph"/>
              <w:spacing w:line="302" w:lineRule="exact"/>
              <w:ind w:left="50"/>
              <w:rPr>
                <w:sz w:val="28"/>
              </w:rPr>
            </w:pPr>
            <w:r>
              <w:rPr>
                <w:spacing w:val="-5"/>
                <w:sz w:val="28"/>
              </w:rPr>
              <w:t>ИК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инфракрасное</w:t>
            </w:r>
            <w:r>
              <w:rPr>
                <w:spacing w:val="-10"/>
                <w:sz w:val="28"/>
              </w:rPr>
              <w:t> </w:t>
            </w:r>
            <w:r>
              <w:rPr>
                <w:spacing w:val="-2"/>
                <w:sz w:val="28"/>
              </w:rPr>
              <w:t>излучение</w:t>
            </w:r>
          </w:p>
        </w:tc>
      </w:tr>
      <w:tr>
        <w:trPr>
          <w:trHeight w:val="321" w:hRule="atLeast"/>
        </w:trPr>
        <w:tc>
          <w:tcPr>
            <w:tcW w:w="1573" w:type="dxa"/>
          </w:tcPr>
          <w:p>
            <w:pPr>
              <w:pStyle w:val="TableParagraph"/>
              <w:spacing w:line="302" w:lineRule="exact"/>
              <w:ind w:left="50"/>
              <w:rPr>
                <w:sz w:val="28"/>
              </w:rPr>
            </w:pPr>
            <w:r>
              <w:rPr>
                <w:spacing w:val="-4"/>
                <w:sz w:val="28"/>
              </w:rPr>
              <w:t>ИКСИ</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интрацитоплазматическая</w:t>
            </w:r>
            <w:r>
              <w:rPr>
                <w:spacing w:val="-12"/>
                <w:sz w:val="28"/>
              </w:rPr>
              <w:t> </w:t>
            </w:r>
            <w:r>
              <w:rPr>
                <w:sz w:val="28"/>
              </w:rPr>
              <w:t>инъекция</w:t>
            </w:r>
            <w:r>
              <w:rPr>
                <w:spacing w:val="-9"/>
                <w:sz w:val="28"/>
              </w:rPr>
              <w:t> </w:t>
            </w:r>
            <w:r>
              <w:rPr>
                <w:sz w:val="28"/>
              </w:rPr>
              <w:t>сперматозоида</w:t>
            </w:r>
            <w:r>
              <w:rPr>
                <w:spacing w:val="-10"/>
                <w:sz w:val="28"/>
              </w:rPr>
              <w:t> </w:t>
            </w:r>
            <w:r>
              <w:rPr>
                <w:sz w:val="28"/>
              </w:rPr>
              <w:t>в</w:t>
            </w:r>
            <w:r>
              <w:rPr>
                <w:spacing w:val="-10"/>
                <w:sz w:val="28"/>
              </w:rPr>
              <w:t> </w:t>
            </w:r>
            <w:r>
              <w:rPr>
                <w:spacing w:val="-2"/>
                <w:sz w:val="28"/>
              </w:rPr>
              <w:t>ооцит</w:t>
            </w:r>
          </w:p>
        </w:tc>
      </w:tr>
      <w:tr>
        <w:trPr>
          <w:trHeight w:val="322" w:hRule="atLeast"/>
        </w:trPr>
        <w:tc>
          <w:tcPr>
            <w:tcW w:w="1573" w:type="dxa"/>
          </w:tcPr>
          <w:p>
            <w:pPr>
              <w:pStyle w:val="TableParagraph"/>
              <w:spacing w:line="303" w:lineRule="exact"/>
              <w:ind w:left="50"/>
              <w:rPr>
                <w:sz w:val="28"/>
              </w:rPr>
            </w:pPr>
            <w:r>
              <w:rPr>
                <w:spacing w:val="-4"/>
                <w:sz w:val="28"/>
              </w:rPr>
              <w:t>ММАЖ</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z w:val="28"/>
              </w:rPr>
              <w:t>множественные</w:t>
            </w:r>
            <w:r>
              <w:rPr>
                <w:spacing w:val="-14"/>
                <w:sz w:val="28"/>
              </w:rPr>
              <w:t> </w:t>
            </w:r>
            <w:r>
              <w:rPr>
                <w:sz w:val="28"/>
              </w:rPr>
              <w:t>морфологические</w:t>
            </w:r>
            <w:r>
              <w:rPr>
                <w:spacing w:val="-12"/>
                <w:sz w:val="28"/>
              </w:rPr>
              <w:t> </w:t>
            </w:r>
            <w:r>
              <w:rPr>
                <w:sz w:val="28"/>
              </w:rPr>
              <w:t>аномалии</w:t>
            </w:r>
            <w:r>
              <w:rPr>
                <w:spacing w:val="-11"/>
                <w:sz w:val="28"/>
              </w:rPr>
              <w:t> </w:t>
            </w:r>
            <w:r>
              <w:rPr>
                <w:spacing w:val="-2"/>
                <w:sz w:val="28"/>
              </w:rPr>
              <w:t>жгутика</w:t>
            </w:r>
          </w:p>
        </w:tc>
      </w:tr>
      <w:tr>
        <w:trPr>
          <w:trHeight w:val="322" w:hRule="atLeast"/>
        </w:trPr>
        <w:tc>
          <w:tcPr>
            <w:tcW w:w="1573" w:type="dxa"/>
          </w:tcPr>
          <w:p>
            <w:pPr>
              <w:pStyle w:val="TableParagraph"/>
              <w:spacing w:line="303" w:lineRule="exact"/>
              <w:ind w:left="50"/>
              <w:rPr>
                <w:sz w:val="28"/>
              </w:rPr>
            </w:pPr>
            <w:r>
              <w:rPr>
                <w:spacing w:val="-2"/>
                <w:sz w:val="28"/>
              </w:rPr>
              <w:t>мОсм/л</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z w:val="28"/>
              </w:rPr>
              <w:t>миллиосмоль</w:t>
            </w:r>
            <w:r>
              <w:rPr>
                <w:spacing w:val="-6"/>
                <w:sz w:val="28"/>
              </w:rPr>
              <w:t> </w:t>
            </w:r>
            <w:r>
              <w:rPr>
                <w:sz w:val="28"/>
              </w:rPr>
              <w:t>на</w:t>
            </w:r>
            <w:r>
              <w:rPr>
                <w:spacing w:val="-4"/>
                <w:sz w:val="28"/>
              </w:rPr>
              <w:t> литр</w:t>
            </w:r>
          </w:p>
        </w:tc>
      </w:tr>
      <w:tr>
        <w:trPr>
          <w:trHeight w:val="321" w:hRule="atLeast"/>
        </w:trPr>
        <w:tc>
          <w:tcPr>
            <w:tcW w:w="1573" w:type="dxa"/>
          </w:tcPr>
          <w:p>
            <w:pPr>
              <w:pStyle w:val="TableParagraph"/>
              <w:spacing w:line="302" w:lineRule="exact"/>
              <w:ind w:left="50"/>
              <w:rPr>
                <w:sz w:val="28"/>
              </w:rPr>
            </w:pPr>
            <w:r>
              <w:rPr>
                <w:spacing w:val="-2"/>
                <w:sz w:val="28"/>
              </w:rPr>
              <w:t>микроРНК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микро-рибонуклеиновая</w:t>
            </w:r>
            <w:r>
              <w:rPr>
                <w:spacing w:val="-17"/>
                <w:sz w:val="28"/>
              </w:rPr>
              <w:t> </w:t>
            </w:r>
            <w:r>
              <w:rPr>
                <w:spacing w:val="-2"/>
                <w:sz w:val="28"/>
              </w:rPr>
              <w:t>кислота</w:t>
            </w:r>
          </w:p>
        </w:tc>
      </w:tr>
      <w:tr>
        <w:trPr>
          <w:trHeight w:val="321" w:hRule="atLeast"/>
        </w:trPr>
        <w:tc>
          <w:tcPr>
            <w:tcW w:w="1573" w:type="dxa"/>
          </w:tcPr>
          <w:p>
            <w:pPr>
              <w:pStyle w:val="TableParagraph"/>
              <w:spacing w:line="302" w:lineRule="exact"/>
              <w:ind w:left="50"/>
              <w:rPr>
                <w:sz w:val="28"/>
              </w:rPr>
            </w:pPr>
            <w:r>
              <w:rPr>
                <w:spacing w:val="-5"/>
                <w:sz w:val="28"/>
              </w:rPr>
              <w:t>мВт</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pacing w:val="-2"/>
                <w:sz w:val="28"/>
              </w:rPr>
              <w:t>милливатт</w:t>
            </w:r>
          </w:p>
        </w:tc>
      </w:tr>
      <w:tr>
        <w:trPr>
          <w:trHeight w:val="321" w:hRule="atLeast"/>
        </w:trPr>
        <w:tc>
          <w:tcPr>
            <w:tcW w:w="1573" w:type="dxa"/>
          </w:tcPr>
          <w:p>
            <w:pPr>
              <w:pStyle w:val="TableParagraph"/>
              <w:spacing w:line="302" w:lineRule="exact"/>
              <w:ind w:left="50"/>
              <w:rPr>
                <w:sz w:val="28"/>
              </w:rPr>
            </w:pPr>
            <w:r>
              <w:rPr>
                <w:spacing w:val="-2"/>
                <w:sz w:val="28"/>
              </w:rPr>
              <w:t>мтДНК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митохондриальная</w:t>
            </w:r>
            <w:r>
              <w:rPr>
                <w:spacing w:val="-18"/>
                <w:sz w:val="28"/>
              </w:rPr>
              <w:t> </w:t>
            </w:r>
            <w:r>
              <w:rPr>
                <w:sz w:val="28"/>
              </w:rPr>
              <w:t>дезоксирибонуклеиновая</w:t>
            </w:r>
            <w:r>
              <w:rPr>
                <w:spacing w:val="-17"/>
                <w:sz w:val="28"/>
              </w:rPr>
              <w:t> </w:t>
            </w:r>
            <w:r>
              <w:rPr>
                <w:spacing w:val="-2"/>
                <w:sz w:val="28"/>
              </w:rPr>
              <w:t>кислота</w:t>
            </w:r>
          </w:p>
        </w:tc>
      </w:tr>
      <w:tr>
        <w:trPr>
          <w:trHeight w:val="321" w:hRule="atLeast"/>
        </w:trPr>
        <w:tc>
          <w:tcPr>
            <w:tcW w:w="1573" w:type="dxa"/>
          </w:tcPr>
          <w:p>
            <w:pPr>
              <w:pStyle w:val="TableParagraph"/>
              <w:spacing w:line="302" w:lineRule="exact"/>
              <w:ind w:left="50"/>
              <w:rPr>
                <w:sz w:val="28"/>
              </w:rPr>
            </w:pPr>
            <w:r>
              <w:rPr>
                <w:spacing w:val="-5"/>
                <w:sz w:val="28"/>
              </w:rPr>
              <w:t>мл</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pacing w:val="-2"/>
                <w:sz w:val="28"/>
              </w:rPr>
              <w:t>миллилитр</w:t>
            </w:r>
          </w:p>
        </w:tc>
      </w:tr>
      <w:tr>
        <w:trPr>
          <w:trHeight w:val="321" w:hRule="atLeast"/>
        </w:trPr>
        <w:tc>
          <w:tcPr>
            <w:tcW w:w="1573" w:type="dxa"/>
          </w:tcPr>
          <w:p>
            <w:pPr>
              <w:pStyle w:val="TableParagraph"/>
              <w:spacing w:line="302" w:lineRule="exact"/>
              <w:ind w:left="50"/>
              <w:rPr>
                <w:sz w:val="28"/>
              </w:rPr>
            </w:pPr>
            <w:r>
              <w:rPr>
                <w:spacing w:val="-5"/>
                <w:sz w:val="28"/>
              </w:rPr>
              <w:t>НИР</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научно-исследовательская</w:t>
            </w:r>
            <w:r>
              <w:rPr>
                <w:spacing w:val="-17"/>
                <w:sz w:val="28"/>
              </w:rPr>
              <w:t> </w:t>
            </w:r>
            <w:r>
              <w:rPr>
                <w:spacing w:val="-2"/>
                <w:sz w:val="28"/>
              </w:rPr>
              <w:t>работа</w:t>
            </w:r>
          </w:p>
        </w:tc>
      </w:tr>
      <w:tr>
        <w:trPr>
          <w:trHeight w:val="322" w:hRule="atLeast"/>
        </w:trPr>
        <w:tc>
          <w:tcPr>
            <w:tcW w:w="1573" w:type="dxa"/>
          </w:tcPr>
          <w:p>
            <w:pPr>
              <w:pStyle w:val="TableParagraph"/>
              <w:spacing w:line="303" w:lineRule="exact"/>
              <w:ind w:left="50"/>
              <w:rPr>
                <w:sz w:val="28"/>
              </w:rPr>
            </w:pPr>
            <w:r>
              <w:rPr>
                <w:spacing w:val="-5"/>
                <w:sz w:val="28"/>
              </w:rPr>
              <w:t>нм</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нанометр</w:t>
            </w:r>
          </w:p>
        </w:tc>
      </w:tr>
      <w:tr>
        <w:trPr>
          <w:trHeight w:val="322" w:hRule="atLeast"/>
        </w:trPr>
        <w:tc>
          <w:tcPr>
            <w:tcW w:w="1573" w:type="dxa"/>
          </w:tcPr>
          <w:p>
            <w:pPr>
              <w:pStyle w:val="TableParagraph"/>
              <w:spacing w:line="303" w:lineRule="exact"/>
              <w:ind w:left="50"/>
              <w:rPr>
                <w:sz w:val="28"/>
              </w:rPr>
            </w:pPr>
            <w:r>
              <w:rPr>
                <w:spacing w:val="-5"/>
                <w:sz w:val="28"/>
              </w:rPr>
              <w:t>ОАТ</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олигоастенотератозооспермия</w:t>
            </w:r>
          </w:p>
        </w:tc>
      </w:tr>
      <w:tr>
        <w:trPr>
          <w:trHeight w:val="321" w:hRule="atLeast"/>
        </w:trPr>
        <w:tc>
          <w:tcPr>
            <w:tcW w:w="1573" w:type="dxa"/>
          </w:tcPr>
          <w:p>
            <w:pPr>
              <w:pStyle w:val="TableParagraph"/>
              <w:spacing w:line="302" w:lineRule="exact"/>
              <w:ind w:left="50"/>
              <w:rPr>
                <w:sz w:val="28"/>
              </w:rPr>
            </w:pPr>
            <w:r>
              <w:rPr>
                <w:spacing w:val="-5"/>
                <w:sz w:val="28"/>
              </w:rPr>
              <w:t>ОКК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ооцит-кумулюсный</w:t>
            </w:r>
            <w:r>
              <w:rPr>
                <w:spacing w:val="-15"/>
                <w:sz w:val="28"/>
              </w:rPr>
              <w:t> </w:t>
            </w:r>
            <w:r>
              <w:rPr>
                <w:spacing w:val="-2"/>
                <w:sz w:val="28"/>
              </w:rPr>
              <w:t>комплекс</w:t>
            </w:r>
          </w:p>
        </w:tc>
      </w:tr>
      <w:tr>
        <w:trPr>
          <w:trHeight w:val="321" w:hRule="atLeast"/>
        </w:trPr>
        <w:tc>
          <w:tcPr>
            <w:tcW w:w="1573" w:type="dxa"/>
          </w:tcPr>
          <w:p>
            <w:pPr>
              <w:pStyle w:val="TableParagraph"/>
              <w:spacing w:line="302" w:lineRule="exact"/>
              <w:ind w:left="50"/>
              <w:rPr>
                <w:sz w:val="28"/>
              </w:rPr>
            </w:pPr>
            <w:r>
              <w:rPr>
                <w:spacing w:val="-4"/>
                <w:sz w:val="28"/>
              </w:rPr>
              <w:t>рРНК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рибосомальная</w:t>
            </w:r>
            <w:r>
              <w:rPr>
                <w:spacing w:val="-14"/>
                <w:sz w:val="28"/>
              </w:rPr>
              <w:t> </w:t>
            </w:r>
            <w:r>
              <w:rPr>
                <w:sz w:val="28"/>
              </w:rPr>
              <w:t>рибонуклеиновая</w:t>
            </w:r>
            <w:r>
              <w:rPr>
                <w:spacing w:val="-11"/>
                <w:sz w:val="28"/>
              </w:rPr>
              <w:t> </w:t>
            </w:r>
            <w:r>
              <w:rPr>
                <w:spacing w:val="-2"/>
                <w:sz w:val="28"/>
              </w:rPr>
              <w:t>кислота</w:t>
            </w:r>
          </w:p>
        </w:tc>
      </w:tr>
      <w:tr>
        <w:trPr>
          <w:trHeight w:val="321" w:hRule="atLeast"/>
        </w:trPr>
        <w:tc>
          <w:tcPr>
            <w:tcW w:w="1573" w:type="dxa"/>
          </w:tcPr>
          <w:p>
            <w:pPr>
              <w:pStyle w:val="TableParagraph"/>
              <w:spacing w:line="302" w:lineRule="exact"/>
              <w:ind w:left="50"/>
              <w:rPr>
                <w:sz w:val="28"/>
              </w:rPr>
            </w:pPr>
            <w:r>
              <w:rPr>
                <w:spacing w:val="-5"/>
                <w:sz w:val="28"/>
              </w:rPr>
              <w:t>СОД</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супероксид</w:t>
            </w:r>
            <w:r>
              <w:rPr>
                <w:spacing w:val="-6"/>
                <w:sz w:val="28"/>
              </w:rPr>
              <w:t> </w:t>
            </w:r>
            <w:r>
              <w:rPr>
                <w:spacing w:val="-2"/>
                <w:sz w:val="28"/>
              </w:rPr>
              <w:t>дисмутаза</w:t>
            </w:r>
          </w:p>
        </w:tc>
      </w:tr>
      <w:tr>
        <w:trPr>
          <w:trHeight w:val="321" w:hRule="atLeast"/>
        </w:trPr>
        <w:tc>
          <w:tcPr>
            <w:tcW w:w="1573" w:type="dxa"/>
          </w:tcPr>
          <w:p>
            <w:pPr>
              <w:pStyle w:val="TableParagraph"/>
              <w:spacing w:line="302" w:lineRule="exact"/>
              <w:ind w:left="50"/>
              <w:rPr>
                <w:sz w:val="28"/>
              </w:rPr>
            </w:pPr>
            <w:r>
              <w:rPr>
                <w:spacing w:val="-4"/>
                <w:sz w:val="28"/>
              </w:rPr>
              <w:t>тРНК</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транспортная</w:t>
            </w:r>
            <w:r>
              <w:rPr>
                <w:spacing w:val="-12"/>
                <w:sz w:val="28"/>
              </w:rPr>
              <w:t> </w:t>
            </w:r>
            <w:r>
              <w:rPr>
                <w:sz w:val="28"/>
              </w:rPr>
              <w:t>рибонуклеиновая</w:t>
            </w:r>
            <w:r>
              <w:rPr>
                <w:spacing w:val="-12"/>
                <w:sz w:val="28"/>
              </w:rPr>
              <w:t> </w:t>
            </w:r>
            <w:r>
              <w:rPr>
                <w:spacing w:val="-2"/>
                <w:sz w:val="28"/>
              </w:rPr>
              <w:t>кислота</w:t>
            </w:r>
          </w:p>
        </w:tc>
      </w:tr>
      <w:tr>
        <w:trPr>
          <w:trHeight w:val="322" w:hRule="atLeast"/>
        </w:trPr>
        <w:tc>
          <w:tcPr>
            <w:tcW w:w="1573" w:type="dxa"/>
          </w:tcPr>
          <w:p>
            <w:pPr>
              <w:pStyle w:val="TableParagraph"/>
              <w:spacing w:line="303" w:lineRule="exact"/>
              <w:ind w:left="50"/>
              <w:rPr>
                <w:sz w:val="28"/>
              </w:rPr>
            </w:pPr>
            <w:r>
              <w:rPr>
                <w:spacing w:val="-5"/>
                <w:sz w:val="28"/>
              </w:rPr>
              <w:t>УФ</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pacing w:val="-2"/>
                <w:sz w:val="28"/>
              </w:rPr>
              <w:t>ультрафиолет</w:t>
            </w:r>
          </w:p>
        </w:tc>
      </w:tr>
      <w:tr>
        <w:trPr>
          <w:trHeight w:val="322" w:hRule="atLeast"/>
        </w:trPr>
        <w:tc>
          <w:tcPr>
            <w:tcW w:w="1573" w:type="dxa"/>
          </w:tcPr>
          <w:p>
            <w:pPr>
              <w:pStyle w:val="TableParagraph"/>
              <w:spacing w:line="303" w:lineRule="exact"/>
              <w:ind w:left="50"/>
              <w:rPr>
                <w:sz w:val="28"/>
              </w:rPr>
            </w:pPr>
            <w:r>
              <w:rPr>
                <w:spacing w:val="-5"/>
                <w:sz w:val="28"/>
              </w:rPr>
              <w:t>ФС</w:t>
            </w:r>
          </w:p>
        </w:tc>
        <w:tc>
          <w:tcPr>
            <w:tcW w:w="605" w:type="dxa"/>
          </w:tcPr>
          <w:p>
            <w:pPr>
              <w:pStyle w:val="TableParagraph"/>
              <w:spacing w:line="303" w:lineRule="exact"/>
              <w:ind w:right="1"/>
              <w:jc w:val="center"/>
              <w:rPr>
                <w:sz w:val="28"/>
              </w:rPr>
            </w:pPr>
            <w:r>
              <w:rPr>
                <w:sz w:val="28"/>
              </w:rPr>
              <w:t>–</w:t>
            </w:r>
          </w:p>
        </w:tc>
        <w:tc>
          <w:tcPr>
            <w:tcW w:w="7562" w:type="dxa"/>
          </w:tcPr>
          <w:p>
            <w:pPr>
              <w:pStyle w:val="TableParagraph"/>
              <w:spacing w:line="303" w:lineRule="exact"/>
              <w:ind w:left="233"/>
              <w:rPr>
                <w:sz w:val="28"/>
              </w:rPr>
            </w:pPr>
            <w:r>
              <w:rPr>
                <w:sz w:val="28"/>
              </w:rPr>
              <w:t>фиброзный</w:t>
            </w:r>
            <w:r>
              <w:rPr>
                <w:spacing w:val="-9"/>
                <w:sz w:val="28"/>
              </w:rPr>
              <w:t> </w:t>
            </w:r>
            <w:r>
              <w:rPr>
                <w:spacing w:val="-4"/>
                <w:sz w:val="28"/>
              </w:rPr>
              <w:t>слой</w:t>
            </w:r>
          </w:p>
        </w:tc>
      </w:tr>
      <w:tr>
        <w:trPr>
          <w:trHeight w:val="321" w:hRule="atLeast"/>
        </w:trPr>
        <w:tc>
          <w:tcPr>
            <w:tcW w:w="1573" w:type="dxa"/>
          </w:tcPr>
          <w:p>
            <w:pPr>
              <w:pStyle w:val="TableParagraph"/>
              <w:spacing w:line="302" w:lineRule="exact"/>
              <w:ind w:left="50"/>
              <w:rPr>
                <w:sz w:val="28"/>
              </w:rPr>
            </w:pPr>
            <w:r>
              <w:rPr>
                <w:spacing w:val="-4"/>
                <w:sz w:val="28"/>
              </w:rPr>
              <w:t>цАМФ</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циклический</w:t>
            </w:r>
            <w:r>
              <w:rPr>
                <w:spacing w:val="-9"/>
                <w:sz w:val="28"/>
              </w:rPr>
              <w:t> </w:t>
            </w:r>
            <w:r>
              <w:rPr>
                <w:spacing w:val="-2"/>
                <w:sz w:val="28"/>
              </w:rPr>
              <w:t>аденозинмонофосфат</w:t>
            </w:r>
          </w:p>
        </w:tc>
      </w:tr>
      <w:tr>
        <w:trPr>
          <w:trHeight w:val="321" w:hRule="atLeast"/>
        </w:trPr>
        <w:tc>
          <w:tcPr>
            <w:tcW w:w="1573" w:type="dxa"/>
          </w:tcPr>
          <w:p>
            <w:pPr>
              <w:pStyle w:val="TableParagraph"/>
              <w:spacing w:line="302" w:lineRule="exact"/>
              <w:ind w:left="50"/>
              <w:rPr>
                <w:sz w:val="28"/>
              </w:rPr>
            </w:pPr>
            <w:r>
              <w:rPr>
                <w:spacing w:val="-5"/>
                <w:sz w:val="28"/>
              </w:rPr>
              <w:t>ЭКО</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z w:val="28"/>
              </w:rPr>
              <w:t>экстракорпоральное</w:t>
            </w:r>
            <w:r>
              <w:rPr>
                <w:spacing w:val="-15"/>
                <w:sz w:val="28"/>
              </w:rPr>
              <w:t> </w:t>
            </w:r>
            <w:r>
              <w:rPr>
                <w:spacing w:val="-2"/>
                <w:sz w:val="28"/>
              </w:rPr>
              <w:t>оплодотворение</w:t>
            </w:r>
          </w:p>
        </w:tc>
      </w:tr>
      <w:tr>
        <w:trPr>
          <w:trHeight w:val="321" w:hRule="atLeast"/>
        </w:trPr>
        <w:tc>
          <w:tcPr>
            <w:tcW w:w="1573" w:type="dxa"/>
          </w:tcPr>
          <w:p>
            <w:pPr>
              <w:pStyle w:val="TableParagraph"/>
              <w:spacing w:line="302" w:lineRule="exact"/>
              <w:ind w:left="50"/>
              <w:rPr>
                <w:sz w:val="28"/>
              </w:rPr>
            </w:pPr>
            <w:r>
              <w:rPr>
                <w:spacing w:val="-5"/>
                <w:sz w:val="28"/>
              </w:rPr>
              <w:t>эВ</w:t>
            </w:r>
          </w:p>
        </w:tc>
        <w:tc>
          <w:tcPr>
            <w:tcW w:w="605" w:type="dxa"/>
          </w:tcPr>
          <w:p>
            <w:pPr>
              <w:pStyle w:val="TableParagraph"/>
              <w:spacing w:line="302" w:lineRule="exact"/>
              <w:ind w:right="1"/>
              <w:jc w:val="center"/>
              <w:rPr>
                <w:sz w:val="28"/>
              </w:rPr>
            </w:pPr>
            <w:r>
              <w:rPr>
                <w:sz w:val="28"/>
              </w:rPr>
              <w:t>–</w:t>
            </w:r>
          </w:p>
        </w:tc>
        <w:tc>
          <w:tcPr>
            <w:tcW w:w="7562" w:type="dxa"/>
          </w:tcPr>
          <w:p>
            <w:pPr>
              <w:pStyle w:val="TableParagraph"/>
              <w:spacing w:line="302" w:lineRule="exact"/>
              <w:ind w:left="233"/>
              <w:rPr>
                <w:sz w:val="28"/>
              </w:rPr>
            </w:pPr>
            <w:r>
              <w:rPr>
                <w:spacing w:val="-2"/>
                <w:sz w:val="28"/>
              </w:rPr>
              <w:t>электронвольт</w:t>
            </w:r>
          </w:p>
        </w:tc>
      </w:tr>
      <w:tr>
        <w:trPr>
          <w:trHeight w:val="316" w:hRule="atLeast"/>
        </w:trPr>
        <w:tc>
          <w:tcPr>
            <w:tcW w:w="1573" w:type="dxa"/>
          </w:tcPr>
          <w:p>
            <w:pPr>
              <w:pStyle w:val="TableParagraph"/>
              <w:spacing w:line="296" w:lineRule="exact"/>
              <w:ind w:left="50"/>
              <w:rPr>
                <w:sz w:val="28"/>
              </w:rPr>
            </w:pPr>
            <w:r>
              <w:rPr>
                <w:spacing w:val="-5"/>
                <w:sz w:val="28"/>
              </w:rPr>
              <w:t>ЭМИ</w:t>
            </w:r>
          </w:p>
        </w:tc>
        <w:tc>
          <w:tcPr>
            <w:tcW w:w="605" w:type="dxa"/>
          </w:tcPr>
          <w:p>
            <w:pPr>
              <w:pStyle w:val="TableParagraph"/>
              <w:spacing w:line="296" w:lineRule="exact"/>
              <w:ind w:right="1"/>
              <w:jc w:val="center"/>
              <w:rPr>
                <w:sz w:val="28"/>
              </w:rPr>
            </w:pPr>
            <w:r>
              <w:rPr>
                <w:sz w:val="28"/>
              </w:rPr>
              <w:t>–</w:t>
            </w:r>
          </w:p>
        </w:tc>
        <w:tc>
          <w:tcPr>
            <w:tcW w:w="7562" w:type="dxa"/>
          </w:tcPr>
          <w:p>
            <w:pPr>
              <w:pStyle w:val="TableParagraph"/>
              <w:spacing w:line="296" w:lineRule="exact"/>
              <w:ind w:left="233"/>
              <w:rPr>
                <w:sz w:val="28"/>
              </w:rPr>
            </w:pPr>
            <w:r>
              <w:rPr>
                <w:sz w:val="28"/>
              </w:rPr>
              <w:t>электромагнитное</w:t>
            </w:r>
            <w:r>
              <w:rPr>
                <w:spacing w:val="-14"/>
                <w:sz w:val="28"/>
              </w:rPr>
              <w:t> </w:t>
            </w:r>
            <w:r>
              <w:rPr>
                <w:spacing w:val="-2"/>
                <w:sz w:val="28"/>
              </w:rPr>
              <w:t>излучение</w:t>
            </w:r>
          </w:p>
        </w:tc>
      </w:tr>
    </w:tbl>
    <w:p>
      <w:pPr>
        <w:pStyle w:val="TableParagraph"/>
        <w:spacing w:after="0" w:line="296" w:lineRule="exact"/>
        <w:rPr>
          <w:sz w:val="28"/>
        </w:rPr>
        <w:sectPr>
          <w:pgSz w:w="11910" w:h="16840"/>
          <w:pgMar w:header="0" w:footer="970" w:top="1100" w:bottom="1200" w:left="1559" w:right="425"/>
        </w:sectPr>
      </w:pPr>
    </w:p>
    <w:p>
      <w:pPr>
        <w:pStyle w:val="Heading1"/>
        <w:spacing w:before="74"/>
        <w:ind w:right="111"/>
      </w:pPr>
      <w:r>
        <w:rPr>
          <w:spacing w:val="-2"/>
        </w:rPr>
        <w:t>ВВЕДЕНИЕ</w:t>
      </w:r>
    </w:p>
    <w:p>
      <w:pPr>
        <w:pStyle w:val="BodyText"/>
        <w:spacing w:before="2"/>
        <w:jc w:val="left"/>
        <w:rPr>
          <w:b/>
        </w:rPr>
      </w:pPr>
    </w:p>
    <w:p>
      <w:pPr>
        <w:pStyle w:val="Heading2"/>
        <w:ind w:left="850" w:firstLine="0"/>
      </w:pPr>
      <w:r>
        <w:rPr/>
        <w:t>Общая</w:t>
      </w:r>
      <w:r>
        <w:rPr>
          <w:spacing w:val="-12"/>
        </w:rPr>
        <w:t> </w:t>
      </w:r>
      <w:r>
        <w:rPr/>
        <w:t>характеристика</w:t>
      </w:r>
      <w:r>
        <w:rPr>
          <w:spacing w:val="-8"/>
        </w:rPr>
        <w:t> </w:t>
      </w:r>
      <w:r>
        <w:rPr/>
        <w:t>диссертационной</w:t>
      </w:r>
      <w:r>
        <w:rPr>
          <w:spacing w:val="-9"/>
        </w:rPr>
        <w:t> </w:t>
      </w:r>
      <w:r>
        <w:rPr>
          <w:spacing w:val="-2"/>
        </w:rPr>
        <w:t>работы</w:t>
      </w:r>
    </w:p>
    <w:p>
      <w:pPr>
        <w:pStyle w:val="BodyText"/>
        <w:spacing w:line="256" w:lineRule="auto" w:before="21"/>
        <w:ind w:left="142" w:right="137" w:firstLine="707"/>
      </w:pPr>
      <w:r>
        <w:rPr/>
        <w:t>Работа направлена на исследование влияния электромагнитных</w:t>
      </w:r>
      <w:r>
        <w:rPr>
          <w:spacing w:val="40"/>
        </w:rPr>
        <w:t> </w:t>
      </w:r>
      <w:r>
        <w:rPr/>
        <w:t>излучений видимого и инфракрасного диапазонов на подвижность и ультраструктурную организацию сперматозоидов человека. Диссертация подводит итог пятилетнему мультицентровому комплексному исследованию с использованием материальных баз следующих учреждений: КГУ «Городской центр репродукции человека (г. Алматы, Казахстан), кафедра эмбриологии МГУ им. М.В. Ломоносова, НИИ ФХБ им. А.Н. Белозерского, Медико-генетический</w:t>
      </w:r>
      <w:r>
        <w:rPr>
          <w:spacing w:val="35"/>
        </w:rPr>
        <w:t> </w:t>
      </w:r>
      <w:r>
        <w:rPr/>
        <w:t>научный</w:t>
      </w:r>
      <w:r>
        <w:rPr>
          <w:spacing w:val="35"/>
        </w:rPr>
        <w:t> </w:t>
      </w:r>
      <w:r>
        <w:rPr/>
        <w:t>центр</w:t>
      </w:r>
      <w:r>
        <w:rPr>
          <w:spacing w:val="35"/>
        </w:rPr>
        <w:t> </w:t>
      </w:r>
      <w:r>
        <w:rPr/>
        <w:t>им.</w:t>
      </w:r>
      <w:r>
        <w:rPr>
          <w:spacing w:val="37"/>
        </w:rPr>
        <w:t> </w:t>
      </w:r>
      <w:r>
        <w:rPr/>
        <w:t>Н.П.</w:t>
      </w:r>
      <w:r>
        <w:rPr>
          <w:spacing w:val="33"/>
        </w:rPr>
        <w:t> </w:t>
      </w:r>
      <w:r>
        <w:rPr/>
        <w:t>Бочкова,</w:t>
      </w:r>
      <w:r>
        <w:rPr>
          <w:spacing w:val="36"/>
        </w:rPr>
        <w:t> </w:t>
      </w:r>
      <w:r>
        <w:rPr/>
        <w:t>Медико-биологический</w:t>
      </w:r>
      <w:r>
        <w:rPr>
          <w:spacing w:val="38"/>
        </w:rPr>
        <w:t> </w:t>
      </w:r>
      <w:r>
        <w:rPr>
          <w:spacing w:val="-2"/>
        </w:rPr>
        <w:t>центр</w:t>
      </w:r>
    </w:p>
    <w:p>
      <w:pPr>
        <w:pStyle w:val="BodyText"/>
        <w:spacing w:line="256" w:lineRule="auto"/>
        <w:ind w:left="142" w:right="139"/>
      </w:pPr>
      <w:r>
        <w:rPr/>
        <w:t>«Пастер», кафедра общей физики и волновых процессов МГУ им. М.В. Ломоносова (г. Москва, Российская Федерация).</w:t>
      </w:r>
    </w:p>
    <w:p>
      <w:pPr>
        <w:pStyle w:val="Heading2"/>
        <w:spacing w:line="319" w:lineRule="exact"/>
        <w:ind w:left="850" w:firstLine="0"/>
      </w:pPr>
      <w:r>
        <w:rPr/>
        <w:t>Актуальность</w:t>
      </w:r>
      <w:r>
        <w:rPr>
          <w:spacing w:val="-7"/>
        </w:rPr>
        <w:t> </w:t>
      </w:r>
      <w:r>
        <w:rPr/>
        <w:t>темы</w:t>
      </w:r>
      <w:r>
        <w:rPr>
          <w:spacing w:val="-6"/>
        </w:rPr>
        <w:t> </w:t>
      </w:r>
      <w:r>
        <w:rPr>
          <w:spacing w:val="-2"/>
        </w:rPr>
        <w:t>исследования</w:t>
      </w:r>
    </w:p>
    <w:p>
      <w:pPr>
        <w:pStyle w:val="BodyText"/>
        <w:spacing w:line="256" w:lineRule="auto" w:before="13"/>
        <w:ind w:left="142" w:right="135" w:firstLine="708"/>
      </w:pPr>
      <w:r>
        <w:rPr/>
        <w:t>В связи с высокой потребностью общества во вспомогательных репродуктивных технологиях (ВРТ), не имеющей тенденции к снижению, актуален поиск способов модулирования подвижности сперматозоидов </w:t>
      </w:r>
      <w:r>
        <w:rPr>
          <w:i/>
        </w:rPr>
        <w:t>in vitro </w:t>
      </w:r>
      <w:r>
        <w:rPr/>
        <w:t>для повышения эффективности протоколов ВРТ. История экспериментального воздействия видимого и инфракрасного электромагнитных излучений (ЭМИ)</w:t>
      </w:r>
      <w:r>
        <w:rPr>
          <w:spacing w:val="80"/>
        </w:rPr>
        <w:t> </w:t>
      </w:r>
      <w:r>
        <w:rPr/>
        <w:t>на сперматозоиды животных начинается</w:t>
      </w:r>
      <w:r>
        <w:rPr>
          <w:spacing w:val="-1"/>
        </w:rPr>
        <w:t> </w:t>
      </w:r>
      <w:r>
        <w:rPr/>
        <w:t>с конца 80-х годов</w:t>
      </w:r>
      <w:r>
        <w:rPr>
          <w:spacing w:val="-2"/>
        </w:rPr>
        <w:t> </w:t>
      </w:r>
      <w:r>
        <w:rPr/>
        <w:t>прошлого столетия. За это время стало известно, что ЭМИ имеет выраженное влияние на важнейшие процессы в клетках, в число которых входит продукция аденозитрифосфата (АТФ) – универсального источника энергии почти для всех живых объектов [1-4].</w:t>
      </w:r>
      <w:r>
        <w:rPr>
          <w:spacing w:val="40"/>
        </w:rPr>
        <w:t> </w:t>
      </w:r>
      <w:r>
        <w:rPr/>
        <w:t>Задокументировано влияние ЭМИ на активность цитохромоксидазы - части биохимического пути окислительного фосфорилирования</w:t>
      </w:r>
      <w:r>
        <w:rPr>
          <w:spacing w:val="-3"/>
        </w:rPr>
        <w:t> </w:t>
      </w:r>
      <w:r>
        <w:rPr/>
        <w:t>[5-12].</w:t>
      </w:r>
      <w:r>
        <w:rPr>
          <w:spacing w:val="-4"/>
        </w:rPr>
        <w:t> </w:t>
      </w:r>
      <w:r>
        <w:rPr/>
        <w:t>Актуально</w:t>
      </w:r>
      <w:r>
        <w:rPr>
          <w:spacing w:val="-3"/>
        </w:rPr>
        <w:t> </w:t>
      </w:r>
      <w:r>
        <w:rPr/>
        <w:t>понимание</w:t>
      </w:r>
      <w:r>
        <w:rPr>
          <w:spacing w:val="-4"/>
        </w:rPr>
        <w:t> </w:t>
      </w:r>
      <w:r>
        <w:rPr/>
        <w:t>влияния</w:t>
      </w:r>
      <w:r>
        <w:rPr>
          <w:spacing w:val="-3"/>
        </w:rPr>
        <w:t> </w:t>
      </w:r>
      <w:r>
        <w:rPr/>
        <w:t>ЭМИ</w:t>
      </w:r>
      <w:r>
        <w:rPr>
          <w:spacing w:val="-3"/>
        </w:rPr>
        <w:t> </w:t>
      </w:r>
      <w:r>
        <w:rPr/>
        <w:t>на</w:t>
      </w:r>
      <w:r>
        <w:rPr>
          <w:spacing w:val="-4"/>
        </w:rPr>
        <w:t> </w:t>
      </w:r>
      <w:r>
        <w:rPr/>
        <w:t>подвижность сперматозоидов при астенозооспермии. Необходимо установление влияния ЭМИ на изменение таких ультраструктурных параметров сперматозоида как активация акросомной реакции, нормальное или патологическое положение акросомы, изменения постакросомной пластины, конденсация хроматина, степень вакуолизации нуклеосомы, а также конформацию</w:t>
      </w:r>
      <w:r>
        <w:rPr>
          <w:spacing w:val="-1"/>
        </w:rPr>
        <w:t> </w:t>
      </w:r>
      <w:r>
        <w:rPr/>
        <w:t>митохондрий. До сих пор не понятно, как ЭМИ влияет и влияет ли вообще, на компактизацию содержимого акросомы и нуклеосомы, организацию или дезорганизацию аксонемы сперматозоидов, изменение морфологии периферических микротрубочек аксонемы. Необходимо формирование взгляда научного сообщества о влиянии ЭМИ на энергетические процессы в сперматозоидах человека и степень фрагментации их ДНК. Поиск методов изменения подвижности сперматозоидов при помощи ЭМИ для повышения</w:t>
      </w:r>
      <w:r>
        <w:rPr>
          <w:spacing w:val="40"/>
        </w:rPr>
        <w:t> </w:t>
      </w:r>
      <w:r>
        <w:rPr/>
        <w:t>эффективности ВРТ имеет практическую актуальность, поскольку состояния, характеризующиеся нарушением сперматогенеза, составляют, приблизительно, половину случаев причин бесплодного брака [13]. Модулирование</w:t>
      </w:r>
      <w:r>
        <w:rPr>
          <w:spacing w:val="40"/>
        </w:rPr>
        <w:t> </w:t>
      </w:r>
      <w:r>
        <w:rPr/>
        <w:t>подвижности</w:t>
      </w:r>
      <w:r>
        <w:rPr>
          <w:spacing w:val="24"/>
        </w:rPr>
        <w:t>  </w:t>
      </w:r>
      <w:r>
        <w:rPr/>
        <w:t>мужских</w:t>
      </w:r>
      <w:r>
        <w:rPr>
          <w:spacing w:val="24"/>
        </w:rPr>
        <w:t>  </w:t>
      </w:r>
      <w:r>
        <w:rPr/>
        <w:t>гамет</w:t>
      </w:r>
      <w:r>
        <w:rPr>
          <w:spacing w:val="24"/>
        </w:rPr>
        <w:t>  </w:t>
      </w:r>
      <w:r>
        <w:rPr/>
        <w:t>после</w:t>
      </w:r>
      <w:r>
        <w:rPr>
          <w:spacing w:val="24"/>
        </w:rPr>
        <w:t>  </w:t>
      </w:r>
      <w:r>
        <w:rPr/>
        <w:t>криоконсервации</w:t>
      </w:r>
      <w:r>
        <w:rPr>
          <w:spacing w:val="24"/>
        </w:rPr>
        <w:t>  </w:t>
      </w:r>
      <w:r>
        <w:rPr/>
        <w:t>является</w:t>
      </w:r>
      <w:r>
        <w:rPr>
          <w:spacing w:val="24"/>
        </w:rPr>
        <w:t>  </w:t>
      </w:r>
      <w:r>
        <w:rPr>
          <w:spacing w:val="-2"/>
        </w:rPr>
        <w:t>актуальной</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6"/>
      </w:pPr>
      <w:r>
        <w:rPr/>
        <w:t>узкоспециализированной задачей, так как число подвижных сперматозоидов после заморозки уменьшается, снижается также и доля прогрессивно-подвижных сперматозоидов [14].</w:t>
      </w:r>
    </w:p>
    <w:p>
      <w:pPr>
        <w:pStyle w:val="BodyText"/>
        <w:spacing w:line="256" w:lineRule="auto"/>
        <w:ind w:left="142" w:right="139" w:firstLine="708"/>
      </w:pPr>
      <w:r>
        <w:rPr>
          <w:b/>
        </w:rPr>
        <w:t>Цель исследования: </w:t>
      </w:r>
      <w:r>
        <w:rPr/>
        <w:t>изучить потенциал экспериментального</w:t>
      </w:r>
      <w:r>
        <w:rPr>
          <w:spacing w:val="80"/>
        </w:rPr>
        <w:t> </w:t>
      </w:r>
      <w:r>
        <w:rPr/>
        <w:t>воздействия ЭМИ видимого и инфракрасного диапазонов на подвижность и ультраструктурную организацию мужских гамет </w:t>
      </w:r>
      <w:r>
        <w:rPr>
          <w:i/>
        </w:rPr>
        <w:t>in vitro</w:t>
      </w:r>
      <w:r>
        <w:rPr/>
        <w:t>.</w:t>
      </w:r>
    </w:p>
    <w:p>
      <w:pPr>
        <w:pStyle w:val="Heading2"/>
        <w:spacing w:line="318" w:lineRule="exact"/>
        <w:ind w:left="850" w:firstLine="0"/>
      </w:pPr>
      <w:r>
        <w:rPr/>
        <w:t>Задачи</w:t>
      </w:r>
      <w:r>
        <w:rPr>
          <w:spacing w:val="-3"/>
        </w:rPr>
        <w:t> </w:t>
      </w:r>
      <w:r>
        <w:rPr>
          <w:spacing w:val="-2"/>
        </w:rPr>
        <w:t>исследования:</w:t>
      </w:r>
    </w:p>
    <w:p>
      <w:pPr>
        <w:pStyle w:val="ListParagraph"/>
        <w:numPr>
          <w:ilvl w:val="0"/>
          <w:numId w:val="1"/>
        </w:numPr>
        <w:tabs>
          <w:tab w:pos="1297" w:val="left" w:leader="none"/>
        </w:tabs>
        <w:spacing w:line="256" w:lineRule="auto" w:before="20" w:after="0"/>
        <w:ind w:left="142" w:right="142" w:firstLine="708"/>
        <w:jc w:val="both"/>
        <w:rPr>
          <w:sz w:val="28"/>
        </w:rPr>
      </w:pPr>
      <w:r>
        <w:rPr>
          <w:sz w:val="28"/>
        </w:rPr>
        <w:t>Определить структуру нарушений сперматогенеза у мужчин в бесплодных браках.</w:t>
      </w:r>
    </w:p>
    <w:p>
      <w:pPr>
        <w:pStyle w:val="ListParagraph"/>
        <w:numPr>
          <w:ilvl w:val="0"/>
          <w:numId w:val="1"/>
        </w:numPr>
        <w:tabs>
          <w:tab w:pos="1198" w:val="left" w:leader="none"/>
        </w:tabs>
        <w:spacing w:line="256" w:lineRule="auto" w:before="0" w:after="0"/>
        <w:ind w:left="142" w:right="139" w:firstLine="707"/>
        <w:jc w:val="both"/>
        <w:rPr>
          <w:sz w:val="28"/>
        </w:rPr>
      </w:pPr>
      <w:r>
        <w:rPr>
          <w:sz w:val="28"/>
        </w:rPr>
        <w:t>Сконструировать и собрать прибор - электромагнитный излучатель, провести его лабораторные испытания.</w:t>
      </w:r>
    </w:p>
    <w:p>
      <w:pPr>
        <w:pStyle w:val="ListParagraph"/>
        <w:numPr>
          <w:ilvl w:val="0"/>
          <w:numId w:val="1"/>
        </w:numPr>
        <w:tabs>
          <w:tab w:pos="1193" w:val="left" w:leader="none"/>
        </w:tabs>
        <w:spacing w:line="256" w:lineRule="auto" w:before="0" w:after="0"/>
        <w:ind w:left="142" w:right="137" w:firstLine="707"/>
        <w:jc w:val="both"/>
        <w:rPr>
          <w:sz w:val="28"/>
        </w:rPr>
      </w:pPr>
      <w:r>
        <w:rPr>
          <w:sz w:val="28"/>
        </w:rPr>
        <w:t>Определить</w:t>
      </w:r>
      <w:r>
        <w:rPr>
          <w:spacing w:val="40"/>
          <w:sz w:val="28"/>
        </w:rPr>
        <w:t> </w:t>
      </w:r>
      <w:r>
        <w:rPr>
          <w:sz w:val="28"/>
        </w:rPr>
        <w:t>влияние электромагнитного излучения на подвижность сперматозоидов при астенозооспермии, изучить влияние ЭМИ на ультраструктуры головки, шейки и хвоста сперматозоидов человека;</w:t>
      </w:r>
    </w:p>
    <w:p>
      <w:pPr>
        <w:pStyle w:val="ListParagraph"/>
        <w:numPr>
          <w:ilvl w:val="0"/>
          <w:numId w:val="1"/>
        </w:numPr>
        <w:tabs>
          <w:tab w:pos="1210" w:val="left" w:leader="none"/>
        </w:tabs>
        <w:spacing w:line="256" w:lineRule="auto" w:before="0" w:after="0"/>
        <w:ind w:left="142" w:right="137" w:firstLine="707"/>
        <w:jc w:val="both"/>
        <w:rPr>
          <w:sz w:val="28"/>
        </w:rPr>
      </w:pPr>
      <w:r>
        <w:rPr>
          <w:sz w:val="28"/>
        </w:rPr>
        <w:t>Оценить в условиях эксперимента</w:t>
      </w:r>
      <w:r>
        <w:rPr>
          <w:spacing w:val="40"/>
          <w:sz w:val="28"/>
        </w:rPr>
        <w:t> </w:t>
      </w:r>
      <w:r>
        <w:rPr>
          <w:sz w:val="28"/>
        </w:rPr>
        <w:t>воздействие электромагнитного излучения на индекс фрагментации ДНК и активность митохондрий облученных сперматозоидов на основе степени поляризации</w:t>
      </w:r>
      <w:r>
        <w:rPr>
          <w:spacing w:val="40"/>
          <w:sz w:val="28"/>
        </w:rPr>
        <w:t> </w:t>
      </w:r>
      <w:r>
        <w:rPr>
          <w:sz w:val="28"/>
        </w:rPr>
        <w:t>митохондриальных мембран;</w:t>
      </w:r>
    </w:p>
    <w:p>
      <w:pPr>
        <w:pStyle w:val="ListParagraph"/>
        <w:numPr>
          <w:ilvl w:val="0"/>
          <w:numId w:val="1"/>
        </w:numPr>
        <w:tabs>
          <w:tab w:pos="1256" w:val="left" w:leader="none"/>
        </w:tabs>
        <w:spacing w:line="256" w:lineRule="auto" w:before="0" w:after="0"/>
        <w:ind w:left="142" w:right="138" w:firstLine="707"/>
        <w:jc w:val="both"/>
        <w:rPr>
          <w:sz w:val="28"/>
        </w:rPr>
      </w:pPr>
      <w:r>
        <w:rPr>
          <w:sz w:val="28"/>
        </w:rPr>
        <w:t>Определить оптимальный</w:t>
      </w:r>
      <w:r>
        <w:rPr>
          <w:spacing w:val="40"/>
          <w:sz w:val="28"/>
        </w:rPr>
        <w:t> </w:t>
      </w:r>
      <w:r>
        <w:rPr>
          <w:sz w:val="28"/>
        </w:rPr>
        <w:t>режим ЭМИ положительно влияющий</w:t>
      </w:r>
      <w:r>
        <w:rPr>
          <w:spacing w:val="40"/>
          <w:sz w:val="28"/>
        </w:rPr>
        <w:t> </w:t>
      </w:r>
      <w:r>
        <w:rPr>
          <w:sz w:val="28"/>
        </w:rPr>
        <w:t>на подвижность сперматозоидов, не приводящий</w:t>
      </w:r>
      <w:r>
        <w:rPr>
          <w:spacing w:val="40"/>
          <w:sz w:val="28"/>
        </w:rPr>
        <w:t> </w:t>
      </w:r>
      <w:r>
        <w:rPr>
          <w:sz w:val="28"/>
        </w:rPr>
        <w:t>к увеличению индекса фрагментации ДНК и появлению ультраструктурных аномалий в </w:t>
      </w:r>
      <w:r>
        <w:rPr>
          <w:spacing w:val="-2"/>
          <w:sz w:val="28"/>
        </w:rPr>
        <w:t>сперматозоидах.</w:t>
      </w:r>
    </w:p>
    <w:p>
      <w:pPr>
        <w:spacing w:line="256" w:lineRule="auto" w:before="0"/>
        <w:ind w:left="142" w:right="137" w:firstLine="707"/>
        <w:jc w:val="both"/>
        <w:rPr>
          <w:sz w:val="28"/>
        </w:rPr>
      </w:pPr>
      <w:r>
        <w:rPr>
          <w:b/>
          <w:sz w:val="28"/>
        </w:rPr>
        <w:t>Объект исследования - </w:t>
      </w:r>
      <w:r>
        <w:rPr>
          <w:sz w:val="28"/>
        </w:rPr>
        <w:t>сперматозоиды бесплодных мужчин с </w:t>
      </w:r>
      <w:r>
        <w:rPr>
          <w:spacing w:val="-2"/>
          <w:sz w:val="28"/>
        </w:rPr>
        <w:t>астенозооспермией.</w:t>
      </w:r>
    </w:p>
    <w:p>
      <w:pPr>
        <w:pStyle w:val="BodyText"/>
        <w:spacing w:line="256" w:lineRule="auto"/>
        <w:ind w:left="142" w:right="137" w:firstLine="708"/>
      </w:pPr>
      <w:r>
        <w:rPr>
          <w:b/>
        </w:rPr>
        <w:t>Предмет исследования - </w:t>
      </w:r>
      <w:r>
        <w:rPr/>
        <w:t>ультраструктурная организация, подвижность, индекс фрагментации ДНК и активность митохондрий сперматозоидов</w:t>
      </w:r>
      <w:r>
        <w:rPr>
          <w:spacing w:val="40"/>
        </w:rPr>
        <w:t> </w:t>
      </w:r>
      <w:r>
        <w:rPr/>
        <w:t>человека после воздействия ЭМИ видимого и инфракрасного диапазонов.</w:t>
      </w:r>
    </w:p>
    <w:p>
      <w:pPr>
        <w:pStyle w:val="BodyText"/>
        <w:spacing w:line="256" w:lineRule="auto"/>
        <w:ind w:left="142" w:right="136" w:firstLine="708"/>
      </w:pPr>
      <w:r>
        <w:rPr>
          <w:b/>
        </w:rPr>
        <w:t>Методы исследования. </w:t>
      </w:r>
      <w:r>
        <w:rPr/>
        <w:t>Определение струкутуры нарушений сперматогенеза у пациентов с бесплодием проводили при помощи спермограммы с оценкой морфологии по Крюгеру. Иммунологические</w:t>
      </w:r>
      <w:r>
        <w:rPr>
          <w:spacing w:val="40"/>
        </w:rPr>
        <w:t> </w:t>
      </w:r>
      <w:r>
        <w:rPr/>
        <w:t>причины бесплодия исследовали путём смешанной антиглобулиновой реакции к IgG. Подвижность сперматозоидов в экспериментальных и контрольных аликвотах эякулята оценена с помощью компьютерного анализа подвижности сперматозоидов - CASA (сomputer-assisted sperm analysis). Исследование влияния ЭМИ на ультраструктуры сперматозоидов человека осуществляли методом трансмиссионной электронной микроскопии. Активность митохондриона регистрировали окрашиванием витальными флуоресцентными потенциал-зависимыми красителями с последующей конфокальной лазерной сканирующей микроскопией. Оценку воздействия электромагнитного излучения на генетический аппарат сперматозоидов осуществили методом мечения ник-концов терминальной дезоксинуклеотидилтрансферазой dUTP (TUNEL).</w:t>
      </w:r>
      <w:r>
        <w:rPr>
          <w:spacing w:val="76"/>
        </w:rPr>
        <w:t>    </w:t>
      </w:r>
      <w:r>
        <w:rPr/>
        <w:t>Длины</w:t>
      </w:r>
      <w:r>
        <w:rPr>
          <w:spacing w:val="45"/>
          <w:w w:val="150"/>
        </w:rPr>
        <w:t>    </w:t>
      </w:r>
      <w:r>
        <w:rPr/>
        <w:t>волн</w:t>
      </w:r>
      <w:r>
        <w:rPr>
          <w:spacing w:val="78"/>
        </w:rPr>
        <w:t>    </w:t>
      </w:r>
      <w:r>
        <w:rPr/>
        <w:t>применяемого</w:t>
      </w:r>
      <w:r>
        <w:rPr>
          <w:spacing w:val="79"/>
        </w:rPr>
        <w:t>    </w:t>
      </w:r>
      <w:r>
        <w:rPr/>
        <w:t>излучения</w:t>
      </w:r>
      <w:r>
        <w:rPr>
          <w:spacing w:val="80"/>
        </w:rPr>
        <w:t>    </w:t>
      </w:r>
      <w:r>
        <w:rPr>
          <w:spacing w:val="-2"/>
        </w:rPr>
        <w:t>измеряли</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5"/>
      </w:pPr>
      <w:r>
        <w:rPr/>
        <w:t>высокочувствительной оптоволоконной спектрофотометрией, мощность излучения замерена детектором волновой мощности. Статистический анализ проводили при помощи компьютерной программы по определению парного t-критерия Стьюдента, точного критерия Фишера с поправкой Бенджамини–Хохберга и теста Уилкоксона.</w:t>
      </w:r>
    </w:p>
    <w:p>
      <w:pPr>
        <w:pStyle w:val="Heading2"/>
        <w:spacing w:line="318" w:lineRule="exact"/>
        <w:ind w:left="850" w:firstLine="0"/>
      </w:pPr>
      <w:r>
        <w:rPr/>
        <w:t>Научная</w:t>
      </w:r>
      <w:r>
        <w:rPr>
          <w:spacing w:val="-7"/>
        </w:rPr>
        <w:t> </w:t>
      </w:r>
      <w:r>
        <w:rPr/>
        <w:t>новизна</w:t>
      </w:r>
      <w:r>
        <w:rPr>
          <w:spacing w:val="-5"/>
        </w:rPr>
        <w:t> </w:t>
      </w:r>
      <w:r>
        <w:rPr/>
        <w:t>диссертационной</w:t>
      </w:r>
      <w:r>
        <w:rPr>
          <w:spacing w:val="-6"/>
        </w:rPr>
        <w:t> </w:t>
      </w:r>
      <w:r>
        <w:rPr>
          <w:spacing w:val="-2"/>
        </w:rPr>
        <w:t>работы</w:t>
      </w:r>
    </w:p>
    <w:p>
      <w:pPr>
        <w:pStyle w:val="BodyText"/>
        <w:spacing w:line="256" w:lineRule="auto" w:before="21"/>
        <w:ind w:left="142" w:right="134" w:firstLine="708"/>
      </w:pPr>
      <w:r>
        <w:rPr/>
        <w:t>Определена структура нарушений сперматогенеза у мужчин в</w:t>
      </w:r>
      <w:r>
        <w:rPr>
          <w:spacing w:val="40"/>
        </w:rPr>
        <w:t> </w:t>
      </w:r>
      <w:r>
        <w:rPr/>
        <w:t>бесплодных браках, проживающих на территории Центральной Азии (Казахстан, Узбекистан). Показано, что основным отклонением в качестве эякулята является снижение скорости движения сперматозоидов (астенозооспермия) - 38,6% мужчин в бесплодных браках имеют этот признак. 47,1% мужчин, проживающих в бесплодном браке, имеют заключение о нормозооспермии (N=957) [15]. Впервые проведена работа по комплексной оценке влияния ЭМИ на мужские гаметы на молекулярном и клеточном уровнях организации жизни после обработки эякулята видимым и инфракрасным ЭМИ с длинами волн 463, 572, 589, 630, 651, 933 нм и диапазоном белого света в 400-750 нм. Проведена компьютерная регистрация подвижности сперматозоидов, уменьшающая вероятность ошибок и промахов экспериментатора. Показано достоверное увеличение подвижности сперматозоидов под воздействием ЭМИ с плотностью мощности излучения равной 0,354 мВт/см</w:t>
      </w:r>
      <w:r>
        <w:rPr>
          <w:vertAlign w:val="superscript"/>
        </w:rPr>
        <w:t>2</w:t>
      </w:r>
      <w:r>
        <w:rPr>
          <w:vertAlign w:val="baseline"/>
        </w:rPr>
        <w:t> на протяжении 5 (суммарная сообщаемая энергия 1,34 Дж) и 15 минут (4,01 Дж), о чём ранее не сообщалось в литературе. Впервые исследованы такие ультраструктурные морфологические маркеры как положение, форма, содержимое и деградация акросом, зрелость, вакуолизация, деградация хроматина, форма, укладка и свойства матрикса митохондрий после воздействия ЭМИ избранных диапазонов. Задокументировано увеличение активности митохондриального аппарата сперматозоидов при астенозооспермии после воздействия ЭМИ с плотностью мощности излучения равной 0,354 мВт/см</w:t>
      </w:r>
      <w:r>
        <w:rPr>
          <w:vertAlign w:val="superscript"/>
        </w:rPr>
        <w:t>2</w:t>
      </w:r>
      <w:r>
        <w:rPr>
          <w:vertAlign w:val="baseline"/>
        </w:rPr>
        <w:t> посредством витального флуоресцентного окрашивания митохондрий [16].</w:t>
      </w:r>
      <w:r>
        <w:rPr>
          <w:spacing w:val="40"/>
          <w:vertAlign w:val="baseline"/>
        </w:rPr>
        <w:t> </w:t>
      </w:r>
      <w:r>
        <w:rPr>
          <w:vertAlign w:val="baseline"/>
        </w:rPr>
        <w:t>Нами сообщается о том, что воздействие ЭМИ на протяжении 15 минут, вероятно, повышает упорядоченность укладки митохондрий, видимой при помощи трансмиссионной электронной микроскопии [17].</w:t>
      </w:r>
    </w:p>
    <w:p>
      <w:pPr>
        <w:pStyle w:val="Heading2"/>
        <w:spacing w:line="294" w:lineRule="exact"/>
        <w:ind w:left="851" w:firstLine="0"/>
      </w:pPr>
      <w:r>
        <w:rPr/>
        <w:t>Теоретическая</w:t>
      </w:r>
      <w:r>
        <w:rPr>
          <w:spacing w:val="-8"/>
        </w:rPr>
        <w:t> </w:t>
      </w:r>
      <w:r>
        <w:rPr/>
        <w:t>и</w:t>
      </w:r>
      <w:r>
        <w:rPr>
          <w:spacing w:val="-6"/>
        </w:rPr>
        <w:t> </w:t>
      </w:r>
      <w:r>
        <w:rPr/>
        <w:t>практическая</w:t>
      </w:r>
      <w:r>
        <w:rPr>
          <w:spacing w:val="-6"/>
        </w:rPr>
        <w:t> </w:t>
      </w:r>
      <w:r>
        <w:rPr/>
        <w:t>ценности</w:t>
      </w:r>
      <w:r>
        <w:rPr>
          <w:spacing w:val="-6"/>
        </w:rPr>
        <w:t> </w:t>
      </w:r>
      <w:r>
        <w:rPr>
          <w:spacing w:val="-2"/>
        </w:rPr>
        <w:t>работы</w:t>
      </w:r>
    </w:p>
    <w:p>
      <w:pPr>
        <w:pStyle w:val="BodyText"/>
        <w:spacing w:line="256" w:lineRule="auto" w:before="22"/>
        <w:ind w:left="143" w:right="133" w:firstLine="707"/>
      </w:pPr>
      <w:r>
        <w:rPr/>
        <w:t>Исследование дополняет имеющиеся знания о способности ЭМИ модулировать</w:t>
      </w:r>
      <w:r>
        <w:rPr>
          <w:spacing w:val="-3"/>
        </w:rPr>
        <w:t> </w:t>
      </w:r>
      <w:r>
        <w:rPr/>
        <w:t>биологические</w:t>
      </w:r>
      <w:r>
        <w:rPr>
          <w:spacing w:val="-2"/>
        </w:rPr>
        <w:t> </w:t>
      </w:r>
      <w:r>
        <w:rPr/>
        <w:t>процессы</w:t>
      </w:r>
      <w:r>
        <w:rPr>
          <w:spacing w:val="-4"/>
        </w:rPr>
        <w:t> </w:t>
      </w:r>
      <w:r>
        <w:rPr/>
        <w:t>в</w:t>
      </w:r>
      <w:r>
        <w:rPr>
          <w:spacing w:val="-3"/>
        </w:rPr>
        <w:t> </w:t>
      </w:r>
      <w:r>
        <w:rPr/>
        <w:t>нефотосинтезирующих</w:t>
      </w:r>
      <w:r>
        <w:rPr>
          <w:spacing w:val="-1"/>
        </w:rPr>
        <w:t> </w:t>
      </w:r>
      <w:r>
        <w:rPr/>
        <w:t>клетках</w:t>
      </w:r>
      <w:r>
        <w:rPr>
          <w:spacing w:val="-1"/>
        </w:rPr>
        <w:t> </w:t>
      </w:r>
      <w:r>
        <w:rPr/>
        <w:t>[1-12]. Имея представление о фотоакцептивности цитохром-С-оксидазы [5-12], ранее можно было бы только предположить, что увеличение её активности будет приводить к гиперпродукции АТФ и как следствие повышать скорость движения сперматозоидов. Данная работа аргументированно показывает, что ЭМИ видимого и инфракрасного диапазонов с совокупной энергией излучения от</w:t>
      </w:r>
      <w:r>
        <w:rPr>
          <w:spacing w:val="80"/>
        </w:rPr>
        <w:t> </w:t>
      </w:r>
      <w:r>
        <w:rPr/>
        <w:t>1,34</w:t>
      </w:r>
      <w:r>
        <w:rPr>
          <w:spacing w:val="80"/>
        </w:rPr>
        <w:t> </w:t>
      </w:r>
      <w:r>
        <w:rPr/>
        <w:t>Дж</w:t>
      </w:r>
      <w:r>
        <w:rPr>
          <w:spacing w:val="80"/>
        </w:rPr>
        <w:t> </w:t>
      </w:r>
      <w:r>
        <w:rPr/>
        <w:t>и</w:t>
      </w:r>
      <w:r>
        <w:rPr>
          <w:spacing w:val="80"/>
        </w:rPr>
        <w:t> </w:t>
      </w:r>
      <w:r>
        <w:rPr/>
        <w:t>плотностью</w:t>
      </w:r>
      <w:r>
        <w:rPr>
          <w:spacing w:val="80"/>
        </w:rPr>
        <w:t> </w:t>
      </w:r>
      <w:r>
        <w:rPr/>
        <w:t>энергии</w:t>
      </w:r>
      <w:r>
        <w:rPr>
          <w:spacing w:val="80"/>
        </w:rPr>
        <w:t> </w:t>
      </w:r>
      <w:r>
        <w:rPr/>
        <w:t>0,354</w:t>
      </w:r>
      <w:r>
        <w:rPr>
          <w:spacing w:val="80"/>
        </w:rPr>
        <w:t> </w:t>
      </w:r>
      <w:r>
        <w:rPr/>
        <w:t>мВт/см</w:t>
      </w:r>
      <w:r>
        <w:rPr>
          <w:vertAlign w:val="superscript"/>
        </w:rPr>
        <w:t>2</w:t>
      </w:r>
      <w:r>
        <w:rPr>
          <w:spacing w:val="80"/>
          <w:vertAlign w:val="baseline"/>
        </w:rPr>
        <w:t> </w:t>
      </w:r>
      <w:r>
        <w:rPr>
          <w:vertAlign w:val="baseline"/>
        </w:rPr>
        <w:t>достоверно</w:t>
      </w:r>
      <w:r>
        <w:rPr>
          <w:spacing w:val="80"/>
          <w:vertAlign w:val="baseline"/>
        </w:rPr>
        <w:t> </w:t>
      </w:r>
      <w:r>
        <w:rPr>
          <w:vertAlign w:val="baseline"/>
        </w:rPr>
        <w:t>увеличивает</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6"/>
      </w:pPr>
      <w:r>
        <w:rPr/>
        <w:t>прогрессивную и непрогрессивную подвижность сперматозоидов. Нами показано, что решающую роль в увеличении подвижности сперматозоидов играет не длительность воздействия ЭМИ, а количество энергии, единовременно сообщаемой эякуляту. Применяемые режимы ЭМИ не увеличивали индекс фрагментации ДНК сперматозоидов, оцененного при помощи мечения ник-концов концевой дезоксинуклеотидилтрансферазой dUTP (TUNEL). Практическая ценность работы заключается в том, что после прохождения официальных клинических испытаний, воздействие ЭМИ на эякулят можно применять в клиниках экстракорпорального оплодотворения, животноводстве, рыбоводстве и других отраслях народного хозяйства. Полученные результаты дают нам основу для внедрения воздействия ЭМИ на сперматозоиды пациентов с астенозооспермией в нескольких целях:</w:t>
      </w:r>
    </w:p>
    <w:p>
      <w:pPr>
        <w:pStyle w:val="BodyText"/>
        <w:spacing w:line="256" w:lineRule="auto"/>
        <w:ind w:left="142" w:right="139" w:firstLine="707"/>
      </w:pPr>
      <w:r>
        <w:rPr/>
        <w:t>а) для повышения подвижности астеничных сперматозоидов при экстракорпоральном оплодотворении;</w:t>
      </w:r>
    </w:p>
    <w:p>
      <w:pPr>
        <w:pStyle w:val="BodyText"/>
        <w:spacing w:line="256" w:lineRule="auto"/>
        <w:ind w:left="143" w:right="140" w:firstLine="707"/>
      </w:pPr>
      <w:r>
        <w:rPr/>
        <w:t>б) для повышения метаболической активности и подвижности сперматозоидов, перенесших криоконсервацию в жидком азоте;</w:t>
      </w:r>
    </w:p>
    <w:p>
      <w:pPr>
        <w:pStyle w:val="BodyText"/>
        <w:spacing w:line="256" w:lineRule="auto"/>
        <w:ind w:left="143" w:right="137" w:firstLine="707"/>
      </w:pPr>
      <w:r>
        <w:rPr/>
        <w:t>в) при отборе сперматозоидов с применением флотации и микрофлюидных чипов для повышения выхода сперматозоидов в тех случаях, когда качество эякулята минимальное;</w:t>
      </w:r>
    </w:p>
    <w:p>
      <w:pPr>
        <w:pStyle w:val="BodyText"/>
        <w:spacing w:line="256" w:lineRule="auto"/>
        <w:ind w:left="143" w:right="137" w:firstLine="707"/>
      </w:pPr>
      <w:r>
        <w:rPr/>
        <w:t>г) для активации движения сперматозоидов в тех случаях, когда все сперматозоиды в образце являются неподвижными.</w:t>
      </w:r>
    </w:p>
    <w:p>
      <w:pPr>
        <w:pStyle w:val="BodyText"/>
        <w:spacing w:line="256" w:lineRule="auto"/>
        <w:ind w:left="143" w:right="137" w:firstLine="707"/>
      </w:pPr>
      <w:r>
        <w:rPr/>
        <w:t>Важнейшими условиями внедрения в клиническую практику модулирования подвижности сперматозоидов являются безопасность применения и эффективность, являясь по своей сути предклиническим исследованием данная работа несет практическую ценность как источник знаний для биологии развития, цитологии и репродуктивной медицины.</w:t>
      </w:r>
    </w:p>
    <w:p>
      <w:pPr>
        <w:pStyle w:val="Heading2"/>
        <w:spacing w:line="315" w:lineRule="exact"/>
        <w:ind w:left="851" w:firstLine="0"/>
      </w:pPr>
      <w:r>
        <w:rPr/>
        <w:t>Основные</w:t>
      </w:r>
      <w:r>
        <w:rPr>
          <w:spacing w:val="-8"/>
        </w:rPr>
        <w:t> </w:t>
      </w:r>
      <w:r>
        <w:rPr/>
        <w:t>положения,</w:t>
      </w:r>
      <w:r>
        <w:rPr>
          <w:spacing w:val="-6"/>
        </w:rPr>
        <w:t> </w:t>
      </w:r>
      <w:r>
        <w:rPr/>
        <w:t>выносимые</w:t>
      </w:r>
      <w:r>
        <w:rPr>
          <w:spacing w:val="-6"/>
        </w:rPr>
        <w:t> </w:t>
      </w:r>
      <w:r>
        <w:rPr/>
        <w:t>на</w:t>
      </w:r>
      <w:r>
        <w:rPr>
          <w:spacing w:val="-4"/>
        </w:rPr>
        <w:t> </w:t>
      </w:r>
      <w:r>
        <w:rPr>
          <w:spacing w:val="-2"/>
        </w:rPr>
        <w:t>защиту:</w:t>
      </w:r>
    </w:p>
    <w:p>
      <w:pPr>
        <w:pStyle w:val="ListParagraph"/>
        <w:numPr>
          <w:ilvl w:val="0"/>
          <w:numId w:val="2"/>
        </w:numPr>
        <w:tabs>
          <w:tab w:pos="1558" w:val="left" w:leader="none"/>
        </w:tabs>
        <w:spacing w:line="256" w:lineRule="auto" w:before="0" w:after="0"/>
        <w:ind w:left="143" w:right="136" w:firstLine="708"/>
        <w:jc w:val="both"/>
        <w:rPr>
          <w:sz w:val="28"/>
        </w:rPr>
      </w:pPr>
      <w:r>
        <w:rPr>
          <w:sz w:val="28"/>
        </w:rPr>
        <w:t>Aстенозооспермия является наиболее распространенным состоянием среди всех отклонений эякулята в Центральной Азии (Казахстан, Узбекистан), всего 38,6% бесплодных мужчин имеют этот признак (N=957).</w:t>
      </w:r>
    </w:p>
    <w:p>
      <w:pPr>
        <w:pStyle w:val="ListParagraph"/>
        <w:numPr>
          <w:ilvl w:val="0"/>
          <w:numId w:val="2"/>
        </w:numPr>
        <w:tabs>
          <w:tab w:pos="1557" w:val="left" w:leader="none"/>
        </w:tabs>
        <w:spacing w:line="256" w:lineRule="auto" w:before="0" w:after="0"/>
        <w:ind w:left="142" w:right="136" w:firstLine="708"/>
        <w:jc w:val="both"/>
        <w:rPr>
          <w:sz w:val="28"/>
        </w:rPr>
      </w:pPr>
      <w:r>
        <w:rPr>
          <w:sz w:val="28"/>
        </w:rPr>
        <w:t>Показано, что 47,1% мужчин, живущих в бесплодном браке, имеют нормальные параметры эякулята (N=957).</w:t>
      </w:r>
    </w:p>
    <w:p>
      <w:pPr>
        <w:pStyle w:val="ListParagraph"/>
        <w:numPr>
          <w:ilvl w:val="0"/>
          <w:numId w:val="2"/>
        </w:numPr>
        <w:tabs>
          <w:tab w:pos="1557" w:val="left" w:leader="none"/>
        </w:tabs>
        <w:spacing w:line="256" w:lineRule="auto" w:before="0" w:after="0"/>
        <w:ind w:left="142" w:right="138" w:firstLine="708"/>
        <w:jc w:val="both"/>
        <w:rPr>
          <w:sz w:val="28"/>
        </w:rPr>
      </w:pPr>
      <w:r>
        <w:rPr>
          <w:sz w:val="28"/>
        </w:rPr>
        <w:t>Создан лабораторный прототип устройства, основными компонентами которого являются монохроматические светодиоды, белый светодиод, красный лазер и инфракрасный диод, способного in vitro увеличивать подвижность сперматозоидов человека при астенозооспермии</w:t>
      </w:r>
    </w:p>
    <w:p>
      <w:pPr>
        <w:pStyle w:val="ListParagraph"/>
        <w:numPr>
          <w:ilvl w:val="0"/>
          <w:numId w:val="2"/>
        </w:numPr>
        <w:tabs>
          <w:tab w:pos="1557" w:val="left" w:leader="none"/>
        </w:tabs>
        <w:spacing w:line="256" w:lineRule="auto" w:before="0" w:after="0"/>
        <w:ind w:left="142" w:right="137" w:firstLine="708"/>
        <w:jc w:val="both"/>
        <w:rPr>
          <w:sz w:val="28"/>
        </w:rPr>
      </w:pPr>
      <w:r>
        <w:rPr>
          <w:sz w:val="28"/>
        </w:rPr>
        <w:t>Монохроматическое светодиодное излучение в сочетании с 651-нанометровым лазерными и 933-нанометровым инфракрасным излучением с плотностью мощности излучения 0,354 мВт/см</w:t>
      </w:r>
      <w:r>
        <w:rPr>
          <w:sz w:val="28"/>
          <w:vertAlign w:val="superscript"/>
        </w:rPr>
        <w:t>2</w:t>
      </w:r>
      <w:r>
        <w:rPr>
          <w:sz w:val="28"/>
          <w:vertAlign w:val="baseline"/>
        </w:rPr>
        <w:t> и общей сообщаемой энергией 1,34 Дж статистически значимо увеличивают подвижность сперматозоидов человека </w:t>
      </w:r>
      <w:r>
        <w:rPr>
          <w:i/>
          <w:sz w:val="28"/>
          <w:vertAlign w:val="baseline"/>
        </w:rPr>
        <w:t>in vitro </w:t>
      </w:r>
      <w:r>
        <w:rPr>
          <w:sz w:val="28"/>
          <w:vertAlign w:val="baseline"/>
        </w:rPr>
        <w:t>по сравнению с отрицательным контролем (P&lt;0,05)</w:t>
      </w:r>
    </w:p>
    <w:p>
      <w:pPr>
        <w:pStyle w:val="ListParagraph"/>
        <w:spacing w:after="0" w:line="256" w:lineRule="auto"/>
        <w:jc w:val="both"/>
        <w:rPr>
          <w:sz w:val="28"/>
        </w:rPr>
        <w:sectPr>
          <w:pgSz w:w="11910" w:h="16840"/>
          <w:pgMar w:header="0" w:footer="970" w:top="1040" w:bottom="1200" w:left="1559" w:right="425"/>
        </w:sectPr>
      </w:pPr>
    </w:p>
    <w:p>
      <w:pPr>
        <w:pStyle w:val="ListParagraph"/>
        <w:numPr>
          <w:ilvl w:val="0"/>
          <w:numId w:val="2"/>
        </w:numPr>
        <w:tabs>
          <w:tab w:pos="1557" w:val="left" w:leader="none"/>
        </w:tabs>
        <w:spacing w:line="256" w:lineRule="auto" w:before="74" w:after="0"/>
        <w:ind w:left="142" w:right="134" w:firstLine="708"/>
        <w:jc w:val="both"/>
        <w:rPr>
          <w:sz w:val="28"/>
        </w:rPr>
      </w:pPr>
      <w:r>
        <w:rPr>
          <w:sz w:val="28"/>
        </w:rPr>
        <w:t>Облучение сперматозоидов при мощности источника излучения</w:t>
      </w:r>
      <w:r>
        <w:rPr>
          <w:spacing w:val="40"/>
          <w:sz w:val="28"/>
        </w:rPr>
        <w:t> </w:t>
      </w:r>
      <w:r>
        <w:rPr>
          <w:sz w:val="28"/>
        </w:rPr>
        <w:t>4,46 мВт и плотности мощности излучения 0,354 мВт/см</w:t>
      </w:r>
      <w:r>
        <w:rPr>
          <w:sz w:val="28"/>
          <w:vertAlign w:val="superscript"/>
        </w:rPr>
        <w:t>2</w:t>
      </w:r>
      <w:r>
        <w:rPr>
          <w:sz w:val="28"/>
          <w:vertAlign w:val="baseline"/>
        </w:rPr>
        <w:t> с общей сообщаемой волновой энергией 4,01 Дж (светодиоды 400-750, лазер 651 нм, инфракрасный диод 933 нм) показало, что используемый режим ЭМИ приводит к статистически значимым изменениям в таких ультраструктурных маркерах сперматозоидов как нормальная форма митохондрий, присутствие акросомы, аномальный фиброзный слой, нормальная форма акросомы по сравнению с отрицательным контролем (P&lt;0,05)</w:t>
      </w:r>
    </w:p>
    <w:p>
      <w:pPr>
        <w:pStyle w:val="ListParagraph"/>
        <w:numPr>
          <w:ilvl w:val="0"/>
          <w:numId w:val="2"/>
        </w:numPr>
        <w:tabs>
          <w:tab w:pos="1557" w:val="left" w:leader="none"/>
        </w:tabs>
        <w:spacing w:line="256" w:lineRule="auto" w:before="0" w:after="0"/>
        <w:ind w:left="142" w:right="137" w:firstLine="708"/>
        <w:jc w:val="both"/>
        <w:rPr>
          <w:sz w:val="28"/>
        </w:rPr>
      </w:pPr>
      <w:r>
        <w:rPr>
          <w:sz w:val="28"/>
        </w:rPr>
        <w:t>Обработка сперматозоидов сочетанием монохроматического светодиодного, лазерного и инфракрасного излучений не приводит к увеличению чисел однонитевых и двунитевых разрывов в составе ДНК сперматозоидов человека, которые зарегистрированы мечением с участием терминальной дезоксинуклеотидилтрансферазы dUTP по сравнению с отрицательным контролем.</w:t>
      </w:r>
    </w:p>
    <w:p>
      <w:pPr>
        <w:pStyle w:val="Heading2"/>
        <w:spacing w:line="316" w:lineRule="exact"/>
        <w:ind w:left="850" w:firstLine="0"/>
      </w:pPr>
      <w:r>
        <w:rPr/>
        <w:t>Личный</w:t>
      </w:r>
      <w:r>
        <w:rPr>
          <w:spacing w:val="-5"/>
        </w:rPr>
        <w:t> </w:t>
      </w:r>
      <w:r>
        <w:rPr/>
        <w:t>вклад</w:t>
      </w:r>
      <w:r>
        <w:rPr>
          <w:spacing w:val="-3"/>
        </w:rPr>
        <w:t> </w:t>
      </w:r>
      <w:r>
        <w:rPr>
          <w:spacing w:val="-2"/>
        </w:rPr>
        <w:t>автора</w:t>
      </w:r>
    </w:p>
    <w:p>
      <w:pPr>
        <w:pStyle w:val="BodyText"/>
        <w:spacing w:line="256" w:lineRule="auto" w:before="13"/>
        <w:ind w:left="142" w:right="135" w:firstLine="707"/>
      </w:pPr>
      <w:r>
        <w:rPr/>
        <w:t>Совместно с научными консультантами выбрана цель, сформулированы задачи, построен дизайн исследования, выбраны материалы и методы для проведения работ. Автором лично выполнены спермограммы и оценка морфологии сперматозоидов по Крюгеру у 957 бесплодных мужчин в Казахстане и Узбекистане, проведены смешанные антиглобулиновые реакции к IgG у 296 мужчин. Собран прибор для экспериментальной фотобиомодуляции сперматозоидов и других живых объектов </w:t>
      </w:r>
      <w:r>
        <w:rPr>
          <w:i/>
        </w:rPr>
        <w:t>in vitro</w:t>
      </w:r>
      <w:r>
        <w:rPr/>
        <w:t>. Совместно с экспертом-физиком проведено измерение длин волн и мощности излучения прибора. Проведен подбор режимов облучения сперматозоидов человека. Выполнен CASA-анализ сперматозоидов после облучения и в контроле. Проведена обработка и фиксация сперматозоидов для трансмиссионной электронной микроскопии, совместно с экспертом выполнена интерпретация полученных изображений ультраструктур сперматозоидов. Проведено окрашивание митохондрий флуоресцентными витальными красителями. Выполнена конфокальная лазерная сканирующая микроскопия митохондрий сперматозоидов для определения их локализации и активности. Проведена подготовка проб и интерпретация данных, полученных при мечении концов терминальной дезоксинуклеотидилтрансферазой dUTP. Выполнена программная статистическая обработка полученных данных.</w:t>
      </w:r>
    </w:p>
    <w:p>
      <w:pPr>
        <w:pStyle w:val="Heading2"/>
        <w:spacing w:line="301" w:lineRule="exact"/>
        <w:ind w:left="851" w:firstLine="0"/>
      </w:pPr>
      <w:r>
        <w:rPr/>
        <w:t>Связь</w:t>
      </w:r>
      <w:r>
        <w:rPr>
          <w:spacing w:val="-5"/>
        </w:rPr>
        <w:t> </w:t>
      </w:r>
      <w:r>
        <w:rPr/>
        <w:t>с</w:t>
      </w:r>
      <w:r>
        <w:rPr>
          <w:spacing w:val="-5"/>
        </w:rPr>
        <w:t> </w:t>
      </w:r>
      <w:r>
        <w:rPr/>
        <w:t>планом</w:t>
      </w:r>
      <w:r>
        <w:rPr>
          <w:spacing w:val="-4"/>
        </w:rPr>
        <w:t> </w:t>
      </w:r>
      <w:r>
        <w:rPr/>
        <w:t>основных</w:t>
      </w:r>
      <w:r>
        <w:rPr>
          <w:spacing w:val="-4"/>
        </w:rPr>
        <w:t> </w:t>
      </w:r>
      <w:r>
        <w:rPr/>
        <w:t>научных</w:t>
      </w:r>
      <w:r>
        <w:rPr>
          <w:spacing w:val="-3"/>
        </w:rPr>
        <w:t> </w:t>
      </w:r>
      <w:r>
        <w:rPr>
          <w:spacing w:val="-2"/>
        </w:rPr>
        <w:t>работ</w:t>
      </w:r>
    </w:p>
    <w:p>
      <w:pPr>
        <w:pStyle w:val="BodyText"/>
        <w:spacing w:line="256" w:lineRule="auto" w:before="21"/>
        <w:ind w:left="143" w:right="139" w:firstLine="707"/>
      </w:pPr>
      <w:r>
        <w:rPr/>
        <w:t>Диссертация выполнена в рамках гранта для подготовки доктора PhD за счет средств республиканского бюджета и является основной научной работой.</w:t>
      </w:r>
    </w:p>
    <w:p>
      <w:pPr>
        <w:pStyle w:val="Heading2"/>
        <w:spacing w:line="319" w:lineRule="exact"/>
        <w:ind w:left="851" w:firstLine="0"/>
      </w:pPr>
      <w:r>
        <w:rPr/>
        <w:t>Апробация</w:t>
      </w:r>
      <w:r>
        <w:rPr>
          <w:spacing w:val="-8"/>
        </w:rPr>
        <w:t> </w:t>
      </w:r>
      <w:r>
        <w:rPr>
          <w:spacing w:val="-4"/>
        </w:rPr>
        <w:t>работ</w:t>
      </w:r>
    </w:p>
    <w:p>
      <w:pPr>
        <w:pStyle w:val="BodyText"/>
        <w:spacing w:line="256" w:lineRule="auto" w:before="21"/>
        <w:ind w:left="143" w:right="138" w:firstLine="707"/>
      </w:pPr>
      <w:r>
        <w:rPr/>
        <w:t>Материалы диссертационной работы доложены и обсуждены на международных научных конференциях, конгрессах, форумах и круглых </w:t>
      </w:r>
      <w:r>
        <w:rPr>
          <w:spacing w:val="-2"/>
        </w:rPr>
        <w:t>столах:</w:t>
      </w:r>
    </w:p>
    <w:p>
      <w:pPr>
        <w:pStyle w:val="BodyText"/>
        <w:spacing w:after="0" w:line="256" w:lineRule="auto"/>
        <w:sectPr>
          <w:pgSz w:w="11910" w:h="16840"/>
          <w:pgMar w:header="0" w:footer="970" w:top="1040" w:bottom="1200" w:left="1559" w:right="425"/>
        </w:sectPr>
      </w:pPr>
    </w:p>
    <w:p>
      <w:pPr>
        <w:pStyle w:val="ListParagraph"/>
        <w:numPr>
          <w:ilvl w:val="0"/>
          <w:numId w:val="3"/>
        </w:numPr>
        <w:tabs>
          <w:tab w:pos="1558" w:val="left" w:leader="none"/>
        </w:tabs>
        <w:spacing w:line="240" w:lineRule="auto" w:before="73" w:after="0"/>
        <w:ind w:left="1558" w:right="0" w:hanging="708"/>
        <w:jc w:val="both"/>
        <w:rPr>
          <w:sz w:val="28"/>
        </w:rPr>
      </w:pPr>
      <w:r>
        <w:rPr>
          <w:sz w:val="28"/>
        </w:rPr>
        <w:t>Международная</w:t>
      </w:r>
      <w:r>
        <w:rPr>
          <w:spacing w:val="-7"/>
          <w:sz w:val="28"/>
        </w:rPr>
        <w:t> </w:t>
      </w:r>
      <w:r>
        <w:rPr>
          <w:sz w:val="28"/>
        </w:rPr>
        <w:t>научная</w:t>
      </w:r>
      <w:r>
        <w:rPr>
          <w:spacing w:val="-4"/>
          <w:sz w:val="28"/>
        </w:rPr>
        <w:t> </w:t>
      </w:r>
      <w:r>
        <w:rPr>
          <w:sz w:val="28"/>
        </w:rPr>
        <w:t>конференция</w:t>
      </w:r>
      <w:r>
        <w:rPr>
          <w:spacing w:val="-2"/>
          <w:sz w:val="28"/>
        </w:rPr>
        <w:t> </w:t>
      </w:r>
      <w:r>
        <w:rPr>
          <w:sz w:val="28"/>
        </w:rPr>
        <w:t>студентов</w:t>
      </w:r>
      <w:r>
        <w:rPr>
          <w:spacing w:val="-4"/>
          <w:sz w:val="28"/>
        </w:rPr>
        <w:t> </w:t>
      </w:r>
      <w:r>
        <w:rPr>
          <w:sz w:val="28"/>
        </w:rPr>
        <w:t>и</w:t>
      </w:r>
      <w:r>
        <w:rPr>
          <w:spacing w:val="-4"/>
          <w:sz w:val="28"/>
        </w:rPr>
        <w:t> </w:t>
      </w:r>
      <w:r>
        <w:rPr>
          <w:sz w:val="28"/>
        </w:rPr>
        <w:t>молодых</w:t>
      </w:r>
      <w:r>
        <w:rPr>
          <w:spacing w:val="-3"/>
          <w:sz w:val="28"/>
        </w:rPr>
        <w:t> </w:t>
      </w:r>
      <w:r>
        <w:rPr>
          <w:spacing w:val="-2"/>
          <w:sz w:val="28"/>
        </w:rPr>
        <w:t>ученых</w:t>
      </w:r>
    </w:p>
    <w:p>
      <w:pPr>
        <w:pStyle w:val="BodyText"/>
        <w:spacing w:before="23"/>
        <w:ind w:left="142"/>
      </w:pPr>
      <w:r>
        <w:rPr/>
        <w:t>«Фараби</w:t>
      </w:r>
      <w:r>
        <w:rPr>
          <w:spacing w:val="-6"/>
        </w:rPr>
        <w:t> </w:t>
      </w:r>
      <w:r>
        <w:rPr/>
        <w:t>әлемі»</w:t>
      </w:r>
      <w:r>
        <w:rPr>
          <w:spacing w:val="-3"/>
        </w:rPr>
        <w:t> </w:t>
      </w:r>
      <w:r>
        <w:rPr/>
        <w:t>(6-9</w:t>
      </w:r>
      <w:r>
        <w:rPr>
          <w:spacing w:val="-5"/>
        </w:rPr>
        <w:t> </w:t>
      </w:r>
      <w:r>
        <w:rPr/>
        <w:t>апреля</w:t>
      </w:r>
      <w:r>
        <w:rPr>
          <w:spacing w:val="-3"/>
        </w:rPr>
        <w:t> </w:t>
      </w:r>
      <w:r>
        <w:rPr/>
        <w:t>2020,</w:t>
      </w:r>
      <w:r>
        <w:rPr>
          <w:spacing w:val="-4"/>
        </w:rPr>
        <w:t> </w:t>
      </w:r>
      <w:r>
        <w:rPr/>
        <w:t>г.</w:t>
      </w:r>
      <w:r>
        <w:rPr>
          <w:spacing w:val="-4"/>
        </w:rPr>
        <w:t> </w:t>
      </w:r>
      <w:r>
        <w:rPr/>
        <w:t>Алматы,</w:t>
      </w:r>
      <w:r>
        <w:rPr>
          <w:spacing w:val="-4"/>
        </w:rPr>
        <w:t> </w:t>
      </w:r>
      <w:r>
        <w:rPr>
          <w:spacing w:val="-2"/>
        </w:rPr>
        <w:t>Казахстан);</w:t>
      </w:r>
    </w:p>
    <w:p>
      <w:pPr>
        <w:pStyle w:val="ListParagraph"/>
        <w:numPr>
          <w:ilvl w:val="0"/>
          <w:numId w:val="3"/>
        </w:numPr>
        <w:tabs>
          <w:tab w:pos="1557" w:val="left" w:leader="none"/>
        </w:tabs>
        <w:spacing w:line="256" w:lineRule="auto" w:before="21" w:after="0"/>
        <w:ind w:left="142" w:right="138" w:firstLine="707"/>
        <w:jc w:val="both"/>
        <w:rPr>
          <w:sz w:val="28"/>
        </w:rPr>
      </w:pPr>
      <w:r>
        <w:rPr>
          <w:sz w:val="28"/>
        </w:rPr>
        <w:t>Круглый стол «Перспективы и достижения генетических исследований в Казахстане и мире», посвященный празднованию 30-летия Независимости Республики Казахстан (9 декабря 2021, г. Алматы, Казахстан);</w:t>
      </w:r>
    </w:p>
    <w:p>
      <w:pPr>
        <w:pStyle w:val="ListParagraph"/>
        <w:numPr>
          <w:ilvl w:val="0"/>
          <w:numId w:val="3"/>
        </w:numPr>
        <w:tabs>
          <w:tab w:pos="1558" w:val="left" w:leader="none"/>
        </w:tabs>
        <w:spacing w:line="338" w:lineRule="exact" w:before="0" w:after="0"/>
        <w:ind w:left="1558" w:right="0" w:hanging="708"/>
        <w:jc w:val="both"/>
        <w:rPr>
          <w:sz w:val="28"/>
        </w:rPr>
      </w:pPr>
      <w:r>
        <w:rPr>
          <w:sz w:val="28"/>
        </w:rPr>
        <w:t>Международный</w:t>
      </w:r>
      <w:r>
        <w:rPr>
          <w:spacing w:val="60"/>
          <w:sz w:val="28"/>
        </w:rPr>
        <w:t> </w:t>
      </w:r>
      <w:r>
        <w:rPr>
          <w:sz w:val="28"/>
        </w:rPr>
        <w:t>молодежный</w:t>
      </w:r>
      <w:r>
        <w:rPr>
          <w:spacing w:val="58"/>
          <w:sz w:val="28"/>
        </w:rPr>
        <w:t> </w:t>
      </w:r>
      <w:r>
        <w:rPr>
          <w:sz w:val="28"/>
        </w:rPr>
        <w:t>научный</w:t>
      </w:r>
      <w:r>
        <w:rPr>
          <w:spacing w:val="61"/>
          <w:sz w:val="28"/>
        </w:rPr>
        <w:t> </w:t>
      </w:r>
      <w:r>
        <w:rPr>
          <w:sz w:val="28"/>
        </w:rPr>
        <w:t>форум</w:t>
      </w:r>
      <w:r>
        <w:rPr>
          <w:spacing w:val="57"/>
          <w:sz w:val="28"/>
        </w:rPr>
        <w:t> </w:t>
      </w:r>
      <w:r>
        <w:rPr>
          <w:sz w:val="28"/>
        </w:rPr>
        <w:t>«Ломоносов-</w:t>
      </w:r>
      <w:r>
        <w:rPr>
          <w:spacing w:val="-2"/>
          <w:sz w:val="28"/>
        </w:rPr>
        <w:t>2022»</w:t>
      </w:r>
    </w:p>
    <w:p>
      <w:pPr>
        <w:pStyle w:val="BodyText"/>
        <w:spacing w:before="20"/>
        <w:ind w:left="143"/>
      </w:pPr>
      <w:r>
        <w:rPr/>
        <w:t>(11-22</w:t>
      </w:r>
      <w:r>
        <w:rPr>
          <w:spacing w:val="-6"/>
        </w:rPr>
        <w:t> </w:t>
      </w:r>
      <w:r>
        <w:rPr/>
        <w:t>апреля</w:t>
      </w:r>
      <w:r>
        <w:rPr>
          <w:spacing w:val="-4"/>
        </w:rPr>
        <w:t> </w:t>
      </w:r>
      <w:r>
        <w:rPr/>
        <w:t>2022,</w:t>
      </w:r>
      <w:r>
        <w:rPr>
          <w:spacing w:val="-7"/>
        </w:rPr>
        <w:t> </w:t>
      </w:r>
      <w:r>
        <w:rPr/>
        <w:t>г.</w:t>
      </w:r>
      <w:r>
        <w:rPr>
          <w:spacing w:val="-5"/>
        </w:rPr>
        <w:t> </w:t>
      </w:r>
      <w:r>
        <w:rPr/>
        <w:t>Москва,</w:t>
      </w:r>
      <w:r>
        <w:rPr>
          <w:spacing w:val="-5"/>
        </w:rPr>
        <w:t> </w:t>
      </w:r>
      <w:r>
        <w:rPr/>
        <w:t>Российская</w:t>
      </w:r>
      <w:r>
        <w:rPr>
          <w:spacing w:val="-3"/>
        </w:rPr>
        <w:t> </w:t>
      </w:r>
      <w:r>
        <w:rPr>
          <w:spacing w:val="-2"/>
        </w:rPr>
        <w:t>Федерация);</w:t>
      </w:r>
    </w:p>
    <w:p>
      <w:pPr>
        <w:pStyle w:val="ListParagraph"/>
        <w:numPr>
          <w:ilvl w:val="0"/>
          <w:numId w:val="3"/>
        </w:numPr>
        <w:tabs>
          <w:tab w:pos="1559" w:val="left" w:leader="none"/>
        </w:tabs>
        <w:spacing w:line="240" w:lineRule="auto" w:before="22" w:after="0"/>
        <w:ind w:left="1559" w:right="0" w:hanging="708"/>
        <w:jc w:val="both"/>
        <w:rPr>
          <w:sz w:val="28"/>
        </w:rPr>
      </w:pPr>
      <w:r>
        <w:rPr>
          <w:sz w:val="28"/>
        </w:rPr>
        <w:t>Международная</w:t>
      </w:r>
      <w:r>
        <w:rPr>
          <w:spacing w:val="-10"/>
          <w:sz w:val="28"/>
        </w:rPr>
        <w:t> </w:t>
      </w:r>
      <w:r>
        <w:rPr>
          <w:sz w:val="28"/>
        </w:rPr>
        <w:t>научная</w:t>
      </w:r>
      <w:r>
        <w:rPr>
          <w:spacing w:val="-8"/>
          <w:sz w:val="28"/>
        </w:rPr>
        <w:t> </w:t>
      </w:r>
      <w:r>
        <w:rPr>
          <w:sz w:val="28"/>
        </w:rPr>
        <w:t>конференция</w:t>
      </w:r>
      <w:r>
        <w:rPr>
          <w:spacing w:val="-6"/>
          <w:sz w:val="28"/>
        </w:rPr>
        <w:t> </w:t>
      </w:r>
      <w:r>
        <w:rPr>
          <w:sz w:val="28"/>
        </w:rPr>
        <w:t>студентов</w:t>
      </w:r>
      <w:r>
        <w:rPr>
          <w:spacing w:val="-7"/>
          <w:sz w:val="28"/>
        </w:rPr>
        <w:t> </w:t>
      </w:r>
      <w:r>
        <w:rPr>
          <w:sz w:val="28"/>
        </w:rPr>
        <w:t>и</w:t>
      </w:r>
      <w:r>
        <w:rPr>
          <w:spacing w:val="-7"/>
          <w:sz w:val="28"/>
        </w:rPr>
        <w:t> </w:t>
      </w:r>
      <w:r>
        <w:rPr>
          <w:sz w:val="28"/>
        </w:rPr>
        <w:t>молодых</w:t>
      </w:r>
      <w:r>
        <w:rPr>
          <w:spacing w:val="-7"/>
          <w:sz w:val="28"/>
        </w:rPr>
        <w:t> </w:t>
      </w:r>
      <w:r>
        <w:rPr>
          <w:spacing w:val="-2"/>
          <w:sz w:val="28"/>
        </w:rPr>
        <w:t>ученых</w:t>
      </w:r>
    </w:p>
    <w:p>
      <w:pPr>
        <w:pStyle w:val="BodyText"/>
        <w:spacing w:before="47"/>
        <w:ind w:left="143"/>
      </w:pPr>
      <w:r>
        <w:rPr/>
        <w:t>«Фараби</w:t>
      </w:r>
      <w:r>
        <w:rPr>
          <w:spacing w:val="-6"/>
        </w:rPr>
        <w:t> </w:t>
      </w:r>
      <w:r>
        <w:rPr/>
        <w:t>әлемі»</w:t>
      </w:r>
      <w:r>
        <w:rPr>
          <w:spacing w:val="-3"/>
        </w:rPr>
        <w:t> </w:t>
      </w:r>
      <w:r>
        <w:rPr/>
        <w:t>(6-8</w:t>
      </w:r>
      <w:r>
        <w:rPr>
          <w:spacing w:val="-5"/>
        </w:rPr>
        <w:t> </w:t>
      </w:r>
      <w:r>
        <w:rPr/>
        <w:t>апреля</w:t>
      </w:r>
      <w:r>
        <w:rPr>
          <w:spacing w:val="-3"/>
        </w:rPr>
        <w:t> </w:t>
      </w:r>
      <w:r>
        <w:rPr/>
        <w:t>2022,</w:t>
      </w:r>
      <w:r>
        <w:rPr>
          <w:spacing w:val="-4"/>
        </w:rPr>
        <w:t> </w:t>
      </w:r>
      <w:r>
        <w:rPr/>
        <w:t>г.</w:t>
      </w:r>
      <w:r>
        <w:rPr>
          <w:spacing w:val="-4"/>
        </w:rPr>
        <w:t> </w:t>
      </w:r>
      <w:r>
        <w:rPr/>
        <w:t>Алматы,</w:t>
      </w:r>
      <w:r>
        <w:rPr>
          <w:spacing w:val="-4"/>
        </w:rPr>
        <w:t> </w:t>
      </w:r>
      <w:r>
        <w:rPr>
          <w:spacing w:val="-2"/>
        </w:rPr>
        <w:t>Казахстан);</w:t>
      </w:r>
    </w:p>
    <w:p>
      <w:pPr>
        <w:pStyle w:val="ListParagraph"/>
        <w:numPr>
          <w:ilvl w:val="0"/>
          <w:numId w:val="3"/>
        </w:numPr>
        <w:tabs>
          <w:tab w:pos="1558" w:val="left" w:leader="none"/>
        </w:tabs>
        <w:spacing w:line="256" w:lineRule="auto" w:before="47" w:after="0"/>
        <w:ind w:left="143" w:right="137" w:firstLine="707"/>
        <w:jc w:val="both"/>
        <w:rPr>
          <w:sz w:val="28"/>
        </w:rPr>
      </w:pPr>
      <w:r>
        <w:rPr>
          <w:sz w:val="28"/>
        </w:rPr>
        <w:t>Международный конгресс Казахстанской Ассоциации Репродуктивной Медицины (10-12 ноября 2022 г. Нур-Султан, Казахстан);</w:t>
      </w:r>
    </w:p>
    <w:p>
      <w:pPr>
        <w:pStyle w:val="ListParagraph"/>
        <w:numPr>
          <w:ilvl w:val="0"/>
          <w:numId w:val="3"/>
        </w:numPr>
        <w:tabs>
          <w:tab w:pos="1559" w:val="left" w:leader="none"/>
        </w:tabs>
        <w:spacing w:line="342" w:lineRule="exact" w:before="0" w:after="0"/>
        <w:ind w:left="1559" w:right="0" w:hanging="708"/>
        <w:jc w:val="both"/>
        <w:rPr>
          <w:sz w:val="28"/>
        </w:rPr>
      </w:pPr>
      <w:r>
        <w:rPr>
          <w:sz w:val="28"/>
        </w:rPr>
        <w:t>Международная</w:t>
      </w:r>
      <w:r>
        <w:rPr>
          <w:spacing w:val="-10"/>
          <w:sz w:val="28"/>
        </w:rPr>
        <w:t> </w:t>
      </w:r>
      <w:r>
        <w:rPr>
          <w:sz w:val="28"/>
        </w:rPr>
        <w:t>научная</w:t>
      </w:r>
      <w:r>
        <w:rPr>
          <w:spacing w:val="-8"/>
          <w:sz w:val="28"/>
        </w:rPr>
        <w:t> </w:t>
      </w:r>
      <w:r>
        <w:rPr>
          <w:sz w:val="28"/>
        </w:rPr>
        <w:t>конференция</w:t>
      </w:r>
      <w:r>
        <w:rPr>
          <w:spacing w:val="-6"/>
          <w:sz w:val="28"/>
        </w:rPr>
        <w:t> </w:t>
      </w:r>
      <w:r>
        <w:rPr>
          <w:sz w:val="28"/>
        </w:rPr>
        <w:t>студентов</w:t>
      </w:r>
      <w:r>
        <w:rPr>
          <w:spacing w:val="-7"/>
          <w:sz w:val="28"/>
        </w:rPr>
        <w:t> </w:t>
      </w:r>
      <w:r>
        <w:rPr>
          <w:sz w:val="28"/>
        </w:rPr>
        <w:t>и</w:t>
      </w:r>
      <w:r>
        <w:rPr>
          <w:spacing w:val="-7"/>
          <w:sz w:val="28"/>
        </w:rPr>
        <w:t> </w:t>
      </w:r>
      <w:r>
        <w:rPr>
          <w:sz w:val="28"/>
        </w:rPr>
        <w:t>молодых</w:t>
      </w:r>
      <w:r>
        <w:rPr>
          <w:spacing w:val="-7"/>
          <w:sz w:val="28"/>
        </w:rPr>
        <w:t> </w:t>
      </w:r>
      <w:r>
        <w:rPr>
          <w:spacing w:val="-2"/>
          <w:sz w:val="28"/>
        </w:rPr>
        <w:t>ученых</w:t>
      </w:r>
    </w:p>
    <w:p>
      <w:pPr>
        <w:pStyle w:val="BodyText"/>
        <w:spacing w:before="44"/>
        <w:ind w:left="143"/>
      </w:pPr>
      <w:r>
        <w:rPr/>
        <w:t>«Фараби</w:t>
      </w:r>
      <w:r>
        <w:rPr>
          <w:spacing w:val="-6"/>
        </w:rPr>
        <w:t> </w:t>
      </w:r>
      <w:r>
        <w:rPr/>
        <w:t>әлемі»</w:t>
      </w:r>
      <w:r>
        <w:rPr>
          <w:spacing w:val="-3"/>
        </w:rPr>
        <w:t> </w:t>
      </w:r>
      <w:r>
        <w:rPr/>
        <w:t>(6-8</w:t>
      </w:r>
      <w:r>
        <w:rPr>
          <w:spacing w:val="-5"/>
        </w:rPr>
        <w:t> </w:t>
      </w:r>
      <w:r>
        <w:rPr/>
        <w:t>апреля</w:t>
      </w:r>
      <w:r>
        <w:rPr>
          <w:spacing w:val="-3"/>
        </w:rPr>
        <w:t> </w:t>
      </w:r>
      <w:r>
        <w:rPr/>
        <w:t>2023,</w:t>
      </w:r>
      <w:r>
        <w:rPr>
          <w:spacing w:val="-4"/>
        </w:rPr>
        <w:t> </w:t>
      </w:r>
      <w:r>
        <w:rPr/>
        <w:t>г.</w:t>
      </w:r>
      <w:r>
        <w:rPr>
          <w:spacing w:val="-4"/>
        </w:rPr>
        <w:t> </w:t>
      </w:r>
      <w:r>
        <w:rPr/>
        <w:t>Алматы,</w:t>
      </w:r>
      <w:r>
        <w:rPr>
          <w:spacing w:val="-4"/>
        </w:rPr>
        <w:t> </w:t>
      </w:r>
      <w:r>
        <w:rPr>
          <w:spacing w:val="-2"/>
        </w:rPr>
        <w:t>Казахстан).</w:t>
      </w:r>
    </w:p>
    <w:p>
      <w:pPr>
        <w:pStyle w:val="ListParagraph"/>
        <w:numPr>
          <w:ilvl w:val="0"/>
          <w:numId w:val="3"/>
        </w:numPr>
        <w:tabs>
          <w:tab w:pos="1560" w:val="left" w:leader="none"/>
        </w:tabs>
        <w:spacing w:line="271" w:lineRule="auto" w:before="52" w:after="0"/>
        <w:ind w:left="144" w:right="735" w:firstLine="707"/>
        <w:jc w:val="left"/>
        <w:rPr>
          <w:sz w:val="28"/>
        </w:rPr>
      </w:pPr>
      <w:r>
        <w:rPr>
          <w:sz w:val="28"/>
        </w:rPr>
        <w:t>Международный</w:t>
      </w:r>
      <w:r>
        <w:rPr>
          <w:spacing w:val="-8"/>
          <w:sz w:val="28"/>
        </w:rPr>
        <w:t> </w:t>
      </w:r>
      <w:r>
        <w:rPr>
          <w:sz w:val="28"/>
        </w:rPr>
        <w:t>форум</w:t>
      </w:r>
      <w:r>
        <w:rPr>
          <w:spacing w:val="-11"/>
          <w:sz w:val="28"/>
        </w:rPr>
        <w:t> </w:t>
      </w:r>
      <w:r>
        <w:rPr>
          <w:sz w:val="28"/>
        </w:rPr>
        <w:t>«Современные</w:t>
      </w:r>
      <w:r>
        <w:rPr>
          <w:spacing w:val="-11"/>
          <w:sz w:val="28"/>
        </w:rPr>
        <w:t> </w:t>
      </w:r>
      <w:r>
        <w:rPr>
          <w:sz w:val="28"/>
        </w:rPr>
        <w:t>тенденции</w:t>
      </w:r>
      <w:r>
        <w:rPr>
          <w:spacing w:val="-8"/>
          <w:sz w:val="28"/>
        </w:rPr>
        <w:t> </w:t>
      </w:r>
      <w:r>
        <w:rPr>
          <w:sz w:val="28"/>
        </w:rPr>
        <w:t>устойчивого развития биологических наук» (27-28 марта 2024, г. Алматы, Казахстан).</w:t>
      </w:r>
    </w:p>
    <w:p>
      <w:pPr>
        <w:pStyle w:val="ListParagraph"/>
        <w:numPr>
          <w:ilvl w:val="0"/>
          <w:numId w:val="3"/>
        </w:numPr>
        <w:tabs>
          <w:tab w:pos="1560" w:val="left" w:leader="none"/>
        </w:tabs>
        <w:spacing w:line="240" w:lineRule="auto" w:before="9" w:after="0"/>
        <w:ind w:left="1560" w:right="0" w:hanging="708"/>
        <w:jc w:val="left"/>
        <w:rPr>
          <w:sz w:val="28"/>
        </w:rPr>
      </w:pPr>
      <w:r>
        <w:rPr>
          <w:sz w:val="28"/>
        </w:rPr>
        <w:t>Международный</w:t>
      </w:r>
      <w:r>
        <w:rPr>
          <w:spacing w:val="-11"/>
          <w:sz w:val="28"/>
        </w:rPr>
        <w:t> </w:t>
      </w:r>
      <w:r>
        <w:rPr>
          <w:sz w:val="28"/>
        </w:rPr>
        <w:t>молодежный</w:t>
      </w:r>
      <w:r>
        <w:rPr>
          <w:spacing w:val="-12"/>
          <w:sz w:val="28"/>
        </w:rPr>
        <w:t> </w:t>
      </w:r>
      <w:r>
        <w:rPr>
          <w:sz w:val="28"/>
        </w:rPr>
        <w:t>научный</w:t>
      </w:r>
      <w:r>
        <w:rPr>
          <w:spacing w:val="-11"/>
          <w:sz w:val="28"/>
        </w:rPr>
        <w:t> </w:t>
      </w:r>
      <w:r>
        <w:rPr>
          <w:sz w:val="28"/>
        </w:rPr>
        <w:t>форум</w:t>
      </w:r>
      <w:r>
        <w:rPr>
          <w:spacing w:val="-11"/>
          <w:sz w:val="28"/>
        </w:rPr>
        <w:t> </w:t>
      </w:r>
      <w:r>
        <w:rPr>
          <w:sz w:val="28"/>
        </w:rPr>
        <w:t>«Ломоносов-</w:t>
      </w:r>
      <w:r>
        <w:rPr>
          <w:spacing w:val="-2"/>
          <w:sz w:val="28"/>
        </w:rPr>
        <w:t>2024»</w:t>
      </w:r>
    </w:p>
    <w:p>
      <w:pPr>
        <w:pStyle w:val="BodyText"/>
        <w:spacing w:before="45"/>
        <w:ind w:left="144"/>
        <w:jc w:val="left"/>
      </w:pPr>
      <w:r>
        <w:rPr/>
        <w:t>(12-26</w:t>
      </w:r>
      <w:r>
        <w:rPr>
          <w:spacing w:val="-6"/>
        </w:rPr>
        <w:t> </w:t>
      </w:r>
      <w:r>
        <w:rPr/>
        <w:t>апреля</w:t>
      </w:r>
      <w:r>
        <w:rPr>
          <w:spacing w:val="-4"/>
        </w:rPr>
        <w:t> </w:t>
      </w:r>
      <w:r>
        <w:rPr/>
        <w:t>2024,</w:t>
      </w:r>
      <w:r>
        <w:rPr>
          <w:spacing w:val="-7"/>
        </w:rPr>
        <w:t> </w:t>
      </w:r>
      <w:r>
        <w:rPr/>
        <w:t>г.</w:t>
      </w:r>
      <w:r>
        <w:rPr>
          <w:spacing w:val="-5"/>
        </w:rPr>
        <w:t> </w:t>
      </w:r>
      <w:r>
        <w:rPr/>
        <w:t>Москва,</w:t>
      </w:r>
      <w:r>
        <w:rPr>
          <w:spacing w:val="-5"/>
        </w:rPr>
        <w:t> </w:t>
      </w:r>
      <w:r>
        <w:rPr/>
        <w:t>Российская</w:t>
      </w:r>
      <w:r>
        <w:rPr>
          <w:spacing w:val="-3"/>
        </w:rPr>
        <w:t> </w:t>
      </w:r>
      <w:r>
        <w:rPr>
          <w:spacing w:val="-2"/>
        </w:rPr>
        <w:t>Федерация);</w:t>
      </w:r>
    </w:p>
    <w:p>
      <w:pPr>
        <w:pStyle w:val="ListParagraph"/>
        <w:numPr>
          <w:ilvl w:val="0"/>
          <w:numId w:val="3"/>
        </w:numPr>
        <w:tabs>
          <w:tab w:pos="1560" w:val="left" w:leader="none"/>
        </w:tabs>
        <w:spacing w:line="273" w:lineRule="auto" w:before="51" w:after="0"/>
        <w:ind w:left="144" w:right="581" w:firstLine="707"/>
        <w:jc w:val="left"/>
        <w:rPr>
          <w:sz w:val="28"/>
        </w:rPr>
      </w:pPr>
      <w:r>
        <w:rPr>
          <w:sz w:val="28"/>
        </w:rPr>
        <w:t>Международная конференция Международного общества репродуктивной</w:t>
      </w:r>
      <w:r>
        <w:rPr>
          <w:spacing w:val="-4"/>
          <w:sz w:val="28"/>
        </w:rPr>
        <w:t> </w:t>
      </w:r>
      <w:r>
        <w:rPr>
          <w:sz w:val="28"/>
        </w:rPr>
        <w:t>генетики</w:t>
      </w:r>
      <w:r>
        <w:rPr>
          <w:spacing w:val="-4"/>
          <w:sz w:val="28"/>
        </w:rPr>
        <w:t> </w:t>
      </w:r>
      <w:r>
        <w:rPr>
          <w:sz w:val="28"/>
        </w:rPr>
        <w:t>«ISRG-2025»</w:t>
      </w:r>
      <w:r>
        <w:rPr>
          <w:spacing w:val="-6"/>
          <w:sz w:val="28"/>
        </w:rPr>
        <w:t> </w:t>
      </w:r>
      <w:r>
        <w:rPr>
          <w:sz w:val="28"/>
        </w:rPr>
        <w:t>(6-8</w:t>
      </w:r>
      <w:r>
        <w:rPr>
          <w:spacing w:val="-4"/>
          <w:sz w:val="28"/>
        </w:rPr>
        <w:t> </w:t>
      </w:r>
      <w:r>
        <w:rPr>
          <w:sz w:val="28"/>
        </w:rPr>
        <w:t>июня</w:t>
      </w:r>
      <w:r>
        <w:rPr>
          <w:spacing w:val="-4"/>
          <w:sz w:val="28"/>
        </w:rPr>
        <w:t> </w:t>
      </w:r>
      <w:r>
        <w:rPr>
          <w:sz w:val="28"/>
        </w:rPr>
        <w:t>2025,</w:t>
      </w:r>
      <w:r>
        <w:rPr>
          <w:spacing w:val="-5"/>
          <w:sz w:val="28"/>
        </w:rPr>
        <w:t> </w:t>
      </w:r>
      <w:r>
        <w:rPr>
          <w:sz w:val="28"/>
        </w:rPr>
        <w:t>г.</w:t>
      </w:r>
      <w:r>
        <w:rPr>
          <w:spacing w:val="-5"/>
          <w:sz w:val="28"/>
        </w:rPr>
        <w:t> </w:t>
      </w:r>
      <w:r>
        <w:rPr>
          <w:sz w:val="28"/>
        </w:rPr>
        <w:t>Чанша,</w:t>
      </w:r>
      <w:r>
        <w:rPr>
          <w:spacing w:val="-5"/>
          <w:sz w:val="28"/>
        </w:rPr>
        <w:t> </w:t>
      </w:r>
      <w:r>
        <w:rPr>
          <w:sz w:val="28"/>
        </w:rPr>
        <w:t>Китайская Народная Республика).</w:t>
      </w:r>
    </w:p>
    <w:p>
      <w:pPr>
        <w:pStyle w:val="BodyText"/>
        <w:spacing w:line="276" w:lineRule="auto" w:before="4"/>
        <w:ind w:left="144" w:right="135" w:firstLine="707"/>
      </w:pPr>
      <w:r>
        <w:rPr/>
        <w:t>Данные по структуре нарушений сперматогенеза в Центральной Азии направлены в виде отчета в печатные органы Всемирной организации здравоохранения – подразделение по охране здоровья народонаселения Организации Объединенных Наций и печатный орган Американского общества репродуктивной медицины.</w:t>
      </w:r>
    </w:p>
    <w:p>
      <w:pPr>
        <w:pStyle w:val="Heading2"/>
        <w:spacing w:line="321" w:lineRule="exact"/>
        <w:ind w:left="853" w:firstLine="0"/>
        <w:jc w:val="left"/>
      </w:pPr>
      <w:r>
        <w:rPr>
          <w:spacing w:val="-2"/>
        </w:rPr>
        <w:t>Публикации</w:t>
      </w:r>
    </w:p>
    <w:p>
      <w:pPr>
        <w:pStyle w:val="BodyText"/>
        <w:spacing w:line="256" w:lineRule="auto" w:before="21"/>
        <w:ind w:left="145" w:right="133" w:firstLine="708"/>
      </w:pPr>
      <w:r>
        <w:rPr/>
        <w:t>Основное содержание диссертации отражено в 12 печатных работах, в</w:t>
      </w:r>
      <w:r>
        <w:rPr>
          <w:spacing w:val="40"/>
        </w:rPr>
        <w:t> </w:t>
      </w:r>
      <w:r>
        <w:rPr/>
        <w:t>том числе 2 работы в изданиях, входящих в базу данных Scopus; 3 статьи в журналах, входящих в перечень КОКСНВО МНВО РК; 7 тезисов в материалах международных конференций.</w:t>
      </w:r>
    </w:p>
    <w:p>
      <w:pPr>
        <w:pStyle w:val="Heading2"/>
        <w:spacing w:line="319" w:lineRule="exact"/>
        <w:ind w:left="853" w:firstLine="0"/>
      </w:pPr>
      <w:r>
        <w:rPr/>
        <w:t>Объем</w:t>
      </w:r>
      <w:r>
        <w:rPr>
          <w:spacing w:val="-4"/>
        </w:rPr>
        <w:t> </w:t>
      </w:r>
      <w:r>
        <w:rPr/>
        <w:t>и</w:t>
      </w:r>
      <w:r>
        <w:rPr>
          <w:spacing w:val="-5"/>
        </w:rPr>
        <w:t> </w:t>
      </w:r>
      <w:r>
        <w:rPr/>
        <w:t>структура</w:t>
      </w:r>
      <w:r>
        <w:rPr>
          <w:spacing w:val="-5"/>
        </w:rPr>
        <w:t> </w:t>
      </w:r>
      <w:r>
        <w:rPr>
          <w:spacing w:val="-2"/>
        </w:rPr>
        <w:t>диссертации</w:t>
      </w:r>
    </w:p>
    <w:p>
      <w:pPr>
        <w:pStyle w:val="BodyText"/>
        <w:spacing w:line="256" w:lineRule="auto" w:before="22"/>
        <w:ind w:left="145" w:right="133" w:firstLine="708"/>
      </w:pPr>
      <w:r>
        <w:rPr/>
        <w:t>Диссертационная</w:t>
      </w:r>
      <w:r>
        <w:rPr>
          <w:spacing w:val="-1"/>
        </w:rPr>
        <w:t> </w:t>
      </w:r>
      <w:r>
        <w:rPr/>
        <w:t>работа</w:t>
      </w:r>
      <w:r>
        <w:rPr>
          <w:spacing w:val="-1"/>
        </w:rPr>
        <w:t> </w:t>
      </w:r>
      <w:r>
        <w:rPr/>
        <w:t>состоит</w:t>
      </w:r>
      <w:r>
        <w:rPr>
          <w:spacing w:val="-2"/>
        </w:rPr>
        <w:t> </w:t>
      </w:r>
      <w:r>
        <w:rPr/>
        <w:t>из</w:t>
      </w:r>
      <w:r>
        <w:rPr>
          <w:spacing w:val="-2"/>
        </w:rPr>
        <w:t> </w:t>
      </w:r>
      <w:r>
        <w:rPr/>
        <w:t>обозначений</w:t>
      </w:r>
      <w:r>
        <w:rPr>
          <w:spacing w:val="-1"/>
        </w:rPr>
        <w:t> </w:t>
      </w:r>
      <w:r>
        <w:rPr/>
        <w:t>и</w:t>
      </w:r>
      <w:r>
        <w:rPr>
          <w:spacing w:val="-1"/>
        </w:rPr>
        <w:t> </w:t>
      </w:r>
      <w:r>
        <w:rPr/>
        <w:t>сокращений,</w:t>
      </w:r>
      <w:r>
        <w:rPr>
          <w:spacing w:val="-2"/>
        </w:rPr>
        <w:t> </w:t>
      </w:r>
      <w:r>
        <w:rPr/>
        <w:t>введения, обзора литературы, раздела материалов и методов исследования, результатов и их обсуждений, вывода, списка использованной литературы и приложений. Диссертация изложена на 120 страницах машинописного текста, включает 12 таблиц, 45 рисунков. Список использованной литературы содержит 238 </w:t>
      </w:r>
      <w:r>
        <w:rPr>
          <w:spacing w:val="-2"/>
        </w:rPr>
        <w:t>источников.</w:t>
      </w:r>
    </w:p>
    <w:p>
      <w:pPr>
        <w:pStyle w:val="BodyText"/>
        <w:spacing w:after="0" w:line="256" w:lineRule="auto"/>
        <w:sectPr>
          <w:pgSz w:w="11910" w:h="16840"/>
          <w:pgMar w:header="0" w:footer="970" w:top="1040" w:bottom="1200" w:left="1559" w:right="425"/>
        </w:sectPr>
      </w:pPr>
    </w:p>
    <w:p>
      <w:pPr>
        <w:pStyle w:val="Heading1"/>
        <w:numPr>
          <w:ilvl w:val="0"/>
          <w:numId w:val="4"/>
        </w:numPr>
        <w:tabs>
          <w:tab w:pos="3590" w:val="left" w:leader="none"/>
        </w:tabs>
        <w:spacing w:line="240" w:lineRule="auto" w:before="74" w:after="0"/>
        <w:ind w:left="3590" w:right="0" w:hanging="280"/>
        <w:jc w:val="left"/>
      </w:pPr>
      <w:r>
        <w:rPr/>
        <w:t>ОБЗОР</w:t>
      </w:r>
      <w:r>
        <w:rPr>
          <w:spacing w:val="-5"/>
        </w:rPr>
        <w:t> </w:t>
      </w:r>
      <w:r>
        <w:rPr>
          <w:spacing w:val="-2"/>
        </w:rPr>
        <w:t>ЛИТЕРАТУРЫ</w:t>
      </w:r>
    </w:p>
    <w:p>
      <w:pPr>
        <w:pStyle w:val="BodyText"/>
        <w:spacing w:before="45"/>
        <w:jc w:val="left"/>
        <w:rPr>
          <w:b/>
        </w:rPr>
      </w:pPr>
    </w:p>
    <w:p>
      <w:pPr>
        <w:pStyle w:val="Heading2"/>
        <w:numPr>
          <w:ilvl w:val="1"/>
          <w:numId w:val="4"/>
        </w:numPr>
        <w:tabs>
          <w:tab w:pos="1271" w:val="left" w:leader="none"/>
        </w:tabs>
        <w:spacing w:line="240" w:lineRule="auto" w:before="0" w:after="0"/>
        <w:ind w:left="1271" w:right="0" w:hanging="421"/>
        <w:jc w:val="both"/>
      </w:pPr>
      <w:r>
        <w:rPr/>
        <w:t>Понятие</w:t>
      </w:r>
      <w:r>
        <w:rPr>
          <w:spacing w:val="-8"/>
        </w:rPr>
        <w:t> </w:t>
      </w:r>
      <w:r>
        <w:rPr/>
        <w:t>о</w:t>
      </w:r>
      <w:r>
        <w:rPr>
          <w:spacing w:val="-5"/>
        </w:rPr>
        <w:t> </w:t>
      </w:r>
      <w:r>
        <w:rPr/>
        <w:t>фертильности</w:t>
      </w:r>
      <w:r>
        <w:rPr>
          <w:spacing w:val="-6"/>
        </w:rPr>
        <w:t> </w:t>
      </w:r>
      <w:r>
        <w:rPr/>
        <w:t>эякулята</w:t>
      </w:r>
      <w:r>
        <w:rPr>
          <w:spacing w:val="-6"/>
        </w:rPr>
        <w:t> </w:t>
      </w:r>
      <w:r>
        <w:rPr>
          <w:spacing w:val="-2"/>
        </w:rPr>
        <w:t>человека</w:t>
      </w:r>
    </w:p>
    <w:p>
      <w:pPr>
        <w:pStyle w:val="BodyText"/>
        <w:spacing w:line="256" w:lineRule="auto" w:before="21"/>
        <w:ind w:left="142" w:right="136" w:firstLine="707"/>
      </w:pPr>
      <w:r>
        <w:rPr/>
        <w:t>Эякулят человека представляет собой смесь половых клеток-сперматозоидов, клеток сперматогенеза, лейкоцитов, дебриса и секретов половых желез-семенников, предстательной железы и семенных пузырьков. Научное представление о фертильности эякулята изменяется по сей день ввиду поступления новых данных о беременностях половых партнерш мужчин из разных частей планеты. Всемирная организация здравоохранения (ВОЗ)</w:t>
      </w:r>
      <w:r>
        <w:rPr>
          <w:spacing w:val="40"/>
        </w:rPr>
        <w:t> </w:t>
      </w:r>
      <w:r>
        <w:rPr/>
        <w:t>пришла к консенсусу о том, что нормальным периодом времени, необходимым для зачатия ребенка является 12 месяцев после прекращения всех видов контрацепции. Данный консенсус был получен в результате обобщения нескольких проспективных одномоментных поперечных углубленных исследований с включением в выборку мужчин, половые партнерши которых беременели после прекращения использования контрацепции [18].</w:t>
      </w:r>
    </w:p>
    <w:p>
      <w:pPr>
        <w:pStyle w:val="BodyText"/>
        <w:spacing w:line="256" w:lineRule="auto"/>
        <w:ind w:left="142" w:right="135" w:firstLine="708"/>
      </w:pPr>
      <w:r>
        <w:rPr/>
        <w:t>Оплодотворение -</w:t>
      </w:r>
      <w:r>
        <w:rPr>
          <w:spacing w:val="-2"/>
        </w:rPr>
        <w:t> </w:t>
      </w:r>
      <w:r>
        <w:rPr/>
        <w:t>сложный процесс,</w:t>
      </w:r>
      <w:r>
        <w:rPr>
          <w:spacing w:val="-3"/>
        </w:rPr>
        <w:t> </w:t>
      </w:r>
      <w:r>
        <w:rPr/>
        <w:t>непосредственное</w:t>
      </w:r>
      <w:r>
        <w:rPr>
          <w:spacing w:val="-2"/>
        </w:rPr>
        <w:t> </w:t>
      </w:r>
      <w:r>
        <w:rPr/>
        <w:t>участие в</w:t>
      </w:r>
      <w:r>
        <w:rPr>
          <w:spacing w:val="-3"/>
        </w:rPr>
        <w:t> </w:t>
      </w:r>
      <w:r>
        <w:rPr/>
        <w:t>котором принимают</w:t>
      </w:r>
      <w:r>
        <w:rPr>
          <w:spacing w:val="-5"/>
        </w:rPr>
        <w:t> </w:t>
      </w:r>
      <w:r>
        <w:rPr/>
        <w:t>сперматозоиды,</w:t>
      </w:r>
      <w:r>
        <w:rPr>
          <w:spacing w:val="-5"/>
        </w:rPr>
        <w:t> </w:t>
      </w:r>
      <w:r>
        <w:rPr/>
        <w:t>однако</w:t>
      </w:r>
      <w:r>
        <w:rPr>
          <w:spacing w:val="-4"/>
        </w:rPr>
        <w:t> </w:t>
      </w:r>
      <w:r>
        <w:rPr/>
        <w:t>сперматозоиды</w:t>
      </w:r>
      <w:r>
        <w:rPr>
          <w:spacing w:val="-4"/>
        </w:rPr>
        <w:t> </w:t>
      </w:r>
      <w:r>
        <w:rPr/>
        <w:t>не</w:t>
      </w:r>
      <w:r>
        <w:rPr>
          <w:spacing w:val="-5"/>
        </w:rPr>
        <w:t> </w:t>
      </w:r>
      <w:r>
        <w:rPr/>
        <w:t>единственный</w:t>
      </w:r>
      <w:r>
        <w:rPr>
          <w:spacing w:val="-4"/>
        </w:rPr>
        <w:t> </w:t>
      </w:r>
      <w:r>
        <w:rPr/>
        <w:t>компонент эякулята и непосредственную роль в оплодотворении играет биохимический состав, объем и вязкость семенной плазмы, наличие в ней антиспермальных антител (АСАТ). Велика роль оксидативных процессов, протекающих в семенной плазме. Таким образом, мы имеем дело со сложной системой и понятие «фертильность эякулята» имеет собирательный, многофакторный характер. Одними из ключевых факторов фертильности эякулята являются концентрация, подвижность и морфологическая структура сперматозоидов. По данным Kruger T. F. (1986) для оплодотворения одной яйцеклетки необходимо, чтобы в матку попало не менее 10*</w:t>
      </w:r>
      <w:r>
        <w:rPr>
          <w:vertAlign w:val="superscript"/>
        </w:rPr>
        <w:t>6</w:t>
      </w:r>
      <w:r>
        <w:rPr>
          <w:vertAlign w:val="baseline"/>
        </w:rPr>
        <w:t> сперматозоидов, которые коллективно дезагрегируют кумулюсное окружение ооцита за счет ферментов акросомы и биения жгутиков, что дает основание для установления теоретического минимума концентрации сперматозоидов в эякуляте для совершения оплодотворения [19]. В среднем, сперматозоид, доходя до ампулы фаллопиевой трубы, где происходит оплодотворение, преодолевает расстояние приблизительно равное 20 см, что требует активного движения, т.к. движение сперматозоида осуществляется в агрессивной кислой среде влагалища, достаточно вязкой среде цервикального канала и против тока фолликулярной жидкости в фаллопиевых трубах. Таким образом, подвижность является одним из ключевых факторов фертильности сперматозоидов.</w:t>
      </w:r>
    </w:p>
    <w:p>
      <w:pPr>
        <w:pStyle w:val="BodyText"/>
        <w:spacing w:line="299" w:lineRule="exact"/>
        <w:ind w:left="850"/>
      </w:pPr>
      <w:r>
        <w:rPr/>
        <w:t>Хотя</w:t>
      </w:r>
      <w:r>
        <w:rPr>
          <w:spacing w:val="76"/>
          <w:w w:val="150"/>
        </w:rPr>
        <w:t> </w:t>
      </w:r>
      <w:r>
        <w:rPr/>
        <w:t>в</w:t>
      </w:r>
      <w:r>
        <w:rPr>
          <w:spacing w:val="75"/>
          <w:w w:val="150"/>
        </w:rPr>
        <w:t> </w:t>
      </w:r>
      <w:r>
        <w:rPr/>
        <w:t>последнее</w:t>
      </w:r>
      <w:r>
        <w:rPr>
          <w:spacing w:val="75"/>
          <w:w w:val="150"/>
        </w:rPr>
        <w:t> </w:t>
      </w:r>
      <w:r>
        <w:rPr/>
        <w:t>время</w:t>
      </w:r>
      <w:r>
        <w:rPr>
          <w:spacing w:val="77"/>
          <w:w w:val="150"/>
        </w:rPr>
        <w:t> </w:t>
      </w:r>
      <w:r>
        <w:rPr/>
        <w:t>роль</w:t>
      </w:r>
      <w:r>
        <w:rPr>
          <w:spacing w:val="77"/>
          <w:w w:val="150"/>
        </w:rPr>
        <w:t> </w:t>
      </w:r>
      <w:r>
        <w:rPr/>
        <w:t>морфологии</w:t>
      </w:r>
      <w:r>
        <w:rPr>
          <w:spacing w:val="76"/>
          <w:w w:val="150"/>
        </w:rPr>
        <w:t> </w:t>
      </w:r>
      <w:r>
        <w:rPr/>
        <w:t>сперматозоидов</w:t>
      </w:r>
      <w:r>
        <w:rPr>
          <w:spacing w:val="76"/>
          <w:w w:val="150"/>
        </w:rPr>
        <w:t> </w:t>
      </w:r>
      <w:r>
        <w:rPr>
          <w:spacing w:val="-2"/>
        </w:rPr>
        <w:t>разными</w:t>
      </w:r>
    </w:p>
    <w:p>
      <w:pPr>
        <w:pStyle w:val="BodyText"/>
        <w:spacing w:line="256" w:lineRule="auto" w:before="8"/>
        <w:ind w:left="142" w:right="137"/>
      </w:pPr>
      <w:r>
        <w:rPr/>
        <w:t>авторами оценивается противоречиво, большинство авторов сходится во мнении, что сперматозоиды с нормальной морфологией имеют большие шансы на оплодотворение и формирование здорового концептуса [19-22]. Большое влияние на репродуктивные потери оказывают дисперсия хроматина сперматозоидов,</w:t>
      </w:r>
      <w:r>
        <w:rPr>
          <w:spacing w:val="61"/>
        </w:rPr>
        <w:t>  </w:t>
      </w:r>
      <w:r>
        <w:rPr/>
        <w:t>функциональная</w:t>
      </w:r>
      <w:r>
        <w:rPr>
          <w:spacing w:val="65"/>
        </w:rPr>
        <w:t>  </w:t>
      </w:r>
      <w:r>
        <w:rPr/>
        <w:t>незрелость</w:t>
      </w:r>
      <w:r>
        <w:rPr>
          <w:spacing w:val="63"/>
        </w:rPr>
        <w:t>  </w:t>
      </w:r>
      <w:r>
        <w:rPr/>
        <w:t>сперматозоидов,</w:t>
      </w:r>
      <w:r>
        <w:rPr>
          <w:spacing w:val="63"/>
        </w:rPr>
        <w:t>  </w:t>
      </w:r>
      <w:r>
        <w:rPr>
          <w:spacing w:val="-2"/>
        </w:rPr>
        <w:t>иммунные</w:t>
      </w:r>
    </w:p>
    <w:p>
      <w:pPr>
        <w:pStyle w:val="BodyText"/>
        <w:spacing w:after="0" w:line="256" w:lineRule="auto"/>
        <w:sectPr>
          <w:pgSz w:w="11910" w:h="16840"/>
          <w:pgMar w:header="0" w:footer="970" w:top="1040" w:bottom="1200" w:left="1559" w:right="425"/>
        </w:sectPr>
      </w:pPr>
    </w:p>
    <w:p>
      <w:pPr>
        <w:pStyle w:val="BodyText"/>
        <w:spacing w:line="256" w:lineRule="auto" w:before="74"/>
        <w:ind w:left="142"/>
        <w:jc w:val="left"/>
      </w:pPr>
      <w:r>
        <w:rPr/>
        <w:t>факторы</w:t>
      </w:r>
      <w:r>
        <w:rPr>
          <w:spacing w:val="80"/>
        </w:rPr>
        <w:t> </w:t>
      </w:r>
      <w:r>
        <w:rPr/>
        <w:t>и</w:t>
      </w:r>
      <w:r>
        <w:rPr>
          <w:spacing w:val="80"/>
        </w:rPr>
        <w:t> </w:t>
      </w:r>
      <w:r>
        <w:rPr/>
        <w:t>биохимический</w:t>
      </w:r>
      <w:r>
        <w:rPr>
          <w:spacing w:val="80"/>
        </w:rPr>
        <w:t> </w:t>
      </w:r>
      <w:r>
        <w:rPr/>
        <w:t>состав</w:t>
      </w:r>
      <w:r>
        <w:rPr>
          <w:spacing w:val="80"/>
        </w:rPr>
        <w:t> </w:t>
      </w:r>
      <w:r>
        <w:rPr/>
        <w:t>семенной</w:t>
      </w:r>
      <w:r>
        <w:rPr>
          <w:spacing w:val="80"/>
        </w:rPr>
        <w:t> </w:t>
      </w:r>
      <w:r>
        <w:rPr/>
        <w:t>плазмы,</w:t>
      </w:r>
      <w:r>
        <w:rPr>
          <w:spacing w:val="80"/>
        </w:rPr>
        <w:t> </w:t>
      </w:r>
      <w:r>
        <w:rPr/>
        <w:t>роль</w:t>
      </w:r>
      <w:r>
        <w:rPr>
          <w:spacing w:val="80"/>
        </w:rPr>
        <w:t> </w:t>
      </w:r>
      <w:r>
        <w:rPr/>
        <w:t>которых</w:t>
      </w:r>
      <w:r>
        <w:rPr>
          <w:spacing w:val="80"/>
        </w:rPr>
        <w:t> </w:t>
      </w:r>
      <w:r>
        <w:rPr/>
        <w:t>будет</w:t>
      </w:r>
      <w:r>
        <w:rPr>
          <w:spacing w:val="40"/>
        </w:rPr>
        <w:t> </w:t>
      </w:r>
      <w:r>
        <w:rPr/>
        <w:t>освещена ниже.</w:t>
      </w:r>
    </w:p>
    <w:p>
      <w:pPr>
        <w:pStyle w:val="BodyText"/>
        <w:spacing w:before="21"/>
        <w:jc w:val="left"/>
      </w:pPr>
    </w:p>
    <w:p>
      <w:pPr>
        <w:pStyle w:val="Heading2"/>
        <w:numPr>
          <w:ilvl w:val="2"/>
          <w:numId w:val="4"/>
        </w:numPr>
        <w:tabs>
          <w:tab w:pos="1479" w:val="left" w:leader="none"/>
        </w:tabs>
        <w:spacing w:line="240" w:lineRule="auto" w:before="0" w:after="0"/>
        <w:ind w:left="1479" w:right="0" w:hanging="629"/>
        <w:jc w:val="both"/>
      </w:pPr>
      <w:r>
        <w:rPr/>
        <w:t>Критерии</w:t>
      </w:r>
      <w:r>
        <w:rPr>
          <w:spacing w:val="-8"/>
        </w:rPr>
        <w:t> </w:t>
      </w:r>
      <w:r>
        <w:rPr>
          <w:spacing w:val="-2"/>
        </w:rPr>
        <w:t>нормозооспермии</w:t>
      </w:r>
    </w:p>
    <w:p>
      <w:pPr>
        <w:pStyle w:val="BodyText"/>
        <w:spacing w:line="256" w:lineRule="auto" w:before="21"/>
        <w:ind w:left="142" w:right="136" w:firstLine="707"/>
      </w:pPr>
      <w:r>
        <w:rPr/>
        <w:t>Нормозооспермия</w:t>
      </w:r>
      <w:r>
        <w:rPr>
          <w:spacing w:val="-1"/>
        </w:rPr>
        <w:t> </w:t>
      </w:r>
      <w:r>
        <w:rPr/>
        <w:t>–</w:t>
      </w:r>
      <w:r>
        <w:rPr>
          <w:spacing w:val="-3"/>
        </w:rPr>
        <w:t> </w:t>
      </w:r>
      <w:r>
        <w:rPr/>
        <w:t>состояние</w:t>
      </w:r>
      <w:r>
        <w:rPr>
          <w:spacing w:val="-1"/>
        </w:rPr>
        <w:t> </w:t>
      </w:r>
      <w:r>
        <w:rPr/>
        <w:t>эякулята</w:t>
      </w:r>
      <w:r>
        <w:rPr>
          <w:spacing w:val="-3"/>
        </w:rPr>
        <w:t> </w:t>
      </w:r>
      <w:r>
        <w:rPr/>
        <w:t>мужчины,</w:t>
      </w:r>
      <w:r>
        <w:rPr>
          <w:spacing w:val="-2"/>
        </w:rPr>
        <w:t> </w:t>
      </w:r>
      <w:r>
        <w:rPr/>
        <w:t>условно</w:t>
      </w:r>
      <w:r>
        <w:rPr>
          <w:spacing w:val="-3"/>
        </w:rPr>
        <w:t> </w:t>
      </w:r>
      <w:r>
        <w:rPr/>
        <w:t>обозначающее отсутствие проблем с зачатием у половой партнерши. Методологической проблемой является факт статистически неприемлемых различий показателей объема спермы, концентрации сперматозоидов, их подвижности и морфологии, получаемых от отцов новорожденных детей [23]. Другими словами, вариабельность показателей эякулята у отцов детей настолько высока, что определение фертильности носит весьма условный характер. Последняя (шестая) редакция руководства ВОЗ по исследованию и обработке эякулята человека на основании данных, полученных от более чем 3000 мужчин сообщает, что нормальным следует считать эякулят со следующими показателями (95% CI) доверительного интервала (см. табл. 1). При этом, сообщество экспертов, формирующих данное руководство, предложило отказаться от референсных значений, заменив их диапазоном значений, ниже которых вероятность естественного зачатия резко снижается [24].</w:t>
      </w:r>
    </w:p>
    <w:p>
      <w:pPr>
        <w:pStyle w:val="BodyText"/>
        <w:spacing w:before="74"/>
        <w:jc w:val="left"/>
        <w:rPr>
          <w:sz w:val="20"/>
        </w:rPr>
      </w:pPr>
      <w:r>
        <w:rPr>
          <w:sz w:val="20"/>
        </w:rPr>
        <w:drawing>
          <wp:anchor distT="0" distB="0" distL="0" distR="0" allowOverlap="1" layoutInCell="1" locked="0" behindDoc="1" simplePos="0" relativeHeight="487587840">
            <wp:simplePos x="0" y="0"/>
            <wp:positionH relativeFrom="page">
              <wp:posOffset>1749425</wp:posOffset>
            </wp:positionH>
            <wp:positionV relativeFrom="paragraph">
              <wp:posOffset>208789</wp:posOffset>
            </wp:positionV>
            <wp:extent cx="4797569" cy="2688050"/>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797569" cy="2688050"/>
                    </a:xfrm>
                    <a:prstGeom prst="rect">
                      <a:avLst/>
                    </a:prstGeom>
                  </pic:spPr>
                </pic:pic>
              </a:graphicData>
            </a:graphic>
          </wp:anchor>
        </w:drawing>
      </w:r>
    </w:p>
    <w:p>
      <w:pPr>
        <w:pStyle w:val="BodyText"/>
        <w:spacing w:line="256" w:lineRule="auto" w:before="19"/>
        <w:ind w:left="1966" w:hanging="1474"/>
        <w:jc w:val="left"/>
      </w:pPr>
      <w:r>
        <w:rPr/>
        <w:t>Таблица</w:t>
      </w:r>
      <w:r>
        <w:rPr>
          <w:spacing w:val="-4"/>
        </w:rPr>
        <w:t> </w:t>
      </w:r>
      <w:r>
        <w:rPr/>
        <w:t>1</w:t>
      </w:r>
      <w:r>
        <w:rPr>
          <w:spacing w:val="-5"/>
        </w:rPr>
        <w:t> </w:t>
      </w:r>
      <w:r>
        <w:rPr>
          <w:rFonts w:ascii="Arial MT" w:hAnsi="Arial MT"/>
          <w:color w:val="454545"/>
          <w:sz w:val="21"/>
        </w:rPr>
        <w:t>—</w:t>
      </w:r>
      <w:r>
        <w:rPr>
          <w:rFonts w:ascii="Arial MT" w:hAnsi="Arial MT"/>
          <w:color w:val="454545"/>
          <w:spacing w:val="-3"/>
          <w:sz w:val="21"/>
        </w:rPr>
        <w:t> </w:t>
      </w:r>
      <w:r>
        <w:rPr/>
        <w:t>Доверительные</w:t>
      </w:r>
      <w:r>
        <w:rPr>
          <w:spacing w:val="-6"/>
        </w:rPr>
        <w:t> </w:t>
      </w:r>
      <w:r>
        <w:rPr/>
        <w:t>интервалы</w:t>
      </w:r>
      <w:r>
        <w:rPr>
          <w:spacing w:val="-3"/>
        </w:rPr>
        <w:t> </w:t>
      </w:r>
      <w:r>
        <w:rPr/>
        <w:t>6ой</w:t>
      </w:r>
      <w:r>
        <w:rPr>
          <w:spacing w:val="-3"/>
        </w:rPr>
        <w:t> </w:t>
      </w:r>
      <w:r>
        <w:rPr/>
        <w:t>редакции</w:t>
      </w:r>
      <w:r>
        <w:rPr>
          <w:spacing w:val="-5"/>
        </w:rPr>
        <w:t> </w:t>
      </w:r>
      <w:r>
        <w:rPr/>
        <w:t>руководства</w:t>
      </w:r>
      <w:r>
        <w:rPr>
          <w:spacing w:val="-4"/>
        </w:rPr>
        <w:t> </w:t>
      </w:r>
      <w:r>
        <w:rPr/>
        <w:t>ВОЗ</w:t>
      </w:r>
      <w:r>
        <w:rPr>
          <w:spacing w:val="-3"/>
        </w:rPr>
        <w:t> </w:t>
      </w:r>
      <w:r>
        <w:rPr/>
        <w:t>по исследованию и обработке эякулята человека [24]</w:t>
      </w:r>
    </w:p>
    <w:p>
      <w:pPr>
        <w:pStyle w:val="BodyText"/>
        <w:spacing w:before="18"/>
        <w:jc w:val="left"/>
      </w:pPr>
    </w:p>
    <w:p>
      <w:pPr>
        <w:pStyle w:val="BodyText"/>
        <w:spacing w:line="256" w:lineRule="auto"/>
        <w:ind w:left="142" w:right="136" w:firstLine="707"/>
      </w:pPr>
      <w:r>
        <w:rPr/>
        <w:t>Авторитетные исследователи призывают отказаться от референсных значений, так как вполне справедливо то, что референсные значения, основанные на данных популяции фертильных мужчин, не могут достоверно дифференцировать фертильных и бесплодных.</w:t>
      </w:r>
      <w:r>
        <w:rPr>
          <w:spacing w:val="40"/>
        </w:rPr>
        <w:t> </w:t>
      </w:r>
      <w:r>
        <w:rPr/>
        <w:t>Оценка мужской фертильности должна, безусловно, учитывать не только фертильных мужчин, но и данные популяции бесплодных пациентов. Авторы нового руководства отмечают, что не</w:t>
      </w:r>
      <w:r>
        <w:rPr>
          <w:spacing w:val="50"/>
          <w:w w:val="150"/>
        </w:rPr>
        <w:t>  </w:t>
      </w:r>
      <w:r>
        <w:rPr/>
        <w:t>существует</w:t>
      </w:r>
      <w:r>
        <w:rPr>
          <w:spacing w:val="52"/>
          <w:w w:val="150"/>
        </w:rPr>
        <w:t>  </w:t>
      </w:r>
      <w:r>
        <w:rPr/>
        <w:t>каких-либо</w:t>
      </w:r>
      <w:r>
        <w:rPr>
          <w:spacing w:val="53"/>
          <w:w w:val="150"/>
        </w:rPr>
        <w:t>  </w:t>
      </w:r>
      <w:r>
        <w:rPr/>
        <w:t>шкал,</w:t>
      </w:r>
      <w:r>
        <w:rPr>
          <w:spacing w:val="52"/>
          <w:w w:val="150"/>
        </w:rPr>
        <w:t>  </w:t>
      </w:r>
      <w:r>
        <w:rPr/>
        <w:t>которые</w:t>
      </w:r>
      <w:r>
        <w:rPr>
          <w:spacing w:val="52"/>
          <w:w w:val="150"/>
        </w:rPr>
        <w:t>  </w:t>
      </w:r>
      <w:r>
        <w:rPr/>
        <w:t>потенциально</w:t>
      </w:r>
      <w:r>
        <w:rPr>
          <w:spacing w:val="52"/>
          <w:w w:val="150"/>
        </w:rPr>
        <w:t>  </w:t>
      </w:r>
      <w:r>
        <w:rPr/>
        <w:t>могли</w:t>
      </w:r>
      <w:r>
        <w:rPr>
          <w:spacing w:val="53"/>
          <w:w w:val="150"/>
        </w:rPr>
        <w:t>  </w:t>
      </w:r>
      <w:r>
        <w:rPr>
          <w:spacing w:val="-5"/>
        </w:rPr>
        <w:t>бы</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5"/>
      </w:pPr>
      <w:r>
        <w:rPr/>
        <w:t>гарантированно различать фертильных и бесплодных мужчин. По этой причине отмечается, что для клинической практики предпочтительно пользоваться лимитами принятия решений, которые представляют собой диапазоны значений, говорящие об однозначном патологическом состоянии и наличии мужского фактора бесплодия - так называемой серой зоне, где вероятно имеет место снижение фертильности [24]. В данной диссертационной работе критерием нормоозоспермии выбран 5ый процентиль 5го издания ВОЗ по исследованию и обработке эякулята человека, так как на момент публикации 6го издания большая часть клинических лабораторных исследований спермы была</w:t>
      </w:r>
      <w:r>
        <w:rPr>
          <w:spacing w:val="-3"/>
        </w:rPr>
        <w:t> </w:t>
      </w:r>
      <w:r>
        <w:rPr/>
        <w:t>уже</w:t>
      </w:r>
      <w:r>
        <w:rPr>
          <w:spacing w:val="-3"/>
        </w:rPr>
        <w:t> </w:t>
      </w:r>
      <w:r>
        <w:rPr/>
        <w:t>выполнена</w:t>
      </w:r>
      <w:r>
        <w:rPr>
          <w:spacing w:val="-3"/>
        </w:rPr>
        <w:t> </w:t>
      </w:r>
      <w:r>
        <w:rPr/>
        <w:t>и</w:t>
      </w:r>
      <w:r>
        <w:rPr>
          <w:spacing w:val="-2"/>
        </w:rPr>
        <w:t> </w:t>
      </w:r>
      <w:r>
        <w:rPr/>
        <w:t>их</w:t>
      </w:r>
      <w:r>
        <w:rPr>
          <w:spacing w:val="-2"/>
        </w:rPr>
        <w:t> </w:t>
      </w:r>
      <w:r>
        <w:rPr/>
        <w:t>заключения</w:t>
      </w:r>
      <w:r>
        <w:rPr>
          <w:spacing w:val="-2"/>
        </w:rPr>
        <w:t> </w:t>
      </w:r>
      <w:r>
        <w:rPr/>
        <w:t>были</w:t>
      </w:r>
      <w:r>
        <w:rPr>
          <w:spacing w:val="-2"/>
        </w:rPr>
        <w:t> </w:t>
      </w:r>
      <w:r>
        <w:rPr/>
        <w:t>нами</w:t>
      </w:r>
      <w:r>
        <w:rPr>
          <w:spacing w:val="-2"/>
        </w:rPr>
        <w:t> </w:t>
      </w:r>
      <w:r>
        <w:rPr/>
        <w:t>задокументированы</w:t>
      </w:r>
      <w:r>
        <w:rPr>
          <w:spacing w:val="-2"/>
        </w:rPr>
        <w:t> </w:t>
      </w:r>
      <w:r>
        <w:rPr/>
        <w:t>(см.</w:t>
      </w:r>
      <w:r>
        <w:rPr>
          <w:spacing w:val="-3"/>
        </w:rPr>
        <w:t> </w:t>
      </w:r>
      <w:r>
        <w:rPr/>
        <w:t>Табл. </w:t>
      </w:r>
      <w:r>
        <w:rPr>
          <w:spacing w:val="-4"/>
        </w:rPr>
        <w:t>2).</w:t>
      </w:r>
    </w:p>
    <w:p>
      <w:pPr>
        <w:pStyle w:val="BodyText"/>
        <w:spacing w:before="79"/>
        <w:jc w:val="left"/>
        <w:rPr>
          <w:sz w:val="20"/>
        </w:rPr>
      </w:pPr>
      <w:r>
        <w:rPr>
          <w:sz w:val="20"/>
        </w:rPr>
        <w:drawing>
          <wp:anchor distT="0" distB="0" distL="0" distR="0" allowOverlap="1" layoutInCell="1" locked="0" behindDoc="1" simplePos="0" relativeHeight="487588352">
            <wp:simplePos x="0" y="0"/>
            <wp:positionH relativeFrom="page">
              <wp:posOffset>1301433</wp:posOffset>
            </wp:positionH>
            <wp:positionV relativeFrom="paragraph">
              <wp:posOffset>212065</wp:posOffset>
            </wp:positionV>
            <wp:extent cx="5682963" cy="305485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682963" cy="3054857"/>
                    </a:xfrm>
                    <a:prstGeom prst="rect">
                      <a:avLst/>
                    </a:prstGeom>
                  </pic:spPr>
                </pic:pic>
              </a:graphicData>
            </a:graphic>
          </wp:anchor>
        </w:drawing>
      </w:r>
    </w:p>
    <w:p>
      <w:pPr>
        <w:pStyle w:val="BodyText"/>
        <w:spacing w:line="256" w:lineRule="auto" w:before="11"/>
        <w:ind w:left="1966" w:hanging="1481"/>
        <w:jc w:val="left"/>
      </w:pPr>
      <w:r>
        <w:rPr/>
        <w:t>Таблица</w:t>
      </w:r>
      <w:r>
        <w:rPr>
          <w:spacing w:val="-4"/>
        </w:rPr>
        <w:t> </w:t>
      </w:r>
      <w:r>
        <w:rPr/>
        <w:t>2</w:t>
      </w:r>
      <w:r>
        <w:rPr>
          <w:spacing w:val="-5"/>
        </w:rPr>
        <w:t> </w:t>
      </w:r>
      <w:r>
        <w:rPr>
          <w:rFonts w:ascii="Arial MT" w:hAnsi="Arial MT"/>
          <w:color w:val="454545"/>
          <w:sz w:val="21"/>
        </w:rPr>
        <w:t>— </w:t>
      </w:r>
      <w:r>
        <w:rPr/>
        <w:t>Доверительные</w:t>
      </w:r>
      <w:r>
        <w:rPr>
          <w:spacing w:val="-6"/>
        </w:rPr>
        <w:t> </w:t>
      </w:r>
      <w:r>
        <w:rPr/>
        <w:t>интервалы</w:t>
      </w:r>
      <w:r>
        <w:rPr>
          <w:spacing w:val="-3"/>
        </w:rPr>
        <w:t> </w:t>
      </w:r>
      <w:r>
        <w:rPr/>
        <w:t>5ой</w:t>
      </w:r>
      <w:r>
        <w:rPr>
          <w:spacing w:val="-3"/>
        </w:rPr>
        <w:t> </w:t>
      </w:r>
      <w:r>
        <w:rPr/>
        <w:t>редакции</w:t>
      </w:r>
      <w:r>
        <w:rPr>
          <w:spacing w:val="-5"/>
        </w:rPr>
        <w:t> </w:t>
      </w:r>
      <w:r>
        <w:rPr/>
        <w:t>руководства</w:t>
      </w:r>
      <w:r>
        <w:rPr>
          <w:spacing w:val="-4"/>
        </w:rPr>
        <w:t> </w:t>
      </w:r>
      <w:r>
        <w:rPr/>
        <w:t>ВОЗ</w:t>
      </w:r>
      <w:r>
        <w:rPr>
          <w:spacing w:val="-3"/>
        </w:rPr>
        <w:t> </w:t>
      </w:r>
      <w:r>
        <w:rPr/>
        <w:t>по исследованию и обработке эякулята человека [18]</w:t>
      </w:r>
    </w:p>
    <w:p>
      <w:pPr>
        <w:pStyle w:val="BodyText"/>
        <w:spacing w:before="18"/>
        <w:jc w:val="left"/>
      </w:pPr>
    </w:p>
    <w:p>
      <w:pPr>
        <w:pStyle w:val="BodyText"/>
        <w:spacing w:line="256" w:lineRule="auto"/>
        <w:ind w:left="142" w:right="136" w:firstLine="707"/>
      </w:pPr>
      <w:r>
        <w:rPr/>
        <w:t>По всей видимости, существуют некоторые региональные отличия в показателях</w:t>
      </w:r>
      <w:r>
        <w:rPr>
          <w:spacing w:val="-3"/>
        </w:rPr>
        <w:t> </w:t>
      </w:r>
      <w:r>
        <w:rPr/>
        <w:t>эякулята,</w:t>
      </w:r>
      <w:r>
        <w:rPr>
          <w:spacing w:val="-4"/>
        </w:rPr>
        <w:t> </w:t>
      </w:r>
      <w:r>
        <w:rPr/>
        <w:t>не</w:t>
      </w:r>
      <w:r>
        <w:rPr>
          <w:spacing w:val="-4"/>
        </w:rPr>
        <w:t> </w:t>
      </w:r>
      <w:r>
        <w:rPr/>
        <w:t>отраженные</w:t>
      </w:r>
      <w:r>
        <w:rPr>
          <w:spacing w:val="-4"/>
        </w:rPr>
        <w:t> </w:t>
      </w:r>
      <w:r>
        <w:rPr/>
        <w:t>в</w:t>
      </w:r>
      <w:r>
        <w:rPr>
          <w:spacing w:val="-2"/>
        </w:rPr>
        <w:t> </w:t>
      </w:r>
      <w:r>
        <w:rPr/>
        <w:t>руководствах</w:t>
      </w:r>
      <w:r>
        <w:rPr>
          <w:spacing w:val="-3"/>
        </w:rPr>
        <w:t> </w:t>
      </w:r>
      <w:r>
        <w:rPr/>
        <w:t>ВОЗ</w:t>
      </w:r>
      <w:r>
        <w:rPr>
          <w:spacing w:val="-3"/>
        </w:rPr>
        <w:t> </w:t>
      </w:r>
      <w:r>
        <w:rPr/>
        <w:t>ввиду</w:t>
      </w:r>
      <w:r>
        <w:rPr>
          <w:spacing w:val="-3"/>
        </w:rPr>
        <w:t> </w:t>
      </w:r>
      <w:r>
        <w:rPr/>
        <w:t>отсутствия</w:t>
      </w:r>
      <w:r>
        <w:rPr>
          <w:spacing w:val="-3"/>
        </w:rPr>
        <w:t> </w:t>
      </w:r>
      <w:r>
        <w:rPr/>
        <w:t>или недостаточной проработки коллективом авторов данных из регионов Центральной Азии</w:t>
      </w:r>
      <w:r>
        <w:rPr>
          <w:spacing w:val="-2"/>
        </w:rPr>
        <w:t> </w:t>
      </w:r>
      <w:r>
        <w:rPr/>
        <w:t>и Южной Америки,</w:t>
      </w:r>
      <w:r>
        <w:rPr>
          <w:spacing w:val="-3"/>
        </w:rPr>
        <w:t> </w:t>
      </w:r>
      <w:r>
        <w:rPr/>
        <w:t>поэтому углубление</w:t>
      </w:r>
      <w:r>
        <w:rPr>
          <w:spacing w:val="-3"/>
        </w:rPr>
        <w:t> </w:t>
      </w:r>
      <w:r>
        <w:rPr/>
        <w:t>знаний и</w:t>
      </w:r>
      <w:r>
        <w:rPr>
          <w:spacing w:val="-2"/>
        </w:rPr>
        <w:t> </w:t>
      </w:r>
      <w:r>
        <w:rPr/>
        <w:t>пересмотр термина «нормозооспермия» до сих пор остается актуальным направлением </w:t>
      </w:r>
      <w:r>
        <w:rPr>
          <w:spacing w:val="-4"/>
        </w:rPr>
        <w:t>[15].</w:t>
      </w:r>
    </w:p>
    <w:p>
      <w:pPr>
        <w:pStyle w:val="BodyText"/>
        <w:spacing w:before="16"/>
        <w:jc w:val="left"/>
      </w:pPr>
    </w:p>
    <w:p>
      <w:pPr>
        <w:pStyle w:val="Heading2"/>
        <w:numPr>
          <w:ilvl w:val="2"/>
          <w:numId w:val="4"/>
        </w:numPr>
        <w:tabs>
          <w:tab w:pos="1479" w:val="left" w:leader="none"/>
        </w:tabs>
        <w:spacing w:line="240" w:lineRule="auto" w:before="0" w:after="0"/>
        <w:ind w:left="1479" w:right="0" w:hanging="629"/>
        <w:jc w:val="both"/>
      </w:pPr>
      <w:r>
        <w:rPr/>
        <w:t>Многообразие</w:t>
      </w:r>
      <w:r>
        <w:rPr>
          <w:spacing w:val="-13"/>
        </w:rPr>
        <w:t> </w:t>
      </w:r>
      <w:r>
        <w:rPr/>
        <w:t>нарушений</w:t>
      </w:r>
      <w:r>
        <w:rPr>
          <w:spacing w:val="-9"/>
        </w:rPr>
        <w:t> </w:t>
      </w:r>
      <w:r>
        <w:rPr/>
        <w:t>оплодотворяющей</w:t>
      </w:r>
      <w:r>
        <w:rPr>
          <w:spacing w:val="-10"/>
        </w:rPr>
        <w:t> </w:t>
      </w:r>
      <w:r>
        <w:rPr/>
        <w:t>функции</w:t>
      </w:r>
      <w:r>
        <w:rPr>
          <w:spacing w:val="-9"/>
        </w:rPr>
        <w:t> </w:t>
      </w:r>
      <w:r>
        <w:rPr>
          <w:spacing w:val="-2"/>
        </w:rPr>
        <w:t>эякулята</w:t>
      </w:r>
    </w:p>
    <w:p>
      <w:pPr>
        <w:pStyle w:val="BodyText"/>
        <w:spacing w:line="256" w:lineRule="auto" w:before="21"/>
        <w:ind w:left="142" w:right="136" w:firstLine="707"/>
      </w:pPr>
      <w:r>
        <w:rPr/>
        <w:t>Диагноз мужского бесплодия часто носит только описательный характер, при этом в 30–50% случаев этиология дефекта спермы остается</w:t>
      </w:r>
      <w:r>
        <w:rPr>
          <w:spacing w:val="80"/>
        </w:rPr>
        <w:t> </w:t>
      </w:r>
      <w:r>
        <w:rPr/>
        <w:t>идиопатической [25-26]. Одной из причин отсутствия фундаментального понимания является гетерогенность причинных факторов, поскольку мужское бесплодие</w:t>
      </w:r>
      <w:r>
        <w:rPr>
          <w:spacing w:val="66"/>
        </w:rPr>
        <w:t> </w:t>
      </w:r>
      <w:r>
        <w:rPr/>
        <w:t>является</w:t>
      </w:r>
      <w:r>
        <w:rPr>
          <w:spacing w:val="66"/>
        </w:rPr>
        <w:t> </w:t>
      </w:r>
      <w:r>
        <w:rPr/>
        <w:t>типичным</w:t>
      </w:r>
      <w:r>
        <w:rPr>
          <w:spacing w:val="68"/>
        </w:rPr>
        <w:t> </w:t>
      </w:r>
      <w:r>
        <w:rPr/>
        <w:t>многофакторным</w:t>
      </w:r>
      <w:r>
        <w:rPr>
          <w:spacing w:val="67"/>
        </w:rPr>
        <w:t> </w:t>
      </w:r>
      <w:r>
        <w:rPr/>
        <w:t>расстройством</w:t>
      </w:r>
      <w:r>
        <w:rPr>
          <w:spacing w:val="67"/>
        </w:rPr>
        <w:t> </w:t>
      </w:r>
      <w:r>
        <w:rPr/>
        <w:t>[27].</w:t>
      </w:r>
      <w:r>
        <w:rPr>
          <w:spacing w:val="68"/>
        </w:rPr>
        <w:t> </w:t>
      </w:r>
      <w:r>
        <w:rPr>
          <w:spacing w:val="-2"/>
        </w:rPr>
        <w:t>Однако</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6"/>
      </w:pPr>
      <w:r>
        <w:rPr/>
        <w:t>генетические факторы встречаются очень часто, поскольку было подсчитано, что генетическое происхождение мужского бесплодия может быть обнаружено у приблизительно 1 из 40 мужчин. В их числе хромосомные аномалии (в основном 47, XXY — синдром Клайнфельтера), микроделеции Y-хромосомы и муковисцидозные мутации трансмембранного регулятора проводимости</w:t>
      </w:r>
      <w:r>
        <w:rPr>
          <w:spacing w:val="40"/>
        </w:rPr>
        <w:t> </w:t>
      </w:r>
      <w:r>
        <w:rPr/>
        <w:t>(CFTR) [28-31]. Несмотря на это, рутинный скрининг этих хорошо установленных генетических причин (в принципе оправданный только для пациентов с определенными специфическими фенотипами) приводит к диагностике менее 5% всех фенотипов [32].</w:t>
      </w:r>
    </w:p>
    <w:p>
      <w:pPr>
        <w:pStyle w:val="BodyText"/>
        <w:spacing w:line="256" w:lineRule="auto"/>
        <w:ind w:left="142" w:right="136" w:firstLine="708"/>
      </w:pPr>
      <w:r>
        <w:rPr/>
        <w:drawing>
          <wp:anchor distT="0" distB="0" distL="0" distR="0" allowOverlap="1" layoutInCell="1" locked="0" behindDoc="0" simplePos="0" relativeHeight="15729664">
            <wp:simplePos x="0" y="0"/>
            <wp:positionH relativeFrom="page">
              <wp:posOffset>1272407</wp:posOffset>
            </wp:positionH>
            <wp:positionV relativeFrom="paragraph">
              <wp:posOffset>3402512</wp:posOffset>
            </wp:positionV>
            <wp:extent cx="5696153" cy="226797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696153" cy="2267977"/>
                    </a:xfrm>
                    <a:prstGeom prst="rect">
                      <a:avLst/>
                    </a:prstGeom>
                  </pic:spPr>
                </pic:pic>
              </a:graphicData>
            </a:graphic>
          </wp:anchor>
        </w:drawing>
      </w:r>
      <w:r>
        <w:rPr/>
        <w:t>Патоспермия – собирательный термин, более всего распространенный в русскоязычной литературе, включает в себя различные патологические изменения эякулята. Это может быть недостаточный объем спермы (олигоспермия), низкая концентрация (олигозооспермия) или подвижность сперматозоидов (астенозооспермия), снижение морфологически нормальных сперматозоидов (тератозооспермия), наличие в сперме эритроцитов (гемоспермия) или превышение лейкоцитов (лейкоцитоспермия), единичные числа сперматозоидов в эякуляте (криптозооспермия). В самых тяжелых случаях сперматозоиды полностью теряют жизнеспособность (некрозооспермия) либо отмечается полное отсутствие сперматозоидов (азооспермия)или вовсе эякулята (аспермия) [18]. Часто патоспермия носит совокупный характер, как например, одновременное снижение концентрации, подвижности и морфологии сперматозоидов – олигоастенотератозооспермия (см. рис.1).</w:t>
      </w: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20"/>
        <w:jc w:val="left"/>
      </w:pPr>
    </w:p>
    <w:p>
      <w:pPr>
        <w:pStyle w:val="BodyText"/>
        <w:spacing w:line="680" w:lineRule="atLeast"/>
        <w:ind w:left="850" w:hanging="92"/>
        <w:jc w:val="left"/>
      </w:pPr>
      <w:r>
        <w:rPr/>
        <w:t>Рисунок 1 </w:t>
      </w:r>
      <w:r>
        <w:rPr>
          <w:rFonts w:ascii="Arial MT" w:hAnsi="Arial MT"/>
          <w:color w:val="454545"/>
          <w:sz w:val="21"/>
        </w:rPr>
        <w:t>— </w:t>
      </w:r>
      <w:r>
        <w:rPr/>
        <w:t>Многообразие аномалий эякулята. Собственный рисунок Этиология</w:t>
      </w:r>
      <w:r>
        <w:rPr>
          <w:spacing w:val="-3"/>
        </w:rPr>
        <w:t> </w:t>
      </w:r>
      <w:r>
        <w:rPr/>
        <w:t>патоспермии</w:t>
      </w:r>
      <w:r>
        <w:rPr>
          <w:spacing w:val="-3"/>
        </w:rPr>
        <w:t> </w:t>
      </w:r>
      <w:r>
        <w:rPr/>
        <w:t>весьма</w:t>
      </w:r>
      <w:r>
        <w:rPr>
          <w:spacing w:val="-4"/>
        </w:rPr>
        <w:t> </w:t>
      </w:r>
      <w:r>
        <w:rPr/>
        <w:t>гетерогенна,</w:t>
      </w:r>
      <w:r>
        <w:rPr>
          <w:spacing w:val="-4"/>
        </w:rPr>
        <w:t> </w:t>
      </w:r>
      <w:r>
        <w:rPr/>
        <w:t>так</w:t>
      </w:r>
      <w:r>
        <w:rPr>
          <w:spacing w:val="-4"/>
        </w:rPr>
        <w:t> </w:t>
      </w:r>
      <w:r>
        <w:rPr/>
        <w:t>как</w:t>
      </w:r>
      <w:r>
        <w:rPr>
          <w:spacing w:val="-4"/>
        </w:rPr>
        <w:t> </w:t>
      </w:r>
      <w:r>
        <w:rPr/>
        <w:t>сам</w:t>
      </w:r>
      <w:r>
        <w:rPr>
          <w:spacing w:val="-4"/>
        </w:rPr>
        <w:t> </w:t>
      </w:r>
      <w:r>
        <w:rPr/>
        <w:t>эякулят,</w:t>
      </w:r>
      <w:r>
        <w:rPr>
          <w:spacing w:val="-4"/>
        </w:rPr>
        <w:t> </w:t>
      </w:r>
      <w:r>
        <w:rPr/>
        <w:t>как</w:t>
      </w:r>
      <w:r>
        <w:rPr>
          <w:spacing w:val="-6"/>
        </w:rPr>
        <w:t> </w:t>
      </w:r>
      <w:r>
        <w:rPr/>
        <w:t>уже</w:t>
      </w:r>
    </w:p>
    <w:p>
      <w:pPr>
        <w:pStyle w:val="BodyText"/>
        <w:spacing w:line="256" w:lineRule="auto" w:before="28"/>
        <w:ind w:left="142" w:right="136"/>
      </w:pPr>
      <w:r>
        <w:rPr/>
        <w:t>было сказано выше, состоит из многих компонентов, секреция которых, зачастую, независима. Поскольку в контексте данной работы затрагиваются подвижность,</w:t>
      </w:r>
      <w:r>
        <w:rPr>
          <w:spacing w:val="51"/>
          <w:w w:val="150"/>
        </w:rPr>
        <w:t>   </w:t>
      </w:r>
      <w:r>
        <w:rPr/>
        <w:t>ультраструктурная</w:t>
      </w:r>
      <w:r>
        <w:rPr>
          <w:spacing w:val="50"/>
          <w:w w:val="150"/>
        </w:rPr>
        <w:t>   </w:t>
      </w:r>
      <w:r>
        <w:rPr/>
        <w:t>организация,</w:t>
      </w:r>
      <w:r>
        <w:rPr>
          <w:spacing w:val="50"/>
          <w:w w:val="150"/>
        </w:rPr>
        <w:t>   </w:t>
      </w:r>
      <w:r>
        <w:rPr/>
        <w:t>фрагментация</w:t>
      </w:r>
      <w:r>
        <w:rPr>
          <w:spacing w:val="51"/>
          <w:w w:val="150"/>
        </w:rPr>
        <w:t>   </w:t>
      </w:r>
      <w:r>
        <w:rPr>
          <w:spacing w:val="-5"/>
        </w:rPr>
        <w:t>ДНК</w:t>
      </w:r>
    </w:p>
    <w:p>
      <w:pPr>
        <w:pStyle w:val="BodyText"/>
        <w:spacing w:after="0" w:line="256" w:lineRule="auto"/>
        <w:sectPr>
          <w:pgSz w:w="11910" w:h="16840"/>
          <w:pgMar w:header="0" w:footer="970" w:top="1040" w:bottom="1200" w:left="1559" w:right="425"/>
        </w:sectPr>
      </w:pPr>
    </w:p>
    <w:p>
      <w:pPr>
        <w:pStyle w:val="BodyText"/>
        <w:spacing w:line="256" w:lineRule="auto" w:before="74"/>
        <w:ind w:left="142"/>
        <w:jc w:val="left"/>
      </w:pPr>
      <w:r>
        <w:rPr/>
        <w:t>сперматозоидов,</w:t>
      </w:r>
      <w:r>
        <w:rPr>
          <w:spacing w:val="80"/>
        </w:rPr>
        <w:t> </w:t>
      </w:r>
      <w:r>
        <w:rPr/>
        <w:t>а</w:t>
      </w:r>
      <w:r>
        <w:rPr>
          <w:spacing w:val="80"/>
        </w:rPr>
        <w:t> </w:t>
      </w:r>
      <w:r>
        <w:rPr/>
        <w:t>также</w:t>
      </w:r>
      <w:r>
        <w:rPr>
          <w:spacing w:val="80"/>
        </w:rPr>
        <w:t> </w:t>
      </w:r>
      <w:r>
        <w:rPr/>
        <w:t>иммунологическое</w:t>
      </w:r>
      <w:r>
        <w:rPr>
          <w:spacing w:val="80"/>
        </w:rPr>
        <w:t> </w:t>
      </w:r>
      <w:r>
        <w:rPr/>
        <w:t>бесплодие</w:t>
      </w:r>
      <w:r>
        <w:rPr>
          <w:spacing w:val="80"/>
        </w:rPr>
        <w:t> </w:t>
      </w:r>
      <w:r>
        <w:rPr/>
        <w:t>человека,</w:t>
      </w:r>
      <w:r>
        <w:rPr>
          <w:spacing w:val="80"/>
        </w:rPr>
        <w:t> </w:t>
      </w:r>
      <w:r>
        <w:rPr/>
        <w:t>то</w:t>
      </w:r>
      <w:r>
        <w:rPr>
          <w:spacing w:val="80"/>
        </w:rPr>
        <w:t> </w:t>
      </w:r>
      <w:r>
        <w:rPr/>
        <w:t>ниже остановимся на патогенезе данных состояний более подробно.</w:t>
      </w:r>
    </w:p>
    <w:p>
      <w:pPr>
        <w:pStyle w:val="BodyText"/>
        <w:spacing w:before="21"/>
        <w:jc w:val="left"/>
      </w:pPr>
    </w:p>
    <w:p>
      <w:pPr>
        <w:pStyle w:val="Heading2"/>
        <w:numPr>
          <w:ilvl w:val="3"/>
          <w:numId w:val="4"/>
        </w:numPr>
        <w:tabs>
          <w:tab w:pos="1548" w:val="left" w:leader="none"/>
        </w:tabs>
        <w:spacing w:line="240" w:lineRule="auto" w:before="0" w:after="0"/>
        <w:ind w:left="1548" w:right="0" w:hanging="840"/>
        <w:jc w:val="both"/>
      </w:pPr>
      <w:r>
        <w:rPr/>
        <w:t>Нарушение</w:t>
      </w:r>
      <w:r>
        <w:rPr>
          <w:spacing w:val="-11"/>
        </w:rPr>
        <w:t> </w:t>
      </w:r>
      <w:r>
        <w:rPr/>
        <w:t>подвижности</w:t>
      </w:r>
      <w:r>
        <w:rPr>
          <w:spacing w:val="-7"/>
        </w:rPr>
        <w:t> </w:t>
      </w:r>
      <w:r>
        <w:rPr/>
        <w:t>сперматозоидов</w:t>
      </w:r>
      <w:r>
        <w:rPr>
          <w:spacing w:val="-6"/>
        </w:rPr>
        <w:t> </w:t>
      </w:r>
      <w:r>
        <w:rPr/>
        <w:t>–</w:t>
      </w:r>
      <w:r>
        <w:rPr>
          <w:spacing w:val="-7"/>
        </w:rPr>
        <w:t> </w:t>
      </w:r>
      <w:r>
        <w:rPr>
          <w:spacing w:val="-2"/>
        </w:rPr>
        <w:t>астенозооспермия</w:t>
      </w:r>
    </w:p>
    <w:p>
      <w:pPr>
        <w:pStyle w:val="BodyText"/>
        <w:spacing w:line="256" w:lineRule="auto" w:before="21"/>
        <w:ind w:left="142" w:right="134" w:firstLine="708"/>
      </w:pPr>
      <w:r>
        <w:rPr/>
        <w:t>В основе патогенеза астенозооспермии выделяют: генетические нарушения строения жгутика, энергетические нарушения, связанные с генетически обусловленными или функциональными дефектами митохондрий, недостаток биохимических компонентов семенной жидкости (фруктоза, цинк и т.д.), повышенную вязкость, слизь в сперме. Одной из форм нарушения двигательного аппарата жгутика, выявляемого при электронно-микроскопическом исследовании, является дисплазия фиброзного слоя (ФС) жгутика. Дисплазия ФС жгутика – генетически обусловленная аномалия, проявляющаяся на ультраструктурном уровне хаотичным расположением колонн и ребер ФС в аксонеме жгутика сперматозоидов (рис. 2) [33].</w:t>
      </w:r>
    </w:p>
    <w:p>
      <w:pPr>
        <w:pStyle w:val="BodyText"/>
        <w:spacing w:before="79"/>
        <w:jc w:val="left"/>
        <w:rPr>
          <w:sz w:val="20"/>
        </w:rPr>
      </w:pPr>
      <w:r>
        <w:rPr>
          <w:sz w:val="20"/>
        </w:rPr>
        <w:drawing>
          <wp:anchor distT="0" distB="0" distL="0" distR="0" allowOverlap="1" layoutInCell="1" locked="0" behindDoc="1" simplePos="0" relativeHeight="487589376">
            <wp:simplePos x="0" y="0"/>
            <wp:positionH relativeFrom="page">
              <wp:posOffset>2654300</wp:posOffset>
            </wp:positionH>
            <wp:positionV relativeFrom="paragraph">
              <wp:posOffset>211534</wp:posOffset>
            </wp:positionV>
            <wp:extent cx="2965709" cy="226733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2965709" cy="2267330"/>
                    </a:xfrm>
                    <a:prstGeom prst="rect">
                      <a:avLst/>
                    </a:prstGeom>
                  </pic:spPr>
                </pic:pic>
              </a:graphicData>
            </a:graphic>
          </wp:anchor>
        </w:drawing>
      </w:r>
    </w:p>
    <w:p>
      <w:pPr>
        <w:pStyle w:val="BodyText"/>
        <w:spacing w:line="256" w:lineRule="auto" w:before="87"/>
        <w:ind w:left="2192" w:hanging="1174"/>
        <w:jc w:val="left"/>
      </w:pPr>
      <w:r>
        <w:rPr/>
        <w:t>Рисунок</w:t>
      </w:r>
      <w:r>
        <w:rPr>
          <w:spacing w:val="-6"/>
        </w:rPr>
        <w:t> </w:t>
      </w:r>
      <w:r>
        <w:rPr/>
        <w:t>2</w:t>
      </w:r>
      <w:r>
        <w:rPr>
          <w:spacing w:val="-3"/>
        </w:rPr>
        <w:t> </w:t>
      </w:r>
      <w:r>
        <w:rPr>
          <w:rFonts w:ascii="Arial MT" w:hAnsi="Arial MT"/>
          <w:color w:val="454545"/>
          <w:sz w:val="21"/>
        </w:rPr>
        <w:t>— </w:t>
      </w:r>
      <w:r>
        <w:rPr/>
        <w:t>Поперечный</w:t>
      </w:r>
      <w:r>
        <w:rPr>
          <w:spacing w:val="-3"/>
        </w:rPr>
        <w:t> </w:t>
      </w:r>
      <w:r>
        <w:rPr/>
        <w:t>срез</w:t>
      </w:r>
      <w:r>
        <w:rPr>
          <w:spacing w:val="-4"/>
        </w:rPr>
        <w:t> </w:t>
      </w:r>
      <w:r>
        <w:rPr/>
        <w:t>жгутика</w:t>
      </w:r>
      <w:r>
        <w:rPr>
          <w:spacing w:val="-4"/>
        </w:rPr>
        <w:t> </w:t>
      </w:r>
      <w:r>
        <w:rPr/>
        <w:t>сперматозоида</w:t>
      </w:r>
      <w:r>
        <w:rPr>
          <w:spacing w:val="-6"/>
        </w:rPr>
        <w:t> </w:t>
      </w:r>
      <w:r>
        <w:rPr/>
        <w:t>пациента</w:t>
      </w:r>
      <w:r>
        <w:rPr>
          <w:spacing w:val="-4"/>
        </w:rPr>
        <w:t> </w:t>
      </w:r>
      <w:r>
        <w:rPr/>
        <w:t>с астенозооспермией. ФС- фиброзный слой [33]</w:t>
      </w:r>
    </w:p>
    <w:p>
      <w:pPr>
        <w:pStyle w:val="BodyText"/>
        <w:spacing w:before="18"/>
        <w:jc w:val="left"/>
      </w:pPr>
    </w:p>
    <w:p>
      <w:pPr>
        <w:pStyle w:val="BodyText"/>
        <w:spacing w:line="256" w:lineRule="auto"/>
        <w:ind w:left="142" w:right="137" w:firstLine="707"/>
      </w:pPr>
      <w:r>
        <w:rPr/>
        <w:t>Биохимически дисплазия ФС проявляется как понижение уровня фермента D-глицеральдегид-3-фосфатдегидрогеназы (ГАФДс), имеющего участок с большой концентрацией гидрофобных остатков. Последние обеспечивают взаимодействие ГАФДс с белками ФС, участвующими в работе двигательного аппарата жгутиков сперматозоидов [34-37].</w:t>
      </w:r>
    </w:p>
    <w:p>
      <w:pPr>
        <w:pStyle w:val="BodyText"/>
        <w:spacing w:line="256" w:lineRule="auto"/>
        <w:ind w:left="142" w:right="136" w:firstLine="707"/>
      </w:pPr>
      <w:r>
        <w:rPr/>
        <w:t>Широко признано, что генетические факторы, вероятно, вовлечены в большую часть дефектов хвоста сперматозоидов [38]. Учитывая, что в сперме человека идентифицировано более 1000 белков, связанных со структурами хвоста сперматозоида, многие ультраструктурные дефекты могут иметь генетическое происхождение [39-40]. Молекулярно-генетические инструменты сделали возможными важные успехи в генетической диагностике астенозооспермии и выявили несколько генных дефектов, которые приводят к астенозооспермии</w:t>
      </w:r>
      <w:r>
        <w:rPr>
          <w:spacing w:val="51"/>
          <w:w w:val="150"/>
        </w:rPr>
        <w:t>  </w:t>
      </w:r>
      <w:r>
        <w:rPr/>
        <w:t>[41].</w:t>
      </w:r>
      <w:r>
        <w:rPr>
          <w:spacing w:val="50"/>
          <w:w w:val="150"/>
        </w:rPr>
        <w:t>  </w:t>
      </w:r>
      <w:r>
        <w:rPr/>
        <w:t>Тем</w:t>
      </w:r>
      <w:r>
        <w:rPr>
          <w:spacing w:val="51"/>
          <w:w w:val="150"/>
        </w:rPr>
        <w:t>  </w:t>
      </w:r>
      <w:r>
        <w:rPr/>
        <w:t>не</w:t>
      </w:r>
      <w:r>
        <w:rPr>
          <w:spacing w:val="51"/>
          <w:w w:val="150"/>
        </w:rPr>
        <w:t>  </w:t>
      </w:r>
      <w:r>
        <w:rPr/>
        <w:t>менее,</w:t>
      </w:r>
      <w:r>
        <w:rPr>
          <w:spacing w:val="51"/>
          <w:w w:val="150"/>
        </w:rPr>
        <w:t>  </w:t>
      </w:r>
      <w:r>
        <w:rPr/>
        <w:t>учитывая</w:t>
      </w:r>
      <w:r>
        <w:rPr>
          <w:spacing w:val="52"/>
          <w:w w:val="150"/>
        </w:rPr>
        <w:t>  </w:t>
      </w:r>
      <w:r>
        <w:rPr/>
        <w:t>сложность</w:t>
      </w:r>
      <w:r>
        <w:rPr>
          <w:spacing w:val="50"/>
          <w:w w:val="150"/>
        </w:rPr>
        <w:t>  </w:t>
      </w:r>
      <w:r>
        <w:rPr>
          <w:spacing w:val="-2"/>
        </w:rPr>
        <w:t>хвоста</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5"/>
      </w:pPr>
      <w:r>
        <w:rPr/>
        <w:t>сперматозоида и возможности генов, вызывающих астенозооспермию, знания о моногенных причинах астенозооспермии все еще очень ограничены. Кроме того, механизмы, регулирующие подвижность сперматозоидов, также до конца не разгаданы [42].</w:t>
      </w:r>
    </w:p>
    <w:p>
      <w:pPr>
        <w:pStyle w:val="BodyText"/>
        <w:spacing w:line="256" w:lineRule="auto"/>
        <w:ind w:left="142" w:right="136" w:firstLine="707"/>
      </w:pPr>
      <w:r>
        <w:rPr/>
        <w:t>Помимо структурных нарушений хвоста сперматозоида свой вклад в развитие астенозооспермии вносят энергетические процессы в митохондрионе, которые, в свою очередь, прямо зависят от генома митохондрий.</w:t>
      </w:r>
      <w:r>
        <w:rPr>
          <w:spacing w:val="80"/>
        </w:rPr>
        <w:t> </w:t>
      </w:r>
      <w:r>
        <w:rPr/>
        <w:t>Так, например, в работе Zoubi MSA, Al-Talafha (2021) показана значительная корреляция между наличием делеции 7599 п.н. мтДНК и бесплодием, где частота</w:t>
      </w:r>
      <w:r>
        <w:rPr>
          <w:spacing w:val="-3"/>
        </w:rPr>
        <w:t> </w:t>
      </w:r>
      <w:r>
        <w:rPr/>
        <w:t>делеции</w:t>
      </w:r>
      <w:r>
        <w:rPr>
          <w:spacing w:val="-2"/>
        </w:rPr>
        <w:t> </w:t>
      </w:r>
      <w:r>
        <w:rPr/>
        <w:t>7599</w:t>
      </w:r>
      <w:r>
        <w:rPr>
          <w:spacing w:val="-2"/>
        </w:rPr>
        <w:t> </w:t>
      </w:r>
      <w:r>
        <w:rPr/>
        <w:t>п.н.</w:t>
      </w:r>
      <w:r>
        <w:rPr>
          <w:spacing w:val="-1"/>
        </w:rPr>
        <w:t> </w:t>
      </w:r>
      <w:r>
        <w:rPr/>
        <w:t>составила</w:t>
      </w:r>
      <w:r>
        <w:rPr>
          <w:spacing w:val="-3"/>
        </w:rPr>
        <w:t> </w:t>
      </w:r>
      <w:r>
        <w:rPr/>
        <w:t>63,6%</w:t>
      </w:r>
      <w:r>
        <w:rPr>
          <w:spacing w:val="-2"/>
        </w:rPr>
        <w:t> </w:t>
      </w:r>
      <w:r>
        <w:rPr/>
        <w:t>в</w:t>
      </w:r>
      <w:r>
        <w:rPr>
          <w:spacing w:val="-3"/>
        </w:rPr>
        <w:t> </w:t>
      </w:r>
      <w:r>
        <w:rPr/>
        <w:t>бесплодной</w:t>
      </w:r>
      <w:r>
        <w:rPr>
          <w:spacing w:val="-2"/>
        </w:rPr>
        <w:t> </w:t>
      </w:r>
      <w:r>
        <w:rPr/>
        <w:t>группе</w:t>
      </w:r>
      <w:r>
        <w:rPr>
          <w:spacing w:val="-3"/>
        </w:rPr>
        <w:t> </w:t>
      </w:r>
      <w:r>
        <w:rPr/>
        <w:t>по сравнению</w:t>
      </w:r>
      <w:r>
        <w:rPr>
          <w:spacing w:val="-4"/>
        </w:rPr>
        <w:t> </w:t>
      </w:r>
      <w:r>
        <w:rPr/>
        <w:t>с фертильной 34,2% (p&lt;0,001, (OR=3,37, 95% CI=1,860 to 6,108)). Кроме того, подвижность сперматозоидов показала значительную связь с частотой делеции 7599 п.н. (p = 0,001, r = -0,887) [43]. Быстрое поступательное движение сперматозоидов зависит от энергии аденозинтрифосфата(АТФ), производимой митохондриями посредством процесса окислительного фосфорилирования (OXPHOS) [44]. Гены OXPHOS расположены в геноме митохондриальной ДНК (мтДНК). У человека геном мтДНК представляет собой кольцевую двухцепочечную молекулу ДНК размером 16569 п.н., которая кодирует 13 полипептидов, две рибосомальные рибонуклеиновые кислоты (рРНК) и 22 транспортные рибонуклеиновые кислоты (тРНК), которые играют существенную роль в митохондриальном дыхании и окислительном фосфорилировании [45]. МтДНК человека по сравнению с ядерной ДНК обладает уникальными свойствами, такими как быстрая репликация и отсутствие эффективного механизма репарации. Следовательно, ожидаемо, что скорость изменений мтДНК будет выше, чем у ядерной ДНК [46-47]. Отсутствие</w:t>
      </w:r>
      <w:r>
        <w:rPr>
          <w:spacing w:val="-3"/>
        </w:rPr>
        <w:t> </w:t>
      </w:r>
      <w:r>
        <w:rPr/>
        <w:t>механизма</w:t>
      </w:r>
      <w:r>
        <w:rPr>
          <w:spacing w:val="-3"/>
        </w:rPr>
        <w:t> </w:t>
      </w:r>
      <w:r>
        <w:rPr/>
        <w:t>репарации</w:t>
      </w:r>
      <w:r>
        <w:rPr>
          <w:spacing w:val="-2"/>
        </w:rPr>
        <w:t> </w:t>
      </w:r>
      <w:r>
        <w:rPr/>
        <w:t>ДНК</w:t>
      </w:r>
      <w:r>
        <w:rPr>
          <w:spacing w:val="-3"/>
        </w:rPr>
        <w:t> </w:t>
      </w:r>
      <w:r>
        <w:rPr/>
        <w:t>делает</w:t>
      </w:r>
      <w:r>
        <w:rPr>
          <w:spacing w:val="-3"/>
        </w:rPr>
        <w:t> </w:t>
      </w:r>
      <w:r>
        <w:rPr/>
        <w:t>мтДНК</w:t>
      </w:r>
      <w:r>
        <w:rPr>
          <w:spacing w:val="-3"/>
        </w:rPr>
        <w:t> </w:t>
      </w:r>
      <w:r>
        <w:rPr/>
        <w:t>более</w:t>
      </w:r>
      <w:r>
        <w:rPr>
          <w:spacing w:val="-3"/>
        </w:rPr>
        <w:t> </w:t>
      </w:r>
      <w:r>
        <w:rPr/>
        <w:t>уязвимой</w:t>
      </w:r>
      <w:r>
        <w:rPr>
          <w:spacing w:val="-2"/>
        </w:rPr>
        <w:t> </w:t>
      </w:r>
      <w:r>
        <w:rPr/>
        <w:t>для</w:t>
      </w:r>
      <w:r>
        <w:rPr>
          <w:spacing w:val="-2"/>
        </w:rPr>
        <w:t> </w:t>
      </w:r>
      <w:r>
        <w:rPr/>
        <w:t>атаки образующихся свободных радикалов и активных форм кислорода (АФК) [48].</w:t>
      </w:r>
    </w:p>
    <w:p>
      <w:pPr>
        <w:pStyle w:val="BodyText"/>
        <w:spacing w:line="295" w:lineRule="exact"/>
        <w:ind w:left="850"/>
      </w:pPr>
      <w:r>
        <w:rPr/>
        <w:t>Сперматозоиды,</w:t>
      </w:r>
      <w:r>
        <w:rPr>
          <w:spacing w:val="69"/>
        </w:rPr>
        <w:t>  </w:t>
      </w:r>
      <w:r>
        <w:rPr/>
        <w:t>высвобождаемые</w:t>
      </w:r>
      <w:r>
        <w:rPr>
          <w:spacing w:val="71"/>
        </w:rPr>
        <w:t>  </w:t>
      </w:r>
      <w:r>
        <w:rPr/>
        <w:t>из</w:t>
      </w:r>
      <w:r>
        <w:rPr>
          <w:spacing w:val="69"/>
        </w:rPr>
        <w:t>  </w:t>
      </w:r>
      <w:r>
        <w:rPr/>
        <w:t>семенников,</w:t>
      </w:r>
      <w:r>
        <w:rPr>
          <w:spacing w:val="70"/>
        </w:rPr>
        <w:t>  </w:t>
      </w:r>
      <w:r>
        <w:rPr>
          <w:spacing w:val="-2"/>
        </w:rPr>
        <w:t>морфологически</w:t>
      </w:r>
    </w:p>
    <w:p>
      <w:pPr>
        <w:pStyle w:val="BodyText"/>
        <w:spacing w:line="256" w:lineRule="auto" w:before="18"/>
        <w:ind w:left="142" w:right="135"/>
      </w:pPr>
      <w:r>
        <w:rPr/>
        <w:t>дифференцированы, но остаются неподвижными и неспособными распознавать и оплодотворять ооцит, для чего они должны претерпеть серии событий созревания, происходящих во время их прохождения через мужские и женские половые пути [49- 50]. Первичную подвижность сперматозоиды приобретают при их прохождении через промежуточный сегмент придатка яичка перед хранением в состоянии покоя в каудальном отделе придатка яичка. После эякуляции и при воздействии микроокружения женских половых органов сперматозоиды активируются процессом, называемым капацитацией, который увеличивает амплитуду и скорость биения жгутиков (т. е. гиперактивация) и, в конечном счете, обеспечивает проникновение сперматозоидов через </w:t>
      </w:r>
      <w:r>
        <w:rPr>
          <w:i/>
        </w:rPr>
        <w:t>zona pellucida </w:t>
      </w:r>
      <w:r>
        <w:rPr/>
        <w:t>и распознавание гамет [51].</w:t>
      </w:r>
    </w:p>
    <w:p>
      <w:pPr>
        <w:pStyle w:val="BodyText"/>
        <w:spacing w:line="256" w:lineRule="auto"/>
        <w:ind w:left="143" w:right="135" w:firstLine="707"/>
      </w:pPr>
      <w:r>
        <w:rPr/>
        <w:t>Астенозооспермия часто наблюдается в сочетании с количественными и/или морфологическими дефектами сперматозоидов, называемыми соответственно</w:t>
      </w:r>
      <w:r>
        <w:rPr>
          <w:spacing w:val="68"/>
        </w:rPr>
        <w:t>  </w:t>
      </w:r>
      <w:r>
        <w:rPr/>
        <w:t>олигоастенозооспермией</w:t>
      </w:r>
      <w:r>
        <w:rPr>
          <w:spacing w:val="67"/>
        </w:rPr>
        <w:t>  </w:t>
      </w:r>
      <w:r>
        <w:rPr/>
        <w:t>и</w:t>
      </w:r>
      <w:r>
        <w:rPr>
          <w:spacing w:val="68"/>
        </w:rPr>
        <w:t>  </w:t>
      </w:r>
      <w:r>
        <w:rPr/>
        <w:t>астенотератозооспермией.</w:t>
      </w:r>
      <w:r>
        <w:rPr>
          <w:spacing w:val="67"/>
        </w:rPr>
        <w:t>  </w:t>
      </w:r>
      <w:r>
        <w:rPr>
          <w:spacing w:val="-5"/>
        </w:rPr>
        <w:t>На</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6"/>
      </w:pPr>
      <w:r>
        <w:rPr/>
        <w:t>сегодняшний день большинство выявленных генетических причин соответствует астенотератозооспермии, возникающей в результате умеренных или тяжелых морфологических дефектов жгутика сперматозоидов [40, 51]. В частности, за последнее десятилетие была проведена большая работа по генетическому исследованию множественных морфологических аномалий жгутика сперматозоидов (ММАЖ) [52-54]. Обзор E.Cavarocchi и соавторов (2022) систематизирует роль ионных каналов и генетических аномалий в подвижности сперматозоидов, приводящих к нарушениям их работы на которых остановимся подробнее:</w:t>
      </w:r>
    </w:p>
    <w:p>
      <w:pPr>
        <w:pStyle w:val="BodyText"/>
        <w:tabs>
          <w:tab w:pos="1591" w:val="left" w:leader="none"/>
          <w:tab w:pos="1714" w:val="left" w:leader="none"/>
          <w:tab w:pos="1762" w:val="left" w:leader="none"/>
          <w:tab w:pos="1889" w:val="left" w:leader="none"/>
          <w:tab w:pos="2117" w:val="left" w:leader="none"/>
          <w:tab w:pos="2832" w:val="left" w:leader="none"/>
          <w:tab w:pos="3249" w:val="left" w:leader="none"/>
          <w:tab w:pos="3531" w:val="left" w:leader="none"/>
          <w:tab w:pos="3715" w:val="left" w:leader="none"/>
          <w:tab w:pos="3847" w:val="left" w:leader="none"/>
          <w:tab w:pos="4301" w:val="left" w:leader="none"/>
          <w:tab w:pos="4495" w:val="left" w:leader="none"/>
          <w:tab w:pos="4562" w:val="left" w:leader="none"/>
          <w:tab w:pos="5057" w:val="left" w:leader="none"/>
          <w:tab w:pos="5537" w:val="left" w:leader="none"/>
          <w:tab w:pos="5741" w:val="left" w:leader="none"/>
          <w:tab w:pos="6017" w:val="left" w:leader="none"/>
          <w:tab w:pos="6257" w:val="left" w:leader="none"/>
          <w:tab w:pos="6603" w:val="left" w:leader="none"/>
          <w:tab w:pos="6837" w:val="left" w:leader="none"/>
          <w:tab w:pos="7068" w:val="left" w:leader="none"/>
          <w:tab w:pos="7594" w:val="left" w:leader="none"/>
          <w:tab w:pos="7660" w:val="left" w:leader="none"/>
          <w:tab w:pos="8071" w:val="left" w:leader="none"/>
          <w:tab w:pos="8203" w:val="left" w:leader="none"/>
          <w:tab w:pos="8296" w:val="left" w:leader="none"/>
          <w:tab w:pos="8573" w:val="left" w:leader="none"/>
          <w:tab w:pos="8671" w:val="left" w:leader="none"/>
          <w:tab w:pos="8809" w:val="left" w:leader="none"/>
        </w:tabs>
        <w:spacing w:line="256" w:lineRule="auto"/>
        <w:ind w:left="142" w:right="134" w:firstLine="708"/>
        <w:jc w:val="right"/>
      </w:pPr>
      <w:r>
        <w:rPr>
          <w:i/>
          <w:spacing w:val="-2"/>
        </w:rPr>
        <w:t>SLO3.</w:t>
      </w:r>
      <w:r>
        <w:rPr>
          <w:spacing w:val="-2"/>
        </w:rPr>
        <w:t>Проведенный</w:t>
      </w:r>
      <w:r>
        <w:rPr/>
        <w:tab/>
        <w:tab/>
      </w:r>
      <w:r>
        <w:rPr>
          <w:spacing w:val="-4"/>
        </w:rPr>
        <w:t>M.Lv,</w:t>
      </w:r>
      <w:r>
        <w:rPr/>
        <w:tab/>
        <w:tab/>
        <w:tab/>
      </w:r>
      <w:r>
        <w:rPr>
          <w:spacing w:val="-4"/>
        </w:rPr>
        <w:t>C.Liu</w:t>
      </w:r>
      <w:r>
        <w:rPr/>
        <w:tab/>
      </w:r>
      <w:r>
        <w:rPr>
          <w:spacing w:val="-10"/>
        </w:rPr>
        <w:t>и</w:t>
      </w:r>
      <w:r>
        <w:rPr/>
        <w:tab/>
        <w:tab/>
      </w:r>
      <w:r>
        <w:rPr>
          <w:spacing w:val="-2"/>
        </w:rPr>
        <w:t>коллегами</w:t>
      </w:r>
      <w:r>
        <w:rPr/>
        <w:tab/>
      </w:r>
      <w:r>
        <w:rPr>
          <w:spacing w:val="-2"/>
        </w:rPr>
        <w:t>(2022)</w:t>
      </w:r>
      <w:r>
        <w:rPr/>
        <w:tab/>
        <w:tab/>
      </w:r>
      <w:r>
        <w:rPr>
          <w:spacing w:val="-2"/>
        </w:rPr>
        <w:t>скрининг </w:t>
      </w:r>
      <w:r>
        <w:rPr/>
        <w:t>субфертильных</w:t>
      </w:r>
      <w:r>
        <w:rPr>
          <w:spacing w:val="38"/>
        </w:rPr>
        <w:t> </w:t>
      </w:r>
      <w:r>
        <w:rPr/>
        <w:t>пациентов</w:t>
      </w:r>
      <w:r>
        <w:rPr>
          <w:spacing w:val="36"/>
        </w:rPr>
        <w:t> </w:t>
      </w:r>
      <w:r>
        <w:rPr/>
        <w:t>клиник</w:t>
      </w:r>
      <w:r>
        <w:rPr>
          <w:spacing w:val="37"/>
        </w:rPr>
        <w:t> </w:t>
      </w:r>
      <w:r>
        <w:rPr/>
        <w:t>ВРТ</w:t>
      </w:r>
      <w:r>
        <w:rPr>
          <w:spacing w:val="36"/>
        </w:rPr>
        <w:t> </w:t>
      </w:r>
      <w:r>
        <w:rPr/>
        <w:t>подтвердил</w:t>
      </w:r>
      <w:r>
        <w:rPr>
          <w:spacing w:val="36"/>
        </w:rPr>
        <w:t> </w:t>
      </w:r>
      <w:r>
        <w:rPr/>
        <w:t>участие</w:t>
      </w:r>
      <w:r>
        <w:rPr>
          <w:spacing w:val="37"/>
        </w:rPr>
        <w:t> </w:t>
      </w:r>
      <w:r>
        <w:rPr/>
        <w:t>мутаций</w:t>
      </w:r>
      <w:r>
        <w:rPr>
          <w:spacing w:val="38"/>
        </w:rPr>
        <w:t> </w:t>
      </w:r>
      <w:r>
        <w:rPr/>
        <w:t>hSLO3</w:t>
      </w:r>
      <w:r>
        <w:rPr>
          <w:spacing w:val="38"/>
        </w:rPr>
        <w:t> </w:t>
      </w:r>
      <w:r>
        <w:rPr/>
        <w:t>в развитии</w:t>
      </w:r>
      <w:r>
        <w:rPr>
          <w:spacing w:val="40"/>
        </w:rPr>
        <w:t> </w:t>
      </w:r>
      <w:r>
        <w:rPr/>
        <w:t>астенотератозооспермии</w:t>
      </w:r>
      <w:r>
        <w:rPr>
          <w:spacing w:val="40"/>
        </w:rPr>
        <w:t> </w:t>
      </w:r>
      <w:r>
        <w:rPr/>
        <w:t>человека</w:t>
      </w:r>
      <w:r>
        <w:rPr>
          <w:spacing w:val="40"/>
        </w:rPr>
        <w:t> </w:t>
      </w:r>
      <w:r>
        <w:rPr/>
        <w:t>[55].</w:t>
      </w:r>
      <w:r>
        <w:rPr>
          <w:spacing w:val="40"/>
        </w:rPr>
        <w:t> </w:t>
      </w:r>
      <w:r>
        <w:rPr/>
        <w:t>Ярким</w:t>
      </w:r>
      <w:r>
        <w:rPr>
          <w:spacing w:val="40"/>
        </w:rPr>
        <w:t> </w:t>
      </w:r>
      <w:r>
        <w:rPr/>
        <w:t>примером</w:t>
      </w:r>
      <w:r>
        <w:rPr>
          <w:spacing w:val="40"/>
        </w:rPr>
        <w:t> </w:t>
      </w:r>
      <w:r>
        <w:rPr/>
        <w:t>послужил </w:t>
      </w:r>
      <w:r>
        <w:rPr>
          <w:spacing w:val="-2"/>
        </w:rPr>
        <w:t>китайский</w:t>
      </w:r>
      <w:r>
        <w:rPr/>
        <w:tab/>
      </w:r>
      <w:r>
        <w:rPr>
          <w:spacing w:val="-2"/>
        </w:rPr>
        <w:t>бесплодный</w:t>
      </w:r>
      <w:r>
        <w:rPr/>
        <w:tab/>
      </w:r>
      <w:r>
        <w:rPr>
          <w:spacing w:val="-2"/>
        </w:rPr>
        <w:t>пациент,</w:t>
      </w:r>
      <w:r>
        <w:rPr/>
        <w:tab/>
        <w:tab/>
      </w:r>
      <w:r>
        <w:rPr>
          <w:spacing w:val="-2"/>
        </w:rPr>
        <w:t>несущий</w:t>
      </w:r>
      <w:r>
        <w:rPr/>
        <w:tab/>
        <w:tab/>
      </w:r>
      <w:r>
        <w:rPr>
          <w:spacing w:val="-55"/>
        </w:rPr>
        <w:t> </w:t>
      </w:r>
      <w:r>
        <w:rPr/>
        <w:t>гомозиготный</w:t>
        <w:tab/>
        <w:tab/>
      </w:r>
      <w:r>
        <w:rPr>
          <w:spacing w:val="-2"/>
        </w:rPr>
        <w:t>вариант</w:t>
      </w:r>
      <w:r>
        <w:rPr/>
        <w:tab/>
        <w:tab/>
      </w:r>
      <w:r>
        <w:rPr>
          <w:spacing w:val="-2"/>
        </w:rPr>
        <w:t>миссенс p.Ile413Phe.</w:t>
      </w:r>
      <w:r>
        <w:rPr/>
        <w:tab/>
        <w:tab/>
        <w:tab/>
      </w:r>
      <w:r>
        <w:rPr>
          <w:spacing w:val="-2"/>
        </w:rPr>
        <w:t>Фенотипически</w:t>
      </w:r>
      <w:r>
        <w:rPr/>
        <w:tab/>
        <w:tab/>
        <w:t>мутация</w:t>
      </w:r>
      <w:r>
        <w:rPr>
          <w:spacing w:val="80"/>
        </w:rPr>
        <w:t> </w:t>
      </w:r>
      <w:r>
        <w:rPr/>
        <w:t>проявилась</w:t>
        <w:tab/>
      </w:r>
      <w:r>
        <w:rPr>
          <w:spacing w:val="-2"/>
        </w:rPr>
        <w:t>нарушением</w:t>
      </w:r>
      <w:r>
        <w:rPr/>
        <w:tab/>
        <w:tab/>
      </w:r>
      <w:r>
        <w:rPr>
          <w:spacing w:val="-68"/>
        </w:rPr>
        <w:t> </w:t>
      </w:r>
      <w:r>
        <w:rPr>
          <w:spacing w:val="-2"/>
        </w:rPr>
        <w:t>образования акросом,</w:t>
      </w:r>
      <w:r>
        <w:rPr/>
        <w:tab/>
      </w:r>
      <w:r>
        <w:rPr>
          <w:spacing w:val="-54"/>
        </w:rPr>
        <w:t> </w:t>
      </w:r>
      <w:r>
        <w:rPr/>
        <w:t>митохондриальной</w:t>
        <w:tab/>
      </w:r>
      <w:r>
        <w:rPr>
          <w:spacing w:val="-2"/>
        </w:rPr>
        <w:t>дисфункции,</w:t>
      </w:r>
      <w:r>
        <w:rPr/>
        <w:tab/>
        <w:tab/>
      </w:r>
      <w:r>
        <w:rPr>
          <w:spacing w:val="-2"/>
        </w:rPr>
        <w:t>измененного</w:t>
      </w:r>
      <w:r>
        <w:rPr/>
        <w:tab/>
        <w:tab/>
      </w:r>
      <w:r>
        <w:rPr>
          <w:spacing w:val="-2"/>
        </w:rPr>
        <w:t>мембранного </w:t>
      </w:r>
      <w:r>
        <w:rPr/>
        <w:t>потенциала</w:t>
      </w:r>
      <w:r>
        <w:rPr>
          <w:spacing w:val="-2"/>
        </w:rPr>
        <w:t> </w:t>
      </w:r>
      <w:r>
        <w:rPr/>
        <w:t>во</w:t>
      </w:r>
      <w:r>
        <w:rPr>
          <w:spacing w:val="-1"/>
        </w:rPr>
        <w:t> </w:t>
      </w:r>
      <w:r>
        <w:rPr/>
        <w:t>время</w:t>
      </w:r>
      <w:r>
        <w:rPr>
          <w:spacing w:val="-2"/>
        </w:rPr>
        <w:t> </w:t>
      </w:r>
      <w:r>
        <w:rPr/>
        <w:t>капацитации</w:t>
      </w:r>
      <w:r>
        <w:rPr>
          <w:spacing w:val="-3"/>
        </w:rPr>
        <w:t> </w:t>
      </w:r>
      <w:r>
        <w:rPr/>
        <w:t>и</w:t>
      </w:r>
      <w:r>
        <w:rPr>
          <w:spacing w:val="-1"/>
        </w:rPr>
        <w:t> </w:t>
      </w:r>
      <w:r>
        <w:rPr/>
        <w:t>сниженной</w:t>
      </w:r>
      <w:r>
        <w:rPr>
          <w:spacing w:val="-1"/>
        </w:rPr>
        <w:t> </w:t>
      </w:r>
      <w:r>
        <w:rPr/>
        <w:t>подвижностью</w:t>
      </w:r>
      <w:r>
        <w:rPr>
          <w:spacing w:val="-3"/>
        </w:rPr>
        <w:t> </w:t>
      </w:r>
      <w:r>
        <w:rPr/>
        <w:t>сперматозоидов. </w:t>
      </w:r>
      <w:r>
        <w:rPr>
          <w:i/>
        </w:rPr>
        <w:t>SLC9C.</w:t>
      </w:r>
      <w:r>
        <w:rPr/>
        <w:t>Обнаружение</w:t>
      </w:r>
      <w:r>
        <w:rPr>
          <w:spacing w:val="40"/>
        </w:rPr>
        <w:t> </w:t>
      </w:r>
      <w:r>
        <w:rPr/>
        <w:t>гомозиготной</w:t>
      </w:r>
      <w:r>
        <w:rPr>
          <w:spacing w:val="40"/>
        </w:rPr>
        <w:t> </w:t>
      </w:r>
      <w:r>
        <w:rPr/>
        <w:t>укороченной</w:t>
      </w:r>
      <w:r>
        <w:rPr>
          <w:spacing w:val="40"/>
        </w:rPr>
        <w:t> </w:t>
      </w:r>
      <w:r>
        <w:rPr/>
        <w:t>мутации</w:t>
      </w:r>
      <w:r>
        <w:rPr>
          <w:spacing w:val="40"/>
        </w:rPr>
        <w:t> </w:t>
      </w:r>
      <w:r>
        <w:rPr/>
        <w:t>у</w:t>
      </w:r>
      <w:r>
        <w:rPr>
          <w:spacing w:val="40"/>
        </w:rPr>
        <w:t> </w:t>
      </w:r>
      <w:r>
        <w:rPr/>
        <w:t>бесплодного пациента показало важность </w:t>
      </w:r>
      <w:r>
        <w:rPr>
          <w:i/>
        </w:rPr>
        <w:t>SLC9C1 </w:t>
      </w:r>
      <w:r>
        <w:rPr/>
        <w:t>при астенозооспермии человека [56]. До</w:t>
      </w:r>
      <w:r>
        <w:rPr>
          <w:spacing w:val="40"/>
        </w:rPr>
        <w:t> </w:t>
      </w:r>
      <w:r>
        <w:rPr/>
        <w:t>этого открытия важность </w:t>
      </w:r>
      <w:r>
        <w:rPr>
          <w:i/>
        </w:rPr>
        <w:t>SLC9C1 </w:t>
      </w:r>
      <w:r>
        <w:rPr/>
        <w:t>в функции сперматозоидов изучалась только на модельных организмах. D.Wang с соавторами (2003) впервые описали этот</w:t>
      </w:r>
      <w:r>
        <w:rPr>
          <w:spacing w:val="80"/>
        </w:rPr>
        <w:t> </w:t>
      </w:r>
      <w:r>
        <w:rPr/>
        <w:t>белок</w:t>
      </w:r>
      <w:r>
        <w:rPr>
          <w:spacing w:val="-3"/>
        </w:rPr>
        <w:t> </w:t>
      </w:r>
      <w:r>
        <w:rPr/>
        <w:t>в</w:t>
      </w:r>
      <w:r>
        <w:rPr>
          <w:spacing w:val="-3"/>
        </w:rPr>
        <w:t> </w:t>
      </w:r>
      <w:r>
        <w:rPr/>
        <w:t>сперматозоидах</w:t>
      </w:r>
      <w:r>
        <w:rPr>
          <w:spacing w:val="-2"/>
        </w:rPr>
        <w:t> </w:t>
      </w:r>
      <w:r>
        <w:rPr/>
        <w:t>мышей,</w:t>
      </w:r>
      <w:r>
        <w:rPr>
          <w:spacing w:val="-3"/>
        </w:rPr>
        <w:t> </w:t>
      </w:r>
      <w:r>
        <w:rPr/>
        <w:t>где</w:t>
      </w:r>
      <w:r>
        <w:rPr>
          <w:spacing w:val="-3"/>
        </w:rPr>
        <w:t> </w:t>
      </w:r>
      <w:r>
        <w:rPr/>
        <w:t>он</w:t>
      </w:r>
      <w:r>
        <w:rPr>
          <w:spacing w:val="-2"/>
        </w:rPr>
        <w:t> </w:t>
      </w:r>
      <w:r>
        <w:rPr/>
        <w:t>обильно</w:t>
      </w:r>
      <w:r>
        <w:rPr>
          <w:spacing w:val="-2"/>
        </w:rPr>
        <w:t> </w:t>
      </w:r>
      <w:r>
        <w:rPr/>
        <w:t>экспрессируется</w:t>
      </w:r>
      <w:r>
        <w:rPr>
          <w:spacing w:val="-2"/>
        </w:rPr>
        <w:t> </w:t>
      </w:r>
      <w:r>
        <w:rPr/>
        <w:t>вместе</w:t>
      </w:r>
      <w:r>
        <w:rPr>
          <w:spacing w:val="-3"/>
        </w:rPr>
        <w:t> </w:t>
      </w:r>
      <w:r>
        <w:rPr/>
        <w:t>с</w:t>
      </w:r>
      <w:r>
        <w:rPr>
          <w:spacing w:val="-3"/>
        </w:rPr>
        <w:t> </w:t>
      </w:r>
      <w:r>
        <w:rPr/>
        <w:t>двумя другими</w:t>
      </w:r>
      <w:r>
        <w:rPr>
          <w:spacing w:val="40"/>
        </w:rPr>
        <w:t> </w:t>
      </w:r>
      <w:r>
        <w:rPr/>
        <w:t>обменникамиNa</w:t>
      </w:r>
      <w:r>
        <w:rPr>
          <w:vertAlign w:val="superscript"/>
        </w:rPr>
        <w:t>+</w:t>
      </w:r>
      <w:r>
        <w:rPr>
          <w:vertAlign w:val="baseline"/>
        </w:rPr>
        <w:t>/H</w:t>
      </w:r>
      <w:r>
        <w:rPr>
          <w:vertAlign w:val="superscript"/>
        </w:rPr>
        <w:t>+</w:t>
      </w:r>
      <w:r>
        <w:rPr>
          <w:spacing w:val="40"/>
          <w:vertAlign w:val="baseline"/>
        </w:rPr>
        <w:t> </w:t>
      </w:r>
      <w:r>
        <w:rPr>
          <w:vertAlign w:val="baseline"/>
        </w:rPr>
        <w:t>(NHE1</w:t>
      </w:r>
      <w:r>
        <w:rPr>
          <w:spacing w:val="40"/>
          <w:vertAlign w:val="baseline"/>
        </w:rPr>
        <w:t> </w:t>
      </w:r>
      <w:r>
        <w:rPr>
          <w:vertAlign w:val="baseline"/>
        </w:rPr>
        <w:t>и</w:t>
      </w:r>
      <w:r>
        <w:rPr>
          <w:spacing w:val="40"/>
          <w:vertAlign w:val="baseline"/>
        </w:rPr>
        <w:t> </w:t>
      </w:r>
      <w:r>
        <w:rPr>
          <w:vertAlign w:val="baseline"/>
        </w:rPr>
        <w:t>NHE5)</w:t>
      </w:r>
      <w:r>
        <w:rPr>
          <w:spacing w:val="40"/>
          <w:vertAlign w:val="baseline"/>
        </w:rPr>
        <w:t> </w:t>
      </w:r>
      <w:r>
        <w:rPr>
          <w:vertAlign w:val="baseline"/>
        </w:rPr>
        <w:t>[57].</w:t>
      </w:r>
      <w:r>
        <w:rPr>
          <w:spacing w:val="40"/>
          <w:vertAlign w:val="baseline"/>
        </w:rPr>
        <w:t> </w:t>
      </w:r>
      <w:r>
        <w:rPr>
          <w:vertAlign w:val="baseline"/>
        </w:rPr>
        <w:t>SLC9C1</w:t>
      </w:r>
      <w:r>
        <w:rPr>
          <w:spacing w:val="40"/>
          <w:vertAlign w:val="baseline"/>
        </w:rPr>
        <w:t> </w:t>
      </w:r>
      <w:r>
        <w:rPr>
          <w:vertAlign w:val="baseline"/>
        </w:rPr>
        <w:t>принадлежит</w:t>
      </w:r>
      <w:r>
        <w:rPr>
          <w:spacing w:val="40"/>
          <w:vertAlign w:val="baseline"/>
        </w:rPr>
        <w:t> </w:t>
      </w:r>
      <w:r>
        <w:rPr>
          <w:vertAlign w:val="baseline"/>
        </w:rPr>
        <w:t>к</w:t>
      </w:r>
      <w:r>
        <w:rPr>
          <w:spacing w:val="80"/>
          <w:vertAlign w:val="baseline"/>
        </w:rPr>
        <w:t> </w:t>
      </w:r>
      <w:r>
        <w:rPr>
          <w:spacing w:val="-2"/>
          <w:vertAlign w:val="baseline"/>
        </w:rPr>
        <w:t>семейству</w:t>
      </w:r>
      <w:r>
        <w:rPr>
          <w:vertAlign w:val="baseline"/>
        </w:rPr>
        <w:tab/>
        <w:tab/>
      </w:r>
      <w:r>
        <w:rPr>
          <w:spacing w:val="-2"/>
          <w:vertAlign w:val="baseline"/>
        </w:rPr>
        <w:t>переносчиков</w:t>
      </w:r>
      <w:r>
        <w:rPr>
          <w:vertAlign w:val="baseline"/>
        </w:rPr>
        <w:tab/>
        <w:tab/>
      </w:r>
      <w:r>
        <w:rPr>
          <w:spacing w:val="-2"/>
          <w:vertAlign w:val="baseline"/>
        </w:rPr>
        <w:t>растворенных</w:t>
      </w:r>
      <w:r>
        <w:rPr>
          <w:vertAlign w:val="baseline"/>
        </w:rPr>
        <w:tab/>
        <w:tab/>
      </w:r>
      <w:r>
        <w:rPr>
          <w:spacing w:val="-2"/>
          <w:vertAlign w:val="baseline"/>
        </w:rPr>
        <w:t>веществ</w:t>
      </w:r>
      <w:r>
        <w:rPr>
          <w:vertAlign w:val="baseline"/>
        </w:rPr>
        <w:tab/>
        <w:tab/>
      </w:r>
      <w:r>
        <w:rPr>
          <w:spacing w:val="-4"/>
          <w:vertAlign w:val="baseline"/>
        </w:rPr>
        <w:t>SLC9</w:t>
      </w:r>
      <w:r>
        <w:rPr>
          <w:vertAlign w:val="baseline"/>
        </w:rPr>
        <w:tab/>
      </w:r>
      <w:r>
        <w:rPr>
          <w:spacing w:val="-10"/>
          <w:vertAlign w:val="baseline"/>
        </w:rPr>
        <w:t>и</w:t>
      </w:r>
      <w:r>
        <w:rPr>
          <w:vertAlign w:val="baseline"/>
        </w:rPr>
        <w:tab/>
        <w:tab/>
      </w:r>
      <w:r>
        <w:rPr>
          <w:spacing w:val="-2"/>
          <w:vertAlign w:val="baseline"/>
        </w:rPr>
        <w:t>проявляет специфичную</w:t>
      </w:r>
      <w:r>
        <w:rPr>
          <w:vertAlign w:val="baseline"/>
        </w:rPr>
        <w:tab/>
        <w:tab/>
      </w:r>
      <w:r>
        <w:rPr>
          <w:spacing w:val="-4"/>
          <w:vertAlign w:val="baseline"/>
        </w:rPr>
        <w:t>для</w:t>
      </w:r>
      <w:r>
        <w:rPr>
          <w:vertAlign w:val="baseline"/>
        </w:rPr>
        <w:tab/>
      </w:r>
      <w:r>
        <w:rPr>
          <w:spacing w:val="-2"/>
          <w:vertAlign w:val="baseline"/>
        </w:rPr>
        <w:t>сперматозоидов</w:t>
      </w:r>
      <w:r>
        <w:rPr>
          <w:vertAlign w:val="baseline"/>
        </w:rPr>
        <w:tab/>
      </w:r>
      <w:r>
        <w:rPr>
          <w:spacing w:val="-2"/>
          <w:vertAlign w:val="baseline"/>
        </w:rPr>
        <w:t>экспрессию.</w:t>
      </w:r>
      <w:r>
        <w:rPr>
          <w:vertAlign w:val="baseline"/>
        </w:rPr>
        <w:tab/>
        <w:tab/>
      </w:r>
      <w:r>
        <w:rPr>
          <w:spacing w:val="-2"/>
          <w:vertAlign w:val="baseline"/>
        </w:rPr>
        <w:t>Основная</w:t>
      </w:r>
      <w:r>
        <w:rPr>
          <w:vertAlign w:val="baseline"/>
        </w:rPr>
        <w:tab/>
        <w:tab/>
        <w:tab/>
      </w:r>
      <w:r>
        <w:rPr>
          <w:spacing w:val="-2"/>
          <w:vertAlign w:val="baseline"/>
        </w:rPr>
        <w:t>особенность </w:t>
      </w:r>
      <w:r>
        <w:rPr>
          <w:vertAlign w:val="baseline"/>
        </w:rPr>
        <w:t>SLC9C1заключается в его цитоплазматическом хвосте, прикрепленном к поре канонического</w:t>
      </w:r>
      <w:r>
        <w:rPr>
          <w:spacing w:val="40"/>
          <w:vertAlign w:val="baseline"/>
        </w:rPr>
        <w:t> </w:t>
      </w:r>
      <w:r>
        <w:rPr>
          <w:vertAlign w:val="baseline"/>
        </w:rPr>
        <w:t>канала,</w:t>
      </w:r>
      <w:r>
        <w:rPr>
          <w:spacing w:val="40"/>
          <w:vertAlign w:val="baseline"/>
        </w:rPr>
        <w:t> </w:t>
      </w:r>
      <w:r>
        <w:rPr>
          <w:vertAlign w:val="baseline"/>
        </w:rPr>
        <w:t>который</w:t>
      </w:r>
      <w:r>
        <w:rPr>
          <w:spacing w:val="40"/>
          <w:vertAlign w:val="baseline"/>
        </w:rPr>
        <w:t> </w:t>
      </w:r>
      <w:r>
        <w:rPr>
          <w:vertAlign w:val="baseline"/>
        </w:rPr>
        <w:t>состоит</w:t>
      </w:r>
      <w:r>
        <w:rPr>
          <w:spacing w:val="40"/>
          <w:vertAlign w:val="baseline"/>
        </w:rPr>
        <w:t> </w:t>
      </w:r>
      <w:r>
        <w:rPr>
          <w:vertAlign w:val="baseline"/>
        </w:rPr>
        <w:t>из</w:t>
      </w:r>
      <w:r>
        <w:rPr>
          <w:spacing w:val="40"/>
          <w:vertAlign w:val="baseline"/>
        </w:rPr>
        <w:t> </w:t>
      </w:r>
      <w:r>
        <w:rPr>
          <w:vertAlign w:val="baseline"/>
        </w:rPr>
        <w:t>домена</w:t>
      </w:r>
      <w:r>
        <w:rPr>
          <w:spacing w:val="40"/>
          <w:vertAlign w:val="baseline"/>
        </w:rPr>
        <w:t> </w:t>
      </w:r>
      <w:r>
        <w:rPr>
          <w:vertAlign w:val="baseline"/>
        </w:rPr>
        <w:t>связывания</w:t>
      </w:r>
      <w:r>
        <w:rPr>
          <w:spacing w:val="40"/>
          <w:vertAlign w:val="baseline"/>
        </w:rPr>
        <w:t> </w:t>
      </w:r>
      <w:r>
        <w:rPr>
          <w:vertAlign w:val="baseline"/>
        </w:rPr>
        <w:t>циклических</w:t>
      </w:r>
      <w:r>
        <w:rPr>
          <w:spacing w:val="40"/>
          <w:vertAlign w:val="baseline"/>
        </w:rPr>
        <w:t> </w:t>
      </w:r>
      <w:r>
        <w:rPr>
          <w:spacing w:val="-2"/>
          <w:vertAlign w:val="baseline"/>
        </w:rPr>
        <w:t>нуклеотидов</w:t>
      </w:r>
      <w:r>
        <w:rPr>
          <w:vertAlign w:val="baseline"/>
        </w:rPr>
        <w:tab/>
        <w:tab/>
        <w:tab/>
        <w:t>(CNBD)</w:t>
      </w:r>
      <w:r>
        <w:rPr>
          <w:spacing w:val="80"/>
          <w:w w:val="150"/>
          <w:vertAlign w:val="baseline"/>
        </w:rPr>
        <w:t> </w:t>
      </w:r>
      <w:r>
        <w:rPr>
          <w:vertAlign w:val="baseline"/>
        </w:rPr>
        <w:t>и</w:t>
      </w:r>
      <w:r>
        <w:rPr>
          <w:spacing w:val="80"/>
          <w:w w:val="150"/>
          <w:vertAlign w:val="baseline"/>
        </w:rPr>
        <w:t> </w:t>
      </w:r>
      <w:r>
        <w:rPr>
          <w:vertAlign w:val="baseline"/>
        </w:rPr>
        <w:t>домена,</w:t>
      </w:r>
      <w:r>
        <w:rPr>
          <w:spacing w:val="80"/>
          <w:w w:val="150"/>
          <w:vertAlign w:val="baseline"/>
        </w:rPr>
        <w:t> </w:t>
      </w:r>
      <w:r>
        <w:rPr>
          <w:vertAlign w:val="baseline"/>
        </w:rPr>
        <w:t>чувствительного</w:t>
      </w:r>
      <w:r>
        <w:rPr>
          <w:spacing w:val="80"/>
          <w:w w:val="150"/>
          <w:vertAlign w:val="baseline"/>
        </w:rPr>
        <w:t> </w:t>
      </w:r>
      <w:r>
        <w:rPr>
          <w:vertAlign w:val="baseline"/>
        </w:rPr>
        <w:t>к</w:t>
      </w:r>
      <w:r>
        <w:rPr>
          <w:spacing w:val="80"/>
          <w:w w:val="150"/>
          <w:vertAlign w:val="baseline"/>
        </w:rPr>
        <w:t> </w:t>
      </w:r>
      <w:r>
        <w:rPr>
          <w:vertAlign w:val="baseline"/>
        </w:rPr>
        <w:t>напряжению</w:t>
      </w:r>
      <w:r>
        <w:rPr>
          <w:spacing w:val="80"/>
          <w:w w:val="150"/>
          <w:vertAlign w:val="baseline"/>
        </w:rPr>
        <w:t> </w:t>
      </w:r>
      <w:r>
        <w:rPr>
          <w:vertAlign w:val="baseline"/>
        </w:rPr>
        <w:t>(VSD),</w:t>
      </w:r>
      <w:r>
        <w:rPr>
          <w:spacing w:val="40"/>
          <w:vertAlign w:val="baseline"/>
        </w:rPr>
        <w:t> </w:t>
      </w:r>
      <w:r>
        <w:rPr>
          <w:vertAlign w:val="baseline"/>
        </w:rPr>
        <w:t>участвующих</w:t>
      </w:r>
      <w:r>
        <w:rPr>
          <w:spacing w:val="38"/>
          <w:vertAlign w:val="baseline"/>
        </w:rPr>
        <w:t> </w:t>
      </w:r>
      <w:r>
        <w:rPr>
          <w:vertAlign w:val="baseline"/>
        </w:rPr>
        <w:t>в регуляции. Нарушение</w:t>
      </w:r>
      <w:r>
        <w:rPr>
          <w:spacing w:val="35"/>
          <w:vertAlign w:val="baseline"/>
        </w:rPr>
        <w:t> </w:t>
      </w:r>
      <w:r>
        <w:rPr>
          <w:vertAlign w:val="baseline"/>
        </w:rPr>
        <w:t>SLC9C1</w:t>
      </w:r>
      <w:r>
        <w:rPr>
          <w:spacing w:val="38"/>
          <w:vertAlign w:val="baseline"/>
        </w:rPr>
        <w:t> </w:t>
      </w:r>
      <w:r>
        <w:rPr>
          <w:vertAlign w:val="baseline"/>
        </w:rPr>
        <w:t>в</w:t>
      </w:r>
      <w:r>
        <w:rPr>
          <w:spacing w:val="36"/>
          <w:vertAlign w:val="baseline"/>
        </w:rPr>
        <w:t> </w:t>
      </w:r>
      <w:r>
        <w:rPr>
          <w:vertAlign w:val="baseline"/>
        </w:rPr>
        <w:t>мышиной</w:t>
      </w:r>
      <w:r>
        <w:rPr>
          <w:spacing w:val="35"/>
          <w:vertAlign w:val="baseline"/>
        </w:rPr>
        <w:t> </w:t>
      </w:r>
      <w:r>
        <w:rPr>
          <w:vertAlign w:val="baseline"/>
        </w:rPr>
        <w:t>модели</w:t>
      </w:r>
      <w:r>
        <w:rPr>
          <w:spacing w:val="38"/>
          <w:vertAlign w:val="baseline"/>
        </w:rPr>
        <w:t> </w:t>
      </w:r>
      <w:r>
        <w:rPr>
          <w:vertAlign w:val="baseline"/>
        </w:rPr>
        <w:t>вызывало бесплодие</w:t>
      </w:r>
      <w:r>
        <w:rPr>
          <w:spacing w:val="80"/>
          <w:w w:val="150"/>
          <w:vertAlign w:val="baseline"/>
        </w:rPr>
        <w:t> </w:t>
      </w:r>
      <w:r>
        <w:rPr>
          <w:vertAlign w:val="baseline"/>
        </w:rPr>
        <w:t>из-за</w:t>
      </w:r>
      <w:r>
        <w:rPr>
          <w:spacing w:val="80"/>
          <w:w w:val="150"/>
          <w:vertAlign w:val="baseline"/>
        </w:rPr>
        <w:t> </w:t>
      </w:r>
      <w:r>
        <w:rPr>
          <w:vertAlign w:val="baseline"/>
        </w:rPr>
        <w:t>астенозооспермии</w:t>
      </w:r>
      <w:r>
        <w:rPr>
          <w:spacing w:val="80"/>
          <w:w w:val="150"/>
          <w:vertAlign w:val="baseline"/>
        </w:rPr>
        <w:t> </w:t>
      </w:r>
      <w:r>
        <w:rPr>
          <w:vertAlign w:val="baseline"/>
        </w:rPr>
        <w:t>и</w:t>
      </w:r>
      <w:r>
        <w:rPr>
          <w:spacing w:val="80"/>
          <w:w w:val="150"/>
          <w:vertAlign w:val="baseline"/>
        </w:rPr>
        <w:t> </w:t>
      </w:r>
      <w:r>
        <w:rPr>
          <w:vertAlign w:val="baseline"/>
        </w:rPr>
        <w:t>дефектов</w:t>
      </w:r>
      <w:r>
        <w:rPr>
          <w:spacing w:val="80"/>
          <w:w w:val="150"/>
          <w:vertAlign w:val="baseline"/>
        </w:rPr>
        <w:t> </w:t>
      </w:r>
      <w:r>
        <w:rPr>
          <w:vertAlign w:val="baseline"/>
        </w:rPr>
        <w:t>капацитации,</w:t>
      </w:r>
      <w:r>
        <w:rPr>
          <w:spacing w:val="80"/>
          <w:w w:val="150"/>
          <w:vertAlign w:val="baseline"/>
        </w:rPr>
        <w:t> </w:t>
      </w:r>
      <w:r>
        <w:rPr>
          <w:vertAlign w:val="baseline"/>
        </w:rPr>
        <w:t>причем</w:t>
      </w:r>
      <w:r>
        <w:rPr>
          <w:spacing w:val="80"/>
          <w:w w:val="150"/>
          <w:vertAlign w:val="baseline"/>
        </w:rPr>
        <w:t> </w:t>
      </w:r>
      <w:r>
        <w:rPr>
          <w:vertAlign w:val="baseline"/>
        </w:rPr>
        <w:t>оба фенотипа частично восстанавливались за счет подщелачивания сперматозоидов и</w:t>
      </w:r>
      <w:r>
        <w:rPr>
          <w:spacing w:val="55"/>
          <w:w w:val="150"/>
          <w:vertAlign w:val="baseline"/>
        </w:rPr>
        <w:t> </w:t>
      </w:r>
      <w:r>
        <w:rPr>
          <w:vertAlign w:val="baseline"/>
        </w:rPr>
        <w:t>в</w:t>
      </w:r>
      <w:r>
        <w:rPr>
          <w:spacing w:val="56"/>
          <w:w w:val="150"/>
          <w:vertAlign w:val="baseline"/>
        </w:rPr>
        <w:t> </w:t>
      </w:r>
      <w:r>
        <w:rPr>
          <w:vertAlign w:val="baseline"/>
        </w:rPr>
        <w:t>значительной</w:t>
      </w:r>
      <w:r>
        <w:rPr>
          <w:spacing w:val="57"/>
          <w:w w:val="150"/>
          <w:vertAlign w:val="baseline"/>
        </w:rPr>
        <w:t> </w:t>
      </w:r>
      <w:r>
        <w:rPr>
          <w:vertAlign w:val="baseline"/>
        </w:rPr>
        <w:t>степени</w:t>
      </w:r>
      <w:r>
        <w:rPr>
          <w:spacing w:val="57"/>
          <w:w w:val="150"/>
          <w:vertAlign w:val="baseline"/>
        </w:rPr>
        <w:t> </w:t>
      </w:r>
      <w:r>
        <w:rPr>
          <w:vertAlign w:val="baseline"/>
        </w:rPr>
        <w:t>восстанавливались</w:t>
      </w:r>
      <w:r>
        <w:rPr>
          <w:spacing w:val="55"/>
          <w:w w:val="150"/>
          <w:vertAlign w:val="baseline"/>
        </w:rPr>
        <w:t> </w:t>
      </w:r>
      <w:r>
        <w:rPr>
          <w:vertAlign w:val="baseline"/>
        </w:rPr>
        <w:t>за</w:t>
      </w:r>
      <w:r>
        <w:rPr>
          <w:spacing w:val="56"/>
          <w:w w:val="150"/>
          <w:vertAlign w:val="baseline"/>
        </w:rPr>
        <w:t> </w:t>
      </w:r>
      <w:r>
        <w:rPr>
          <w:vertAlign w:val="baseline"/>
        </w:rPr>
        <w:t>счет</w:t>
      </w:r>
      <w:r>
        <w:rPr>
          <w:spacing w:val="56"/>
          <w:w w:val="150"/>
          <w:vertAlign w:val="baseline"/>
        </w:rPr>
        <w:t> </w:t>
      </w:r>
      <w:r>
        <w:rPr>
          <w:vertAlign w:val="baseline"/>
        </w:rPr>
        <w:t>добавления</w:t>
      </w:r>
      <w:r>
        <w:rPr>
          <w:spacing w:val="57"/>
          <w:w w:val="150"/>
          <w:vertAlign w:val="baseline"/>
        </w:rPr>
        <w:t> </w:t>
      </w:r>
      <w:r>
        <w:rPr>
          <w:spacing w:val="-2"/>
          <w:vertAlign w:val="baseline"/>
        </w:rPr>
        <w:t>аналогов</w:t>
      </w:r>
    </w:p>
    <w:p>
      <w:pPr>
        <w:pStyle w:val="BodyText"/>
        <w:spacing w:line="300" w:lineRule="exact"/>
        <w:ind w:left="142"/>
      </w:pPr>
      <w:r>
        <w:rPr/>
        <w:t>цАМФ</w:t>
      </w:r>
      <w:r>
        <w:rPr>
          <w:spacing w:val="-5"/>
        </w:rPr>
        <w:t> </w:t>
      </w:r>
      <w:r>
        <w:rPr>
          <w:spacing w:val="-2"/>
        </w:rPr>
        <w:t>[57].</w:t>
      </w:r>
    </w:p>
    <w:p>
      <w:pPr>
        <w:pStyle w:val="BodyText"/>
        <w:spacing w:line="256" w:lineRule="auto" w:before="12"/>
        <w:ind w:left="142" w:right="134" w:firstLine="708"/>
      </w:pPr>
      <w:r>
        <w:rPr>
          <w:i/>
        </w:rPr>
        <w:t>CATSPER</w:t>
      </w:r>
      <w:r>
        <w:rPr>
          <w:i/>
          <w:spacing w:val="-2"/>
        </w:rPr>
        <w:t> </w:t>
      </w:r>
      <w:r>
        <w:rPr/>
        <w:t>является</w:t>
      </w:r>
      <w:r>
        <w:rPr>
          <w:spacing w:val="-5"/>
        </w:rPr>
        <w:t> </w:t>
      </w:r>
      <w:r>
        <w:rPr/>
        <w:t>первым</w:t>
      </w:r>
      <w:r>
        <w:rPr>
          <w:spacing w:val="-3"/>
        </w:rPr>
        <w:t> </w:t>
      </w:r>
      <w:r>
        <w:rPr/>
        <w:t>ионным</w:t>
      </w:r>
      <w:r>
        <w:rPr>
          <w:spacing w:val="-3"/>
        </w:rPr>
        <w:t> </w:t>
      </w:r>
      <w:r>
        <w:rPr/>
        <w:t>каналом,</w:t>
      </w:r>
      <w:r>
        <w:rPr>
          <w:spacing w:val="-3"/>
        </w:rPr>
        <w:t> </w:t>
      </w:r>
      <w:r>
        <w:rPr/>
        <w:t>для</w:t>
      </w:r>
      <w:r>
        <w:rPr>
          <w:spacing w:val="-2"/>
        </w:rPr>
        <w:t> </w:t>
      </w:r>
      <w:r>
        <w:rPr/>
        <w:t>которого</w:t>
      </w:r>
      <w:r>
        <w:rPr>
          <w:spacing w:val="-4"/>
        </w:rPr>
        <w:t> </w:t>
      </w:r>
      <w:r>
        <w:rPr/>
        <w:t>было</w:t>
      </w:r>
      <w:r>
        <w:rPr>
          <w:spacing w:val="-2"/>
        </w:rPr>
        <w:t> </w:t>
      </w:r>
      <w:r>
        <w:rPr/>
        <w:t>показано, что дефекты генов влияют на подвижность сперматозоидов</w:t>
      </w:r>
      <w:r>
        <w:rPr>
          <w:spacing w:val="-1"/>
        </w:rPr>
        <w:t> </w:t>
      </w:r>
      <w:r>
        <w:rPr/>
        <w:t>у людей и приводят к мужскому бесплодию. Частичная геномная делеция </w:t>
      </w:r>
      <w:r>
        <w:rPr>
          <w:i/>
        </w:rPr>
        <w:t>CATSPER2 </w:t>
      </w:r>
      <w:r>
        <w:rPr/>
        <w:t>была первоначально описана во французской семье с синдромом глухоты и бесплодия (DIS) с астенозооспермией [58-59], после чего были выявлены полные</w:t>
      </w:r>
      <w:r>
        <w:rPr>
          <w:spacing w:val="-3"/>
        </w:rPr>
        <w:t> </w:t>
      </w:r>
      <w:r>
        <w:rPr/>
        <w:t>делеции</w:t>
      </w:r>
      <w:r>
        <w:rPr>
          <w:spacing w:val="2"/>
        </w:rPr>
        <w:t> </w:t>
      </w:r>
      <w:r>
        <w:rPr/>
        <w:t>гена</w:t>
      </w:r>
      <w:r>
        <w:rPr>
          <w:spacing w:val="1"/>
        </w:rPr>
        <w:t> </w:t>
      </w:r>
      <w:r>
        <w:rPr/>
        <w:t>в</w:t>
      </w:r>
      <w:r>
        <w:rPr>
          <w:spacing w:val="1"/>
        </w:rPr>
        <w:t> </w:t>
      </w:r>
      <w:r>
        <w:rPr/>
        <w:t>трех</w:t>
      </w:r>
      <w:r>
        <w:rPr>
          <w:spacing w:val="2"/>
        </w:rPr>
        <w:t> </w:t>
      </w:r>
      <w:r>
        <w:rPr/>
        <w:t>неродственных</w:t>
      </w:r>
      <w:r>
        <w:rPr>
          <w:spacing w:val="2"/>
        </w:rPr>
        <w:t> </w:t>
      </w:r>
      <w:r>
        <w:rPr/>
        <w:t>иранских</w:t>
      </w:r>
      <w:r>
        <w:rPr>
          <w:spacing w:val="2"/>
        </w:rPr>
        <w:t> </w:t>
      </w:r>
      <w:r>
        <w:rPr/>
        <w:t>семьях</w:t>
      </w:r>
      <w:r>
        <w:rPr>
          <w:spacing w:val="1"/>
        </w:rPr>
        <w:t> </w:t>
      </w:r>
      <w:r>
        <w:rPr/>
        <w:t>[60-61].</w:t>
      </w:r>
      <w:r>
        <w:rPr>
          <w:spacing w:val="2"/>
        </w:rPr>
        <w:t> </w:t>
      </w:r>
      <w:r>
        <w:rPr>
          <w:spacing w:val="-2"/>
        </w:rPr>
        <w:t>CATSPER</w:t>
      </w:r>
    </w:p>
    <w:p>
      <w:pPr>
        <w:pStyle w:val="BodyText"/>
        <w:spacing w:line="256" w:lineRule="auto"/>
        <w:ind w:left="142" w:right="138"/>
      </w:pPr>
      <w:r>
        <w:rPr/>
        <w:t>- катионный канал, который представляет собой мультипротеиновый канал, специфически экспрессируемый в семенниках и расположенный на плазматической мембране</w:t>
      </w:r>
      <w:r>
        <w:rPr>
          <w:spacing w:val="-2"/>
        </w:rPr>
        <w:t> </w:t>
      </w:r>
      <w:r>
        <w:rPr/>
        <w:t>основной</w:t>
      </w:r>
      <w:r>
        <w:rPr>
          <w:spacing w:val="-2"/>
        </w:rPr>
        <w:t> </w:t>
      </w:r>
      <w:r>
        <w:rPr/>
        <w:t>части жгутиков</w:t>
      </w:r>
      <w:r>
        <w:rPr>
          <w:spacing w:val="-1"/>
        </w:rPr>
        <w:t> </w:t>
      </w:r>
      <w:r>
        <w:rPr/>
        <w:t>сперматозоидов</w:t>
      </w:r>
      <w:r>
        <w:rPr>
          <w:spacing w:val="-3"/>
        </w:rPr>
        <w:t> </w:t>
      </w:r>
      <w:r>
        <w:rPr/>
        <w:t>человека</w:t>
      </w:r>
      <w:r>
        <w:rPr>
          <w:spacing w:val="-2"/>
        </w:rPr>
        <w:t> </w:t>
      </w:r>
      <w:r>
        <w:rPr/>
        <w:t>и мыши,</w:t>
      </w:r>
      <w:r>
        <w:rPr>
          <w:spacing w:val="73"/>
        </w:rPr>
        <w:t>  </w:t>
      </w:r>
      <w:r>
        <w:rPr/>
        <w:t>где</w:t>
      </w:r>
      <w:r>
        <w:rPr>
          <w:spacing w:val="76"/>
        </w:rPr>
        <w:t>  </w:t>
      </w:r>
      <w:r>
        <w:rPr/>
        <w:t>было</w:t>
      </w:r>
      <w:r>
        <w:rPr>
          <w:spacing w:val="76"/>
        </w:rPr>
        <w:t>  </w:t>
      </w:r>
      <w:r>
        <w:rPr/>
        <w:t>показано,</w:t>
      </w:r>
      <w:r>
        <w:rPr>
          <w:spacing w:val="76"/>
        </w:rPr>
        <w:t>  </w:t>
      </w:r>
      <w:r>
        <w:rPr/>
        <w:t>что</w:t>
      </w:r>
      <w:r>
        <w:rPr>
          <w:spacing w:val="76"/>
        </w:rPr>
        <w:t>  </w:t>
      </w:r>
      <w:r>
        <w:rPr/>
        <w:t>он</w:t>
      </w:r>
      <w:r>
        <w:rPr>
          <w:spacing w:val="77"/>
        </w:rPr>
        <w:t>  </w:t>
      </w:r>
      <w:r>
        <w:rPr/>
        <w:t>необходим</w:t>
      </w:r>
      <w:r>
        <w:rPr>
          <w:spacing w:val="76"/>
        </w:rPr>
        <w:t>  </w:t>
      </w:r>
      <w:r>
        <w:rPr/>
        <w:t>для</w:t>
      </w:r>
      <w:r>
        <w:rPr>
          <w:spacing w:val="77"/>
        </w:rPr>
        <w:t>  </w:t>
      </w:r>
      <w:r>
        <w:rPr>
          <w:spacing w:val="-2"/>
        </w:rPr>
        <w:t>гиперактивации</w:t>
      </w:r>
    </w:p>
    <w:p>
      <w:pPr>
        <w:pStyle w:val="BodyText"/>
        <w:spacing w:after="0" w:line="256" w:lineRule="auto"/>
        <w:sectPr>
          <w:pgSz w:w="11910" w:h="16840"/>
          <w:pgMar w:header="0" w:footer="970" w:top="1040" w:bottom="1200" w:left="1559" w:right="425"/>
        </w:sectPr>
      </w:pPr>
    </w:p>
    <w:p>
      <w:pPr>
        <w:pStyle w:val="BodyText"/>
        <w:spacing w:line="256" w:lineRule="auto" w:before="74"/>
        <w:ind w:left="142" w:right="138"/>
      </w:pPr>
      <w:r>
        <w:rPr/>
        <w:t>сперматозоидов. Важным функциональным последствием капацитированной подвижности является стимуляция отделения сперматозоидов от участков эпителияампулыфаллопиевой трубы для их продвижения к ооциту. K. Ho и соавторы (2009) впервые показали, что CatSper1/2 нокаутированные сперматозоиды не могут отделиться от эпителия женских половых путей и постепенно элиминируются из рогов матки [62].</w:t>
      </w:r>
    </w:p>
    <w:p>
      <w:pPr>
        <w:pStyle w:val="BodyText"/>
        <w:spacing w:before="5"/>
        <w:jc w:val="left"/>
        <w:rPr>
          <w:sz w:val="7"/>
        </w:rPr>
      </w:pPr>
      <w:r>
        <w:rPr>
          <w:sz w:val="7"/>
        </w:rPr>
        <w:drawing>
          <wp:anchor distT="0" distB="0" distL="0" distR="0" allowOverlap="1" layoutInCell="1" locked="0" behindDoc="1" simplePos="0" relativeHeight="487589888">
            <wp:simplePos x="0" y="0"/>
            <wp:positionH relativeFrom="page">
              <wp:posOffset>2443799</wp:posOffset>
            </wp:positionH>
            <wp:positionV relativeFrom="paragraph">
              <wp:posOffset>70101</wp:posOffset>
            </wp:positionV>
            <wp:extent cx="3077074" cy="2263711"/>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3077074" cy="2263711"/>
                    </a:xfrm>
                    <a:prstGeom prst="rect">
                      <a:avLst/>
                    </a:prstGeom>
                  </pic:spPr>
                </pic:pic>
              </a:graphicData>
            </a:graphic>
          </wp:anchor>
        </w:drawing>
      </w:r>
    </w:p>
    <w:p>
      <w:pPr>
        <w:pStyle w:val="BodyText"/>
        <w:spacing w:line="256" w:lineRule="auto" w:before="68"/>
        <w:ind w:left="3807" w:hanging="2924"/>
        <w:jc w:val="left"/>
      </w:pPr>
      <w:r>
        <w:rPr/>
        <w:t>Рисунок</w:t>
      </w:r>
      <w:r>
        <w:rPr>
          <w:spacing w:val="-7"/>
        </w:rPr>
        <w:t> </w:t>
      </w:r>
      <w:r>
        <w:rPr/>
        <w:t>3</w:t>
      </w:r>
      <w:r>
        <w:rPr>
          <w:spacing w:val="-5"/>
        </w:rPr>
        <w:t> </w:t>
      </w:r>
      <w:r>
        <w:rPr>
          <w:rFonts w:ascii="Arial MT" w:hAnsi="Arial MT"/>
          <w:color w:val="454545"/>
          <w:sz w:val="21"/>
        </w:rPr>
        <w:t>— </w:t>
      </w:r>
      <w:r>
        <w:rPr/>
        <w:t>Характер</w:t>
      </w:r>
      <w:r>
        <w:rPr>
          <w:spacing w:val="-5"/>
        </w:rPr>
        <w:t> </w:t>
      </w:r>
      <w:r>
        <w:rPr/>
        <w:t>движения</w:t>
      </w:r>
      <w:r>
        <w:rPr>
          <w:spacing w:val="-6"/>
        </w:rPr>
        <w:t> </w:t>
      </w:r>
      <w:r>
        <w:rPr/>
        <w:t>нормального</w:t>
      </w:r>
      <w:r>
        <w:rPr>
          <w:spacing w:val="-5"/>
        </w:rPr>
        <w:t> </w:t>
      </w:r>
      <w:r>
        <w:rPr/>
        <w:t>и</w:t>
      </w:r>
      <w:r>
        <w:rPr>
          <w:spacing w:val="-5"/>
        </w:rPr>
        <w:t> </w:t>
      </w:r>
      <w:r>
        <w:rPr>
          <w:i/>
        </w:rPr>
        <w:t>CATSPER</w:t>
      </w:r>
      <w:r>
        <w:rPr/>
        <w:t>-нулевого сперматозоида [63]</w:t>
      </w:r>
    </w:p>
    <w:p>
      <w:pPr>
        <w:pStyle w:val="BodyText"/>
        <w:spacing w:before="19"/>
        <w:jc w:val="left"/>
      </w:pPr>
    </w:p>
    <w:p>
      <w:pPr>
        <w:pStyle w:val="BodyText"/>
        <w:tabs>
          <w:tab w:pos="564" w:val="left" w:leader="none"/>
          <w:tab w:pos="634" w:val="left" w:leader="none"/>
          <w:tab w:pos="1692" w:val="left" w:leader="none"/>
          <w:tab w:pos="1822" w:val="left" w:leader="none"/>
          <w:tab w:pos="2141" w:val="left" w:leader="none"/>
          <w:tab w:pos="2211" w:val="left" w:leader="none"/>
          <w:tab w:pos="2268" w:val="left" w:leader="none"/>
          <w:tab w:pos="2645" w:val="left" w:leader="none"/>
          <w:tab w:pos="2911" w:val="left" w:leader="none"/>
          <w:tab w:pos="3420" w:val="left" w:leader="none"/>
          <w:tab w:pos="3514" w:val="left" w:leader="none"/>
          <w:tab w:pos="3639" w:val="left" w:leader="none"/>
          <w:tab w:pos="3862" w:val="left" w:leader="none"/>
          <w:tab w:pos="3965" w:val="left" w:leader="none"/>
          <w:tab w:pos="4500" w:val="left" w:leader="none"/>
          <w:tab w:pos="5835" w:val="left" w:leader="none"/>
          <w:tab w:pos="5974" w:val="left" w:leader="none"/>
          <w:tab w:pos="6228" w:val="left" w:leader="none"/>
          <w:tab w:pos="6309" w:val="left" w:leader="none"/>
          <w:tab w:pos="6586" w:val="left" w:leader="none"/>
          <w:tab w:pos="7425" w:val="left" w:leader="none"/>
          <w:tab w:pos="7613" w:val="left" w:leader="none"/>
          <w:tab w:pos="7670" w:val="left" w:leader="none"/>
          <w:tab w:pos="7913" w:val="left" w:leader="none"/>
          <w:tab w:pos="8460" w:val="left" w:leader="none"/>
          <w:tab w:pos="8638" w:val="left" w:leader="none"/>
          <w:tab w:pos="8877" w:val="left" w:leader="none"/>
          <w:tab w:pos="9341" w:val="left" w:leader="none"/>
        </w:tabs>
        <w:spacing w:line="256" w:lineRule="auto"/>
        <w:ind w:left="142" w:right="136" w:firstLine="708"/>
        <w:jc w:val="right"/>
      </w:pPr>
      <w:r>
        <w:rPr/>
        <w:t>Роль</w:t>
      </w:r>
      <w:r>
        <w:rPr>
          <w:spacing w:val="80"/>
        </w:rPr>
        <w:t> </w:t>
      </w:r>
      <w:r>
        <w:rPr/>
        <w:t>гена</w:t>
      </w:r>
      <w:r>
        <w:rPr>
          <w:spacing w:val="80"/>
        </w:rPr>
        <w:t> </w:t>
      </w:r>
      <w:r>
        <w:rPr>
          <w:i/>
        </w:rPr>
        <w:t>PKD</w:t>
      </w:r>
      <w:r>
        <w:rPr>
          <w:i/>
          <w:spacing w:val="80"/>
        </w:rPr>
        <w:t> </w:t>
      </w:r>
      <w:r>
        <w:rPr/>
        <w:t>в</w:t>
      </w:r>
      <w:r>
        <w:rPr>
          <w:spacing w:val="80"/>
        </w:rPr>
        <w:t> </w:t>
      </w:r>
      <w:r>
        <w:rPr/>
        <w:t>мужской</w:t>
      </w:r>
      <w:r>
        <w:rPr>
          <w:spacing w:val="80"/>
        </w:rPr>
        <w:t> </w:t>
      </w:r>
      <w:r>
        <w:rPr/>
        <w:t>фертильности</w:t>
      </w:r>
      <w:r>
        <w:rPr>
          <w:spacing w:val="80"/>
        </w:rPr>
        <w:t> </w:t>
      </w:r>
      <w:r>
        <w:rPr/>
        <w:t>изучена</w:t>
      </w:r>
      <w:r>
        <w:rPr>
          <w:spacing w:val="80"/>
        </w:rPr>
        <w:t> </w:t>
      </w:r>
      <w:r>
        <w:rPr/>
        <w:t>при</w:t>
      </w:r>
      <w:r>
        <w:rPr>
          <w:spacing w:val="80"/>
        </w:rPr>
        <w:t> </w:t>
      </w:r>
      <w:r>
        <w:rPr/>
        <w:t>исследовании </w:t>
      </w:r>
      <w:r>
        <w:rPr>
          <w:spacing w:val="-2"/>
        </w:rPr>
        <w:t>пациентов,</w:t>
      </w:r>
      <w:r>
        <w:rPr/>
        <w:tab/>
      </w:r>
      <w:r>
        <w:rPr>
          <w:spacing w:val="-2"/>
        </w:rPr>
        <w:t>страдающих</w:t>
      </w:r>
      <w:r>
        <w:rPr/>
        <w:tab/>
      </w:r>
      <w:r>
        <w:rPr>
          <w:spacing w:val="-2"/>
        </w:rPr>
        <w:t>аутосомно-доминантной</w:t>
      </w:r>
      <w:r>
        <w:rPr/>
        <w:tab/>
      </w:r>
      <w:r>
        <w:rPr>
          <w:spacing w:val="-57"/>
        </w:rPr>
        <w:t> </w:t>
      </w:r>
      <w:r>
        <w:rPr/>
        <w:t>поликистозной</w:t>
        <w:tab/>
        <w:tab/>
      </w:r>
      <w:r>
        <w:rPr>
          <w:spacing w:val="-2"/>
        </w:rPr>
        <w:t>болезнью </w:t>
      </w:r>
      <w:r>
        <w:rPr/>
        <w:t>почек</w:t>
      </w:r>
      <w:r>
        <w:rPr>
          <w:spacing w:val="-2"/>
        </w:rPr>
        <w:t> </w:t>
      </w:r>
      <w:r>
        <w:rPr/>
        <w:t>(АДПБП)</w:t>
      </w:r>
      <w:r>
        <w:rPr>
          <w:spacing w:val="-3"/>
        </w:rPr>
        <w:t> </w:t>
      </w:r>
      <w:r>
        <w:rPr/>
        <w:t>[64].</w:t>
      </w:r>
      <w:r>
        <w:rPr>
          <w:spacing w:val="-3"/>
        </w:rPr>
        <w:t> </w:t>
      </w:r>
      <w:r>
        <w:rPr/>
        <w:t>Авторы</w:t>
      </w:r>
      <w:r>
        <w:rPr>
          <w:spacing w:val="-2"/>
        </w:rPr>
        <w:t> </w:t>
      </w:r>
      <w:r>
        <w:rPr/>
        <w:t>проанализировали</w:t>
      </w:r>
      <w:r>
        <w:rPr>
          <w:spacing w:val="-2"/>
        </w:rPr>
        <w:t> </w:t>
      </w:r>
      <w:r>
        <w:rPr/>
        <w:t>пул</w:t>
      </w:r>
      <w:r>
        <w:rPr>
          <w:spacing w:val="-4"/>
        </w:rPr>
        <w:t> </w:t>
      </w:r>
      <w:r>
        <w:rPr/>
        <w:t>из</w:t>
      </w:r>
      <w:r>
        <w:rPr>
          <w:spacing w:val="-3"/>
        </w:rPr>
        <w:t> </w:t>
      </w:r>
      <w:r>
        <w:rPr/>
        <w:t>90</w:t>
      </w:r>
      <w:r>
        <w:rPr>
          <w:spacing w:val="-2"/>
        </w:rPr>
        <w:t> </w:t>
      </w:r>
      <w:r>
        <w:rPr/>
        <w:t>неродственных</w:t>
      </w:r>
      <w:r>
        <w:rPr>
          <w:spacing w:val="-2"/>
        </w:rPr>
        <w:t> </w:t>
      </w:r>
      <w:r>
        <w:rPr/>
        <w:t>семей </w:t>
      </w:r>
      <w:r>
        <w:rPr>
          <w:spacing w:val="-10"/>
        </w:rPr>
        <w:t>с</w:t>
      </w:r>
      <w:r>
        <w:rPr/>
        <w:tab/>
      </w:r>
      <w:r>
        <w:rPr>
          <w:spacing w:val="-2"/>
        </w:rPr>
        <w:t>АДПБП</w:t>
      </w:r>
      <w:r>
        <w:rPr/>
        <w:tab/>
        <w:tab/>
      </w:r>
      <w:r>
        <w:rPr>
          <w:spacing w:val="-10"/>
        </w:rPr>
        <w:t>и</w:t>
      </w:r>
      <w:r>
        <w:rPr/>
        <w:tab/>
        <w:tab/>
        <w:tab/>
      </w:r>
      <w:r>
        <w:rPr>
          <w:spacing w:val="-2"/>
        </w:rPr>
        <w:t>определили</w:t>
      </w:r>
      <w:r>
        <w:rPr/>
        <w:tab/>
        <w:tab/>
      </w:r>
      <w:r>
        <w:rPr>
          <w:spacing w:val="-2"/>
        </w:rPr>
        <w:t>предполагаемые</w:t>
      </w:r>
      <w:r>
        <w:rPr/>
        <w:tab/>
        <w:tab/>
      </w:r>
      <w:r>
        <w:rPr>
          <w:spacing w:val="-2"/>
        </w:rPr>
        <w:t>патогенные</w:t>
      </w:r>
      <w:r>
        <w:rPr/>
        <w:tab/>
        <w:tab/>
      </w:r>
      <w:r>
        <w:rPr>
          <w:spacing w:val="-2"/>
        </w:rPr>
        <w:t>варианты</w:t>
      </w:r>
      <w:r>
        <w:rPr/>
        <w:tab/>
      </w:r>
      <w:r>
        <w:rPr>
          <w:spacing w:val="-4"/>
        </w:rPr>
        <w:t>при </w:t>
      </w:r>
      <w:r>
        <w:rPr>
          <w:spacing w:val="-2"/>
        </w:rPr>
        <w:t>поликистозных</w:t>
      </w:r>
      <w:r>
        <w:rPr/>
        <w:tab/>
        <w:tab/>
      </w:r>
      <w:r>
        <w:rPr>
          <w:spacing w:val="-2"/>
        </w:rPr>
        <w:t>болезнях</w:t>
      </w:r>
      <w:r>
        <w:rPr/>
        <w:tab/>
        <w:tab/>
      </w:r>
      <w:r>
        <w:rPr>
          <w:spacing w:val="-2"/>
        </w:rPr>
        <w:t>почек,</w:t>
      </w:r>
      <w:r>
        <w:rPr/>
        <w:tab/>
      </w:r>
      <w:r>
        <w:rPr>
          <w:spacing w:val="-2"/>
        </w:rPr>
        <w:t>связанных</w:t>
      </w:r>
      <w:r>
        <w:rPr/>
        <w:tab/>
        <w:tab/>
      </w:r>
      <w:r>
        <w:rPr>
          <w:spacing w:val="-10"/>
        </w:rPr>
        <w:t>с</w:t>
      </w:r>
      <w:r>
        <w:rPr/>
        <w:tab/>
        <w:tab/>
      </w:r>
      <w:r>
        <w:rPr>
          <w:spacing w:val="-56"/>
        </w:rPr>
        <w:t> </w:t>
      </w:r>
      <w:r>
        <w:rPr/>
        <w:t>низким</w:t>
        <w:tab/>
      </w:r>
      <w:r>
        <w:rPr>
          <w:spacing w:val="-2"/>
        </w:rPr>
        <w:t>качеством</w:t>
      </w:r>
      <w:r>
        <w:rPr/>
        <w:tab/>
        <w:tab/>
      </w:r>
      <w:r>
        <w:rPr>
          <w:spacing w:val="-2"/>
        </w:rPr>
        <w:t>спермы (астенозооспермия)</w:t>
      </w:r>
      <w:r>
        <w:rPr/>
        <w:tab/>
        <w:tab/>
      </w:r>
      <w:r>
        <w:rPr>
          <w:spacing w:val="-4"/>
        </w:rPr>
        <w:t>[64].</w:t>
      </w:r>
      <w:r>
        <w:rPr/>
        <w:tab/>
        <w:tab/>
        <w:tab/>
      </w:r>
      <w:r>
        <w:rPr>
          <w:spacing w:val="-2"/>
        </w:rPr>
        <w:t>Дополнительные</w:t>
      </w:r>
      <w:r>
        <w:rPr/>
        <w:tab/>
        <w:tab/>
        <w:tab/>
      </w:r>
      <w:r>
        <w:rPr>
          <w:spacing w:val="-2"/>
        </w:rPr>
        <w:t>данные,</w:t>
      </w:r>
      <w:r>
        <w:rPr/>
        <w:tab/>
        <w:tab/>
        <w:tab/>
      </w:r>
      <w:r>
        <w:rPr>
          <w:spacing w:val="-2"/>
        </w:rPr>
        <w:t>подтверждающие </w:t>
      </w:r>
      <w:r>
        <w:rPr/>
        <w:t>существенную роль генов PKD в подвижности сперматозоидов, были получены </w:t>
      </w:r>
      <w:r>
        <w:rPr>
          <w:spacing w:val="-6"/>
        </w:rPr>
        <w:t>на</w:t>
      </w:r>
      <w:r>
        <w:rPr/>
        <w:tab/>
        <w:tab/>
      </w:r>
      <w:r>
        <w:rPr>
          <w:spacing w:val="-2"/>
        </w:rPr>
        <w:t>модельной</w:t>
      </w:r>
      <w:r>
        <w:rPr/>
        <w:tab/>
      </w:r>
      <w:r>
        <w:rPr>
          <w:spacing w:val="-2"/>
        </w:rPr>
        <w:t>фруктовой</w:t>
      </w:r>
      <w:r>
        <w:rPr/>
        <w:tab/>
        <w:tab/>
      </w:r>
      <w:r>
        <w:rPr>
          <w:spacing w:val="-4"/>
        </w:rPr>
        <w:t>мухе.</w:t>
      </w:r>
      <w:r>
        <w:rPr/>
        <w:tab/>
      </w:r>
      <w:r>
        <w:rPr>
          <w:spacing w:val="-66"/>
        </w:rPr>
        <w:t> </w:t>
      </w:r>
      <w:r>
        <w:rPr>
          <w:spacing w:val="-2"/>
        </w:rPr>
        <w:t>Следовательно,</w:t>
      </w:r>
      <w:r>
        <w:rPr/>
        <w:tab/>
      </w:r>
      <w:r>
        <w:rPr>
          <w:spacing w:val="-2"/>
        </w:rPr>
        <w:t>нокаут</w:t>
      </w:r>
      <w:r>
        <w:rPr/>
        <w:tab/>
        <w:tab/>
      </w:r>
      <w:r>
        <w:rPr>
          <w:spacing w:val="-4"/>
        </w:rPr>
        <w:t>PKD,</w:t>
      </w:r>
      <w:r>
        <w:rPr/>
        <w:tab/>
      </w:r>
      <w:r>
        <w:rPr>
          <w:spacing w:val="-2"/>
        </w:rPr>
        <w:t>экспрессия </w:t>
      </w:r>
      <w:r>
        <w:rPr/>
        <w:t>которого</w:t>
      </w:r>
      <w:r>
        <w:rPr>
          <w:spacing w:val="40"/>
        </w:rPr>
        <w:t> </w:t>
      </w:r>
      <w:r>
        <w:rPr/>
        <w:t>повышена</w:t>
      </w:r>
      <w:r>
        <w:rPr>
          <w:spacing w:val="40"/>
        </w:rPr>
        <w:t> </w:t>
      </w:r>
      <w:r>
        <w:rPr/>
        <w:t>в</w:t>
      </w:r>
      <w:r>
        <w:rPr>
          <w:spacing w:val="40"/>
        </w:rPr>
        <w:t> </w:t>
      </w:r>
      <w:r>
        <w:rPr/>
        <w:t>мужских</w:t>
      </w:r>
      <w:r>
        <w:rPr>
          <w:spacing w:val="40"/>
        </w:rPr>
        <w:t> </w:t>
      </w:r>
      <w:r>
        <w:rPr/>
        <w:t>репродуктивных</w:t>
      </w:r>
      <w:r>
        <w:rPr>
          <w:spacing w:val="40"/>
        </w:rPr>
        <w:t> </w:t>
      </w:r>
      <w:r>
        <w:rPr/>
        <w:t>органах,</w:t>
      </w:r>
      <w:r>
        <w:rPr>
          <w:spacing w:val="40"/>
        </w:rPr>
        <w:t> </w:t>
      </w:r>
      <w:r>
        <w:rPr/>
        <w:t>вызывает</w:t>
      </w:r>
      <w:r>
        <w:rPr>
          <w:spacing w:val="40"/>
        </w:rPr>
        <w:t> </w:t>
      </w:r>
      <w:r>
        <w:rPr/>
        <w:t>мужское бесплодие из-за неспособности сперматозоидов правильно находить путь через женские</w:t>
      </w:r>
      <w:r>
        <w:rPr>
          <w:spacing w:val="-3"/>
        </w:rPr>
        <w:t> </w:t>
      </w:r>
      <w:r>
        <w:rPr/>
        <w:t>половые</w:t>
      </w:r>
      <w:r>
        <w:rPr>
          <w:spacing w:val="-1"/>
        </w:rPr>
        <w:t> </w:t>
      </w:r>
      <w:r>
        <w:rPr/>
        <w:t>пути и достигать</w:t>
      </w:r>
      <w:r>
        <w:rPr>
          <w:spacing w:val="-4"/>
        </w:rPr>
        <w:t> </w:t>
      </w:r>
      <w:r>
        <w:rPr/>
        <w:t>органов</w:t>
      </w:r>
      <w:r>
        <w:rPr>
          <w:spacing w:val="-4"/>
        </w:rPr>
        <w:t> </w:t>
      </w:r>
      <w:r>
        <w:rPr/>
        <w:t>хранения</w:t>
      </w:r>
      <w:r>
        <w:rPr>
          <w:spacing w:val="-1"/>
        </w:rPr>
        <w:t> </w:t>
      </w:r>
      <w:r>
        <w:rPr/>
        <w:t>спермы самок</w:t>
      </w:r>
      <w:r>
        <w:rPr>
          <w:spacing w:val="-1"/>
        </w:rPr>
        <w:t> </w:t>
      </w:r>
      <w:r>
        <w:rPr/>
        <w:t>мух [65-67]. </w:t>
      </w:r>
      <w:r>
        <w:rPr>
          <w:i/>
        </w:rPr>
        <w:t>VDAC2</w:t>
      </w:r>
      <w:r>
        <w:rPr>
          <w:i/>
          <w:spacing w:val="80"/>
        </w:rPr>
        <w:t> </w:t>
      </w:r>
      <w:r>
        <w:rPr>
          <w:i/>
        </w:rPr>
        <w:t>и</w:t>
      </w:r>
      <w:r>
        <w:rPr>
          <w:i/>
          <w:spacing w:val="80"/>
        </w:rPr>
        <w:t> </w:t>
      </w:r>
      <w:r>
        <w:rPr>
          <w:i/>
        </w:rPr>
        <w:t>VDAC3.</w:t>
      </w:r>
      <w:r>
        <w:rPr>
          <w:i/>
          <w:spacing w:val="80"/>
        </w:rPr>
        <w:t> </w:t>
      </w:r>
      <w:r>
        <w:rPr/>
        <w:t>Известно,</w:t>
      </w:r>
      <w:r>
        <w:rPr>
          <w:spacing w:val="80"/>
        </w:rPr>
        <w:t> </w:t>
      </w:r>
      <w:r>
        <w:rPr/>
        <w:t>что</w:t>
      </w:r>
      <w:r>
        <w:rPr>
          <w:spacing w:val="80"/>
        </w:rPr>
        <w:t> </w:t>
      </w:r>
      <w:r>
        <w:rPr/>
        <w:t>VDAC</w:t>
      </w:r>
      <w:r>
        <w:rPr>
          <w:spacing w:val="80"/>
        </w:rPr>
        <w:t> </w:t>
      </w:r>
      <w:r>
        <w:rPr/>
        <w:t>(зависимые</w:t>
      </w:r>
      <w:r>
        <w:rPr>
          <w:spacing w:val="80"/>
        </w:rPr>
        <w:t> </w:t>
      </w:r>
      <w:r>
        <w:rPr/>
        <w:t>от</w:t>
      </w:r>
      <w:r>
        <w:rPr>
          <w:spacing w:val="80"/>
        </w:rPr>
        <w:t> </w:t>
      </w:r>
      <w:r>
        <w:rPr/>
        <w:t>напряжения</w:t>
      </w:r>
      <w:r>
        <w:rPr>
          <w:spacing w:val="80"/>
        </w:rPr>
        <w:t> </w:t>
      </w:r>
      <w:r>
        <w:rPr>
          <w:spacing w:val="-2"/>
        </w:rPr>
        <w:t>анионселективные</w:t>
      </w:r>
      <w:r>
        <w:rPr/>
        <w:tab/>
      </w:r>
      <w:r>
        <w:rPr>
          <w:spacing w:val="-2"/>
        </w:rPr>
        <w:t>каналы)</w:t>
      </w:r>
      <w:r>
        <w:rPr/>
        <w:tab/>
        <w:tab/>
      </w:r>
      <w:r>
        <w:rPr>
          <w:spacing w:val="-57"/>
        </w:rPr>
        <w:t> </w:t>
      </w:r>
      <w:r>
        <w:rPr/>
        <w:t>обеспечивают</w:t>
        <w:tab/>
        <w:t>потоки</w:t>
      </w:r>
      <w:r>
        <w:rPr>
          <w:spacing w:val="80"/>
          <w:w w:val="150"/>
        </w:rPr>
        <w:t> </w:t>
      </w:r>
      <w:r>
        <w:rPr/>
        <w:t>анионов</w:t>
      </w:r>
      <w:r>
        <w:rPr>
          <w:spacing w:val="80"/>
          <w:w w:val="150"/>
        </w:rPr>
        <w:t> </w:t>
      </w:r>
      <w:r>
        <w:rPr/>
        <w:t>в</w:t>
      </w:r>
      <w:r>
        <w:rPr>
          <w:spacing w:val="80"/>
          <w:w w:val="150"/>
        </w:rPr>
        <w:t> </w:t>
      </w:r>
      <w:r>
        <w:rPr/>
        <w:t>открытом</w:t>
      </w:r>
      <w:r>
        <w:rPr>
          <w:spacing w:val="40"/>
        </w:rPr>
        <w:t> </w:t>
      </w:r>
      <w:r>
        <w:rPr/>
        <w:t>состоянии и катионов в закрытом состоянии [68]. VDAC также ведут себя как</w:t>
      </w:r>
      <w:r>
        <w:rPr>
          <w:spacing w:val="40"/>
        </w:rPr>
        <w:t> </w:t>
      </w:r>
      <w:r>
        <w:rPr/>
        <w:t>Ca</w:t>
      </w:r>
      <w:r>
        <w:rPr>
          <w:vertAlign w:val="superscript"/>
        </w:rPr>
        <w:t>2+</w:t>
      </w:r>
      <w:r>
        <w:rPr>
          <w:vertAlign w:val="baseline"/>
        </w:rPr>
        <w:t>-связывающие</w:t>
      </w:r>
      <w:r>
        <w:rPr>
          <w:spacing w:val="35"/>
          <w:vertAlign w:val="baseline"/>
        </w:rPr>
        <w:t> </w:t>
      </w:r>
      <w:r>
        <w:rPr>
          <w:vertAlign w:val="baseline"/>
        </w:rPr>
        <w:t>белки</w:t>
      </w:r>
      <w:r>
        <w:rPr>
          <w:spacing w:val="35"/>
          <w:vertAlign w:val="baseline"/>
        </w:rPr>
        <w:t> </w:t>
      </w:r>
      <w:r>
        <w:rPr>
          <w:vertAlign w:val="baseline"/>
        </w:rPr>
        <w:t>и</w:t>
      </w:r>
      <w:r>
        <w:rPr>
          <w:spacing w:val="35"/>
          <w:vertAlign w:val="baseline"/>
        </w:rPr>
        <w:t> </w:t>
      </w:r>
      <w:r>
        <w:rPr>
          <w:vertAlign w:val="baseline"/>
        </w:rPr>
        <w:t>могут обеспечивать трансмембранные</w:t>
      </w:r>
      <w:r>
        <w:rPr>
          <w:spacing w:val="35"/>
          <w:vertAlign w:val="baseline"/>
        </w:rPr>
        <w:t> </w:t>
      </w:r>
      <w:r>
        <w:rPr>
          <w:vertAlign w:val="baseline"/>
        </w:rPr>
        <w:t>потоки</w:t>
      </w:r>
      <w:r>
        <w:rPr>
          <w:spacing w:val="35"/>
          <w:vertAlign w:val="baseline"/>
        </w:rPr>
        <w:t> </w:t>
      </w:r>
      <w:r>
        <w:rPr>
          <w:vertAlign w:val="baseline"/>
        </w:rPr>
        <w:t>Ca</w:t>
      </w:r>
      <w:r>
        <w:rPr>
          <w:vertAlign w:val="superscript"/>
        </w:rPr>
        <w:t>2+</w:t>
      </w:r>
      <w:r>
        <w:rPr>
          <w:vertAlign w:val="baseline"/>
        </w:rPr>
        <w:t> [69-70].</w:t>
      </w:r>
      <w:r>
        <w:rPr>
          <w:spacing w:val="40"/>
          <w:vertAlign w:val="baseline"/>
        </w:rPr>
        <w:t>  </w:t>
      </w:r>
      <w:r>
        <w:rPr>
          <w:vertAlign w:val="baseline"/>
        </w:rPr>
        <w:t>Таким</w:t>
      </w:r>
      <w:r>
        <w:rPr>
          <w:spacing w:val="40"/>
          <w:vertAlign w:val="baseline"/>
        </w:rPr>
        <w:t>  </w:t>
      </w:r>
      <w:r>
        <w:rPr>
          <w:vertAlign w:val="baseline"/>
        </w:rPr>
        <w:t>образом,</w:t>
      </w:r>
      <w:r>
        <w:rPr>
          <w:spacing w:val="40"/>
          <w:vertAlign w:val="baseline"/>
        </w:rPr>
        <w:t>  </w:t>
      </w:r>
      <w:r>
        <w:rPr>
          <w:vertAlign w:val="baseline"/>
        </w:rPr>
        <w:t>они</w:t>
      </w:r>
      <w:r>
        <w:rPr>
          <w:spacing w:val="40"/>
          <w:vertAlign w:val="baseline"/>
        </w:rPr>
        <w:t>  </w:t>
      </w:r>
      <w:r>
        <w:rPr>
          <w:vertAlign w:val="baseline"/>
        </w:rPr>
        <w:t>интенсивно</w:t>
      </w:r>
      <w:r>
        <w:rPr>
          <w:spacing w:val="40"/>
          <w:vertAlign w:val="baseline"/>
        </w:rPr>
        <w:t>  </w:t>
      </w:r>
      <w:r>
        <w:rPr>
          <w:vertAlign w:val="baseline"/>
        </w:rPr>
        <w:t>изучались</w:t>
      </w:r>
      <w:r>
        <w:rPr>
          <w:spacing w:val="40"/>
          <w:vertAlign w:val="baseline"/>
        </w:rPr>
        <w:t>  </w:t>
      </w:r>
      <w:r>
        <w:rPr>
          <w:vertAlign w:val="baseline"/>
        </w:rPr>
        <w:t>в</w:t>
      </w:r>
      <w:r>
        <w:rPr>
          <w:spacing w:val="40"/>
          <w:vertAlign w:val="baseline"/>
        </w:rPr>
        <w:t>  </w:t>
      </w:r>
      <w:r>
        <w:rPr>
          <w:vertAlign w:val="baseline"/>
        </w:rPr>
        <w:t>сперматозоидах</w:t>
      </w:r>
      <w:r>
        <w:rPr>
          <w:spacing w:val="80"/>
          <w:vertAlign w:val="baseline"/>
        </w:rPr>
        <w:t> </w:t>
      </w:r>
      <w:r>
        <w:rPr>
          <w:vertAlign w:val="baseline"/>
        </w:rPr>
        <w:t>млекопитающих.</w:t>
      </w:r>
      <w:r>
        <w:rPr>
          <w:spacing w:val="40"/>
          <w:vertAlign w:val="baseline"/>
        </w:rPr>
        <w:t> </w:t>
      </w:r>
      <w:r>
        <w:rPr>
          <w:vertAlign w:val="baseline"/>
        </w:rPr>
        <w:t>Сообщается</w:t>
      </w:r>
      <w:r>
        <w:rPr>
          <w:spacing w:val="40"/>
          <w:vertAlign w:val="baseline"/>
        </w:rPr>
        <w:t> </w:t>
      </w:r>
      <w:r>
        <w:rPr>
          <w:vertAlign w:val="baseline"/>
        </w:rPr>
        <w:t>о</w:t>
      </w:r>
      <w:r>
        <w:rPr>
          <w:spacing w:val="40"/>
          <w:vertAlign w:val="baseline"/>
        </w:rPr>
        <w:t> </w:t>
      </w:r>
      <w:r>
        <w:rPr>
          <w:vertAlign w:val="baseline"/>
        </w:rPr>
        <w:t>нескольких</w:t>
      </w:r>
      <w:r>
        <w:rPr>
          <w:spacing w:val="40"/>
          <w:vertAlign w:val="baseline"/>
        </w:rPr>
        <w:t> </w:t>
      </w:r>
      <w:r>
        <w:rPr>
          <w:vertAlign w:val="baseline"/>
        </w:rPr>
        <w:t>вариантах</w:t>
      </w:r>
      <w:r>
        <w:rPr>
          <w:spacing w:val="40"/>
          <w:vertAlign w:val="baseline"/>
        </w:rPr>
        <w:t> </w:t>
      </w:r>
      <w:r>
        <w:rPr>
          <w:vertAlign w:val="baseline"/>
        </w:rPr>
        <w:t>гена</w:t>
      </w:r>
      <w:r>
        <w:rPr>
          <w:spacing w:val="40"/>
          <w:vertAlign w:val="baseline"/>
        </w:rPr>
        <w:t> </w:t>
      </w:r>
      <w:r>
        <w:rPr>
          <w:vertAlign w:val="baseline"/>
        </w:rPr>
        <w:t>VDAC3,</w:t>
      </w:r>
      <w:r>
        <w:rPr>
          <w:spacing w:val="40"/>
          <w:vertAlign w:val="baseline"/>
        </w:rPr>
        <w:t> </w:t>
      </w:r>
      <w:r>
        <w:rPr>
          <w:vertAlign w:val="baseline"/>
        </w:rPr>
        <w:t>которые отличают</w:t>
      </w:r>
      <w:r>
        <w:rPr>
          <w:spacing w:val="40"/>
          <w:vertAlign w:val="baseline"/>
        </w:rPr>
        <w:t> </w:t>
      </w:r>
      <w:r>
        <w:rPr>
          <w:vertAlign w:val="baseline"/>
        </w:rPr>
        <w:t>пациентов</w:t>
      </w:r>
      <w:r>
        <w:rPr>
          <w:spacing w:val="40"/>
          <w:vertAlign w:val="baseline"/>
        </w:rPr>
        <w:t> </w:t>
      </w:r>
      <w:r>
        <w:rPr>
          <w:vertAlign w:val="baseline"/>
        </w:rPr>
        <w:t>с</w:t>
      </w:r>
      <w:r>
        <w:rPr>
          <w:spacing w:val="40"/>
          <w:vertAlign w:val="baseline"/>
        </w:rPr>
        <w:t> </w:t>
      </w:r>
      <w:r>
        <w:rPr>
          <w:vertAlign w:val="baseline"/>
        </w:rPr>
        <w:t>астенозооспермией</w:t>
      </w:r>
      <w:r>
        <w:rPr>
          <w:spacing w:val="39"/>
          <w:vertAlign w:val="baseline"/>
        </w:rPr>
        <w:t> </w:t>
      </w:r>
      <w:r>
        <w:rPr>
          <w:vertAlign w:val="baseline"/>
        </w:rPr>
        <w:t>от</w:t>
      </w:r>
      <w:r>
        <w:rPr>
          <w:spacing w:val="40"/>
          <w:vertAlign w:val="baseline"/>
        </w:rPr>
        <w:t> </w:t>
      </w:r>
      <w:r>
        <w:rPr>
          <w:vertAlign w:val="baseline"/>
        </w:rPr>
        <w:t>людей</w:t>
      </w:r>
      <w:r>
        <w:rPr>
          <w:spacing w:val="40"/>
          <w:vertAlign w:val="baseline"/>
        </w:rPr>
        <w:t> </w:t>
      </w:r>
      <w:r>
        <w:rPr>
          <w:vertAlign w:val="baseline"/>
        </w:rPr>
        <w:t>с</w:t>
      </w:r>
      <w:r>
        <w:rPr>
          <w:spacing w:val="40"/>
          <w:vertAlign w:val="baseline"/>
        </w:rPr>
        <w:t> </w:t>
      </w:r>
      <w:r>
        <w:rPr>
          <w:vertAlign w:val="baseline"/>
        </w:rPr>
        <w:t>нормозооспермией</w:t>
      </w:r>
      <w:r>
        <w:rPr>
          <w:spacing w:val="40"/>
          <w:vertAlign w:val="baseline"/>
        </w:rPr>
        <w:t> </w:t>
      </w:r>
      <w:r>
        <w:rPr>
          <w:vertAlign w:val="baseline"/>
        </w:rPr>
        <w:t>[71-72].</w:t>
      </w:r>
      <w:r>
        <w:rPr>
          <w:spacing w:val="23"/>
          <w:vertAlign w:val="baseline"/>
        </w:rPr>
        <w:t> </w:t>
      </w:r>
      <w:r>
        <w:rPr>
          <w:vertAlign w:val="baseline"/>
        </w:rPr>
        <w:t>Эти</w:t>
      </w:r>
      <w:r>
        <w:rPr>
          <w:spacing w:val="24"/>
          <w:vertAlign w:val="baseline"/>
        </w:rPr>
        <w:t> </w:t>
      </w:r>
      <w:r>
        <w:rPr>
          <w:vertAlign w:val="baseline"/>
        </w:rPr>
        <w:t>варианты</w:t>
      </w:r>
      <w:r>
        <w:rPr>
          <w:spacing w:val="24"/>
          <w:vertAlign w:val="baseline"/>
        </w:rPr>
        <w:t> </w:t>
      </w:r>
      <w:r>
        <w:rPr>
          <w:vertAlign w:val="baseline"/>
        </w:rPr>
        <w:t>состоят</w:t>
      </w:r>
      <w:r>
        <w:rPr>
          <w:spacing w:val="23"/>
          <w:vertAlign w:val="baseline"/>
        </w:rPr>
        <w:t> </w:t>
      </w:r>
      <w:r>
        <w:rPr>
          <w:vertAlign w:val="baseline"/>
        </w:rPr>
        <w:t>из</w:t>
      </w:r>
      <w:r>
        <w:rPr>
          <w:spacing w:val="23"/>
          <w:vertAlign w:val="baseline"/>
        </w:rPr>
        <w:t> </w:t>
      </w:r>
      <w:r>
        <w:rPr>
          <w:vertAlign w:val="baseline"/>
        </w:rPr>
        <w:t>делеций</w:t>
      </w:r>
      <w:r>
        <w:rPr>
          <w:spacing w:val="24"/>
          <w:vertAlign w:val="baseline"/>
        </w:rPr>
        <w:t> </w:t>
      </w:r>
      <w:r>
        <w:rPr>
          <w:vertAlign w:val="baseline"/>
        </w:rPr>
        <w:t>в экзонах</w:t>
      </w:r>
      <w:r>
        <w:rPr>
          <w:spacing w:val="25"/>
          <w:vertAlign w:val="baseline"/>
        </w:rPr>
        <w:t> </w:t>
      </w:r>
      <w:r>
        <w:rPr>
          <w:vertAlign w:val="baseline"/>
        </w:rPr>
        <w:t>с</w:t>
      </w:r>
      <w:r>
        <w:rPr>
          <w:spacing w:val="24"/>
          <w:vertAlign w:val="baseline"/>
        </w:rPr>
        <w:t> </w:t>
      </w:r>
      <w:r>
        <w:rPr>
          <w:vertAlign w:val="baseline"/>
        </w:rPr>
        <w:t>5</w:t>
      </w:r>
      <w:r>
        <w:rPr>
          <w:spacing w:val="25"/>
          <w:vertAlign w:val="baseline"/>
        </w:rPr>
        <w:t> </w:t>
      </w:r>
      <w:r>
        <w:rPr>
          <w:vertAlign w:val="baseline"/>
        </w:rPr>
        <w:t>по</w:t>
      </w:r>
      <w:r>
        <w:rPr>
          <w:spacing w:val="25"/>
          <w:vertAlign w:val="baseline"/>
        </w:rPr>
        <w:t> </w:t>
      </w:r>
      <w:r>
        <w:rPr>
          <w:vertAlign w:val="baseline"/>
        </w:rPr>
        <w:t>8 и</w:t>
      </w:r>
      <w:r>
        <w:rPr>
          <w:spacing w:val="24"/>
          <w:vertAlign w:val="baseline"/>
        </w:rPr>
        <w:t> </w:t>
      </w:r>
      <w:r>
        <w:rPr>
          <w:vertAlign w:val="baseline"/>
        </w:rPr>
        <w:t>миссенс-мутаций</w:t>
      </w:r>
      <w:r>
        <w:rPr>
          <w:spacing w:val="24"/>
          <w:vertAlign w:val="baseline"/>
        </w:rPr>
        <w:t> </w:t>
      </w:r>
      <w:r>
        <w:rPr>
          <w:vertAlign w:val="baseline"/>
        </w:rPr>
        <w:t>в экзонах</w:t>
      </w:r>
      <w:r>
        <w:rPr>
          <w:spacing w:val="80"/>
          <w:w w:val="150"/>
          <w:vertAlign w:val="baseline"/>
        </w:rPr>
        <w:t> </w:t>
      </w:r>
      <w:r>
        <w:rPr>
          <w:vertAlign w:val="baseline"/>
        </w:rPr>
        <w:t>с</w:t>
      </w:r>
      <w:r>
        <w:rPr>
          <w:spacing w:val="80"/>
          <w:w w:val="150"/>
          <w:vertAlign w:val="baseline"/>
        </w:rPr>
        <w:t> </w:t>
      </w:r>
      <w:r>
        <w:rPr>
          <w:vertAlign w:val="baseline"/>
        </w:rPr>
        <w:t>6</w:t>
      </w:r>
      <w:r>
        <w:rPr>
          <w:spacing w:val="80"/>
          <w:w w:val="150"/>
          <w:vertAlign w:val="baseline"/>
        </w:rPr>
        <w:t> </w:t>
      </w:r>
      <w:r>
        <w:rPr>
          <w:vertAlign w:val="baseline"/>
        </w:rPr>
        <w:t>по</w:t>
      </w:r>
      <w:r>
        <w:rPr>
          <w:spacing w:val="80"/>
          <w:w w:val="150"/>
          <w:vertAlign w:val="baseline"/>
        </w:rPr>
        <w:t> </w:t>
      </w:r>
      <w:r>
        <w:rPr>
          <w:vertAlign w:val="baseline"/>
        </w:rPr>
        <w:t>7</w:t>
      </w:r>
      <w:r>
        <w:rPr>
          <w:spacing w:val="80"/>
          <w:w w:val="150"/>
          <w:vertAlign w:val="baseline"/>
        </w:rPr>
        <w:t> </w:t>
      </w:r>
      <w:r>
        <w:rPr>
          <w:vertAlign w:val="baseline"/>
        </w:rPr>
        <w:t>(Ile131Leu,</w:t>
      </w:r>
      <w:r>
        <w:rPr>
          <w:spacing w:val="80"/>
          <w:w w:val="150"/>
          <w:vertAlign w:val="baseline"/>
        </w:rPr>
        <w:t> </w:t>
      </w:r>
      <w:r>
        <w:rPr>
          <w:vertAlign w:val="baseline"/>
        </w:rPr>
        <w:t>Lys171Glu,</w:t>
      </w:r>
      <w:r>
        <w:rPr>
          <w:spacing w:val="80"/>
          <w:w w:val="150"/>
          <w:vertAlign w:val="baseline"/>
        </w:rPr>
        <w:t> </w:t>
      </w:r>
      <w:r>
        <w:rPr>
          <w:vertAlign w:val="baseline"/>
        </w:rPr>
        <w:t>Asp228Asn),</w:t>
      </w:r>
      <w:r>
        <w:rPr>
          <w:spacing w:val="80"/>
          <w:w w:val="150"/>
          <w:vertAlign w:val="baseline"/>
        </w:rPr>
        <w:t> </w:t>
      </w:r>
      <w:r>
        <w:rPr>
          <w:vertAlign w:val="baseline"/>
        </w:rPr>
        <w:t>которые</w:t>
      </w:r>
      <w:r>
        <w:rPr>
          <w:spacing w:val="80"/>
          <w:w w:val="150"/>
          <w:vertAlign w:val="baseline"/>
        </w:rPr>
        <w:t> </w:t>
      </w:r>
      <w:r>
        <w:rPr>
          <w:vertAlign w:val="baseline"/>
        </w:rPr>
        <w:t>не</w:t>
      </w:r>
      <w:r>
        <w:rPr>
          <w:spacing w:val="80"/>
          <w:w w:val="150"/>
          <w:vertAlign w:val="baseline"/>
        </w:rPr>
        <w:t> </w:t>
      </w:r>
      <w:r>
        <w:rPr>
          <w:vertAlign w:val="baseline"/>
        </w:rPr>
        <w:t>были обнаружены</w:t>
      </w:r>
      <w:r>
        <w:rPr>
          <w:spacing w:val="58"/>
          <w:vertAlign w:val="baseline"/>
        </w:rPr>
        <w:t>  </w:t>
      </w:r>
      <w:r>
        <w:rPr>
          <w:vertAlign w:val="baseline"/>
        </w:rPr>
        <w:t>у</w:t>
      </w:r>
      <w:r>
        <w:rPr>
          <w:spacing w:val="58"/>
          <w:vertAlign w:val="baseline"/>
        </w:rPr>
        <w:t>  </w:t>
      </w:r>
      <w:r>
        <w:rPr>
          <w:vertAlign w:val="baseline"/>
        </w:rPr>
        <w:t>фертильных</w:t>
      </w:r>
      <w:r>
        <w:rPr>
          <w:spacing w:val="60"/>
          <w:vertAlign w:val="baseline"/>
        </w:rPr>
        <w:t>  </w:t>
      </w:r>
      <w:r>
        <w:rPr>
          <w:vertAlign w:val="baseline"/>
        </w:rPr>
        <w:t>мужчин.</w:t>
      </w:r>
      <w:r>
        <w:rPr>
          <w:spacing w:val="59"/>
          <w:vertAlign w:val="baseline"/>
        </w:rPr>
        <w:t>  </w:t>
      </w:r>
      <w:r>
        <w:rPr>
          <w:vertAlign w:val="baseline"/>
        </w:rPr>
        <w:t>Кроме</w:t>
      </w:r>
      <w:r>
        <w:rPr>
          <w:spacing w:val="59"/>
          <w:vertAlign w:val="baseline"/>
        </w:rPr>
        <w:t>  </w:t>
      </w:r>
      <w:r>
        <w:rPr>
          <w:vertAlign w:val="baseline"/>
        </w:rPr>
        <w:t>того,</w:t>
      </w:r>
      <w:r>
        <w:rPr>
          <w:spacing w:val="58"/>
          <w:vertAlign w:val="baseline"/>
        </w:rPr>
        <w:t>  </w:t>
      </w:r>
      <w:r>
        <w:rPr>
          <w:vertAlign w:val="baseline"/>
        </w:rPr>
        <w:t>предполагается,</w:t>
      </w:r>
      <w:r>
        <w:rPr>
          <w:spacing w:val="58"/>
          <w:vertAlign w:val="baseline"/>
        </w:rPr>
        <w:t>  </w:t>
      </w:r>
      <w:r>
        <w:rPr>
          <w:spacing w:val="-5"/>
          <w:vertAlign w:val="baseline"/>
        </w:rPr>
        <w:t>что</w:t>
      </w:r>
    </w:p>
    <w:p>
      <w:pPr>
        <w:pStyle w:val="BodyText"/>
        <w:spacing w:after="0" w:line="256" w:lineRule="auto"/>
        <w:jc w:val="right"/>
        <w:sectPr>
          <w:pgSz w:w="11910" w:h="16840"/>
          <w:pgMar w:header="0" w:footer="970" w:top="1040" w:bottom="1200" w:left="1559" w:right="425"/>
        </w:sectPr>
      </w:pPr>
    </w:p>
    <w:p>
      <w:pPr>
        <w:pStyle w:val="BodyText"/>
        <w:spacing w:line="256" w:lineRule="auto" w:before="74"/>
        <w:ind w:left="142" w:right="138"/>
      </w:pPr>
      <w:r>
        <w:rPr/>
        <w:t>аномальный профиль гиперметилирования промотора VDAC2 является патогенным фактором в случаях идиопатической астенозооспермии [73].</w:t>
      </w:r>
    </w:p>
    <w:p>
      <w:pPr>
        <w:pStyle w:val="BodyText"/>
        <w:spacing w:line="256" w:lineRule="auto"/>
        <w:ind w:left="142" w:right="136" w:firstLine="707"/>
      </w:pPr>
      <w:r>
        <w:rPr>
          <w:i/>
        </w:rPr>
        <w:t>SLC26A3 и SLC26A8. </w:t>
      </w:r>
      <w:r>
        <w:rPr/>
        <w:t>Представители семейства SLC26 являются переносчиками небольших анионов, включая Cl</w:t>
      </w:r>
      <w:r>
        <w:rPr>
          <w:vertAlign w:val="superscript"/>
        </w:rPr>
        <w:t>-</w:t>
      </w:r>
      <w:r>
        <w:rPr>
          <w:vertAlign w:val="baseline"/>
        </w:rPr>
        <w:t>, HCO</w:t>
      </w:r>
      <w:r>
        <w:rPr>
          <w:vertAlign w:val="superscript"/>
        </w:rPr>
        <w:t>3-</w:t>
      </w:r>
      <w:r>
        <w:rPr>
          <w:vertAlign w:val="baseline"/>
        </w:rPr>
        <w:t> , сульфат, оксалат и формиат, и обнаруживают широкое распространение в тканях. Большинство изоформ</w:t>
      </w:r>
      <w:r>
        <w:rPr>
          <w:spacing w:val="-3"/>
          <w:vertAlign w:val="baseline"/>
        </w:rPr>
        <w:t> </w:t>
      </w:r>
      <w:r>
        <w:rPr>
          <w:vertAlign w:val="baseline"/>
        </w:rPr>
        <w:t>SLC26</w:t>
      </w:r>
      <w:r>
        <w:rPr>
          <w:spacing w:val="-1"/>
          <w:vertAlign w:val="baseline"/>
        </w:rPr>
        <w:t> </w:t>
      </w:r>
      <w:r>
        <w:rPr>
          <w:vertAlign w:val="baseline"/>
        </w:rPr>
        <w:t>действуют</w:t>
      </w:r>
      <w:r>
        <w:rPr>
          <w:spacing w:val="-3"/>
          <w:vertAlign w:val="baseline"/>
        </w:rPr>
        <w:t> </w:t>
      </w:r>
      <w:r>
        <w:rPr>
          <w:vertAlign w:val="baseline"/>
        </w:rPr>
        <w:t>как</w:t>
      </w:r>
      <w:r>
        <w:rPr>
          <w:spacing w:val="-2"/>
          <w:vertAlign w:val="baseline"/>
        </w:rPr>
        <w:t> </w:t>
      </w:r>
      <w:r>
        <w:rPr>
          <w:vertAlign w:val="baseline"/>
        </w:rPr>
        <w:t>переносчики</w:t>
      </w:r>
      <w:r>
        <w:rPr>
          <w:spacing w:val="-2"/>
          <w:vertAlign w:val="baseline"/>
        </w:rPr>
        <w:t> </w:t>
      </w:r>
      <w:r>
        <w:rPr>
          <w:vertAlign w:val="baseline"/>
        </w:rPr>
        <w:t>связанных</w:t>
      </w:r>
      <w:r>
        <w:rPr>
          <w:spacing w:val="-1"/>
          <w:vertAlign w:val="baseline"/>
        </w:rPr>
        <w:t> </w:t>
      </w:r>
      <w:r>
        <w:rPr>
          <w:vertAlign w:val="baseline"/>
        </w:rPr>
        <w:t>анионов.</w:t>
      </w:r>
      <w:r>
        <w:rPr>
          <w:spacing w:val="-3"/>
          <w:vertAlign w:val="baseline"/>
        </w:rPr>
        <w:t> </w:t>
      </w:r>
      <w:r>
        <w:rPr>
          <w:vertAlign w:val="baseline"/>
        </w:rPr>
        <w:t>Представители SLC26 имеют общую структуру с трансмембранным ядром, которое обеспечивает потоки ионов в цитоплазматическую область, участвующую в доставке белков и передаче сигналов.Белок SLC26A8 обнаруживается исключительно в мужской зародышевой линии и локализуется в кольце и экваториальном сегменте сперматозоидов [74-75]. Вследствие чего, Zhang T. c соавторами (2018) было показано, что гетерозиготные варианты SLC26A8 обуславливают астенотератозооспермиюу мужчин [76].</w:t>
      </w:r>
    </w:p>
    <w:p>
      <w:pPr>
        <w:pStyle w:val="BodyText"/>
        <w:spacing w:line="256" w:lineRule="auto"/>
        <w:ind w:left="142" w:right="136" w:firstLine="707"/>
      </w:pPr>
      <w:r>
        <w:rPr/>
        <w:t>Использование фармакологических соединений, которые действуют как ингибиторы или активаторы каналов с переменным спектром аффинности, позволило расшифровать участие ионных токов и транспорта, связанных с подвижностью сперматозоидов и некоторыми признаками капацитации (гиперполяризация, гиперфосфорилирование, гиперактивация подвижности). Среди этих исследований была выделена потенциальная роль нескольких дополнительных ионных каналов</w:t>
      </w:r>
      <w:r>
        <w:rPr>
          <w:spacing w:val="-2"/>
        </w:rPr>
        <w:t> </w:t>
      </w:r>
      <w:r>
        <w:rPr/>
        <w:t>в</w:t>
      </w:r>
      <w:r>
        <w:rPr>
          <w:spacing w:val="-2"/>
        </w:rPr>
        <w:t> </w:t>
      </w:r>
      <w:r>
        <w:rPr/>
        <w:t>сперматозоидах человека,</w:t>
      </w:r>
      <w:r>
        <w:rPr>
          <w:spacing w:val="-2"/>
        </w:rPr>
        <w:t> </w:t>
      </w:r>
      <w:r>
        <w:rPr/>
        <w:t>в</w:t>
      </w:r>
      <w:r>
        <w:rPr>
          <w:spacing w:val="-2"/>
        </w:rPr>
        <w:t> </w:t>
      </w:r>
      <w:r>
        <w:rPr/>
        <w:t>том</w:t>
      </w:r>
      <w:r>
        <w:rPr>
          <w:spacing w:val="-2"/>
        </w:rPr>
        <w:t> </w:t>
      </w:r>
      <w:r>
        <w:rPr/>
        <w:t>числе</w:t>
      </w:r>
      <w:r>
        <w:rPr>
          <w:spacing w:val="-4"/>
        </w:rPr>
        <w:t> </w:t>
      </w:r>
      <w:r>
        <w:rPr/>
        <w:t>hHv1, TRPV1, ENaC, NaV, NBC, NCX, CFTR, ANO1 и hSLO3 (таблица 3, рисунок 4) </w:t>
      </w:r>
      <w:r>
        <w:rPr>
          <w:spacing w:val="-4"/>
        </w:rPr>
        <w:t>[51].</w:t>
      </w:r>
    </w:p>
    <w:p>
      <w:pPr>
        <w:pStyle w:val="BodyText"/>
        <w:spacing w:before="67"/>
        <w:jc w:val="left"/>
        <w:rPr>
          <w:sz w:val="20"/>
        </w:rPr>
      </w:pPr>
      <w:r>
        <w:rPr>
          <w:sz w:val="20"/>
        </w:rPr>
        <w:drawing>
          <wp:anchor distT="0" distB="0" distL="0" distR="0" allowOverlap="1" layoutInCell="1" locked="0" behindDoc="1" simplePos="0" relativeHeight="487590400">
            <wp:simplePos x="0" y="0"/>
            <wp:positionH relativeFrom="page">
              <wp:posOffset>2797175</wp:posOffset>
            </wp:positionH>
            <wp:positionV relativeFrom="paragraph">
              <wp:posOffset>204446</wp:posOffset>
            </wp:positionV>
            <wp:extent cx="2663132" cy="3419855"/>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2663132" cy="3419855"/>
                    </a:xfrm>
                    <a:prstGeom prst="rect">
                      <a:avLst/>
                    </a:prstGeom>
                  </pic:spPr>
                </pic:pic>
              </a:graphicData>
            </a:graphic>
          </wp:anchor>
        </w:drawing>
      </w:r>
    </w:p>
    <w:p>
      <w:pPr>
        <w:pStyle w:val="BodyText"/>
        <w:spacing w:line="256" w:lineRule="auto" w:before="161"/>
        <w:ind w:left="112" w:right="111"/>
        <w:jc w:val="center"/>
      </w:pPr>
      <w:r>
        <w:rPr/>
        <w:t>Рисунок 4 </w:t>
      </w:r>
      <w:r>
        <w:rPr>
          <w:rFonts w:ascii="Arial MT" w:hAnsi="Arial MT"/>
          <w:color w:val="454545"/>
          <w:sz w:val="21"/>
        </w:rPr>
        <w:t>— </w:t>
      </w:r>
      <w:r>
        <w:rPr/>
        <w:t>Схема основных молекулярных, биохимических и электрофизиологических</w:t>
      </w:r>
      <w:r>
        <w:rPr>
          <w:spacing w:val="-6"/>
        </w:rPr>
        <w:t> </w:t>
      </w:r>
      <w:r>
        <w:rPr/>
        <w:t>событий</w:t>
      </w:r>
      <w:r>
        <w:rPr>
          <w:spacing w:val="-6"/>
        </w:rPr>
        <w:t> </w:t>
      </w:r>
      <w:r>
        <w:rPr/>
        <w:t>связанных</w:t>
      </w:r>
      <w:r>
        <w:rPr>
          <w:spacing w:val="-6"/>
        </w:rPr>
        <w:t> </w:t>
      </w:r>
      <w:r>
        <w:rPr/>
        <w:t>с</w:t>
      </w:r>
      <w:r>
        <w:rPr>
          <w:spacing w:val="-9"/>
        </w:rPr>
        <w:t> </w:t>
      </w:r>
      <w:r>
        <w:rPr/>
        <w:t>капацитацией</w:t>
      </w:r>
      <w:r>
        <w:rPr>
          <w:spacing w:val="-6"/>
        </w:rPr>
        <w:t> </w:t>
      </w:r>
      <w:r>
        <w:rPr/>
        <w:t>сперматозоидов </w:t>
      </w:r>
      <w:r>
        <w:rPr>
          <w:spacing w:val="-4"/>
        </w:rPr>
        <w:t>[51]</w:t>
      </w:r>
    </w:p>
    <w:p>
      <w:pPr>
        <w:pStyle w:val="BodyText"/>
        <w:spacing w:after="0" w:line="256" w:lineRule="auto"/>
        <w:jc w:val="center"/>
        <w:sectPr>
          <w:pgSz w:w="11910" w:h="16840"/>
          <w:pgMar w:header="0" w:footer="970" w:top="1040" w:bottom="1160" w:left="1559" w:right="425"/>
        </w:sectPr>
      </w:pPr>
    </w:p>
    <w:p>
      <w:pPr>
        <w:pStyle w:val="BodyText"/>
        <w:spacing w:line="276" w:lineRule="auto" w:before="65"/>
        <w:ind w:left="628" w:right="66" w:firstLine="1"/>
        <w:jc w:val="center"/>
      </w:pPr>
      <w:r>
        <w:rPr/>
        <w:t>Таблица 3 </w:t>
      </w:r>
      <w:r>
        <w:rPr>
          <w:rFonts w:ascii="Arial MT" w:hAnsi="Arial MT"/>
          <w:color w:val="454545"/>
          <w:sz w:val="21"/>
        </w:rPr>
        <w:t>— </w:t>
      </w:r>
      <w:r>
        <w:rPr/>
        <w:t>Патогенные варианты в генах, кодирующих ионные каналы или транспортеры и ассоциированные с астенозооспермией</w:t>
      </w:r>
      <w:r>
        <w:rPr>
          <w:spacing w:val="-4"/>
        </w:rPr>
        <w:t> </w:t>
      </w:r>
      <w:r>
        <w:rPr/>
        <w:t>и</w:t>
      </w:r>
      <w:r>
        <w:rPr>
          <w:spacing w:val="-2"/>
        </w:rPr>
        <w:t> </w:t>
      </w:r>
      <w:r>
        <w:rPr/>
        <w:t>мужским</w:t>
      </w:r>
      <w:r>
        <w:rPr>
          <w:spacing w:val="-3"/>
        </w:rPr>
        <w:t> </w:t>
      </w:r>
      <w:r>
        <w:rPr/>
        <w:t>бесплодием</w:t>
      </w:r>
      <w:r>
        <w:rPr>
          <w:spacing w:val="-3"/>
        </w:rPr>
        <w:t> </w:t>
      </w:r>
      <w:r>
        <w:rPr/>
        <w:t>у</w:t>
      </w:r>
      <w:r>
        <w:rPr>
          <w:spacing w:val="-4"/>
        </w:rPr>
        <w:t> </w:t>
      </w:r>
      <w:r>
        <w:rPr/>
        <w:t>человека,</w:t>
      </w:r>
      <w:r>
        <w:rPr>
          <w:spacing w:val="-3"/>
        </w:rPr>
        <w:t> </w:t>
      </w:r>
      <w:r>
        <w:rPr/>
        <w:t>АСТ</w:t>
      </w:r>
      <w:r>
        <w:rPr>
          <w:spacing w:val="-2"/>
        </w:rPr>
        <w:t> </w:t>
      </w:r>
      <w:r>
        <w:rPr/>
        <w:t>-</w:t>
      </w:r>
      <w:r>
        <w:rPr>
          <w:spacing w:val="-3"/>
        </w:rPr>
        <w:t> </w:t>
      </w:r>
      <w:r>
        <w:rPr/>
        <w:t>астенозооспермией;</w:t>
      </w:r>
      <w:r>
        <w:rPr>
          <w:spacing w:val="-4"/>
        </w:rPr>
        <w:t> </w:t>
      </w:r>
      <w:r>
        <w:rPr/>
        <w:t>ОАТ</w:t>
      </w:r>
      <w:r>
        <w:rPr>
          <w:spacing w:val="-2"/>
        </w:rPr>
        <w:t> </w:t>
      </w:r>
      <w:r>
        <w:rPr/>
        <w:t>-</w:t>
      </w:r>
      <w:r>
        <w:rPr>
          <w:spacing w:val="-5"/>
        </w:rPr>
        <w:t> </w:t>
      </w:r>
      <w:r>
        <w:rPr/>
        <w:t>олигоастенотератозооспермия; AЗOO - азооспермия; HET- гетерозиготный; HOM- гомозиготный [51]</w:t>
      </w:r>
    </w:p>
    <w:p>
      <w:pPr>
        <w:pStyle w:val="BodyText"/>
        <w:spacing w:before="83"/>
        <w:jc w:val="left"/>
        <w:rPr>
          <w:sz w:val="20"/>
        </w:rPr>
      </w:pPr>
    </w:p>
    <w:tbl>
      <w:tblPr>
        <w:tblW w:w="0" w:type="auto"/>
        <w:jc w:val="left"/>
        <w:tblInd w:w="15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89"/>
        <w:gridCol w:w="4849"/>
        <w:gridCol w:w="3102"/>
        <w:gridCol w:w="5329"/>
      </w:tblGrid>
      <w:tr>
        <w:trPr>
          <w:trHeight w:val="126" w:hRule="atLeast"/>
        </w:trPr>
        <w:tc>
          <w:tcPr>
            <w:tcW w:w="1589" w:type="dxa"/>
            <w:vMerge w:val="restart"/>
            <w:shd w:val="clear" w:color="auto" w:fill="F5F5F5"/>
          </w:tcPr>
          <w:p>
            <w:pPr>
              <w:pStyle w:val="TableParagraph"/>
              <w:spacing w:before="160"/>
              <w:ind w:left="150"/>
              <w:rPr>
                <w:b/>
                <w:sz w:val="18"/>
              </w:rPr>
            </w:pPr>
            <w:r>
              <w:rPr>
                <w:b/>
                <w:color w:val="1C1C1C"/>
                <w:sz w:val="18"/>
              </w:rPr>
              <w:t>Ионный</w:t>
            </w:r>
            <w:r>
              <w:rPr>
                <w:b/>
                <w:color w:val="1C1C1C"/>
                <w:spacing w:val="-3"/>
                <w:sz w:val="18"/>
              </w:rPr>
              <w:t> </w:t>
            </w:r>
            <w:r>
              <w:rPr>
                <w:b/>
                <w:color w:val="1C1C1C"/>
                <w:spacing w:val="-2"/>
                <w:sz w:val="18"/>
              </w:rPr>
              <w:t>канал</w:t>
            </w:r>
          </w:p>
        </w:tc>
        <w:tc>
          <w:tcPr>
            <w:tcW w:w="4849" w:type="dxa"/>
            <w:vMerge w:val="restart"/>
            <w:shd w:val="clear" w:color="auto" w:fill="F5F5F5"/>
          </w:tcPr>
          <w:p>
            <w:pPr>
              <w:pStyle w:val="TableParagraph"/>
              <w:spacing w:before="160"/>
              <w:ind w:left="131"/>
              <w:rPr>
                <w:b/>
                <w:sz w:val="18"/>
              </w:rPr>
            </w:pPr>
            <w:r>
              <w:rPr>
                <w:b/>
                <w:color w:val="1C1C1C"/>
                <w:spacing w:val="-2"/>
                <w:sz w:val="18"/>
              </w:rPr>
              <w:t>Мутация</w:t>
            </w:r>
          </w:p>
        </w:tc>
        <w:tc>
          <w:tcPr>
            <w:tcW w:w="3102" w:type="dxa"/>
            <w:vMerge w:val="restart"/>
            <w:shd w:val="clear" w:color="auto" w:fill="F5F5F5"/>
          </w:tcPr>
          <w:p>
            <w:pPr>
              <w:pStyle w:val="TableParagraph"/>
              <w:spacing w:before="160"/>
              <w:ind w:left="137"/>
              <w:rPr>
                <w:b/>
                <w:sz w:val="18"/>
              </w:rPr>
            </w:pPr>
            <w:r>
              <w:rPr>
                <w:b/>
                <w:color w:val="1C1C1C"/>
                <w:spacing w:val="-2"/>
                <w:sz w:val="18"/>
              </w:rPr>
              <w:t>Пациенты</w:t>
            </w:r>
          </w:p>
        </w:tc>
        <w:tc>
          <w:tcPr>
            <w:tcW w:w="5329" w:type="dxa"/>
            <w:tcBorders>
              <w:top w:val="single" w:sz="4" w:space="0" w:color="000000"/>
              <w:left w:val="single" w:sz="4" w:space="0" w:color="000000"/>
              <w:bottom w:val="single" w:sz="4" w:space="0" w:color="000000"/>
              <w:right w:val="single" w:sz="4" w:space="0" w:color="000000"/>
            </w:tcBorders>
          </w:tcPr>
          <w:p>
            <w:pPr>
              <w:pStyle w:val="TableParagraph"/>
              <w:rPr>
                <w:sz w:val="6"/>
              </w:rPr>
            </w:pPr>
          </w:p>
        </w:tc>
      </w:tr>
      <w:tr>
        <w:trPr>
          <w:trHeight w:val="296" w:hRule="atLeast"/>
        </w:trPr>
        <w:tc>
          <w:tcPr>
            <w:tcW w:w="1589" w:type="dxa"/>
            <w:vMerge/>
            <w:tcBorders>
              <w:top w:val="nil"/>
            </w:tcBorders>
            <w:shd w:val="clear" w:color="auto" w:fill="F5F5F5"/>
          </w:tcPr>
          <w:p>
            <w:pPr>
              <w:rPr>
                <w:sz w:val="2"/>
                <w:szCs w:val="2"/>
              </w:rPr>
            </w:pPr>
          </w:p>
        </w:tc>
        <w:tc>
          <w:tcPr>
            <w:tcW w:w="4849" w:type="dxa"/>
            <w:vMerge/>
            <w:tcBorders>
              <w:top w:val="nil"/>
            </w:tcBorders>
            <w:shd w:val="clear" w:color="auto" w:fill="F5F5F5"/>
          </w:tcPr>
          <w:p>
            <w:pPr>
              <w:rPr>
                <w:sz w:val="2"/>
                <w:szCs w:val="2"/>
              </w:rPr>
            </w:pPr>
          </w:p>
        </w:tc>
        <w:tc>
          <w:tcPr>
            <w:tcW w:w="3102" w:type="dxa"/>
            <w:vMerge/>
            <w:tcBorders>
              <w:top w:val="nil"/>
            </w:tcBorders>
            <w:shd w:val="clear" w:color="auto" w:fill="F5F5F5"/>
          </w:tcPr>
          <w:p>
            <w:pPr>
              <w:rPr>
                <w:sz w:val="2"/>
                <w:szCs w:val="2"/>
              </w:rPr>
            </w:pPr>
          </w:p>
        </w:tc>
        <w:tc>
          <w:tcPr>
            <w:tcW w:w="5329" w:type="dxa"/>
            <w:tcBorders>
              <w:top w:val="single" w:sz="4" w:space="0" w:color="000000"/>
              <w:bottom w:val="single" w:sz="4" w:space="0" w:color="000000"/>
            </w:tcBorders>
            <w:shd w:val="clear" w:color="auto" w:fill="F5F5F5"/>
          </w:tcPr>
          <w:p>
            <w:pPr>
              <w:pStyle w:val="TableParagraph"/>
              <w:spacing w:before="4"/>
              <w:ind w:left="6"/>
              <w:rPr>
                <w:b/>
                <w:sz w:val="18"/>
              </w:rPr>
            </w:pPr>
            <w:r>
              <w:rPr>
                <w:b/>
                <w:color w:val="1C1C1C"/>
                <w:spacing w:val="-2"/>
                <w:sz w:val="18"/>
              </w:rPr>
              <w:t>Фенотип</w:t>
            </w:r>
          </w:p>
        </w:tc>
      </w:tr>
      <w:tr>
        <w:trPr>
          <w:trHeight w:val="853" w:hRule="atLeast"/>
        </w:trPr>
        <w:tc>
          <w:tcPr>
            <w:tcW w:w="1589" w:type="dxa"/>
          </w:tcPr>
          <w:p>
            <w:pPr>
              <w:pStyle w:val="TableParagraph"/>
              <w:spacing w:before="116"/>
              <w:rPr>
                <w:sz w:val="18"/>
              </w:rPr>
            </w:pPr>
          </w:p>
          <w:p>
            <w:pPr>
              <w:pStyle w:val="TableParagraph"/>
              <w:ind w:left="150"/>
              <w:rPr>
                <w:i/>
                <w:sz w:val="18"/>
              </w:rPr>
            </w:pPr>
            <w:r>
              <w:rPr>
                <w:i/>
                <w:sz w:val="18"/>
              </w:rPr>
              <mc:AlternateContent>
                <mc:Choice Requires="wps">
                  <w:drawing>
                    <wp:anchor distT="0" distB="0" distL="0" distR="0" allowOverlap="1" layoutInCell="1" locked="0" behindDoc="1" simplePos="0" relativeHeight="481451520">
                      <wp:simplePos x="0" y="0"/>
                      <wp:positionH relativeFrom="column">
                        <wp:posOffset>18281</wp:posOffset>
                      </wp:positionH>
                      <wp:positionV relativeFrom="paragraph">
                        <wp:posOffset>362741</wp:posOffset>
                      </wp:positionV>
                      <wp:extent cx="9415780" cy="338074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9415780" cy="3380740"/>
                                <a:chExt cx="9415780" cy="3380740"/>
                              </a:xfrm>
                            </wpg:grpSpPr>
                            <wps:wsp>
                              <wps:cNvPr id="10" name="Graphic 10"/>
                              <wps:cNvSpPr/>
                              <wps:spPr>
                                <a:xfrm>
                                  <a:off x="0" y="0"/>
                                  <a:ext cx="9415780" cy="3380740"/>
                                </a:xfrm>
                                <a:custGeom>
                                  <a:avLst/>
                                  <a:gdLst/>
                                  <a:ahLst/>
                                  <a:cxnLst/>
                                  <a:rect l="l" t="t" r="r" b="b"/>
                                  <a:pathLst>
                                    <a:path w="9415780" h="3380740">
                                      <a:moveTo>
                                        <a:pt x="978408" y="0"/>
                                      </a:moveTo>
                                      <a:lnTo>
                                        <a:pt x="972312" y="0"/>
                                      </a:lnTo>
                                      <a:lnTo>
                                        <a:pt x="7620" y="0"/>
                                      </a:lnTo>
                                      <a:lnTo>
                                        <a:pt x="0" y="0"/>
                                      </a:lnTo>
                                      <a:lnTo>
                                        <a:pt x="0" y="47244"/>
                                      </a:lnTo>
                                      <a:lnTo>
                                        <a:pt x="7620" y="47244"/>
                                      </a:lnTo>
                                      <a:lnTo>
                                        <a:pt x="7620" y="3332988"/>
                                      </a:lnTo>
                                      <a:lnTo>
                                        <a:pt x="0" y="3332988"/>
                                      </a:lnTo>
                                      <a:lnTo>
                                        <a:pt x="0" y="3380232"/>
                                      </a:lnTo>
                                      <a:lnTo>
                                        <a:pt x="7620" y="3380232"/>
                                      </a:lnTo>
                                      <a:lnTo>
                                        <a:pt x="972312" y="3380232"/>
                                      </a:lnTo>
                                      <a:lnTo>
                                        <a:pt x="976884" y="3380232"/>
                                      </a:lnTo>
                                      <a:lnTo>
                                        <a:pt x="976884" y="3332988"/>
                                      </a:lnTo>
                                      <a:lnTo>
                                        <a:pt x="972312" y="3332988"/>
                                      </a:lnTo>
                                      <a:lnTo>
                                        <a:pt x="972312" y="47244"/>
                                      </a:lnTo>
                                      <a:lnTo>
                                        <a:pt x="978408" y="47244"/>
                                      </a:lnTo>
                                      <a:lnTo>
                                        <a:pt x="978408" y="0"/>
                                      </a:lnTo>
                                      <a:close/>
                                    </a:path>
                                    <a:path w="9415780" h="3380740">
                                      <a:moveTo>
                                        <a:pt x="4059936" y="2892552"/>
                                      </a:moveTo>
                                      <a:lnTo>
                                        <a:pt x="4053840" y="2892552"/>
                                      </a:lnTo>
                                      <a:lnTo>
                                        <a:pt x="4053840" y="2891028"/>
                                      </a:lnTo>
                                      <a:lnTo>
                                        <a:pt x="1004316" y="2891028"/>
                                      </a:lnTo>
                                      <a:lnTo>
                                        <a:pt x="1004316" y="2892552"/>
                                      </a:lnTo>
                                      <a:lnTo>
                                        <a:pt x="996696" y="2892552"/>
                                      </a:lnTo>
                                      <a:lnTo>
                                        <a:pt x="996696" y="2939796"/>
                                      </a:lnTo>
                                      <a:lnTo>
                                        <a:pt x="1004316" y="2939796"/>
                                      </a:lnTo>
                                      <a:lnTo>
                                        <a:pt x="1004316" y="3332988"/>
                                      </a:lnTo>
                                      <a:lnTo>
                                        <a:pt x="996696" y="3332988"/>
                                      </a:lnTo>
                                      <a:lnTo>
                                        <a:pt x="996696" y="3380232"/>
                                      </a:lnTo>
                                      <a:lnTo>
                                        <a:pt x="1004316" y="3380232"/>
                                      </a:lnTo>
                                      <a:lnTo>
                                        <a:pt x="4053840" y="3380232"/>
                                      </a:lnTo>
                                      <a:lnTo>
                                        <a:pt x="4059936" y="3380232"/>
                                      </a:lnTo>
                                      <a:lnTo>
                                        <a:pt x="4059936" y="3332988"/>
                                      </a:lnTo>
                                      <a:lnTo>
                                        <a:pt x="4053840" y="3332988"/>
                                      </a:lnTo>
                                      <a:lnTo>
                                        <a:pt x="4053840" y="2939796"/>
                                      </a:lnTo>
                                      <a:lnTo>
                                        <a:pt x="4059936" y="2939796"/>
                                      </a:lnTo>
                                      <a:lnTo>
                                        <a:pt x="4059936" y="2892552"/>
                                      </a:lnTo>
                                      <a:close/>
                                    </a:path>
                                    <a:path w="9415780" h="3380740">
                                      <a:moveTo>
                                        <a:pt x="4059936" y="1264920"/>
                                      </a:moveTo>
                                      <a:lnTo>
                                        <a:pt x="4053840" y="1264920"/>
                                      </a:lnTo>
                                      <a:lnTo>
                                        <a:pt x="1004316" y="1264920"/>
                                      </a:lnTo>
                                      <a:lnTo>
                                        <a:pt x="996696" y="1264920"/>
                                      </a:lnTo>
                                      <a:lnTo>
                                        <a:pt x="996696" y="1312164"/>
                                      </a:lnTo>
                                      <a:lnTo>
                                        <a:pt x="1004316" y="1312164"/>
                                      </a:lnTo>
                                      <a:lnTo>
                                        <a:pt x="1004316" y="1996440"/>
                                      </a:lnTo>
                                      <a:lnTo>
                                        <a:pt x="996696" y="1996440"/>
                                      </a:lnTo>
                                      <a:lnTo>
                                        <a:pt x="996696" y="2043684"/>
                                      </a:lnTo>
                                      <a:lnTo>
                                        <a:pt x="1004316" y="2043684"/>
                                      </a:lnTo>
                                      <a:lnTo>
                                        <a:pt x="4053840" y="2043684"/>
                                      </a:lnTo>
                                      <a:lnTo>
                                        <a:pt x="4059936" y="2043684"/>
                                      </a:lnTo>
                                      <a:lnTo>
                                        <a:pt x="4059936" y="1996440"/>
                                      </a:lnTo>
                                      <a:lnTo>
                                        <a:pt x="4053840" y="1996440"/>
                                      </a:lnTo>
                                      <a:lnTo>
                                        <a:pt x="4053840" y="1312164"/>
                                      </a:lnTo>
                                      <a:lnTo>
                                        <a:pt x="4059936" y="1312164"/>
                                      </a:lnTo>
                                      <a:lnTo>
                                        <a:pt x="4059936" y="1264920"/>
                                      </a:lnTo>
                                      <a:close/>
                                    </a:path>
                                    <a:path w="9415780" h="3380740">
                                      <a:moveTo>
                                        <a:pt x="4059936" y="0"/>
                                      </a:moveTo>
                                      <a:lnTo>
                                        <a:pt x="996696" y="0"/>
                                      </a:lnTo>
                                      <a:lnTo>
                                        <a:pt x="996696" y="47244"/>
                                      </a:lnTo>
                                      <a:lnTo>
                                        <a:pt x="1004316" y="47244"/>
                                      </a:lnTo>
                                      <a:lnTo>
                                        <a:pt x="1004316" y="632460"/>
                                      </a:lnTo>
                                      <a:lnTo>
                                        <a:pt x="996696" y="632460"/>
                                      </a:lnTo>
                                      <a:lnTo>
                                        <a:pt x="996696" y="679704"/>
                                      </a:lnTo>
                                      <a:lnTo>
                                        <a:pt x="1004316" y="679704"/>
                                      </a:lnTo>
                                      <a:lnTo>
                                        <a:pt x="4053840" y="679704"/>
                                      </a:lnTo>
                                      <a:lnTo>
                                        <a:pt x="4059936" y="679704"/>
                                      </a:lnTo>
                                      <a:lnTo>
                                        <a:pt x="4059936" y="632460"/>
                                      </a:lnTo>
                                      <a:lnTo>
                                        <a:pt x="4053840" y="632460"/>
                                      </a:lnTo>
                                      <a:lnTo>
                                        <a:pt x="4053840" y="47244"/>
                                      </a:lnTo>
                                      <a:lnTo>
                                        <a:pt x="4059936" y="47244"/>
                                      </a:lnTo>
                                      <a:lnTo>
                                        <a:pt x="4059936" y="0"/>
                                      </a:lnTo>
                                      <a:close/>
                                    </a:path>
                                    <a:path w="9415780" h="3380740">
                                      <a:moveTo>
                                        <a:pt x="6030468" y="2892552"/>
                                      </a:moveTo>
                                      <a:lnTo>
                                        <a:pt x="6024372" y="2892552"/>
                                      </a:lnTo>
                                      <a:lnTo>
                                        <a:pt x="6024372" y="2891028"/>
                                      </a:lnTo>
                                      <a:lnTo>
                                        <a:pt x="4085844" y="2891028"/>
                                      </a:lnTo>
                                      <a:lnTo>
                                        <a:pt x="4085844" y="2892552"/>
                                      </a:lnTo>
                                      <a:lnTo>
                                        <a:pt x="4079748" y="2892552"/>
                                      </a:lnTo>
                                      <a:lnTo>
                                        <a:pt x="4079748" y="2939796"/>
                                      </a:lnTo>
                                      <a:lnTo>
                                        <a:pt x="4085844" y="2939796"/>
                                      </a:lnTo>
                                      <a:lnTo>
                                        <a:pt x="4085844" y="3332988"/>
                                      </a:lnTo>
                                      <a:lnTo>
                                        <a:pt x="4079748" y="3332988"/>
                                      </a:lnTo>
                                      <a:lnTo>
                                        <a:pt x="4079748" y="3380232"/>
                                      </a:lnTo>
                                      <a:lnTo>
                                        <a:pt x="4085844" y="3380232"/>
                                      </a:lnTo>
                                      <a:lnTo>
                                        <a:pt x="6024372" y="3380232"/>
                                      </a:lnTo>
                                      <a:lnTo>
                                        <a:pt x="6030468" y="3380232"/>
                                      </a:lnTo>
                                      <a:lnTo>
                                        <a:pt x="6030468" y="3332988"/>
                                      </a:lnTo>
                                      <a:lnTo>
                                        <a:pt x="6024372" y="3332988"/>
                                      </a:lnTo>
                                      <a:lnTo>
                                        <a:pt x="6024372" y="2939796"/>
                                      </a:lnTo>
                                      <a:lnTo>
                                        <a:pt x="6030468" y="2939796"/>
                                      </a:lnTo>
                                      <a:lnTo>
                                        <a:pt x="6030468" y="2892552"/>
                                      </a:lnTo>
                                      <a:close/>
                                    </a:path>
                                    <a:path w="9415780" h="3380740">
                                      <a:moveTo>
                                        <a:pt x="6030468" y="1264920"/>
                                      </a:moveTo>
                                      <a:lnTo>
                                        <a:pt x="6024372" y="1264920"/>
                                      </a:lnTo>
                                      <a:lnTo>
                                        <a:pt x="4085844" y="1264920"/>
                                      </a:lnTo>
                                      <a:lnTo>
                                        <a:pt x="4079748" y="1264920"/>
                                      </a:lnTo>
                                      <a:lnTo>
                                        <a:pt x="4079748" y="1312164"/>
                                      </a:lnTo>
                                      <a:lnTo>
                                        <a:pt x="4085844" y="1312164"/>
                                      </a:lnTo>
                                      <a:lnTo>
                                        <a:pt x="4085844" y="1996440"/>
                                      </a:lnTo>
                                      <a:lnTo>
                                        <a:pt x="4079748" y="1996440"/>
                                      </a:lnTo>
                                      <a:lnTo>
                                        <a:pt x="4079748" y="2043684"/>
                                      </a:lnTo>
                                      <a:lnTo>
                                        <a:pt x="4085844" y="2043684"/>
                                      </a:lnTo>
                                      <a:lnTo>
                                        <a:pt x="6024372" y="2043684"/>
                                      </a:lnTo>
                                      <a:lnTo>
                                        <a:pt x="6030468" y="2043684"/>
                                      </a:lnTo>
                                      <a:lnTo>
                                        <a:pt x="6030468" y="1996440"/>
                                      </a:lnTo>
                                      <a:lnTo>
                                        <a:pt x="6024372" y="1996440"/>
                                      </a:lnTo>
                                      <a:lnTo>
                                        <a:pt x="6024372" y="1312164"/>
                                      </a:lnTo>
                                      <a:lnTo>
                                        <a:pt x="6030468" y="1312164"/>
                                      </a:lnTo>
                                      <a:lnTo>
                                        <a:pt x="6030468" y="1264920"/>
                                      </a:lnTo>
                                      <a:close/>
                                    </a:path>
                                    <a:path w="9415780" h="3380740">
                                      <a:moveTo>
                                        <a:pt x="6030468" y="0"/>
                                      </a:moveTo>
                                      <a:lnTo>
                                        <a:pt x="4079748" y="0"/>
                                      </a:lnTo>
                                      <a:lnTo>
                                        <a:pt x="4079748" y="47244"/>
                                      </a:lnTo>
                                      <a:lnTo>
                                        <a:pt x="4085844" y="47244"/>
                                      </a:lnTo>
                                      <a:lnTo>
                                        <a:pt x="4085844" y="632460"/>
                                      </a:lnTo>
                                      <a:lnTo>
                                        <a:pt x="4079748" y="632460"/>
                                      </a:lnTo>
                                      <a:lnTo>
                                        <a:pt x="4079748" y="679704"/>
                                      </a:lnTo>
                                      <a:lnTo>
                                        <a:pt x="4085844" y="679704"/>
                                      </a:lnTo>
                                      <a:lnTo>
                                        <a:pt x="6024372" y="679704"/>
                                      </a:lnTo>
                                      <a:lnTo>
                                        <a:pt x="6030468" y="679704"/>
                                      </a:lnTo>
                                      <a:lnTo>
                                        <a:pt x="6030468" y="632460"/>
                                      </a:lnTo>
                                      <a:lnTo>
                                        <a:pt x="6024372" y="632460"/>
                                      </a:lnTo>
                                      <a:lnTo>
                                        <a:pt x="6024372" y="47244"/>
                                      </a:lnTo>
                                      <a:lnTo>
                                        <a:pt x="6030468" y="47244"/>
                                      </a:lnTo>
                                      <a:lnTo>
                                        <a:pt x="6030468" y="0"/>
                                      </a:lnTo>
                                      <a:close/>
                                    </a:path>
                                    <a:path w="9415780" h="3380740">
                                      <a:moveTo>
                                        <a:pt x="9415259" y="2892552"/>
                                      </a:moveTo>
                                      <a:lnTo>
                                        <a:pt x="9409176" y="2892552"/>
                                      </a:lnTo>
                                      <a:lnTo>
                                        <a:pt x="9409176" y="2891028"/>
                                      </a:lnTo>
                                      <a:lnTo>
                                        <a:pt x="6056376" y="2891028"/>
                                      </a:lnTo>
                                      <a:lnTo>
                                        <a:pt x="6056376" y="2892552"/>
                                      </a:lnTo>
                                      <a:lnTo>
                                        <a:pt x="6048756" y="2892552"/>
                                      </a:lnTo>
                                      <a:lnTo>
                                        <a:pt x="6048756" y="2939796"/>
                                      </a:lnTo>
                                      <a:lnTo>
                                        <a:pt x="6056376" y="2939796"/>
                                      </a:lnTo>
                                      <a:lnTo>
                                        <a:pt x="6056376" y="3332988"/>
                                      </a:lnTo>
                                      <a:lnTo>
                                        <a:pt x="6048756" y="3332988"/>
                                      </a:lnTo>
                                      <a:lnTo>
                                        <a:pt x="6048756" y="3380232"/>
                                      </a:lnTo>
                                      <a:lnTo>
                                        <a:pt x="6056376" y="3380232"/>
                                      </a:lnTo>
                                      <a:lnTo>
                                        <a:pt x="9409176" y="3380232"/>
                                      </a:lnTo>
                                      <a:lnTo>
                                        <a:pt x="9415259" y="3380232"/>
                                      </a:lnTo>
                                      <a:lnTo>
                                        <a:pt x="9415259" y="3332988"/>
                                      </a:lnTo>
                                      <a:lnTo>
                                        <a:pt x="9409176" y="3332988"/>
                                      </a:lnTo>
                                      <a:lnTo>
                                        <a:pt x="9409176" y="2939796"/>
                                      </a:lnTo>
                                      <a:lnTo>
                                        <a:pt x="9415259" y="2939796"/>
                                      </a:lnTo>
                                      <a:lnTo>
                                        <a:pt x="9415259" y="2892552"/>
                                      </a:lnTo>
                                      <a:close/>
                                    </a:path>
                                    <a:path w="9415780" h="3380740">
                                      <a:moveTo>
                                        <a:pt x="9415259" y="1264920"/>
                                      </a:moveTo>
                                      <a:lnTo>
                                        <a:pt x="9409176" y="1264920"/>
                                      </a:lnTo>
                                      <a:lnTo>
                                        <a:pt x="6056376" y="1264920"/>
                                      </a:lnTo>
                                      <a:lnTo>
                                        <a:pt x="6048756" y="1264920"/>
                                      </a:lnTo>
                                      <a:lnTo>
                                        <a:pt x="6048756" y="1312164"/>
                                      </a:lnTo>
                                      <a:lnTo>
                                        <a:pt x="6056376" y="1312164"/>
                                      </a:lnTo>
                                      <a:lnTo>
                                        <a:pt x="6056376" y="1996440"/>
                                      </a:lnTo>
                                      <a:lnTo>
                                        <a:pt x="6048756" y="1996440"/>
                                      </a:lnTo>
                                      <a:lnTo>
                                        <a:pt x="6048756" y="2043684"/>
                                      </a:lnTo>
                                      <a:lnTo>
                                        <a:pt x="6056376" y="2043684"/>
                                      </a:lnTo>
                                      <a:lnTo>
                                        <a:pt x="9409176" y="2043684"/>
                                      </a:lnTo>
                                      <a:lnTo>
                                        <a:pt x="9415259" y="2043684"/>
                                      </a:lnTo>
                                      <a:lnTo>
                                        <a:pt x="9415259" y="1996440"/>
                                      </a:lnTo>
                                      <a:lnTo>
                                        <a:pt x="9409176" y="1996440"/>
                                      </a:lnTo>
                                      <a:lnTo>
                                        <a:pt x="9409176" y="1312164"/>
                                      </a:lnTo>
                                      <a:lnTo>
                                        <a:pt x="9415259" y="1312164"/>
                                      </a:lnTo>
                                      <a:lnTo>
                                        <a:pt x="9415259" y="1264920"/>
                                      </a:lnTo>
                                      <a:close/>
                                    </a:path>
                                    <a:path w="9415780" h="3380740">
                                      <a:moveTo>
                                        <a:pt x="9415259" y="0"/>
                                      </a:moveTo>
                                      <a:lnTo>
                                        <a:pt x="6048756" y="0"/>
                                      </a:lnTo>
                                      <a:lnTo>
                                        <a:pt x="6048756" y="47244"/>
                                      </a:lnTo>
                                      <a:lnTo>
                                        <a:pt x="6056376" y="47244"/>
                                      </a:lnTo>
                                      <a:lnTo>
                                        <a:pt x="6056376" y="632460"/>
                                      </a:lnTo>
                                      <a:lnTo>
                                        <a:pt x="6048756" y="632460"/>
                                      </a:lnTo>
                                      <a:lnTo>
                                        <a:pt x="6048756" y="679704"/>
                                      </a:lnTo>
                                      <a:lnTo>
                                        <a:pt x="6056376" y="679704"/>
                                      </a:lnTo>
                                      <a:lnTo>
                                        <a:pt x="9409176" y="679704"/>
                                      </a:lnTo>
                                      <a:lnTo>
                                        <a:pt x="9415259" y="679704"/>
                                      </a:lnTo>
                                      <a:lnTo>
                                        <a:pt x="9415259" y="632460"/>
                                      </a:lnTo>
                                      <a:lnTo>
                                        <a:pt x="9409176" y="632460"/>
                                      </a:lnTo>
                                      <a:lnTo>
                                        <a:pt x="9409176" y="47244"/>
                                      </a:lnTo>
                                      <a:lnTo>
                                        <a:pt x="9415259" y="47244"/>
                                      </a:lnTo>
                                      <a:lnTo>
                                        <a:pt x="9415259" y="0"/>
                                      </a:lnTo>
                                      <a:close/>
                                    </a:path>
                                  </a:pathLst>
                                </a:custGeom>
                                <a:solidFill>
                                  <a:srgbClr val="F9F9F9"/>
                                </a:solidFill>
                              </wps:spPr>
                              <wps:bodyPr wrap="square" lIns="0" tIns="0" rIns="0" bIns="0" rtlCol="0">
                                <a:prstTxWarp prst="textNoShape">
                                  <a:avLst/>
                                </a:prstTxWarp>
                                <a:noAutofit/>
                              </wps:bodyPr>
                            </wps:wsp>
                          </wpg:wgp>
                        </a:graphicData>
                      </a:graphic>
                    </wp:anchor>
                  </w:drawing>
                </mc:Choice>
                <mc:Fallback>
                  <w:pict>
                    <v:group style="position:absolute;margin-left:1.4395pt;margin-top:28.562349pt;width:741.4pt;height:266.2pt;mso-position-horizontal-relative:column;mso-position-vertical-relative:paragraph;z-index:-21864960" id="docshapegroup3" coordorigin="29,571" coordsize="14828,5324">
                      <v:shape style="position:absolute;left:28;top:571;width:14828;height:5324" id="docshape4" coordorigin="29,571" coordsize="14828,5324" path="m1570,571l1560,571,41,571,29,571,29,646,41,646,41,5820,29,5820,29,5894,41,5894,1560,5894,1567,5894,1567,5820,1560,5820,1560,646,1570,646,1570,571xm6422,5126l6413,5126,6413,5124,1610,5124,1610,5126,1598,5126,1598,5201,1610,5201,1610,5820,1598,5820,1598,5894,1610,5894,6413,5894,6422,5894,6422,5820,6413,5820,6413,5201,6422,5201,6422,5126xm6422,2563l6413,2563,1610,2563,1598,2563,1598,2638,1610,2638,1610,3715,1598,3715,1598,3790,1610,3790,6413,3790,6422,3790,6422,3715,6413,3715,6413,2638,6422,2638,6422,2563xm6422,571l1598,571,1598,646,1610,646,1610,1567,1598,1567,1598,1642,1610,1642,6413,1642,6422,1642,6422,1567,6413,1567,6413,646,6422,646,6422,571xm9526,5126l9516,5126,9516,5124,6463,5124,6463,5126,6454,5126,6454,5201,6463,5201,6463,5820,6454,5820,6454,5894,6463,5894,9516,5894,9526,5894,9526,5820,9516,5820,9516,5201,9526,5201,9526,5126xm9526,2563l9516,2563,6463,2563,6454,2563,6454,2638,6463,2638,6463,3715,6454,3715,6454,3790,6463,3790,9516,3790,9526,3790,9526,3715,9516,3715,9516,2638,9526,2638,9526,2563xm9526,571l6454,571,6454,646,6463,646,6463,1567,6454,1567,6454,1642,6463,1642,9516,1642,9526,1642,9526,1567,9516,1567,9516,646,9526,646,9526,571xm14856,5126l14846,5126,14846,5124,9566,5124,9566,5126,9554,5126,9554,5201,9566,5201,9566,5820,9554,5820,9554,5894,9566,5894,14846,5894,14856,5894,14856,5820,14846,5820,14846,5201,14856,5201,14856,5126xm14856,2563l14846,2563,9566,2563,9554,2563,9554,2638,9566,2638,9566,3715,9554,3715,9554,3790,9566,3790,14846,3790,14856,3790,14856,3715,14846,3715,14846,2638,14856,2638,14856,2563xm14856,571l9554,571,9554,646,9566,646,9566,1567,9554,1567,9554,1642,9566,1642,14846,1642,14856,1642,14856,1567,14846,1567,14846,646,14856,646,14856,571xe" filled="true" fillcolor="#f9f9f9" stroked="false">
                        <v:path arrowok="t"/>
                        <v:fill type="solid"/>
                      </v:shape>
                      <w10:wrap type="none"/>
                    </v:group>
                  </w:pict>
                </mc:Fallback>
              </mc:AlternateContent>
            </w:r>
            <w:r>
              <w:rPr>
                <w:i/>
                <w:color w:val="1C1C1C"/>
                <w:spacing w:val="-2"/>
                <w:sz w:val="18"/>
              </w:rPr>
              <w:t>CATSPER1</w:t>
            </w:r>
          </w:p>
        </w:tc>
        <w:tc>
          <w:tcPr>
            <w:tcW w:w="4849" w:type="dxa"/>
          </w:tcPr>
          <w:p>
            <w:pPr>
              <w:pStyle w:val="TableParagraph"/>
              <w:spacing w:before="13"/>
              <w:rPr>
                <w:sz w:val="18"/>
              </w:rPr>
            </w:pPr>
          </w:p>
          <w:p>
            <w:pPr>
              <w:pStyle w:val="TableParagraph"/>
              <w:spacing w:line="207" w:lineRule="exact"/>
              <w:ind w:left="131"/>
              <w:rPr>
                <w:sz w:val="18"/>
              </w:rPr>
            </w:pPr>
            <w:r>
              <w:rPr>
                <w:color w:val="1C1C1C"/>
                <w:sz w:val="18"/>
              </w:rPr>
              <w:t>c.539–540insT</w:t>
            </w:r>
            <w:r>
              <w:rPr>
                <w:color w:val="1C1C1C"/>
                <w:spacing w:val="-3"/>
                <w:sz w:val="18"/>
              </w:rPr>
              <w:t> </w:t>
            </w:r>
            <w:r>
              <w:rPr>
                <w:color w:val="1C1C1C"/>
                <w:spacing w:val="-2"/>
                <w:sz w:val="18"/>
              </w:rPr>
              <w:t>(p.Lys180LysfsX8)</w:t>
            </w:r>
          </w:p>
          <w:p>
            <w:pPr>
              <w:pStyle w:val="TableParagraph"/>
              <w:spacing w:line="207" w:lineRule="exact"/>
              <w:ind w:left="131"/>
              <w:rPr>
                <w:sz w:val="18"/>
              </w:rPr>
            </w:pPr>
            <w:r>
              <w:rPr>
                <w:color w:val="1C1C1C"/>
                <w:sz w:val="18"/>
              </w:rPr>
              <w:t>c.948–949insATGGC</w:t>
            </w:r>
            <w:r>
              <w:rPr>
                <w:color w:val="1C1C1C"/>
                <w:spacing w:val="-8"/>
                <w:sz w:val="18"/>
              </w:rPr>
              <w:t> </w:t>
            </w:r>
            <w:r>
              <w:rPr>
                <w:color w:val="1C1C1C"/>
                <w:sz w:val="18"/>
              </w:rPr>
              <w:t>(p.Asp317MetfsX18-</w:t>
            </w:r>
            <w:r>
              <w:rPr>
                <w:color w:val="1C1C1C"/>
                <w:spacing w:val="-5"/>
                <w:sz w:val="18"/>
              </w:rPr>
              <w:t> HОМ</w:t>
            </w:r>
          </w:p>
        </w:tc>
        <w:tc>
          <w:tcPr>
            <w:tcW w:w="3102" w:type="dxa"/>
          </w:tcPr>
          <w:p>
            <w:pPr>
              <w:pStyle w:val="TableParagraph"/>
              <w:spacing w:before="13"/>
              <w:rPr>
                <w:sz w:val="18"/>
              </w:rPr>
            </w:pPr>
          </w:p>
          <w:p>
            <w:pPr>
              <w:pStyle w:val="TableParagraph"/>
              <w:ind w:left="137"/>
              <w:rPr>
                <w:sz w:val="18"/>
              </w:rPr>
            </w:pPr>
            <w:r>
              <w:rPr>
                <w:color w:val="1C1C1C"/>
                <w:sz w:val="18"/>
              </w:rPr>
              <w:t>3</w:t>
            </w:r>
            <w:r>
              <w:rPr>
                <w:color w:val="1C1C1C"/>
                <w:spacing w:val="-10"/>
                <w:sz w:val="18"/>
              </w:rPr>
              <w:t> </w:t>
            </w:r>
            <w:r>
              <w:rPr>
                <w:color w:val="1C1C1C"/>
                <w:sz w:val="18"/>
              </w:rPr>
              <w:t>пациента</w:t>
            </w:r>
            <w:r>
              <w:rPr>
                <w:color w:val="1C1C1C"/>
                <w:spacing w:val="-12"/>
                <w:sz w:val="18"/>
              </w:rPr>
              <w:t> </w:t>
            </w:r>
            <w:r>
              <w:rPr>
                <w:color w:val="1C1C1C"/>
                <w:sz w:val="18"/>
              </w:rPr>
              <w:t>из</w:t>
            </w:r>
            <w:r>
              <w:rPr>
                <w:color w:val="1C1C1C"/>
                <w:spacing w:val="-9"/>
                <w:sz w:val="18"/>
              </w:rPr>
              <w:t> </w:t>
            </w:r>
            <w:r>
              <w:rPr>
                <w:color w:val="1C1C1C"/>
                <w:sz w:val="18"/>
              </w:rPr>
              <w:t>2</w:t>
            </w:r>
            <w:r>
              <w:rPr>
                <w:color w:val="1C1C1C"/>
                <w:spacing w:val="-10"/>
                <w:sz w:val="18"/>
              </w:rPr>
              <w:t> </w:t>
            </w:r>
            <w:r>
              <w:rPr>
                <w:color w:val="1C1C1C"/>
                <w:sz w:val="18"/>
              </w:rPr>
              <w:t>кровнородственных иранских семей</w:t>
            </w:r>
          </w:p>
        </w:tc>
        <w:tc>
          <w:tcPr>
            <w:tcW w:w="5329" w:type="dxa"/>
            <w:tcBorders>
              <w:top w:val="single" w:sz="4" w:space="0" w:color="000000"/>
            </w:tcBorders>
          </w:tcPr>
          <w:p>
            <w:pPr>
              <w:pStyle w:val="TableParagraph"/>
              <w:spacing w:before="116"/>
              <w:rPr>
                <w:sz w:val="18"/>
              </w:rPr>
            </w:pPr>
          </w:p>
          <w:p>
            <w:pPr>
              <w:pStyle w:val="TableParagraph"/>
              <w:ind w:left="136"/>
              <w:rPr>
                <w:sz w:val="18"/>
              </w:rPr>
            </w:pPr>
            <w:r>
              <w:rPr>
                <w:color w:val="1C1C1C"/>
                <w:sz w:val="18"/>
              </w:rPr>
              <w:t>ОАТ</w:t>
            </w:r>
            <w:r>
              <w:rPr>
                <w:color w:val="1C1C1C"/>
                <w:spacing w:val="-2"/>
                <w:sz w:val="18"/>
              </w:rPr>
              <w:t> </w:t>
            </w:r>
            <w:r>
              <w:rPr>
                <w:color w:val="1C1C1C"/>
                <w:sz w:val="18"/>
              </w:rPr>
              <w:t>Низкий</w:t>
            </w:r>
            <w:r>
              <w:rPr>
                <w:color w:val="1C1C1C"/>
                <w:spacing w:val="-3"/>
                <w:sz w:val="18"/>
              </w:rPr>
              <w:t> </w:t>
            </w:r>
            <w:r>
              <w:rPr>
                <w:color w:val="1C1C1C"/>
                <w:sz w:val="18"/>
              </w:rPr>
              <w:t>объем</w:t>
            </w:r>
            <w:r>
              <w:rPr>
                <w:color w:val="1C1C1C"/>
                <w:spacing w:val="-1"/>
                <w:sz w:val="18"/>
              </w:rPr>
              <w:t> </w:t>
            </w:r>
            <w:r>
              <w:rPr>
                <w:color w:val="1C1C1C"/>
                <w:spacing w:val="-2"/>
                <w:sz w:val="18"/>
              </w:rPr>
              <w:t>спермы</w:t>
            </w:r>
          </w:p>
        </w:tc>
      </w:tr>
      <w:tr>
        <w:trPr>
          <w:trHeight w:val="1093" w:hRule="atLeast"/>
        </w:trPr>
        <w:tc>
          <w:tcPr>
            <w:tcW w:w="1589" w:type="dxa"/>
            <w:vMerge w:val="restart"/>
            <w:tcBorders>
              <w:left w:val="single" w:sz="18" w:space="0" w:color="FFFFFF"/>
              <w:bottom w:val="single" w:sz="4" w:space="0" w:color="000000"/>
              <w:right w:val="nil"/>
            </w:tcBorders>
            <w:shd w:val="clear" w:color="auto" w:fill="F9F9F9"/>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85"/>
              <w:rPr>
                <w:sz w:val="18"/>
              </w:rPr>
            </w:pPr>
          </w:p>
          <w:p>
            <w:pPr>
              <w:pStyle w:val="TableParagraph"/>
              <w:spacing w:before="1"/>
              <w:ind w:left="143"/>
              <w:rPr>
                <w:i/>
                <w:sz w:val="18"/>
              </w:rPr>
            </w:pPr>
            <w:r>
              <w:rPr>
                <w:i/>
                <w:sz w:val="18"/>
              </w:rPr>
              <mc:AlternateContent>
                <mc:Choice Requires="wps">
                  <w:drawing>
                    <wp:anchor distT="0" distB="0" distL="0" distR="0" allowOverlap="1" layoutInCell="1" locked="0" behindDoc="0" simplePos="0" relativeHeight="15732224">
                      <wp:simplePos x="0" y="0"/>
                      <wp:positionH relativeFrom="column">
                        <wp:posOffset>-6</wp:posOffset>
                      </wp:positionH>
                      <wp:positionV relativeFrom="paragraph">
                        <wp:posOffset>1734976</wp:posOffset>
                      </wp:positionV>
                      <wp:extent cx="1005840" cy="3810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005840" cy="38100"/>
                                <a:chExt cx="1005840" cy="38100"/>
                              </a:xfrm>
                            </wpg:grpSpPr>
                            <wps:wsp>
                              <wps:cNvPr id="12" name="Graphic 12"/>
                              <wps:cNvSpPr/>
                              <wps:spPr>
                                <a:xfrm>
                                  <a:off x="0" y="0"/>
                                  <a:ext cx="1005840" cy="38100"/>
                                </a:xfrm>
                                <a:custGeom>
                                  <a:avLst/>
                                  <a:gdLst/>
                                  <a:ahLst/>
                                  <a:cxnLst/>
                                  <a:rect l="l" t="t" r="r" b="b"/>
                                  <a:pathLst>
                                    <a:path w="1005840" h="38100">
                                      <a:moveTo>
                                        <a:pt x="1005840" y="0"/>
                                      </a:moveTo>
                                      <a:lnTo>
                                        <a:pt x="0" y="0"/>
                                      </a:lnTo>
                                      <a:lnTo>
                                        <a:pt x="0" y="38100"/>
                                      </a:lnTo>
                                      <a:lnTo>
                                        <a:pt x="1005840" y="38100"/>
                                      </a:lnTo>
                                      <a:lnTo>
                                        <a:pt x="1005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5pt;margin-top:136.612335pt;width:79.2pt;height:3pt;mso-position-horizontal-relative:column;mso-position-vertical-relative:paragraph;z-index:15732224" id="docshapegroup5" coordorigin="0,2732" coordsize="1584,60">
                      <v:rect style="position:absolute;left:-1;top:2732;width:1584;height:60" id="docshape6" filled="true" fillcolor="#ffffff" stroked="false">
                        <v:fill type="solid"/>
                      </v:rect>
                      <w10:wrap type="none"/>
                    </v:group>
                  </w:pict>
                </mc:Fallback>
              </mc:AlternateContent>
            </w:r>
            <w:r>
              <w:rPr>
                <w:i/>
                <w:color w:val="1C1C1C"/>
                <w:spacing w:val="-2"/>
                <w:sz w:val="18"/>
              </w:rPr>
              <w:t>CATSPER2</w:t>
            </w:r>
          </w:p>
        </w:tc>
        <w:tc>
          <w:tcPr>
            <w:tcW w:w="4849" w:type="dxa"/>
            <w:shd w:val="clear" w:color="auto" w:fill="F9F9F9"/>
          </w:tcPr>
          <w:p>
            <w:pPr>
              <w:pStyle w:val="TableParagraph"/>
              <w:spacing w:before="133"/>
              <w:rPr>
                <w:sz w:val="18"/>
              </w:rPr>
            </w:pPr>
          </w:p>
          <w:p>
            <w:pPr>
              <w:pStyle w:val="TableParagraph"/>
              <w:ind w:left="131" w:right="1093"/>
              <w:rPr>
                <w:sz w:val="18"/>
              </w:rPr>
            </w:pPr>
            <w:r>
              <w:rPr>
                <w:color w:val="1C1C1C"/>
                <w:sz w:val="18"/>
              </w:rPr>
              <w:t>Делеция</w:t>
            </w:r>
            <w:r>
              <w:rPr>
                <w:color w:val="1C1C1C"/>
                <w:spacing w:val="-4"/>
                <w:sz w:val="18"/>
              </w:rPr>
              <w:t> </w:t>
            </w:r>
            <w:r>
              <w:rPr>
                <w:color w:val="1C1C1C"/>
                <w:sz w:val="18"/>
              </w:rPr>
              <w:t>~</w:t>
            </w:r>
            <w:r>
              <w:rPr>
                <w:color w:val="1C1C1C"/>
                <w:spacing w:val="-4"/>
                <w:sz w:val="18"/>
              </w:rPr>
              <w:t> </w:t>
            </w:r>
            <w:r>
              <w:rPr>
                <w:color w:val="1C1C1C"/>
                <w:sz w:val="18"/>
              </w:rPr>
              <w:t>70</w:t>
            </w:r>
            <w:r>
              <w:rPr>
                <w:color w:val="1C1C1C"/>
                <w:spacing w:val="-4"/>
                <w:sz w:val="18"/>
              </w:rPr>
              <w:t> </w:t>
            </w:r>
            <w:r>
              <w:rPr>
                <w:color w:val="1C1C1C"/>
                <w:sz w:val="18"/>
              </w:rPr>
              <w:t>т.п.н.</w:t>
            </w:r>
            <w:r>
              <w:rPr>
                <w:color w:val="1C1C1C"/>
                <w:spacing w:val="-4"/>
                <w:sz w:val="18"/>
              </w:rPr>
              <w:t> </w:t>
            </w:r>
            <w:r>
              <w:rPr>
                <w:color w:val="1C1C1C"/>
                <w:sz w:val="18"/>
              </w:rPr>
              <w:t>в</w:t>
            </w:r>
            <w:r>
              <w:rPr>
                <w:color w:val="1C1C1C"/>
                <w:spacing w:val="-6"/>
                <w:sz w:val="18"/>
              </w:rPr>
              <w:t> </w:t>
            </w:r>
            <w:r>
              <w:rPr>
                <w:color w:val="1C1C1C"/>
                <w:sz w:val="18"/>
              </w:rPr>
              <w:t>chr</w:t>
            </w:r>
            <w:r>
              <w:rPr>
                <w:color w:val="1C1C1C"/>
                <w:spacing w:val="-7"/>
                <w:sz w:val="18"/>
              </w:rPr>
              <w:t> </w:t>
            </w:r>
            <w:r>
              <w:rPr>
                <w:color w:val="1C1C1C"/>
                <w:sz w:val="18"/>
              </w:rPr>
              <w:t>15q15</w:t>
            </w:r>
            <w:r>
              <w:rPr>
                <w:color w:val="1C1C1C"/>
                <w:spacing w:val="-6"/>
                <w:sz w:val="18"/>
              </w:rPr>
              <w:t> </w:t>
            </w:r>
            <w:r>
              <w:rPr>
                <w:color w:val="1C1C1C"/>
                <w:sz w:val="18"/>
              </w:rPr>
              <w:t>(последние</w:t>
            </w:r>
            <w:r>
              <w:rPr>
                <w:color w:val="1C1C1C"/>
                <w:spacing w:val="-6"/>
                <w:sz w:val="18"/>
              </w:rPr>
              <w:t> </w:t>
            </w:r>
            <w:r>
              <w:rPr>
                <w:color w:val="1C1C1C"/>
                <w:sz w:val="18"/>
              </w:rPr>
              <w:t>2 экзона </w:t>
            </w:r>
            <w:r>
              <w:rPr>
                <w:i/>
                <w:color w:val="1C1C1C"/>
                <w:sz w:val="18"/>
              </w:rPr>
              <w:t>CATSPER2 </w:t>
            </w:r>
            <w:r>
              <w:rPr>
                <w:color w:val="1C1C1C"/>
                <w:sz w:val="18"/>
              </w:rPr>
              <w:t>) - HОМ</w:t>
            </w:r>
          </w:p>
        </w:tc>
        <w:tc>
          <w:tcPr>
            <w:tcW w:w="3102" w:type="dxa"/>
            <w:shd w:val="clear" w:color="auto" w:fill="F9F9F9"/>
          </w:tcPr>
          <w:p>
            <w:pPr>
              <w:pStyle w:val="TableParagraph"/>
              <w:rPr>
                <w:sz w:val="18"/>
              </w:rPr>
            </w:pPr>
          </w:p>
          <w:p>
            <w:pPr>
              <w:pStyle w:val="TableParagraph"/>
              <w:spacing w:before="29"/>
              <w:rPr>
                <w:sz w:val="18"/>
              </w:rPr>
            </w:pPr>
          </w:p>
          <w:p>
            <w:pPr>
              <w:pStyle w:val="TableParagraph"/>
              <w:ind w:left="137"/>
              <w:rPr>
                <w:sz w:val="18"/>
              </w:rPr>
            </w:pPr>
            <w:r>
              <w:rPr>
                <w:color w:val="1C1C1C"/>
                <w:sz w:val="18"/>
              </w:rPr>
              <w:t>3</w:t>
            </w:r>
            <w:r>
              <w:rPr>
                <w:color w:val="1C1C1C"/>
                <w:spacing w:val="-4"/>
                <w:sz w:val="18"/>
              </w:rPr>
              <w:t> </w:t>
            </w:r>
            <w:r>
              <w:rPr>
                <w:color w:val="1C1C1C"/>
                <w:sz w:val="18"/>
              </w:rPr>
              <w:t>брата</w:t>
            </w:r>
            <w:r>
              <w:rPr>
                <w:color w:val="1C1C1C"/>
                <w:spacing w:val="-3"/>
                <w:sz w:val="18"/>
              </w:rPr>
              <w:t> </w:t>
            </w:r>
            <w:r>
              <w:rPr>
                <w:color w:val="1C1C1C"/>
                <w:sz w:val="18"/>
              </w:rPr>
              <w:t>из</w:t>
            </w:r>
            <w:r>
              <w:rPr>
                <w:color w:val="1C1C1C"/>
                <w:spacing w:val="-2"/>
                <w:sz w:val="18"/>
              </w:rPr>
              <w:t> </w:t>
            </w:r>
            <w:r>
              <w:rPr>
                <w:color w:val="1C1C1C"/>
                <w:sz w:val="18"/>
              </w:rPr>
              <w:t>французской</w:t>
            </w:r>
            <w:r>
              <w:rPr>
                <w:color w:val="1C1C1C"/>
                <w:spacing w:val="-2"/>
                <w:sz w:val="18"/>
              </w:rPr>
              <w:t> </w:t>
            </w:r>
            <w:r>
              <w:rPr>
                <w:color w:val="1C1C1C"/>
                <w:spacing w:val="-4"/>
                <w:sz w:val="18"/>
              </w:rPr>
              <w:t>семьи</w:t>
            </w:r>
          </w:p>
        </w:tc>
        <w:tc>
          <w:tcPr>
            <w:tcW w:w="5329" w:type="dxa"/>
            <w:shd w:val="clear" w:color="auto" w:fill="F9F9F9"/>
          </w:tcPr>
          <w:p>
            <w:pPr>
              <w:pStyle w:val="TableParagraph"/>
              <w:spacing w:before="29"/>
              <w:rPr>
                <w:sz w:val="18"/>
              </w:rPr>
            </w:pPr>
          </w:p>
          <w:p>
            <w:pPr>
              <w:pStyle w:val="TableParagraph"/>
              <w:spacing w:before="1"/>
              <w:ind w:left="136"/>
              <w:rPr>
                <w:sz w:val="18"/>
              </w:rPr>
            </w:pPr>
            <w:r>
              <w:rPr>
                <w:color w:val="1C1C1C"/>
                <w:sz w:val="18"/>
              </w:rPr>
              <w:t>Врожденная дизэритропоэтическая анемия типа I (CDAI); Астенотератозооспермия</w:t>
            </w:r>
            <w:r>
              <w:rPr>
                <w:color w:val="1C1C1C"/>
                <w:spacing w:val="-8"/>
                <w:sz w:val="18"/>
              </w:rPr>
              <w:t> </w:t>
            </w:r>
            <w:r>
              <w:rPr>
                <w:color w:val="1C1C1C"/>
                <w:sz w:val="18"/>
              </w:rPr>
              <w:t>(91%</w:t>
            </w:r>
            <w:r>
              <w:rPr>
                <w:color w:val="1C1C1C"/>
                <w:spacing w:val="-9"/>
                <w:sz w:val="18"/>
              </w:rPr>
              <w:t> </w:t>
            </w:r>
            <w:r>
              <w:rPr>
                <w:color w:val="1C1C1C"/>
                <w:sz w:val="18"/>
              </w:rPr>
              <w:t>сперматозоидов</w:t>
            </w:r>
            <w:r>
              <w:rPr>
                <w:color w:val="1C1C1C"/>
                <w:spacing w:val="-9"/>
                <w:sz w:val="18"/>
              </w:rPr>
              <w:t> </w:t>
            </w:r>
            <w:r>
              <w:rPr>
                <w:color w:val="1C1C1C"/>
                <w:sz w:val="18"/>
              </w:rPr>
              <w:t>с</w:t>
            </w:r>
            <w:r>
              <w:rPr>
                <w:color w:val="1C1C1C"/>
                <w:spacing w:val="-9"/>
                <w:sz w:val="18"/>
              </w:rPr>
              <w:t> </w:t>
            </w:r>
            <w:r>
              <w:rPr>
                <w:color w:val="1C1C1C"/>
                <w:sz w:val="18"/>
              </w:rPr>
              <w:t>короткими спиральными жгутиками)</w:t>
            </w:r>
          </w:p>
        </w:tc>
      </w:tr>
      <w:tr>
        <w:trPr>
          <w:trHeight w:val="838" w:hRule="atLeast"/>
        </w:trPr>
        <w:tc>
          <w:tcPr>
            <w:tcW w:w="1589" w:type="dxa"/>
            <w:vMerge/>
            <w:tcBorders>
              <w:top w:val="nil"/>
              <w:left w:val="single" w:sz="18" w:space="0" w:color="FFFFFF"/>
              <w:bottom w:val="single" w:sz="4" w:space="0" w:color="000000"/>
              <w:right w:val="nil"/>
            </w:tcBorders>
            <w:shd w:val="clear" w:color="auto" w:fill="F9F9F9"/>
          </w:tcPr>
          <w:p>
            <w:pPr>
              <w:rPr>
                <w:sz w:val="2"/>
                <w:szCs w:val="2"/>
              </w:rPr>
            </w:pPr>
          </w:p>
        </w:tc>
        <w:tc>
          <w:tcPr>
            <w:tcW w:w="4849" w:type="dxa"/>
          </w:tcPr>
          <w:p>
            <w:pPr>
              <w:pStyle w:val="TableParagraph"/>
              <w:rPr>
                <w:sz w:val="18"/>
              </w:rPr>
            </w:pPr>
          </w:p>
        </w:tc>
        <w:tc>
          <w:tcPr>
            <w:tcW w:w="3102" w:type="dxa"/>
          </w:tcPr>
          <w:p>
            <w:pPr>
              <w:pStyle w:val="TableParagraph"/>
              <w:spacing w:before="109"/>
              <w:rPr>
                <w:sz w:val="18"/>
              </w:rPr>
            </w:pPr>
          </w:p>
          <w:p>
            <w:pPr>
              <w:pStyle w:val="TableParagraph"/>
              <w:ind w:left="137"/>
              <w:rPr>
                <w:sz w:val="18"/>
              </w:rPr>
            </w:pPr>
            <w:r>
              <w:rPr>
                <w:color w:val="1C1C1C"/>
                <w:sz w:val="18"/>
              </w:rPr>
              <w:t>1</w:t>
            </w:r>
            <w:r>
              <w:rPr>
                <w:color w:val="1C1C1C"/>
                <w:spacing w:val="1"/>
                <w:sz w:val="18"/>
              </w:rPr>
              <w:t> </w:t>
            </w:r>
            <w:r>
              <w:rPr>
                <w:color w:val="1C1C1C"/>
                <w:spacing w:val="-2"/>
                <w:sz w:val="18"/>
              </w:rPr>
              <w:t>пациент</w:t>
            </w:r>
          </w:p>
        </w:tc>
        <w:tc>
          <w:tcPr>
            <w:tcW w:w="5329" w:type="dxa"/>
          </w:tcPr>
          <w:p>
            <w:pPr>
              <w:pStyle w:val="TableParagraph"/>
              <w:spacing w:before="5"/>
              <w:rPr>
                <w:sz w:val="18"/>
              </w:rPr>
            </w:pPr>
          </w:p>
          <w:p>
            <w:pPr>
              <w:pStyle w:val="TableParagraph"/>
              <w:spacing w:before="1"/>
              <w:ind w:left="136"/>
              <w:rPr>
                <w:sz w:val="18"/>
              </w:rPr>
            </w:pPr>
            <w:r>
              <w:rPr>
                <w:color w:val="1C1C1C"/>
                <w:sz w:val="18"/>
              </w:rPr>
              <w:t>Тяжелая астенотератозооспермия; Нарушение прогестерончувствительного</w:t>
            </w:r>
            <w:r>
              <w:rPr>
                <w:color w:val="1C1C1C"/>
                <w:spacing w:val="-7"/>
                <w:sz w:val="18"/>
              </w:rPr>
              <w:t> </w:t>
            </w:r>
            <w:r>
              <w:rPr>
                <w:color w:val="1C1C1C"/>
                <w:sz w:val="18"/>
              </w:rPr>
              <w:t>тока</w:t>
            </w:r>
            <w:r>
              <w:rPr>
                <w:color w:val="1C1C1C"/>
                <w:spacing w:val="-9"/>
                <w:sz w:val="18"/>
              </w:rPr>
              <w:t> </w:t>
            </w:r>
            <w:r>
              <w:rPr>
                <w:color w:val="1C1C1C"/>
                <w:sz w:val="18"/>
              </w:rPr>
              <w:t>Ca</w:t>
            </w:r>
            <w:r>
              <w:rPr>
                <w:color w:val="1C1C1C"/>
                <w:spacing w:val="-8"/>
                <w:sz w:val="18"/>
              </w:rPr>
              <w:t> </w:t>
            </w:r>
            <w:r>
              <w:rPr>
                <w:color w:val="1C1C1C"/>
                <w:sz w:val="18"/>
                <w:vertAlign w:val="superscript"/>
              </w:rPr>
              <w:t>2+</w:t>
            </w:r>
            <w:r>
              <w:rPr>
                <w:color w:val="1C1C1C"/>
                <w:spacing w:val="-8"/>
                <w:sz w:val="18"/>
                <w:vertAlign w:val="baseline"/>
              </w:rPr>
              <w:t> </w:t>
            </w:r>
            <w:r>
              <w:rPr>
                <w:color w:val="1C1C1C"/>
                <w:sz w:val="18"/>
                <w:vertAlign w:val="baseline"/>
              </w:rPr>
              <w:t>;Отсутствие</w:t>
            </w:r>
            <w:r>
              <w:rPr>
                <w:color w:val="1C1C1C"/>
                <w:spacing w:val="-9"/>
                <w:sz w:val="18"/>
                <w:vertAlign w:val="baseline"/>
              </w:rPr>
              <w:t> </w:t>
            </w:r>
            <w:r>
              <w:rPr>
                <w:color w:val="1C1C1C"/>
                <w:sz w:val="18"/>
                <w:vertAlign w:val="baseline"/>
              </w:rPr>
              <w:t>Catsperβ</w:t>
            </w:r>
          </w:p>
        </w:tc>
      </w:tr>
      <w:tr>
        <w:trPr>
          <w:trHeight w:val="1249" w:hRule="atLeast"/>
        </w:trPr>
        <w:tc>
          <w:tcPr>
            <w:tcW w:w="1589" w:type="dxa"/>
            <w:vMerge/>
            <w:tcBorders>
              <w:top w:val="nil"/>
              <w:left w:val="single" w:sz="18" w:space="0" w:color="FFFFFF"/>
              <w:bottom w:val="single" w:sz="4" w:space="0" w:color="000000"/>
              <w:right w:val="nil"/>
            </w:tcBorders>
            <w:shd w:val="clear" w:color="auto" w:fill="F9F9F9"/>
          </w:tcPr>
          <w:p>
            <w:pPr>
              <w:rPr>
                <w:sz w:val="2"/>
                <w:szCs w:val="2"/>
              </w:rPr>
            </w:pPr>
          </w:p>
        </w:tc>
        <w:tc>
          <w:tcPr>
            <w:tcW w:w="4849" w:type="dxa"/>
            <w:shd w:val="clear" w:color="auto" w:fill="F9F9F9"/>
          </w:tcPr>
          <w:p>
            <w:pPr>
              <w:pStyle w:val="TableParagraph"/>
              <w:rPr>
                <w:sz w:val="18"/>
              </w:rPr>
            </w:pPr>
          </w:p>
          <w:p>
            <w:pPr>
              <w:pStyle w:val="TableParagraph"/>
              <w:spacing w:before="2"/>
              <w:rPr>
                <w:sz w:val="18"/>
              </w:rPr>
            </w:pPr>
          </w:p>
          <w:p>
            <w:pPr>
              <w:pStyle w:val="TableParagraph"/>
              <w:spacing w:before="1"/>
              <w:ind w:left="131" w:right="1093"/>
              <w:rPr>
                <w:sz w:val="18"/>
              </w:rPr>
            </w:pPr>
            <w:r>
              <w:rPr>
                <w:color w:val="1C1C1C"/>
                <w:sz w:val="18"/>
              </w:rPr>
              <w:t>Делеция ~100 т.п.н. вchr 15q15.3 (полнаяпотеря</w:t>
            </w:r>
            <w:r>
              <w:rPr>
                <w:color w:val="1C1C1C"/>
                <w:spacing w:val="-11"/>
                <w:sz w:val="18"/>
              </w:rPr>
              <w:t> </w:t>
            </w:r>
            <w:r>
              <w:rPr>
                <w:i/>
                <w:color w:val="1C1C1C"/>
                <w:sz w:val="18"/>
              </w:rPr>
              <w:t>CATSPER2</w:t>
            </w:r>
            <w:r>
              <w:rPr>
                <w:i/>
                <w:color w:val="1C1C1C"/>
                <w:spacing w:val="-9"/>
                <w:sz w:val="18"/>
              </w:rPr>
              <w:t> </w:t>
            </w:r>
            <w:r>
              <w:rPr>
                <w:color w:val="1C1C1C"/>
                <w:sz w:val="18"/>
              </w:rPr>
              <w:t>)</w:t>
            </w:r>
            <w:r>
              <w:rPr>
                <w:color w:val="1C1C1C"/>
                <w:spacing w:val="-10"/>
                <w:sz w:val="18"/>
              </w:rPr>
              <w:t> </w:t>
            </w:r>
            <w:r>
              <w:rPr>
                <w:color w:val="1C1C1C"/>
                <w:sz w:val="18"/>
              </w:rPr>
              <w:t>-</w:t>
            </w:r>
            <w:r>
              <w:rPr>
                <w:color w:val="1C1C1C"/>
                <w:spacing w:val="-10"/>
                <w:sz w:val="18"/>
              </w:rPr>
              <w:t> </w:t>
            </w:r>
            <w:r>
              <w:rPr>
                <w:color w:val="1C1C1C"/>
                <w:sz w:val="18"/>
              </w:rPr>
              <w:t>HОМ</w:t>
            </w:r>
          </w:p>
        </w:tc>
        <w:tc>
          <w:tcPr>
            <w:tcW w:w="3102" w:type="dxa"/>
            <w:shd w:val="clear" w:color="auto" w:fill="F9F9F9"/>
          </w:tcPr>
          <w:p>
            <w:pPr>
              <w:pStyle w:val="TableParagraph"/>
              <w:spacing w:before="106"/>
              <w:rPr>
                <w:sz w:val="18"/>
              </w:rPr>
            </w:pPr>
          </w:p>
          <w:p>
            <w:pPr>
              <w:pStyle w:val="TableParagraph"/>
              <w:ind w:left="137" w:right="119"/>
              <w:rPr>
                <w:sz w:val="18"/>
              </w:rPr>
            </w:pPr>
            <w:r>
              <w:rPr>
                <w:color w:val="1C1C1C"/>
                <w:sz w:val="18"/>
              </w:rPr>
              <w:t>7</w:t>
            </w:r>
            <w:r>
              <w:rPr>
                <w:color w:val="1C1C1C"/>
                <w:spacing w:val="-8"/>
                <w:sz w:val="18"/>
              </w:rPr>
              <w:t> </w:t>
            </w:r>
            <w:r>
              <w:rPr>
                <w:color w:val="1C1C1C"/>
                <w:sz w:val="18"/>
              </w:rPr>
              <w:t>больных</w:t>
            </w:r>
            <w:r>
              <w:rPr>
                <w:color w:val="1C1C1C"/>
                <w:spacing w:val="-8"/>
                <w:sz w:val="18"/>
              </w:rPr>
              <w:t> </w:t>
            </w:r>
            <w:r>
              <w:rPr>
                <w:color w:val="1C1C1C"/>
                <w:sz w:val="18"/>
              </w:rPr>
              <w:t>из</w:t>
            </w:r>
            <w:r>
              <w:rPr>
                <w:color w:val="1C1C1C"/>
                <w:spacing w:val="-9"/>
                <w:sz w:val="18"/>
              </w:rPr>
              <w:t> </w:t>
            </w:r>
            <w:r>
              <w:rPr>
                <w:color w:val="1C1C1C"/>
                <w:sz w:val="18"/>
              </w:rPr>
              <w:t>3-х</w:t>
            </w:r>
            <w:r>
              <w:rPr>
                <w:color w:val="1C1C1C"/>
                <w:spacing w:val="-8"/>
                <w:sz w:val="18"/>
              </w:rPr>
              <w:t> </w:t>
            </w:r>
            <w:r>
              <w:rPr>
                <w:color w:val="1C1C1C"/>
                <w:sz w:val="18"/>
              </w:rPr>
              <w:t>иранских</w:t>
            </w:r>
            <w:r>
              <w:rPr>
                <w:color w:val="1C1C1C"/>
                <w:spacing w:val="-8"/>
                <w:sz w:val="18"/>
              </w:rPr>
              <w:t> </w:t>
            </w:r>
            <w:r>
              <w:rPr>
                <w:color w:val="1C1C1C"/>
                <w:sz w:val="18"/>
              </w:rPr>
              <w:t>семей (одна из которых </w:t>
            </w:r>
            <w:r>
              <w:rPr>
                <w:color w:val="1C1C1C"/>
                <w:spacing w:val="-2"/>
                <w:sz w:val="18"/>
              </w:rPr>
              <w:t>кровнородственная)</w:t>
            </w:r>
          </w:p>
        </w:tc>
        <w:tc>
          <w:tcPr>
            <w:tcW w:w="5329" w:type="dxa"/>
            <w:shd w:val="clear" w:color="auto" w:fill="F9F9F9"/>
          </w:tcPr>
          <w:p>
            <w:pPr>
              <w:pStyle w:val="TableParagraph"/>
              <w:spacing w:before="106"/>
              <w:rPr>
                <w:sz w:val="18"/>
              </w:rPr>
            </w:pPr>
          </w:p>
          <w:p>
            <w:pPr>
              <w:pStyle w:val="TableParagraph"/>
              <w:ind w:left="136" w:right="147"/>
              <w:rPr>
                <w:sz w:val="18"/>
              </w:rPr>
            </w:pPr>
            <w:r>
              <w:rPr>
                <w:color w:val="1C1C1C"/>
                <w:sz w:val="18"/>
              </w:rPr>
              <w:t>Синдром</w:t>
            </w:r>
            <w:r>
              <w:rPr>
                <w:color w:val="1C1C1C"/>
                <w:spacing w:val="-8"/>
                <w:sz w:val="18"/>
              </w:rPr>
              <w:t> </w:t>
            </w:r>
            <w:r>
              <w:rPr>
                <w:color w:val="1C1C1C"/>
                <w:sz w:val="18"/>
              </w:rPr>
              <w:t>глухоты</w:t>
            </w:r>
            <w:r>
              <w:rPr>
                <w:color w:val="1C1C1C"/>
                <w:spacing w:val="-8"/>
                <w:sz w:val="18"/>
              </w:rPr>
              <w:t> </w:t>
            </w:r>
            <w:r>
              <w:rPr>
                <w:color w:val="1C1C1C"/>
                <w:sz w:val="18"/>
              </w:rPr>
              <w:t>и</w:t>
            </w:r>
            <w:r>
              <w:rPr>
                <w:color w:val="1C1C1C"/>
                <w:spacing w:val="-7"/>
                <w:sz w:val="18"/>
              </w:rPr>
              <w:t> </w:t>
            </w:r>
            <w:r>
              <w:rPr>
                <w:color w:val="1C1C1C"/>
                <w:sz w:val="18"/>
              </w:rPr>
              <w:t>бесплодия</w:t>
            </w:r>
            <w:r>
              <w:rPr>
                <w:color w:val="1C1C1C"/>
                <w:spacing w:val="-6"/>
                <w:sz w:val="18"/>
              </w:rPr>
              <w:t> </w:t>
            </w:r>
            <w:r>
              <w:rPr>
                <w:color w:val="1C1C1C"/>
                <w:sz w:val="18"/>
              </w:rPr>
              <w:t>(ССВ)</w:t>
            </w:r>
            <w:r>
              <w:rPr>
                <w:color w:val="1C1C1C"/>
                <w:spacing w:val="-7"/>
                <w:sz w:val="18"/>
              </w:rPr>
              <w:t> </w:t>
            </w:r>
            <w:r>
              <w:rPr>
                <w:color w:val="1C1C1C"/>
                <w:sz w:val="18"/>
              </w:rPr>
              <w:t>Астенотератозооспермия (тонкие головки, макроцефалия, неправильная акросома, короткие или закрученные жгутики)</w:t>
            </w:r>
          </w:p>
        </w:tc>
      </w:tr>
      <w:tr>
        <w:trPr>
          <w:trHeight w:val="1254" w:hRule="atLeast"/>
        </w:trPr>
        <w:tc>
          <w:tcPr>
            <w:tcW w:w="1589" w:type="dxa"/>
            <w:vMerge/>
            <w:tcBorders>
              <w:top w:val="nil"/>
              <w:left w:val="single" w:sz="18" w:space="0" w:color="FFFFFF"/>
              <w:bottom w:val="single" w:sz="4" w:space="0" w:color="000000"/>
              <w:right w:val="nil"/>
            </w:tcBorders>
            <w:shd w:val="clear" w:color="auto" w:fill="F9F9F9"/>
          </w:tcPr>
          <w:p>
            <w:pPr>
              <w:rPr>
                <w:sz w:val="2"/>
                <w:szCs w:val="2"/>
              </w:rPr>
            </w:pPr>
          </w:p>
        </w:tc>
        <w:tc>
          <w:tcPr>
            <w:tcW w:w="4849" w:type="dxa"/>
          </w:tcPr>
          <w:p>
            <w:pPr>
              <w:pStyle w:val="TableParagraph"/>
              <w:rPr>
                <w:sz w:val="18"/>
              </w:rPr>
            </w:pPr>
          </w:p>
        </w:tc>
        <w:tc>
          <w:tcPr>
            <w:tcW w:w="3102" w:type="dxa"/>
          </w:tcPr>
          <w:p>
            <w:pPr>
              <w:pStyle w:val="TableParagraph"/>
              <w:rPr>
                <w:sz w:val="18"/>
              </w:rPr>
            </w:pPr>
          </w:p>
        </w:tc>
        <w:tc>
          <w:tcPr>
            <w:tcW w:w="5329" w:type="dxa"/>
          </w:tcPr>
          <w:p>
            <w:pPr>
              <w:pStyle w:val="TableParagraph"/>
              <w:spacing w:before="109"/>
              <w:rPr>
                <w:sz w:val="18"/>
              </w:rPr>
            </w:pPr>
          </w:p>
          <w:p>
            <w:pPr>
              <w:pStyle w:val="TableParagraph"/>
              <w:ind w:left="136"/>
              <w:rPr>
                <w:sz w:val="18"/>
              </w:rPr>
            </w:pPr>
            <w:r>
              <w:rPr>
                <w:color w:val="1C1C1C"/>
                <w:sz w:val="18"/>
              </w:rPr>
              <w:t>Четырехсторонние</w:t>
            </w:r>
            <w:r>
              <w:rPr>
                <w:color w:val="1C1C1C"/>
                <w:spacing w:val="-10"/>
                <w:sz w:val="18"/>
              </w:rPr>
              <w:t> </w:t>
            </w:r>
            <w:r>
              <w:rPr>
                <w:color w:val="1C1C1C"/>
                <w:sz w:val="18"/>
              </w:rPr>
              <w:t>домены</w:t>
            </w:r>
            <w:r>
              <w:rPr>
                <w:color w:val="1C1C1C"/>
                <w:spacing w:val="-10"/>
                <w:sz w:val="18"/>
              </w:rPr>
              <w:t> </w:t>
            </w:r>
            <w:r>
              <w:rPr>
                <w:color w:val="1C1C1C"/>
                <w:sz w:val="18"/>
              </w:rPr>
              <w:t>CatSper,</w:t>
            </w:r>
            <w:r>
              <w:rPr>
                <w:color w:val="1C1C1C"/>
                <w:spacing w:val="-8"/>
                <w:sz w:val="18"/>
              </w:rPr>
              <w:t> </w:t>
            </w:r>
            <w:r>
              <w:rPr>
                <w:color w:val="1C1C1C"/>
                <w:sz w:val="18"/>
              </w:rPr>
              <w:t>вращение</w:t>
            </w:r>
            <w:r>
              <w:rPr>
                <w:color w:val="1C1C1C"/>
                <w:spacing w:val="-10"/>
                <w:sz w:val="18"/>
              </w:rPr>
              <w:t> </w:t>
            </w:r>
            <w:r>
              <w:rPr>
                <w:color w:val="1C1C1C"/>
                <w:sz w:val="18"/>
              </w:rPr>
              <w:t>сперматозоидов (вращение вокруг продольной оси) и реотаксис (навигация в потоке жидкости) не затрагиваются.</w:t>
            </w:r>
          </w:p>
        </w:tc>
      </w:tr>
      <w:tr>
        <w:trPr>
          <w:trHeight w:val="790" w:hRule="atLeast"/>
        </w:trPr>
        <w:tc>
          <w:tcPr>
            <w:tcW w:w="1589" w:type="dxa"/>
            <w:vMerge/>
            <w:tcBorders>
              <w:top w:val="nil"/>
              <w:left w:val="single" w:sz="18" w:space="0" w:color="FFFFFF"/>
              <w:bottom w:val="single" w:sz="4" w:space="0" w:color="000000"/>
              <w:right w:val="nil"/>
            </w:tcBorders>
            <w:shd w:val="clear" w:color="auto" w:fill="F9F9F9"/>
          </w:tcPr>
          <w:p>
            <w:pPr>
              <w:rPr>
                <w:sz w:val="2"/>
                <w:szCs w:val="2"/>
              </w:rPr>
            </w:pPr>
          </w:p>
        </w:tc>
        <w:tc>
          <w:tcPr>
            <w:tcW w:w="4849" w:type="dxa"/>
            <w:shd w:val="clear" w:color="auto" w:fill="F9F9F9"/>
          </w:tcPr>
          <w:p>
            <w:pPr>
              <w:pStyle w:val="TableParagraph"/>
              <w:spacing w:before="83"/>
              <w:ind w:left="131" w:right="170"/>
              <w:rPr>
                <w:sz w:val="18"/>
              </w:rPr>
            </w:pPr>
            <w:r>
              <w:rPr>
                <w:color w:val="1C1C1C"/>
                <w:sz w:val="18"/>
              </w:rPr>
              <w:t>CNV</w:t>
            </w:r>
            <w:r>
              <w:rPr>
                <w:color w:val="1C1C1C"/>
                <w:spacing w:val="-3"/>
                <w:sz w:val="18"/>
              </w:rPr>
              <w:t> </w:t>
            </w:r>
            <w:r>
              <w:rPr>
                <w:color w:val="1C1C1C"/>
                <w:sz w:val="18"/>
              </w:rPr>
              <w:t>(одна</w:t>
            </w:r>
            <w:r>
              <w:rPr>
                <w:color w:val="1C1C1C"/>
                <w:spacing w:val="-4"/>
                <w:sz w:val="18"/>
              </w:rPr>
              <w:t> </w:t>
            </w:r>
            <w:r>
              <w:rPr>
                <w:color w:val="1C1C1C"/>
                <w:sz w:val="18"/>
              </w:rPr>
              <w:t>копия</w:t>
            </w:r>
            <w:r>
              <w:rPr>
                <w:color w:val="1C1C1C"/>
                <w:spacing w:val="-2"/>
                <w:sz w:val="18"/>
              </w:rPr>
              <w:t> </w:t>
            </w:r>
            <w:r>
              <w:rPr>
                <w:color w:val="1C1C1C"/>
                <w:sz w:val="18"/>
              </w:rPr>
              <w:t>потеряна</w:t>
            </w:r>
            <w:r>
              <w:rPr>
                <w:color w:val="1C1C1C"/>
                <w:spacing w:val="-4"/>
                <w:sz w:val="18"/>
              </w:rPr>
              <w:t> </w:t>
            </w:r>
            <w:r>
              <w:rPr>
                <w:color w:val="1C1C1C"/>
                <w:sz w:val="18"/>
              </w:rPr>
              <w:t>в</w:t>
            </w:r>
            <w:r>
              <w:rPr>
                <w:color w:val="1C1C1C"/>
                <w:spacing w:val="-4"/>
                <w:sz w:val="18"/>
              </w:rPr>
              <w:t> </w:t>
            </w:r>
            <w:r>
              <w:rPr>
                <w:color w:val="1C1C1C"/>
                <w:sz w:val="18"/>
              </w:rPr>
              <w:t>районе</w:t>
            </w:r>
            <w:r>
              <w:rPr>
                <w:color w:val="1C1C1C"/>
                <w:spacing w:val="-4"/>
                <w:sz w:val="18"/>
              </w:rPr>
              <w:t> </w:t>
            </w:r>
            <w:r>
              <w:rPr>
                <w:color w:val="1C1C1C"/>
                <w:sz w:val="18"/>
              </w:rPr>
              <w:t>от</w:t>
            </w:r>
            <w:r>
              <w:rPr>
                <w:color w:val="1C1C1C"/>
                <w:spacing w:val="-5"/>
                <w:sz w:val="18"/>
              </w:rPr>
              <w:t> </w:t>
            </w:r>
            <w:r>
              <w:rPr>
                <w:color w:val="1C1C1C"/>
                <w:sz w:val="18"/>
              </w:rPr>
              <w:t>43</w:t>
            </w:r>
            <w:r>
              <w:rPr>
                <w:color w:val="1C1C1C"/>
                <w:spacing w:val="-4"/>
                <w:sz w:val="18"/>
              </w:rPr>
              <w:t> </w:t>
            </w:r>
            <w:r>
              <w:rPr>
                <w:color w:val="1C1C1C"/>
                <w:sz w:val="18"/>
              </w:rPr>
              <w:t>894</w:t>
            </w:r>
            <w:r>
              <w:rPr>
                <w:color w:val="1C1C1C"/>
                <w:spacing w:val="-4"/>
                <w:sz w:val="18"/>
              </w:rPr>
              <w:t> </w:t>
            </w:r>
            <w:r>
              <w:rPr>
                <w:color w:val="1C1C1C"/>
                <w:sz w:val="18"/>
              </w:rPr>
              <w:t>500</w:t>
            </w:r>
            <w:r>
              <w:rPr>
                <w:color w:val="1C1C1C"/>
                <w:spacing w:val="-2"/>
                <w:sz w:val="18"/>
              </w:rPr>
              <w:t> </w:t>
            </w:r>
            <w:r>
              <w:rPr>
                <w:color w:val="1C1C1C"/>
                <w:sz w:val="18"/>
              </w:rPr>
              <w:t>до</w:t>
            </w:r>
            <w:r>
              <w:rPr>
                <w:color w:val="1C1C1C"/>
                <w:spacing w:val="-4"/>
                <w:sz w:val="18"/>
              </w:rPr>
              <w:t> </w:t>
            </w:r>
            <w:r>
              <w:rPr>
                <w:color w:val="1C1C1C"/>
                <w:sz w:val="18"/>
              </w:rPr>
              <w:t>43 950 000 на chr 15q15.3, содержащая весь </w:t>
            </w:r>
            <w:r>
              <w:rPr>
                <w:i/>
                <w:color w:val="1C1C1C"/>
                <w:sz w:val="18"/>
              </w:rPr>
              <w:t>CATSPER2) </w:t>
            </w:r>
            <w:r>
              <w:rPr>
                <w:color w:val="1C1C1C"/>
                <w:sz w:val="18"/>
              </w:rPr>
              <w:t>делеция </w:t>
            </w:r>
            <w:r>
              <w:rPr>
                <w:i/>
                <w:color w:val="1C1C1C"/>
                <w:sz w:val="18"/>
              </w:rPr>
              <w:t>CATSPER2 -</w:t>
            </w:r>
            <w:r>
              <w:rPr>
                <w:color w:val="1C1C1C"/>
                <w:sz w:val="18"/>
              </w:rPr>
              <w:t>НЕТ</w:t>
            </w:r>
          </w:p>
        </w:tc>
        <w:tc>
          <w:tcPr>
            <w:tcW w:w="3102" w:type="dxa"/>
            <w:shd w:val="clear" w:color="auto" w:fill="F9F9F9"/>
          </w:tcPr>
          <w:p>
            <w:pPr>
              <w:pStyle w:val="TableParagraph"/>
              <w:spacing w:before="82"/>
              <w:rPr>
                <w:sz w:val="18"/>
              </w:rPr>
            </w:pPr>
          </w:p>
          <w:p>
            <w:pPr>
              <w:pStyle w:val="TableParagraph"/>
              <w:ind w:left="137"/>
              <w:rPr>
                <w:sz w:val="18"/>
              </w:rPr>
            </w:pPr>
            <w:r>
              <w:rPr>
                <w:color w:val="1C1C1C"/>
                <w:sz w:val="18"/>
              </w:rPr>
              <w:t>1</w:t>
            </w:r>
            <w:r>
              <w:rPr>
                <w:color w:val="1C1C1C"/>
                <w:spacing w:val="-4"/>
                <w:sz w:val="18"/>
              </w:rPr>
              <w:t> </w:t>
            </w:r>
            <w:r>
              <w:rPr>
                <w:color w:val="1C1C1C"/>
                <w:sz w:val="18"/>
              </w:rPr>
              <w:t>китайский</w:t>
            </w:r>
            <w:r>
              <w:rPr>
                <w:color w:val="1C1C1C"/>
                <w:spacing w:val="-4"/>
                <w:sz w:val="18"/>
              </w:rPr>
              <w:t> </w:t>
            </w:r>
            <w:r>
              <w:rPr>
                <w:color w:val="1C1C1C"/>
                <w:spacing w:val="-2"/>
                <w:sz w:val="18"/>
              </w:rPr>
              <w:t>пациент</w:t>
            </w:r>
          </w:p>
        </w:tc>
        <w:tc>
          <w:tcPr>
            <w:tcW w:w="5329" w:type="dxa"/>
            <w:shd w:val="clear" w:color="auto" w:fill="F9F9F9"/>
          </w:tcPr>
          <w:p>
            <w:pPr>
              <w:pStyle w:val="TableParagraph"/>
              <w:spacing w:before="186"/>
              <w:ind w:left="136"/>
              <w:rPr>
                <w:sz w:val="18"/>
              </w:rPr>
            </w:pPr>
            <w:r>
              <w:rPr>
                <w:color w:val="1C1C1C"/>
                <w:sz w:val="18"/>
              </w:rPr>
              <w:t>Нормальные</w:t>
            </w:r>
            <w:r>
              <w:rPr>
                <w:color w:val="1C1C1C"/>
                <w:spacing w:val="-12"/>
                <w:sz w:val="18"/>
              </w:rPr>
              <w:t> </w:t>
            </w:r>
            <w:r>
              <w:rPr>
                <w:color w:val="1C1C1C"/>
                <w:sz w:val="18"/>
              </w:rPr>
              <w:t>параметры</w:t>
            </w:r>
            <w:r>
              <w:rPr>
                <w:color w:val="1C1C1C"/>
                <w:spacing w:val="-11"/>
                <w:sz w:val="18"/>
              </w:rPr>
              <w:t> </w:t>
            </w:r>
            <w:r>
              <w:rPr>
                <w:color w:val="1C1C1C"/>
                <w:sz w:val="18"/>
              </w:rPr>
              <w:t>спермы</w:t>
            </w:r>
            <w:r>
              <w:rPr>
                <w:color w:val="1C1C1C"/>
                <w:spacing w:val="-11"/>
                <w:sz w:val="18"/>
              </w:rPr>
              <w:t> </w:t>
            </w:r>
            <w:r>
              <w:rPr>
                <w:color w:val="1C1C1C"/>
                <w:sz w:val="18"/>
              </w:rPr>
              <w:t>Нарушеннаягиперактивации сперматозоидов, отсутствие реакции на прогестерон</w:t>
            </w:r>
          </w:p>
        </w:tc>
      </w:tr>
      <w:tr>
        <w:trPr>
          <w:trHeight w:val="1293" w:hRule="atLeast"/>
        </w:trPr>
        <w:tc>
          <w:tcPr>
            <w:tcW w:w="1589" w:type="dxa"/>
            <w:tcBorders>
              <w:top w:val="single" w:sz="4" w:space="0" w:color="000000"/>
            </w:tcBorders>
          </w:tcPr>
          <w:p>
            <w:pPr>
              <w:pStyle w:val="TableParagraph"/>
              <w:rPr>
                <w:sz w:val="18"/>
              </w:rPr>
            </w:pPr>
          </w:p>
          <w:p>
            <w:pPr>
              <w:pStyle w:val="TableParagraph"/>
              <w:spacing w:before="132"/>
              <w:rPr>
                <w:sz w:val="18"/>
              </w:rPr>
            </w:pPr>
          </w:p>
          <w:p>
            <w:pPr>
              <w:pStyle w:val="TableParagraph"/>
              <w:ind w:left="150"/>
              <w:rPr>
                <w:i/>
                <w:sz w:val="18"/>
              </w:rPr>
            </w:pPr>
            <w:r>
              <w:rPr>
                <w:i/>
                <w:color w:val="1C1C1C"/>
                <w:spacing w:val="-2"/>
                <w:sz w:val="18"/>
              </w:rPr>
              <w:t>CATSPERε</w:t>
            </w:r>
          </w:p>
        </w:tc>
        <w:tc>
          <w:tcPr>
            <w:tcW w:w="4849" w:type="dxa"/>
          </w:tcPr>
          <w:p>
            <w:pPr>
              <w:pStyle w:val="TableParagraph"/>
              <w:rPr>
                <w:sz w:val="18"/>
              </w:rPr>
            </w:pPr>
          </w:p>
          <w:p>
            <w:pPr>
              <w:pStyle w:val="TableParagraph"/>
              <w:spacing w:before="29"/>
              <w:rPr>
                <w:sz w:val="18"/>
              </w:rPr>
            </w:pPr>
          </w:p>
          <w:p>
            <w:pPr>
              <w:pStyle w:val="TableParagraph"/>
              <w:ind w:left="131"/>
              <w:rPr>
                <w:sz w:val="18"/>
              </w:rPr>
            </w:pPr>
            <w:r>
              <w:rPr>
                <w:color w:val="1C1C1C"/>
                <w:sz w:val="18"/>
              </w:rPr>
              <w:t>Внутрирамочнаяделеция 6 п.н. в экзоне 18 (c.2393_2398delCTATGG,</w:t>
            </w:r>
            <w:r>
              <w:rPr>
                <w:color w:val="1C1C1C"/>
                <w:spacing w:val="-12"/>
                <w:sz w:val="18"/>
              </w:rPr>
              <w:t> </w:t>
            </w:r>
            <w:r>
              <w:rPr>
                <w:color w:val="1C1C1C"/>
                <w:sz w:val="18"/>
              </w:rPr>
              <w:t>p.Met799_Ala800del)</w:t>
            </w:r>
            <w:r>
              <w:rPr>
                <w:color w:val="1C1C1C"/>
                <w:spacing w:val="-11"/>
                <w:sz w:val="18"/>
              </w:rPr>
              <w:t> </w:t>
            </w:r>
            <w:r>
              <w:rPr>
                <w:color w:val="1C1C1C"/>
                <w:sz w:val="18"/>
              </w:rPr>
              <w:t>-</w:t>
            </w:r>
            <w:r>
              <w:rPr>
                <w:color w:val="1C1C1C"/>
                <w:spacing w:val="-11"/>
                <w:sz w:val="18"/>
              </w:rPr>
              <w:t> </w:t>
            </w:r>
            <w:r>
              <w:rPr>
                <w:color w:val="1C1C1C"/>
                <w:sz w:val="18"/>
              </w:rPr>
              <w:t>HОМ</w:t>
            </w:r>
          </w:p>
        </w:tc>
        <w:tc>
          <w:tcPr>
            <w:tcW w:w="3102" w:type="dxa"/>
          </w:tcPr>
          <w:p>
            <w:pPr>
              <w:pStyle w:val="TableParagraph"/>
              <w:rPr>
                <w:sz w:val="18"/>
              </w:rPr>
            </w:pPr>
          </w:p>
          <w:p>
            <w:pPr>
              <w:pStyle w:val="TableParagraph"/>
              <w:spacing w:before="132"/>
              <w:rPr>
                <w:sz w:val="18"/>
              </w:rPr>
            </w:pPr>
          </w:p>
          <w:p>
            <w:pPr>
              <w:pStyle w:val="TableParagraph"/>
              <w:ind w:left="137"/>
              <w:rPr>
                <w:sz w:val="18"/>
              </w:rPr>
            </w:pPr>
            <w:r>
              <w:rPr>
                <w:color w:val="1C1C1C"/>
                <w:sz w:val="18"/>
              </w:rPr>
              <w:t>1</w:t>
            </w:r>
            <w:r>
              <w:rPr>
                <w:color w:val="1C1C1C"/>
                <w:spacing w:val="-3"/>
                <w:sz w:val="18"/>
              </w:rPr>
              <w:t> </w:t>
            </w:r>
            <w:r>
              <w:rPr>
                <w:color w:val="1C1C1C"/>
                <w:sz w:val="18"/>
              </w:rPr>
              <w:t>европейский</w:t>
            </w:r>
            <w:r>
              <w:rPr>
                <w:color w:val="1C1C1C"/>
                <w:spacing w:val="-3"/>
                <w:sz w:val="18"/>
              </w:rPr>
              <w:t> </w:t>
            </w:r>
            <w:r>
              <w:rPr>
                <w:color w:val="1C1C1C"/>
                <w:spacing w:val="-2"/>
                <w:sz w:val="18"/>
              </w:rPr>
              <w:t>пациент</w:t>
            </w:r>
          </w:p>
        </w:tc>
        <w:tc>
          <w:tcPr>
            <w:tcW w:w="5329" w:type="dxa"/>
          </w:tcPr>
          <w:p>
            <w:pPr>
              <w:pStyle w:val="TableParagraph"/>
              <w:rPr>
                <w:sz w:val="18"/>
              </w:rPr>
            </w:pPr>
          </w:p>
          <w:p>
            <w:pPr>
              <w:pStyle w:val="TableParagraph"/>
              <w:spacing w:before="29"/>
              <w:rPr>
                <w:sz w:val="18"/>
              </w:rPr>
            </w:pPr>
          </w:p>
          <w:p>
            <w:pPr>
              <w:pStyle w:val="TableParagraph"/>
              <w:ind w:left="136" w:right="147"/>
              <w:rPr>
                <w:sz w:val="18"/>
              </w:rPr>
            </w:pPr>
            <w:r>
              <w:rPr>
                <w:color w:val="1C1C1C"/>
                <w:sz w:val="18"/>
              </w:rPr>
              <w:t>Нормальная</w:t>
            </w:r>
            <w:r>
              <w:rPr>
                <w:color w:val="1C1C1C"/>
                <w:spacing w:val="-7"/>
                <w:sz w:val="18"/>
              </w:rPr>
              <w:t> </w:t>
            </w:r>
            <w:r>
              <w:rPr>
                <w:color w:val="1C1C1C"/>
                <w:sz w:val="18"/>
              </w:rPr>
              <w:t>моторика</w:t>
            </w:r>
            <w:r>
              <w:rPr>
                <w:color w:val="1C1C1C"/>
                <w:spacing w:val="-9"/>
                <w:sz w:val="18"/>
              </w:rPr>
              <w:t> </w:t>
            </w:r>
            <w:r>
              <w:rPr>
                <w:color w:val="1C1C1C"/>
                <w:sz w:val="18"/>
              </w:rPr>
              <w:t>и</w:t>
            </w:r>
            <w:r>
              <w:rPr>
                <w:color w:val="1C1C1C"/>
                <w:spacing w:val="-8"/>
                <w:sz w:val="18"/>
              </w:rPr>
              <w:t> </w:t>
            </w:r>
            <w:r>
              <w:rPr>
                <w:color w:val="1C1C1C"/>
                <w:sz w:val="18"/>
              </w:rPr>
              <w:t>концентрация;</w:t>
            </w:r>
            <w:r>
              <w:rPr>
                <w:color w:val="1C1C1C"/>
                <w:spacing w:val="-7"/>
                <w:sz w:val="18"/>
              </w:rPr>
              <w:t> </w:t>
            </w:r>
            <w:r>
              <w:rPr>
                <w:color w:val="1C1C1C"/>
                <w:sz w:val="18"/>
              </w:rPr>
              <w:t>потеря</w:t>
            </w:r>
            <w:r>
              <w:rPr>
                <w:color w:val="1C1C1C"/>
                <w:spacing w:val="-9"/>
                <w:sz w:val="18"/>
              </w:rPr>
              <w:t> </w:t>
            </w:r>
            <w:r>
              <w:rPr>
                <w:color w:val="1C1C1C"/>
                <w:sz w:val="18"/>
              </w:rPr>
              <w:t>функции </w:t>
            </w:r>
            <w:r>
              <w:rPr>
                <w:color w:val="1C1C1C"/>
                <w:spacing w:val="-2"/>
                <w:sz w:val="18"/>
              </w:rPr>
              <w:t>CATSPER</w:t>
            </w:r>
          </w:p>
        </w:tc>
      </w:tr>
    </w:tbl>
    <w:p>
      <w:pPr>
        <w:pStyle w:val="TableParagraph"/>
        <w:spacing w:after="0"/>
        <w:rPr>
          <w:sz w:val="18"/>
        </w:rPr>
        <w:sectPr>
          <w:footerReference w:type="default" r:id="rId12"/>
          <w:pgSz w:w="16840" w:h="11910" w:orient="landscape"/>
          <w:pgMar w:header="0" w:footer="1002" w:top="780" w:bottom="1200" w:left="850" w:right="850"/>
        </w:sectPr>
      </w:pPr>
    </w:p>
    <w:p>
      <w:pPr>
        <w:pStyle w:val="BodyText"/>
        <w:spacing w:before="1"/>
        <w:jc w:val="left"/>
        <w:rPr>
          <w:sz w:val="2"/>
        </w:rPr>
      </w:pPr>
    </w:p>
    <w:tbl>
      <w:tblPr>
        <w:tblW w:w="0" w:type="auto"/>
        <w:jc w:val="left"/>
        <w:tblInd w:w="15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84"/>
        <w:gridCol w:w="4854"/>
        <w:gridCol w:w="3102"/>
        <w:gridCol w:w="5329"/>
      </w:tblGrid>
      <w:tr>
        <w:trPr>
          <w:trHeight w:val="125" w:hRule="atLeast"/>
        </w:trPr>
        <w:tc>
          <w:tcPr>
            <w:tcW w:w="1584" w:type="dxa"/>
            <w:vMerge w:val="restart"/>
            <w:shd w:val="clear" w:color="auto" w:fill="F5F5F5"/>
          </w:tcPr>
          <w:p>
            <w:pPr>
              <w:pStyle w:val="TableParagraph"/>
              <w:spacing w:before="160"/>
              <w:ind w:left="150"/>
              <w:rPr>
                <w:b/>
                <w:sz w:val="18"/>
              </w:rPr>
            </w:pPr>
            <w:r>
              <w:rPr>
                <w:b/>
                <w:color w:val="1C1C1C"/>
                <w:sz w:val="18"/>
              </w:rPr>
              <w:t>Ионный</w:t>
            </w:r>
            <w:r>
              <w:rPr>
                <w:b/>
                <w:color w:val="1C1C1C"/>
                <w:spacing w:val="-3"/>
                <w:sz w:val="18"/>
              </w:rPr>
              <w:t> </w:t>
            </w:r>
            <w:r>
              <w:rPr>
                <w:b/>
                <w:color w:val="1C1C1C"/>
                <w:spacing w:val="-2"/>
                <w:sz w:val="18"/>
              </w:rPr>
              <w:t>канал</w:t>
            </w:r>
          </w:p>
        </w:tc>
        <w:tc>
          <w:tcPr>
            <w:tcW w:w="4854" w:type="dxa"/>
            <w:vMerge w:val="restart"/>
            <w:shd w:val="clear" w:color="auto" w:fill="F5F5F5"/>
          </w:tcPr>
          <w:p>
            <w:pPr>
              <w:pStyle w:val="TableParagraph"/>
              <w:spacing w:before="160"/>
              <w:ind w:left="136"/>
              <w:rPr>
                <w:b/>
                <w:sz w:val="18"/>
              </w:rPr>
            </w:pPr>
            <w:r>
              <w:rPr>
                <w:b/>
                <w:color w:val="1C1C1C"/>
                <w:spacing w:val="-2"/>
                <w:sz w:val="18"/>
              </w:rPr>
              <w:t>Мутация</w:t>
            </w:r>
          </w:p>
        </w:tc>
        <w:tc>
          <w:tcPr>
            <w:tcW w:w="3102" w:type="dxa"/>
            <w:vMerge w:val="restart"/>
            <w:shd w:val="clear" w:color="auto" w:fill="F5F5F5"/>
          </w:tcPr>
          <w:p>
            <w:pPr>
              <w:pStyle w:val="TableParagraph"/>
              <w:spacing w:before="160"/>
              <w:ind w:left="137"/>
              <w:rPr>
                <w:b/>
                <w:sz w:val="18"/>
              </w:rPr>
            </w:pPr>
            <w:r>
              <w:rPr>
                <w:b/>
                <w:color w:val="1C1C1C"/>
                <w:spacing w:val="-2"/>
                <w:sz w:val="18"/>
              </w:rPr>
              <w:t>Пациенты</w:t>
            </w:r>
          </w:p>
        </w:tc>
        <w:tc>
          <w:tcPr>
            <w:tcW w:w="5329" w:type="dxa"/>
            <w:tcBorders>
              <w:top w:val="single" w:sz="4" w:space="0" w:color="000000"/>
              <w:left w:val="single" w:sz="4" w:space="0" w:color="000000"/>
              <w:bottom w:val="single" w:sz="4" w:space="0" w:color="000000"/>
              <w:right w:val="single" w:sz="4" w:space="0" w:color="000000"/>
            </w:tcBorders>
          </w:tcPr>
          <w:p>
            <w:pPr>
              <w:pStyle w:val="TableParagraph"/>
              <w:rPr>
                <w:sz w:val="6"/>
              </w:rPr>
            </w:pPr>
          </w:p>
        </w:tc>
      </w:tr>
      <w:tr>
        <w:trPr>
          <w:trHeight w:val="296" w:hRule="atLeast"/>
        </w:trPr>
        <w:tc>
          <w:tcPr>
            <w:tcW w:w="1584" w:type="dxa"/>
            <w:vMerge/>
            <w:tcBorders>
              <w:top w:val="nil"/>
            </w:tcBorders>
            <w:shd w:val="clear" w:color="auto" w:fill="F5F5F5"/>
          </w:tcPr>
          <w:p>
            <w:pPr>
              <w:rPr>
                <w:sz w:val="2"/>
                <w:szCs w:val="2"/>
              </w:rPr>
            </w:pPr>
          </w:p>
        </w:tc>
        <w:tc>
          <w:tcPr>
            <w:tcW w:w="4854" w:type="dxa"/>
            <w:vMerge/>
            <w:tcBorders>
              <w:top w:val="nil"/>
            </w:tcBorders>
            <w:shd w:val="clear" w:color="auto" w:fill="F5F5F5"/>
          </w:tcPr>
          <w:p>
            <w:pPr>
              <w:rPr>
                <w:sz w:val="2"/>
                <w:szCs w:val="2"/>
              </w:rPr>
            </w:pPr>
          </w:p>
        </w:tc>
        <w:tc>
          <w:tcPr>
            <w:tcW w:w="3102" w:type="dxa"/>
            <w:vMerge/>
            <w:tcBorders>
              <w:top w:val="nil"/>
            </w:tcBorders>
            <w:shd w:val="clear" w:color="auto" w:fill="F5F5F5"/>
          </w:tcPr>
          <w:p>
            <w:pPr>
              <w:rPr>
                <w:sz w:val="2"/>
                <w:szCs w:val="2"/>
              </w:rPr>
            </w:pPr>
          </w:p>
        </w:tc>
        <w:tc>
          <w:tcPr>
            <w:tcW w:w="5329" w:type="dxa"/>
            <w:tcBorders>
              <w:top w:val="single" w:sz="4" w:space="0" w:color="000000"/>
              <w:bottom w:val="single" w:sz="4" w:space="0" w:color="000000"/>
            </w:tcBorders>
            <w:shd w:val="clear" w:color="auto" w:fill="F5F5F5"/>
          </w:tcPr>
          <w:p>
            <w:pPr>
              <w:pStyle w:val="TableParagraph"/>
              <w:spacing w:before="4"/>
              <w:ind w:left="6"/>
              <w:rPr>
                <w:b/>
                <w:sz w:val="18"/>
              </w:rPr>
            </w:pPr>
            <w:r>
              <w:rPr>
                <w:b/>
                <w:color w:val="1C1C1C"/>
                <w:spacing w:val="-2"/>
                <w:sz w:val="18"/>
              </w:rPr>
              <w:t>Фенотип</w:t>
            </w:r>
          </w:p>
        </w:tc>
      </w:tr>
      <w:tr>
        <w:trPr>
          <w:trHeight w:val="375" w:hRule="atLeast"/>
        </w:trPr>
        <w:tc>
          <w:tcPr>
            <w:tcW w:w="1584" w:type="dxa"/>
            <w:shd w:val="clear" w:color="auto" w:fill="F9F9F9"/>
          </w:tcPr>
          <w:p>
            <w:pPr>
              <w:pStyle w:val="TableParagraph"/>
              <w:spacing w:before="83"/>
              <w:ind w:left="150"/>
              <w:rPr>
                <w:b/>
                <w:sz w:val="18"/>
              </w:rPr>
            </w:pPr>
            <w:r>
              <w:rPr>
                <w:b/>
                <w:color w:val="1C1C1C"/>
                <w:spacing w:val="-10"/>
                <w:sz w:val="18"/>
              </w:rPr>
              <w:t>1</w:t>
            </w:r>
          </w:p>
        </w:tc>
        <w:tc>
          <w:tcPr>
            <w:tcW w:w="4854" w:type="dxa"/>
            <w:shd w:val="clear" w:color="auto" w:fill="F9F9F9"/>
          </w:tcPr>
          <w:p>
            <w:pPr>
              <w:pStyle w:val="TableParagraph"/>
              <w:spacing w:before="83"/>
              <w:ind w:left="136"/>
              <w:rPr>
                <w:b/>
                <w:sz w:val="18"/>
              </w:rPr>
            </w:pPr>
            <w:r>
              <w:rPr>
                <w:b/>
                <w:color w:val="1C1C1C"/>
                <w:spacing w:val="-10"/>
                <w:sz w:val="18"/>
              </w:rPr>
              <w:t>2</w:t>
            </w:r>
          </w:p>
        </w:tc>
        <w:tc>
          <w:tcPr>
            <w:tcW w:w="3102" w:type="dxa"/>
            <w:shd w:val="clear" w:color="auto" w:fill="F9F9F9"/>
          </w:tcPr>
          <w:p>
            <w:pPr>
              <w:pStyle w:val="TableParagraph"/>
              <w:spacing w:before="83"/>
              <w:ind w:left="137"/>
              <w:rPr>
                <w:b/>
                <w:sz w:val="18"/>
              </w:rPr>
            </w:pPr>
            <w:r>
              <w:rPr>
                <w:b/>
                <w:color w:val="1C1C1C"/>
                <w:spacing w:val="-10"/>
                <w:sz w:val="18"/>
              </w:rPr>
              <w:t>3</w:t>
            </w:r>
          </w:p>
        </w:tc>
        <w:tc>
          <w:tcPr>
            <w:tcW w:w="5329" w:type="dxa"/>
            <w:tcBorders>
              <w:top w:val="single" w:sz="4" w:space="0" w:color="000000"/>
            </w:tcBorders>
            <w:shd w:val="clear" w:color="auto" w:fill="F9F9F9"/>
          </w:tcPr>
          <w:p>
            <w:pPr>
              <w:pStyle w:val="TableParagraph"/>
              <w:spacing w:before="83"/>
              <w:ind w:left="136"/>
              <w:rPr>
                <w:b/>
                <w:sz w:val="18"/>
              </w:rPr>
            </w:pPr>
            <w:r>
              <w:rPr>
                <w:b/>
                <w:color w:val="1C1C1C"/>
                <w:spacing w:val="-10"/>
                <w:sz w:val="18"/>
              </w:rPr>
              <w:t>4</w:t>
            </w:r>
          </w:p>
        </w:tc>
      </w:tr>
      <w:tr>
        <w:trPr>
          <w:trHeight w:val="790" w:hRule="atLeast"/>
        </w:trPr>
        <w:tc>
          <w:tcPr>
            <w:tcW w:w="1584" w:type="dxa"/>
            <w:vMerge w:val="restart"/>
            <w:tcBorders>
              <w:left w:val="single" w:sz="18" w:space="0" w:color="FFFFFF"/>
              <w:bottom w:val="single" w:sz="4" w:space="0" w:color="000000"/>
              <w:right w:val="thinThickMediumGap" w:sz="3" w:space="0" w:color="000000"/>
            </w:tcBorders>
            <w:shd w:val="clear" w:color="auto" w:fill="F9F9F9"/>
          </w:tcPr>
          <w:p>
            <w:pPr>
              <w:pStyle w:val="TableParagraph"/>
              <w:rPr>
                <w:sz w:val="18"/>
              </w:rPr>
            </w:pPr>
          </w:p>
          <w:p>
            <w:pPr>
              <w:pStyle w:val="TableParagraph"/>
              <w:rPr>
                <w:sz w:val="18"/>
              </w:rPr>
            </w:pPr>
          </w:p>
          <w:p>
            <w:pPr>
              <w:pStyle w:val="TableParagraph"/>
              <w:spacing w:before="151"/>
              <w:rPr>
                <w:sz w:val="18"/>
              </w:rPr>
            </w:pPr>
          </w:p>
          <w:p>
            <w:pPr>
              <w:pStyle w:val="TableParagraph"/>
              <w:ind w:left="143"/>
              <w:rPr>
                <w:i/>
                <w:sz w:val="18"/>
              </w:rPr>
            </w:pPr>
            <w:r>
              <w:rPr>
                <w:i/>
                <w:color w:val="1C1C1C"/>
                <w:spacing w:val="-2"/>
                <w:sz w:val="18"/>
              </w:rPr>
              <w:t>SLC26A3</w:t>
            </w:r>
          </w:p>
        </w:tc>
        <w:tc>
          <w:tcPr>
            <w:tcW w:w="4854" w:type="dxa"/>
            <w:shd w:val="clear" w:color="auto" w:fill="F9F9F9"/>
          </w:tcPr>
          <w:p>
            <w:pPr>
              <w:pStyle w:val="TableParagraph"/>
              <w:spacing w:line="207" w:lineRule="exact" w:before="189"/>
              <w:ind w:left="136"/>
              <w:rPr>
                <w:sz w:val="18"/>
              </w:rPr>
            </w:pPr>
            <w:r>
              <w:rPr>
                <w:color w:val="1C1C1C"/>
                <w:sz w:val="18"/>
              </w:rPr>
              <w:t>V317del-</w:t>
            </w:r>
            <w:r>
              <w:rPr>
                <w:color w:val="1C1C1C"/>
                <w:spacing w:val="-2"/>
                <w:sz w:val="18"/>
              </w:rPr>
              <w:t> </w:t>
            </w:r>
            <w:r>
              <w:rPr>
                <w:color w:val="1C1C1C"/>
                <w:sz w:val="18"/>
              </w:rPr>
              <w:t>HОМ </w:t>
            </w:r>
            <w:r>
              <w:rPr>
                <w:color w:val="1C1C1C"/>
                <w:spacing w:val="-5"/>
                <w:sz w:val="18"/>
              </w:rPr>
              <w:t>(7)</w:t>
            </w:r>
          </w:p>
          <w:p>
            <w:pPr>
              <w:pStyle w:val="TableParagraph"/>
              <w:spacing w:line="207" w:lineRule="exact"/>
              <w:ind w:left="136"/>
              <w:rPr>
                <w:sz w:val="18"/>
              </w:rPr>
            </w:pPr>
            <w:r>
              <w:rPr>
                <w:color w:val="1C1C1C"/>
                <w:sz w:val="18"/>
              </w:rPr>
              <w:t>HЕТ</w:t>
            </w:r>
            <w:r>
              <w:rPr>
                <w:color w:val="1C1C1C"/>
                <w:spacing w:val="-1"/>
                <w:sz w:val="18"/>
              </w:rPr>
              <w:t> </w:t>
            </w:r>
            <w:r>
              <w:rPr>
                <w:color w:val="1C1C1C"/>
                <w:spacing w:val="-5"/>
                <w:sz w:val="18"/>
              </w:rPr>
              <w:t>(1)</w:t>
            </w:r>
          </w:p>
        </w:tc>
        <w:tc>
          <w:tcPr>
            <w:tcW w:w="3102" w:type="dxa"/>
            <w:shd w:val="clear" w:color="auto" w:fill="F9F9F9"/>
          </w:tcPr>
          <w:p>
            <w:pPr>
              <w:pStyle w:val="TableParagraph"/>
              <w:spacing w:before="85"/>
              <w:rPr>
                <w:sz w:val="18"/>
              </w:rPr>
            </w:pPr>
          </w:p>
          <w:p>
            <w:pPr>
              <w:pStyle w:val="TableParagraph"/>
              <w:ind w:left="137"/>
              <w:rPr>
                <w:sz w:val="18"/>
              </w:rPr>
            </w:pPr>
            <w:r>
              <w:rPr>
                <w:color w:val="1C1C1C"/>
                <w:sz w:val="18"/>
              </w:rPr>
              <w:t>8</w:t>
            </w:r>
            <w:r>
              <w:rPr>
                <w:color w:val="1C1C1C"/>
                <w:spacing w:val="-2"/>
                <w:sz w:val="18"/>
              </w:rPr>
              <w:t> </w:t>
            </w:r>
            <w:r>
              <w:rPr>
                <w:color w:val="1C1C1C"/>
                <w:sz w:val="18"/>
              </w:rPr>
              <w:t>финских</w:t>
            </w:r>
            <w:r>
              <w:rPr>
                <w:color w:val="1C1C1C"/>
                <w:spacing w:val="-2"/>
                <w:sz w:val="18"/>
              </w:rPr>
              <w:t> пациентов</w:t>
            </w:r>
          </w:p>
        </w:tc>
        <w:tc>
          <w:tcPr>
            <w:tcW w:w="5329" w:type="dxa"/>
            <w:shd w:val="clear" w:color="auto" w:fill="F9F9F9"/>
          </w:tcPr>
          <w:p>
            <w:pPr>
              <w:pStyle w:val="TableParagraph"/>
              <w:spacing w:before="85"/>
              <w:ind w:left="136" w:right="990"/>
              <w:rPr>
                <w:sz w:val="18"/>
              </w:rPr>
            </w:pPr>
            <w:r>
              <w:rPr>
                <w:color w:val="1C1C1C"/>
                <w:sz w:val="18"/>
              </w:rPr>
              <w:t>Врожденная</w:t>
            </w:r>
            <w:r>
              <w:rPr>
                <w:color w:val="1C1C1C"/>
                <w:spacing w:val="-6"/>
                <w:sz w:val="18"/>
              </w:rPr>
              <w:t> </w:t>
            </w:r>
            <w:r>
              <w:rPr>
                <w:color w:val="1C1C1C"/>
                <w:sz w:val="18"/>
              </w:rPr>
              <w:t>хлоридная</w:t>
            </w:r>
            <w:r>
              <w:rPr>
                <w:color w:val="1C1C1C"/>
                <w:spacing w:val="-6"/>
                <w:sz w:val="18"/>
              </w:rPr>
              <w:t> </w:t>
            </w:r>
            <w:r>
              <w:rPr>
                <w:color w:val="1C1C1C"/>
                <w:sz w:val="18"/>
              </w:rPr>
              <w:t>диарея</w:t>
            </w:r>
            <w:r>
              <w:rPr>
                <w:color w:val="1C1C1C"/>
                <w:spacing w:val="-8"/>
                <w:sz w:val="18"/>
              </w:rPr>
              <w:t> </w:t>
            </w:r>
            <w:r>
              <w:rPr>
                <w:color w:val="1C1C1C"/>
                <w:sz w:val="18"/>
              </w:rPr>
              <w:t>(ХЛД)</w:t>
            </w:r>
            <w:r>
              <w:rPr>
                <w:color w:val="1C1C1C"/>
                <w:spacing w:val="-7"/>
                <w:sz w:val="18"/>
              </w:rPr>
              <w:t> </w:t>
            </w:r>
            <w:r>
              <w:rPr>
                <w:color w:val="1C1C1C"/>
                <w:sz w:val="18"/>
              </w:rPr>
              <w:t>с</w:t>
            </w:r>
            <w:r>
              <w:rPr>
                <w:color w:val="1C1C1C"/>
                <w:spacing w:val="-8"/>
                <w:sz w:val="18"/>
              </w:rPr>
              <w:t> </w:t>
            </w:r>
            <w:r>
              <w:rPr>
                <w:color w:val="1C1C1C"/>
                <w:sz w:val="18"/>
              </w:rPr>
              <w:t>мужской недостаточностью фертильности (ОАТ); </w:t>
            </w:r>
            <w:r>
              <w:rPr>
                <w:color w:val="1C1C1C"/>
                <w:spacing w:val="-2"/>
                <w:sz w:val="18"/>
              </w:rPr>
              <w:t>Сперматоцеле</w:t>
            </w:r>
          </w:p>
        </w:tc>
      </w:tr>
      <w:tr>
        <w:trPr>
          <w:trHeight w:val="930" w:hRule="atLeast"/>
        </w:trPr>
        <w:tc>
          <w:tcPr>
            <w:tcW w:w="1584" w:type="dxa"/>
            <w:vMerge/>
            <w:tcBorders>
              <w:top w:val="nil"/>
              <w:left w:val="single" w:sz="18" w:space="0" w:color="FFFFFF"/>
              <w:bottom w:val="single" w:sz="4" w:space="0" w:color="000000"/>
              <w:right w:val="thinThickMediumGap" w:sz="3" w:space="0" w:color="000000"/>
            </w:tcBorders>
            <w:shd w:val="clear" w:color="auto" w:fill="F9F9F9"/>
          </w:tcPr>
          <w:p>
            <w:pPr>
              <w:rPr>
                <w:sz w:val="2"/>
                <w:szCs w:val="2"/>
              </w:rPr>
            </w:pPr>
          </w:p>
        </w:tc>
        <w:tc>
          <w:tcPr>
            <w:tcW w:w="4854" w:type="dxa"/>
          </w:tcPr>
          <w:p>
            <w:pPr>
              <w:pStyle w:val="TableParagraph"/>
              <w:numPr>
                <w:ilvl w:val="0"/>
                <w:numId w:val="5"/>
              </w:numPr>
              <w:tabs>
                <w:tab w:pos="1552" w:val="left" w:leader="none"/>
              </w:tabs>
              <w:spacing w:line="243" w:lineRule="exact" w:before="86" w:after="0"/>
              <w:ind w:left="1552" w:right="0" w:hanging="696"/>
              <w:jc w:val="left"/>
              <w:rPr>
                <w:sz w:val="18"/>
              </w:rPr>
            </w:pPr>
            <w:r>
              <w:rPr>
                <w:color w:val="1C1C1C"/>
                <w:sz w:val="18"/>
              </w:rPr>
              <w:t>c.2062</w:t>
            </w:r>
            <w:r>
              <w:rPr>
                <w:color w:val="1C1C1C"/>
                <w:spacing w:val="-1"/>
                <w:sz w:val="18"/>
              </w:rPr>
              <w:t> </w:t>
            </w:r>
            <w:r>
              <w:rPr>
                <w:color w:val="1C1C1C"/>
                <w:sz w:val="18"/>
              </w:rPr>
              <w:t>G</w:t>
            </w:r>
            <w:r>
              <w:rPr>
                <w:color w:val="1C1C1C"/>
                <w:spacing w:val="-4"/>
                <w:sz w:val="18"/>
              </w:rPr>
              <w:t> </w:t>
            </w:r>
            <w:r>
              <w:rPr>
                <w:color w:val="1C1C1C"/>
                <w:sz w:val="18"/>
              </w:rPr>
              <w:t>&gt;</w:t>
            </w:r>
            <w:r>
              <w:rPr>
                <w:color w:val="1C1C1C"/>
                <w:spacing w:val="-2"/>
                <w:sz w:val="18"/>
              </w:rPr>
              <w:t> </w:t>
            </w:r>
            <w:r>
              <w:rPr>
                <w:color w:val="1C1C1C"/>
                <w:sz w:val="18"/>
              </w:rPr>
              <w:t>C</w:t>
            </w:r>
            <w:r>
              <w:rPr>
                <w:color w:val="1C1C1C"/>
                <w:spacing w:val="-1"/>
                <w:sz w:val="18"/>
              </w:rPr>
              <w:t> </w:t>
            </w:r>
            <w:r>
              <w:rPr>
                <w:color w:val="1C1C1C"/>
                <w:sz w:val="18"/>
              </w:rPr>
              <w:t>(p.Asp688His)</w:t>
            </w:r>
            <w:r>
              <w:rPr>
                <w:color w:val="1C1C1C"/>
                <w:spacing w:val="-1"/>
                <w:sz w:val="18"/>
              </w:rPr>
              <w:t> </w:t>
            </w:r>
            <w:r>
              <w:rPr>
                <w:color w:val="1C1C1C"/>
                <w:spacing w:val="-5"/>
                <w:sz w:val="18"/>
              </w:rPr>
              <w:t>(9)</w:t>
            </w:r>
          </w:p>
          <w:p>
            <w:pPr>
              <w:pStyle w:val="TableParagraph"/>
              <w:numPr>
                <w:ilvl w:val="0"/>
                <w:numId w:val="5"/>
              </w:numPr>
              <w:tabs>
                <w:tab w:pos="1552" w:val="left" w:leader="none"/>
              </w:tabs>
              <w:spacing w:line="243" w:lineRule="exact" w:before="0" w:after="0"/>
              <w:ind w:left="1552" w:right="0" w:hanging="696"/>
              <w:jc w:val="left"/>
              <w:rPr>
                <w:sz w:val="18"/>
              </w:rPr>
            </w:pPr>
            <w:r>
              <w:rPr>
                <w:color w:val="1C1C1C"/>
                <w:sz w:val="18"/>
              </w:rPr>
              <w:t>c.949_951delGTG</w:t>
            </w:r>
            <w:r>
              <w:rPr>
                <w:color w:val="1C1C1C"/>
                <w:spacing w:val="-4"/>
                <w:sz w:val="18"/>
              </w:rPr>
              <w:t> </w:t>
            </w:r>
            <w:r>
              <w:rPr>
                <w:color w:val="1C1C1C"/>
                <w:sz w:val="18"/>
              </w:rPr>
              <w:t>(p.Val318del)</w:t>
            </w:r>
            <w:r>
              <w:rPr>
                <w:color w:val="1C1C1C"/>
                <w:spacing w:val="-6"/>
                <w:sz w:val="18"/>
              </w:rPr>
              <w:t> </w:t>
            </w:r>
            <w:r>
              <w:rPr>
                <w:color w:val="1C1C1C"/>
                <w:sz w:val="18"/>
              </w:rPr>
              <w:t>(3)</w:t>
            </w:r>
            <w:r>
              <w:rPr>
                <w:color w:val="1C1C1C"/>
                <w:spacing w:val="-1"/>
                <w:sz w:val="18"/>
              </w:rPr>
              <w:t> </w:t>
            </w:r>
            <w:r>
              <w:rPr>
                <w:color w:val="1C1C1C"/>
                <w:sz w:val="18"/>
              </w:rPr>
              <w:t>-</w:t>
            </w:r>
            <w:r>
              <w:rPr>
                <w:color w:val="1C1C1C"/>
                <w:spacing w:val="-5"/>
                <w:sz w:val="18"/>
              </w:rPr>
              <w:t>НЕТ</w:t>
            </w:r>
          </w:p>
        </w:tc>
        <w:tc>
          <w:tcPr>
            <w:tcW w:w="3102" w:type="dxa"/>
          </w:tcPr>
          <w:p>
            <w:pPr>
              <w:pStyle w:val="TableParagraph"/>
              <w:spacing w:before="154"/>
              <w:rPr>
                <w:sz w:val="18"/>
              </w:rPr>
            </w:pPr>
          </w:p>
          <w:p>
            <w:pPr>
              <w:pStyle w:val="TableParagraph"/>
              <w:ind w:left="137"/>
              <w:rPr>
                <w:sz w:val="18"/>
              </w:rPr>
            </w:pPr>
            <w:r>
              <w:rPr>
                <w:color w:val="1C1C1C"/>
                <w:sz w:val="18"/>
              </w:rPr>
              <w:t>12</w:t>
            </w:r>
            <w:r>
              <w:rPr>
                <w:color w:val="1C1C1C"/>
                <w:spacing w:val="-4"/>
                <w:sz w:val="18"/>
              </w:rPr>
              <w:t> </w:t>
            </w:r>
            <w:r>
              <w:rPr>
                <w:color w:val="1C1C1C"/>
                <w:sz w:val="18"/>
              </w:rPr>
              <w:t>финских</w:t>
            </w:r>
            <w:r>
              <w:rPr>
                <w:color w:val="1C1C1C"/>
                <w:spacing w:val="-1"/>
                <w:sz w:val="18"/>
              </w:rPr>
              <w:t> </w:t>
            </w:r>
            <w:r>
              <w:rPr>
                <w:color w:val="1C1C1C"/>
                <w:spacing w:val="-2"/>
                <w:sz w:val="18"/>
              </w:rPr>
              <w:t>пациентов</w:t>
            </w:r>
          </w:p>
        </w:tc>
        <w:tc>
          <w:tcPr>
            <w:tcW w:w="5329" w:type="dxa"/>
          </w:tcPr>
          <w:p>
            <w:pPr>
              <w:pStyle w:val="TableParagraph"/>
              <w:spacing w:before="155"/>
              <w:ind w:left="136" w:right="973"/>
              <w:jc w:val="both"/>
              <w:rPr>
                <w:sz w:val="18"/>
              </w:rPr>
            </w:pPr>
            <w:r>
              <w:rPr>
                <w:color w:val="1C1C1C"/>
                <w:sz w:val="18"/>
              </w:rPr>
              <w:t>11/12:</w:t>
            </w:r>
            <w:r>
              <w:rPr>
                <w:color w:val="1C1C1C"/>
                <w:spacing w:val="-11"/>
                <w:sz w:val="18"/>
              </w:rPr>
              <w:t> </w:t>
            </w:r>
            <w:r>
              <w:rPr>
                <w:color w:val="1C1C1C"/>
                <w:sz w:val="18"/>
              </w:rPr>
              <w:t>тяжелая</w:t>
            </w:r>
            <w:r>
              <w:rPr>
                <w:color w:val="1C1C1C"/>
                <w:spacing w:val="-8"/>
                <w:sz w:val="18"/>
              </w:rPr>
              <w:t> </w:t>
            </w:r>
            <w:r>
              <w:rPr>
                <w:color w:val="1C1C1C"/>
                <w:sz w:val="18"/>
              </w:rPr>
              <w:t>или</w:t>
            </w:r>
            <w:r>
              <w:rPr>
                <w:color w:val="1C1C1C"/>
                <w:spacing w:val="-9"/>
                <w:sz w:val="18"/>
              </w:rPr>
              <w:t> </w:t>
            </w:r>
            <w:r>
              <w:rPr>
                <w:color w:val="1C1C1C"/>
                <w:sz w:val="18"/>
              </w:rPr>
              <w:t>умеренная</w:t>
            </w:r>
            <w:r>
              <w:rPr>
                <w:color w:val="1C1C1C"/>
                <w:spacing w:val="-8"/>
                <w:sz w:val="18"/>
              </w:rPr>
              <w:t> </w:t>
            </w:r>
            <w:r>
              <w:rPr>
                <w:color w:val="1C1C1C"/>
                <w:sz w:val="18"/>
              </w:rPr>
              <w:t>олигоастенозооспермия 1/12:</w:t>
            </w:r>
            <w:r>
              <w:rPr>
                <w:color w:val="1C1C1C"/>
                <w:spacing w:val="-4"/>
                <w:sz w:val="18"/>
              </w:rPr>
              <w:t> </w:t>
            </w:r>
            <w:r>
              <w:rPr>
                <w:color w:val="1C1C1C"/>
                <w:sz w:val="18"/>
              </w:rPr>
              <w:t>азооспермия</w:t>
            </w:r>
            <w:r>
              <w:rPr>
                <w:color w:val="1C1C1C"/>
                <w:spacing w:val="-3"/>
                <w:sz w:val="18"/>
              </w:rPr>
              <w:t> </w:t>
            </w:r>
            <w:r>
              <w:rPr>
                <w:color w:val="1C1C1C"/>
                <w:sz w:val="18"/>
              </w:rPr>
              <w:t>(пациент</w:t>
            </w:r>
            <w:r>
              <w:rPr>
                <w:color w:val="1C1C1C"/>
                <w:spacing w:val="-3"/>
                <w:sz w:val="18"/>
              </w:rPr>
              <w:t> </w:t>
            </w:r>
            <w:r>
              <w:rPr>
                <w:color w:val="1C1C1C"/>
                <w:sz w:val="18"/>
              </w:rPr>
              <w:t>также</w:t>
            </w:r>
            <w:r>
              <w:rPr>
                <w:color w:val="1C1C1C"/>
                <w:spacing w:val="-5"/>
                <w:sz w:val="18"/>
              </w:rPr>
              <w:t> </w:t>
            </w:r>
            <w:r>
              <w:rPr>
                <w:color w:val="1C1C1C"/>
                <w:sz w:val="18"/>
              </w:rPr>
              <w:t>является</w:t>
            </w:r>
            <w:r>
              <w:rPr>
                <w:color w:val="1C1C1C"/>
                <w:spacing w:val="-3"/>
                <w:sz w:val="18"/>
              </w:rPr>
              <w:t> </w:t>
            </w:r>
            <w:r>
              <w:rPr>
                <w:color w:val="1C1C1C"/>
                <w:sz w:val="18"/>
              </w:rPr>
              <w:t>носителем гетерозиготногоаллеля CFTR 5T)</w:t>
            </w:r>
          </w:p>
        </w:tc>
      </w:tr>
      <w:tr>
        <w:trPr>
          <w:trHeight w:val="1585" w:hRule="atLeast"/>
        </w:trPr>
        <w:tc>
          <w:tcPr>
            <w:tcW w:w="1584" w:type="dxa"/>
            <w:tcBorders>
              <w:top w:val="single" w:sz="4" w:space="0" w:color="000000"/>
            </w:tcBorders>
            <w:shd w:val="clear" w:color="auto" w:fill="F9F9F9"/>
          </w:tcPr>
          <w:p>
            <w:pPr>
              <w:pStyle w:val="TableParagraph"/>
              <w:rPr>
                <w:sz w:val="18"/>
              </w:rPr>
            </w:pPr>
          </w:p>
          <w:p>
            <w:pPr>
              <w:pStyle w:val="TableParagraph"/>
              <w:rPr>
                <w:sz w:val="18"/>
              </w:rPr>
            </w:pPr>
          </w:p>
          <w:p>
            <w:pPr>
              <w:pStyle w:val="TableParagraph"/>
              <w:spacing w:before="69"/>
              <w:rPr>
                <w:sz w:val="18"/>
              </w:rPr>
            </w:pPr>
          </w:p>
          <w:p>
            <w:pPr>
              <w:pStyle w:val="TableParagraph"/>
              <w:ind w:left="150"/>
              <w:rPr>
                <w:i/>
                <w:sz w:val="18"/>
              </w:rPr>
            </w:pPr>
            <w:r>
              <w:rPr>
                <w:i/>
                <w:color w:val="1C1C1C"/>
                <w:sz w:val="18"/>
              </w:rPr>
              <w:t>SLC26A8</w:t>
            </w:r>
            <w:r>
              <w:rPr>
                <w:i/>
                <w:color w:val="1C1C1C"/>
                <w:spacing w:val="-2"/>
                <w:sz w:val="18"/>
              </w:rPr>
              <w:t> (ТАТ1)</w:t>
            </w:r>
          </w:p>
        </w:tc>
        <w:tc>
          <w:tcPr>
            <w:tcW w:w="4854" w:type="dxa"/>
            <w:shd w:val="clear" w:color="auto" w:fill="F9F9F9"/>
          </w:tcPr>
          <w:p>
            <w:pPr>
              <w:pStyle w:val="TableParagraph"/>
              <w:numPr>
                <w:ilvl w:val="0"/>
                <w:numId w:val="6"/>
              </w:numPr>
              <w:tabs>
                <w:tab w:pos="1552" w:val="left" w:leader="none"/>
              </w:tabs>
              <w:spacing w:line="243" w:lineRule="exact" w:before="86" w:after="0"/>
              <w:ind w:left="1552" w:right="0" w:hanging="696"/>
              <w:jc w:val="left"/>
              <w:rPr>
                <w:sz w:val="18"/>
              </w:rPr>
            </w:pPr>
            <w:r>
              <w:rPr>
                <w:color w:val="1C1C1C"/>
                <w:sz w:val="18"/>
              </w:rPr>
              <w:t>Пациент</w:t>
            </w:r>
            <w:r>
              <w:rPr>
                <w:color w:val="1C1C1C"/>
                <w:spacing w:val="-1"/>
                <w:sz w:val="18"/>
              </w:rPr>
              <w:t> </w:t>
            </w:r>
            <w:r>
              <w:rPr>
                <w:color w:val="1C1C1C"/>
                <w:sz w:val="18"/>
              </w:rPr>
              <w:t>1:</w:t>
            </w:r>
            <w:r>
              <w:rPr>
                <w:color w:val="1C1C1C"/>
                <w:spacing w:val="-2"/>
                <w:sz w:val="18"/>
              </w:rPr>
              <w:t> </w:t>
            </w:r>
            <w:r>
              <w:rPr>
                <w:color w:val="1C1C1C"/>
                <w:sz w:val="18"/>
              </w:rPr>
              <w:t>c.260G</w:t>
            </w:r>
            <w:r>
              <w:rPr>
                <w:color w:val="1C1C1C"/>
                <w:spacing w:val="-5"/>
                <w:sz w:val="18"/>
              </w:rPr>
              <w:t> </w:t>
            </w:r>
            <w:r>
              <w:rPr>
                <w:color w:val="1C1C1C"/>
                <w:sz w:val="18"/>
              </w:rPr>
              <w:t>&gt;</w:t>
            </w:r>
            <w:r>
              <w:rPr>
                <w:color w:val="1C1C1C"/>
                <w:spacing w:val="-3"/>
                <w:sz w:val="18"/>
              </w:rPr>
              <w:t> </w:t>
            </w:r>
            <w:r>
              <w:rPr>
                <w:color w:val="1C1C1C"/>
                <w:sz w:val="18"/>
              </w:rPr>
              <w:t>A</w:t>
            </w:r>
            <w:r>
              <w:rPr>
                <w:color w:val="1C1C1C"/>
                <w:spacing w:val="-2"/>
                <w:sz w:val="18"/>
              </w:rPr>
              <w:t> </w:t>
            </w:r>
            <w:r>
              <w:rPr>
                <w:color w:val="1C1C1C"/>
                <w:sz w:val="18"/>
              </w:rPr>
              <w:t>(p.Arg87Gln)</w:t>
            </w:r>
            <w:r>
              <w:rPr>
                <w:color w:val="1C1C1C"/>
                <w:spacing w:val="-1"/>
                <w:sz w:val="18"/>
              </w:rPr>
              <w:t> </w:t>
            </w:r>
            <w:r>
              <w:rPr>
                <w:color w:val="1C1C1C"/>
                <w:spacing w:val="-5"/>
                <w:sz w:val="18"/>
              </w:rPr>
              <w:t>(1)</w:t>
            </w:r>
          </w:p>
          <w:p>
            <w:pPr>
              <w:pStyle w:val="TableParagraph"/>
              <w:numPr>
                <w:ilvl w:val="0"/>
                <w:numId w:val="6"/>
              </w:numPr>
              <w:tabs>
                <w:tab w:pos="1552" w:val="left" w:leader="none"/>
              </w:tabs>
              <w:spacing w:line="232" w:lineRule="auto" w:before="4" w:after="0"/>
              <w:ind w:left="856" w:right="334" w:firstLine="0"/>
              <w:jc w:val="left"/>
              <w:rPr>
                <w:sz w:val="18"/>
              </w:rPr>
            </w:pPr>
            <w:r>
              <w:rPr>
                <w:color w:val="1C1C1C"/>
                <w:sz w:val="18"/>
              </w:rPr>
              <w:t>Пациент</w:t>
            </w:r>
            <w:r>
              <w:rPr>
                <w:color w:val="1C1C1C"/>
                <w:spacing w:val="-6"/>
                <w:sz w:val="18"/>
              </w:rPr>
              <w:t> </w:t>
            </w:r>
            <w:r>
              <w:rPr>
                <w:color w:val="1C1C1C"/>
                <w:sz w:val="18"/>
              </w:rPr>
              <w:t>2:</w:t>
            </w:r>
            <w:r>
              <w:rPr>
                <w:color w:val="1C1C1C"/>
                <w:spacing w:val="-7"/>
                <w:sz w:val="18"/>
              </w:rPr>
              <w:t> </w:t>
            </w:r>
            <w:r>
              <w:rPr>
                <w:color w:val="1C1C1C"/>
                <w:sz w:val="18"/>
              </w:rPr>
              <w:t>c.2434G</w:t>
            </w:r>
            <w:r>
              <w:rPr>
                <w:color w:val="1C1C1C"/>
                <w:spacing w:val="-10"/>
                <w:sz w:val="18"/>
              </w:rPr>
              <w:t> </w:t>
            </w:r>
            <w:r>
              <w:rPr>
                <w:color w:val="1C1C1C"/>
                <w:sz w:val="18"/>
              </w:rPr>
              <w:t>&gt;</w:t>
            </w:r>
            <w:r>
              <w:rPr>
                <w:color w:val="1C1C1C"/>
                <w:spacing w:val="-8"/>
                <w:sz w:val="18"/>
              </w:rPr>
              <w:t> </w:t>
            </w:r>
            <w:r>
              <w:rPr>
                <w:color w:val="1C1C1C"/>
                <w:sz w:val="18"/>
              </w:rPr>
              <w:t>A</w:t>
            </w:r>
            <w:r>
              <w:rPr>
                <w:color w:val="1C1C1C"/>
                <w:spacing w:val="-7"/>
                <w:sz w:val="18"/>
              </w:rPr>
              <w:t> </w:t>
            </w:r>
            <w:r>
              <w:rPr>
                <w:color w:val="1C1C1C"/>
                <w:sz w:val="18"/>
              </w:rPr>
              <w:t>(p.Glu812Lys) </w:t>
            </w:r>
            <w:r>
              <w:rPr>
                <w:color w:val="1C1C1C"/>
                <w:spacing w:val="-4"/>
                <w:sz w:val="18"/>
              </w:rPr>
              <w:t>(1)</w:t>
            </w:r>
          </w:p>
          <w:p>
            <w:pPr>
              <w:pStyle w:val="TableParagraph"/>
              <w:numPr>
                <w:ilvl w:val="0"/>
                <w:numId w:val="6"/>
              </w:numPr>
              <w:tabs>
                <w:tab w:pos="1552" w:val="left" w:leader="none"/>
              </w:tabs>
              <w:spacing w:line="232" w:lineRule="auto" w:before="8" w:after="0"/>
              <w:ind w:left="856" w:right="341" w:firstLine="0"/>
              <w:jc w:val="left"/>
              <w:rPr>
                <w:sz w:val="18"/>
              </w:rPr>
            </w:pPr>
            <w:r>
              <w:rPr>
                <w:color w:val="1C1C1C"/>
                <w:sz w:val="18"/>
              </w:rPr>
              <w:t>Пациент</w:t>
            </w:r>
            <w:r>
              <w:rPr>
                <w:color w:val="1C1C1C"/>
                <w:spacing w:val="-6"/>
                <w:sz w:val="18"/>
              </w:rPr>
              <w:t> </w:t>
            </w:r>
            <w:r>
              <w:rPr>
                <w:color w:val="1C1C1C"/>
                <w:sz w:val="18"/>
              </w:rPr>
              <w:t>3:</w:t>
            </w:r>
            <w:r>
              <w:rPr>
                <w:color w:val="1C1C1C"/>
                <w:spacing w:val="-7"/>
                <w:sz w:val="18"/>
              </w:rPr>
              <w:t> </w:t>
            </w:r>
            <w:r>
              <w:rPr>
                <w:color w:val="1C1C1C"/>
                <w:sz w:val="18"/>
              </w:rPr>
              <w:t>c.2860C</w:t>
            </w:r>
            <w:r>
              <w:rPr>
                <w:color w:val="1C1C1C"/>
                <w:spacing w:val="-7"/>
                <w:sz w:val="18"/>
              </w:rPr>
              <w:t> </w:t>
            </w:r>
            <w:r>
              <w:rPr>
                <w:color w:val="1C1C1C"/>
                <w:sz w:val="18"/>
              </w:rPr>
              <w:t>&gt;</w:t>
            </w:r>
            <w:r>
              <w:rPr>
                <w:color w:val="1C1C1C"/>
                <w:spacing w:val="-9"/>
                <w:sz w:val="18"/>
              </w:rPr>
              <w:t> </w:t>
            </w:r>
            <w:r>
              <w:rPr>
                <w:color w:val="1C1C1C"/>
                <w:sz w:val="18"/>
              </w:rPr>
              <w:t>T</w:t>
            </w:r>
            <w:r>
              <w:rPr>
                <w:color w:val="1C1C1C"/>
                <w:spacing w:val="-7"/>
                <w:sz w:val="18"/>
              </w:rPr>
              <w:t> </w:t>
            </w:r>
            <w:r>
              <w:rPr>
                <w:color w:val="1C1C1C"/>
                <w:sz w:val="18"/>
              </w:rPr>
              <w:t>(p.Arg954Cys) </w:t>
            </w:r>
            <w:r>
              <w:rPr>
                <w:color w:val="1C1C1C"/>
                <w:spacing w:val="-4"/>
                <w:sz w:val="18"/>
              </w:rPr>
              <w:t>(1).</w:t>
            </w:r>
          </w:p>
        </w:tc>
        <w:tc>
          <w:tcPr>
            <w:tcW w:w="3102" w:type="dxa"/>
            <w:shd w:val="clear" w:color="auto" w:fill="F9F9F9"/>
          </w:tcPr>
          <w:p>
            <w:pPr>
              <w:pStyle w:val="TableParagraph"/>
              <w:spacing w:before="171"/>
              <w:rPr>
                <w:sz w:val="18"/>
              </w:rPr>
            </w:pPr>
          </w:p>
          <w:p>
            <w:pPr>
              <w:pStyle w:val="TableParagraph"/>
              <w:spacing w:line="207" w:lineRule="exact"/>
              <w:ind w:left="137"/>
              <w:rPr>
                <w:sz w:val="18"/>
              </w:rPr>
            </w:pPr>
            <w:r>
              <w:rPr>
                <w:color w:val="1C1C1C"/>
                <w:sz w:val="18"/>
              </w:rPr>
              <w:t>3</w:t>
            </w:r>
            <w:r>
              <w:rPr>
                <w:color w:val="1C1C1C"/>
                <w:spacing w:val="1"/>
                <w:sz w:val="18"/>
              </w:rPr>
              <w:t> </w:t>
            </w:r>
            <w:r>
              <w:rPr>
                <w:color w:val="1C1C1C"/>
                <w:spacing w:val="-2"/>
                <w:sz w:val="18"/>
              </w:rPr>
              <w:t>пациента</w:t>
            </w:r>
          </w:p>
          <w:p>
            <w:pPr>
              <w:pStyle w:val="TableParagraph"/>
              <w:spacing w:line="207" w:lineRule="exact"/>
              <w:ind w:left="137"/>
              <w:rPr>
                <w:sz w:val="18"/>
              </w:rPr>
            </w:pPr>
            <w:r>
              <w:rPr>
                <w:color w:val="1C1C1C"/>
                <w:sz w:val="18"/>
              </w:rPr>
              <w:t>Пациент</w:t>
            </w:r>
            <w:r>
              <w:rPr>
                <w:color w:val="1C1C1C"/>
                <w:spacing w:val="-4"/>
                <w:sz w:val="18"/>
              </w:rPr>
              <w:t> </w:t>
            </w:r>
            <w:r>
              <w:rPr>
                <w:color w:val="1C1C1C"/>
                <w:sz w:val="18"/>
              </w:rPr>
              <w:t>1:</w:t>
            </w:r>
            <w:r>
              <w:rPr>
                <w:color w:val="1C1C1C"/>
                <w:spacing w:val="-2"/>
                <w:sz w:val="18"/>
              </w:rPr>
              <w:t> европеоид</w:t>
            </w:r>
          </w:p>
          <w:p>
            <w:pPr>
              <w:pStyle w:val="TableParagraph"/>
              <w:spacing w:line="207" w:lineRule="exact" w:before="2"/>
              <w:ind w:left="137"/>
              <w:rPr>
                <w:sz w:val="18"/>
              </w:rPr>
            </w:pPr>
            <w:r>
              <w:rPr>
                <w:color w:val="1C1C1C"/>
                <w:sz w:val="18"/>
              </w:rPr>
              <w:t>Пациент</w:t>
            </w:r>
            <w:r>
              <w:rPr>
                <w:color w:val="1C1C1C"/>
                <w:spacing w:val="-2"/>
                <w:sz w:val="18"/>
              </w:rPr>
              <w:t> </w:t>
            </w:r>
            <w:r>
              <w:rPr>
                <w:color w:val="1C1C1C"/>
                <w:sz w:val="18"/>
              </w:rPr>
              <w:t>2:</w:t>
            </w:r>
            <w:r>
              <w:rPr>
                <w:color w:val="1C1C1C"/>
                <w:spacing w:val="-2"/>
                <w:sz w:val="18"/>
              </w:rPr>
              <w:t> североафриканец</w:t>
            </w:r>
          </w:p>
          <w:p>
            <w:pPr>
              <w:pStyle w:val="TableParagraph"/>
              <w:spacing w:line="207" w:lineRule="exact"/>
              <w:ind w:left="137"/>
              <w:rPr>
                <w:sz w:val="18"/>
              </w:rPr>
            </w:pPr>
            <w:r>
              <w:rPr>
                <w:color w:val="1C1C1C"/>
                <w:sz w:val="18"/>
              </w:rPr>
              <w:t>Пациент</w:t>
            </w:r>
            <w:r>
              <w:rPr>
                <w:color w:val="1C1C1C"/>
                <w:spacing w:val="-4"/>
                <w:sz w:val="18"/>
              </w:rPr>
              <w:t> </w:t>
            </w:r>
            <w:r>
              <w:rPr>
                <w:color w:val="1C1C1C"/>
                <w:sz w:val="18"/>
              </w:rPr>
              <w:t>3:</w:t>
            </w:r>
            <w:r>
              <w:rPr>
                <w:color w:val="1C1C1C"/>
                <w:spacing w:val="-2"/>
                <w:sz w:val="18"/>
              </w:rPr>
              <w:t> европеец</w:t>
            </w:r>
          </w:p>
        </w:tc>
        <w:tc>
          <w:tcPr>
            <w:tcW w:w="5329" w:type="dxa"/>
            <w:shd w:val="clear" w:color="auto" w:fill="F9F9F9"/>
          </w:tcPr>
          <w:p>
            <w:pPr>
              <w:pStyle w:val="TableParagraph"/>
              <w:rPr>
                <w:sz w:val="18"/>
              </w:rPr>
            </w:pPr>
          </w:p>
          <w:p>
            <w:pPr>
              <w:pStyle w:val="TableParagraph"/>
              <w:spacing w:before="67"/>
              <w:rPr>
                <w:sz w:val="18"/>
              </w:rPr>
            </w:pPr>
          </w:p>
          <w:p>
            <w:pPr>
              <w:pStyle w:val="TableParagraph"/>
              <w:ind w:left="136"/>
              <w:rPr>
                <w:sz w:val="18"/>
              </w:rPr>
            </w:pPr>
            <w:r>
              <w:rPr>
                <w:color w:val="1C1C1C"/>
                <w:sz w:val="18"/>
              </w:rPr>
              <w:t>Астенотератозооспермия</w:t>
            </w:r>
            <w:r>
              <w:rPr>
                <w:color w:val="1C1C1C"/>
                <w:spacing w:val="-3"/>
                <w:sz w:val="18"/>
              </w:rPr>
              <w:t> </w:t>
            </w:r>
            <w:r>
              <w:rPr>
                <w:color w:val="1C1C1C"/>
                <w:sz w:val="18"/>
              </w:rPr>
              <w:t>(пациент</w:t>
            </w:r>
            <w:r>
              <w:rPr>
                <w:color w:val="1C1C1C"/>
                <w:spacing w:val="-3"/>
                <w:sz w:val="18"/>
              </w:rPr>
              <w:t> </w:t>
            </w:r>
            <w:r>
              <w:rPr>
                <w:color w:val="1C1C1C"/>
                <w:sz w:val="18"/>
              </w:rPr>
              <w:t>3</w:t>
            </w:r>
            <w:r>
              <w:rPr>
                <w:color w:val="1C1C1C"/>
                <w:spacing w:val="-3"/>
                <w:sz w:val="18"/>
              </w:rPr>
              <w:t> </w:t>
            </w:r>
            <w:r>
              <w:rPr>
                <w:color w:val="1C1C1C"/>
                <w:sz w:val="18"/>
              </w:rPr>
              <w:t>имеет</w:t>
            </w:r>
            <w:r>
              <w:rPr>
                <w:color w:val="1C1C1C"/>
                <w:spacing w:val="-2"/>
                <w:sz w:val="18"/>
              </w:rPr>
              <w:t> </w:t>
            </w:r>
            <w:r>
              <w:rPr>
                <w:color w:val="1C1C1C"/>
                <w:spacing w:val="-4"/>
                <w:sz w:val="18"/>
              </w:rPr>
              <w:t>ОАТ)</w:t>
            </w:r>
          </w:p>
          <w:p>
            <w:pPr>
              <w:pStyle w:val="TableParagraph"/>
              <w:spacing w:before="2"/>
              <w:ind w:left="136"/>
              <w:rPr>
                <w:sz w:val="18"/>
              </w:rPr>
            </w:pPr>
            <w:r>
              <w:rPr>
                <w:color w:val="1C1C1C"/>
                <w:sz w:val="18"/>
              </w:rPr>
              <w:t>Снижение</w:t>
            </w:r>
            <w:r>
              <w:rPr>
                <w:color w:val="1C1C1C"/>
                <w:spacing w:val="-7"/>
                <w:sz w:val="18"/>
              </w:rPr>
              <w:t> </w:t>
            </w:r>
            <w:r>
              <w:rPr>
                <w:color w:val="1C1C1C"/>
                <w:sz w:val="18"/>
              </w:rPr>
              <w:t>количества</w:t>
            </w:r>
            <w:r>
              <w:rPr>
                <w:color w:val="1C1C1C"/>
                <w:spacing w:val="-7"/>
                <w:sz w:val="18"/>
              </w:rPr>
              <w:t> </w:t>
            </w:r>
            <w:r>
              <w:rPr>
                <w:color w:val="1C1C1C"/>
                <w:sz w:val="18"/>
              </w:rPr>
              <w:t>мутантного</w:t>
            </w:r>
            <w:r>
              <w:rPr>
                <w:color w:val="1C1C1C"/>
                <w:spacing w:val="-5"/>
                <w:sz w:val="18"/>
              </w:rPr>
              <w:t> </w:t>
            </w:r>
            <w:r>
              <w:rPr>
                <w:color w:val="1C1C1C"/>
                <w:sz w:val="18"/>
              </w:rPr>
              <w:t>белка</w:t>
            </w:r>
            <w:r>
              <w:rPr>
                <w:color w:val="1C1C1C"/>
                <w:spacing w:val="-7"/>
                <w:sz w:val="18"/>
              </w:rPr>
              <w:t> </w:t>
            </w:r>
            <w:r>
              <w:rPr>
                <w:color w:val="1C1C1C"/>
                <w:sz w:val="18"/>
              </w:rPr>
              <w:t>SLC26A8</w:t>
            </w:r>
            <w:r>
              <w:rPr>
                <w:color w:val="1C1C1C"/>
                <w:spacing w:val="-5"/>
                <w:sz w:val="18"/>
              </w:rPr>
              <w:t> </w:t>
            </w:r>
            <w:r>
              <w:rPr>
                <w:color w:val="1C1C1C"/>
                <w:sz w:val="18"/>
              </w:rPr>
              <w:t>и</w:t>
            </w:r>
            <w:r>
              <w:rPr>
                <w:color w:val="1C1C1C"/>
                <w:spacing w:val="-6"/>
                <w:sz w:val="18"/>
              </w:rPr>
              <w:t> </w:t>
            </w:r>
            <w:r>
              <w:rPr>
                <w:color w:val="1C1C1C"/>
                <w:sz w:val="18"/>
              </w:rPr>
              <w:t>связанного</w:t>
            </w:r>
            <w:r>
              <w:rPr>
                <w:color w:val="1C1C1C"/>
                <w:spacing w:val="-5"/>
                <w:sz w:val="18"/>
              </w:rPr>
              <w:t> </w:t>
            </w:r>
            <w:r>
              <w:rPr>
                <w:color w:val="1C1C1C"/>
                <w:sz w:val="18"/>
              </w:rPr>
              <w:t>с ним канала CFTR</w:t>
            </w:r>
          </w:p>
        </w:tc>
      </w:tr>
      <w:tr>
        <w:trPr>
          <w:trHeight w:val="862" w:hRule="atLeast"/>
        </w:trPr>
        <w:tc>
          <w:tcPr>
            <w:tcW w:w="1584" w:type="dxa"/>
          </w:tcPr>
          <w:p>
            <w:pPr>
              <w:pStyle w:val="TableParagraph"/>
              <w:spacing w:before="121"/>
              <w:rPr>
                <w:sz w:val="18"/>
              </w:rPr>
            </w:pPr>
          </w:p>
          <w:p>
            <w:pPr>
              <w:pStyle w:val="TableParagraph"/>
              <w:ind w:left="150"/>
              <w:rPr>
                <w:i/>
                <w:sz w:val="18"/>
              </w:rPr>
            </w:pPr>
            <w:r>
              <w:rPr>
                <w:i/>
                <w:color w:val="1C1C1C"/>
                <w:sz w:val="18"/>
              </w:rPr>
              <w:t>SLC9C1</w:t>
            </w:r>
            <w:r>
              <w:rPr>
                <w:i/>
                <w:color w:val="1C1C1C"/>
                <w:spacing w:val="-2"/>
                <w:sz w:val="18"/>
              </w:rPr>
              <w:t> (sNHE)</w:t>
            </w:r>
          </w:p>
        </w:tc>
        <w:tc>
          <w:tcPr>
            <w:tcW w:w="4854" w:type="dxa"/>
          </w:tcPr>
          <w:p>
            <w:pPr>
              <w:pStyle w:val="TableParagraph"/>
              <w:spacing w:before="121"/>
              <w:rPr>
                <w:sz w:val="18"/>
              </w:rPr>
            </w:pPr>
          </w:p>
          <w:p>
            <w:pPr>
              <w:pStyle w:val="TableParagraph"/>
              <w:ind w:left="136"/>
              <w:rPr>
                <w:sz w:val="18"/>
              </w:rPr>
            </w:pPr>
            <w:r>
              <w:rPr>
                <w:color w:val="1C1C1C"/>
                <w:sz w:val="18"/>
              </w:rPr>
              <w:t>c.2748</w:t>
            </w:r>
            <w:r>
              <w:rPr>
                <w:color w:val="1C1C1C"/>
                <w:spacing w:val="-3"/>
                <w:sz w:val="18"/>
              </w:rPr>
              <w:t> </w:t>
            </w:r>
            <w:r>
              <w:rPr>
                <w:color w:val="1C1C1C"/>
                <w:sz w:val="18"/>
              </w:rPr>
              <w:t>+</w:t>
            </w:r>
            <w:r>
              <w:rPr>
                <w:color w:val="1C1C1C"/>
                <w:spacing w:val="-3"/>
                <w:sz w:val="18"/>
              </w:rPr>
              <w:t> </w:t>
            </w:r>
            <w:r>
              <w:rPr>
                <w:color w:val="1C1C1C"/>
                <w:sz w:val="18"/>
              </w:rPr>
              <w:t>2T</w:t>
            </w:r>
            <w:r>
              <w:rPr>
                <w:color w:val="1C1C1C"/>
                <w:spacing w:val="-2"/>
                <w:sz w:val="18"/>
              </w:rPr>
              <w:t> </w:t>
            </w:r>
            <w:r>
              <w:rPr>
                <w:color w:val="1C1C1C"/>
                <w:sz w:val="18"/>
              </w:rPr>
              <w:t>&gt;</w:t>
            </w:r>
            <w:r>
              <w:rPr>
                <w:color w:val="1C1C1C"/>
                <w:spacing w:val="-1"/>
                <w:sz w:val="18"/>
              </w:rPr>
              <w:t> </w:t>
            </w:r>
            <w:r>
              <w:rPr>
                <w:color w:val="1C1C1C"/>
                <w:sz w:val="18"/>
              </w:rPr>
              <w:t>C</w:t>
            </w:r>
            <w:r>
              <w:rPr>
                <w:color w:val="1C1C1C"/>
                <w:spacing w:val="-2"/>
                <w:sz w:val="18"/>
              </w:rPr>
              <w:t> </w:t>
            </w:r>
            <w:r>
              <w:rPr>
                <w:color w:val="1C1C1C"/>
                <w:sz w:val="18"/>
              </w:rPr>
              <w:t>(p.Glu884_Lys916del)</w:t>
            </w:r>
            <w:r>
              <w:rPr>
                <w:color w:val="1C1C1C"/>
                <w:spacing w:val="-2"/>
                <w:sz w:val="18"/>
              </w:rPr>
              <w:t> </w:t>
            </w:r>
            <w:r>
              <w:rPr>
                <w:color w:val="1C1C1C"/>
                <w:sz w:val="18"/>
              </w:rPr>
              <w:t>-</w:t>
            </w:r>
            <w:r>
              <w:rPr>
                <w:color w:val="1C1C1C"/>
                <w:spacing w:val="-5"/>
                <w:sz w:val="18"/>
              </w:rPr>
              <w:t>HОМ</w:t>
            </w:r>
          </w:p>
        </w:tc>
        <w:tc>
          <w:tcPr>
            <w:tcW w:w="3102" w:type="dxa"/>
          </w:tcPr>
          <w:p>
            <w:pPr>
              <w:pStyle w:val="TableParagraph"/>
              <w:spacing w:before="121"/>
              <w:rPr>
                <w:sz w:val="18"/>
              </w:rPr>
            </w:pPr>
          </w:p>
          <w:p>
            <w:pPr>
              <w:pStyle w:val="TableParagraph"/>
              <w:ind w:left="137"/>
              <w:rPr>
                <w:sz w:val="18"/>
              </w:rPr>
            </w:pPr>
            <w:r>
              <w:rPr>
                <w:color w:val="1C1C1C"/>
                <w:sz w:val="18"/>
              </w:rPr>
              <w:t>1</w:t>
            </w:r>
            <w:r>
              <w:rPr>
                <w:color w:val="1C1C1C"/>
                <w:spacing w:val="-4"/>
                <w:sz w:val="18"/>
              </w:rPr>
              <w:t> </w:t>
            </w:r>
            <w:r>
              <w:rPr>
                <w:color w:val="1C1C1C"/>
                <w:sz w:val="18"/>
              </w:rPr>
              <w:t>африканский</w:t>
            </w:r>
            <w:r>
              <w:rPr>
                <w:color w:val="1C1C1C"/>
                <w:spacing w:val="-4"/>
                <w:sz w:val="18"/>
              </w:rPr>
              <w:t> </w:t>
            </w:r>
            <w:r>
              <w:rPr>
                <w:color w:val="1C1C1C"/>
                <w:spacing w:val="-2"/>
                <w:sz w:val="18"/>
              </w:rPr>
              <w:t>пациент</w:t>
            </w:r>
          </w:p>
        </w:tc>
        <w:tc>
          <w:tcPr>
            <w:tcW w:w="5329" w:type="dxa"/>
          </w:tcPr>
          <w:p>
            <w:pPr>
              <w:pStyle w:val="TableParagraph"/>
              <w:spacing w:before="85"/>
              <w:ind w:left="136"/>
              <w:rPr>
                <w:sz w:val="18"/>
              </w:rPr>
            </w:pPr>
            <w:r>
              <w:rPr>
                <w:color w:val="1C1C1C"/>
                <w:spacing w:val="-2"/>
                <w:sz w:val="18"/>
              </w:rPr>
              <w:t>Астенозооспермия</w:t>
            </w:r>
          </w:p>
        </w:tc>
      </w:tr>
      <w:tr>
        <w:trPr>
          <w:trHeight w:val="378" w:hRule="atLeast"/>
        </w:trPr>
        <w:tc>
          <w:tcPr>
            <w:tcW w:w="1584" w:type="dxa"/>
            <w:shd w:val="clear" w:color="auto" w:fill="F9F9F9"/>
          </w:tcPr>
          <w:p>
            <w:pPr>
              <w:pStyle w:val="TableParagraph"/>
              <w:spacing w:before="85"/>
              <w:ind w:left="150"/>
              <w:rPr>
                <w:i/>
                <w:sz w:val="18"/>
              </w:rPr>
            </w:pPr>
            <w:r>
              <w:rPr>
                <w:i/>
                <w:color w:val="1C1C1C"/>
                <w:spacing w:val="-2"/>
                <w:sz w:val="18"/>
              </w:rPr>
              <w:t>VDAC2</w:t>
            </w:r>
          </w:p>
        </w:tc>
        <w:tc>
          <w:tcPr>
            <w:tcW w:w="4854" w:type="dxa"/>
            <w:shd w:val="clear" w:color="auto" w:fill="F9F9F9"/>
          </w:tcPr>
          <w:p>
            <w:pPr>
              <w:pStyle w:val="TableParagraph"/>
              <w:spacing w:before="85"/>
              <w:ind w:left="136"/>
              <w:rPr>
                <w:sz w:val="18"/>
              </w:rPr>
            </w:pPr>
            <w:r>
              <w:rPr>
                <w:color w:val="1C1C1C"/>
                <w:sz w:val="18"/>
              </w:rPr>
              <w:t>ГиперметилированиеCpG</w:t>
            </w:r>
            <w:r>
              <w:rPr>
                <w:color w:val="1C1C1C"/>
                <w:spacing w:val="-7"/>
                <w:sz w:val="18"/>
              </w:rPr>
              <w:t> </w:t>
            </w:r>
            <w:r>
              <w:rPr>
                <w:color w:val="1C1C1C"/>
                <w:sz w:val="18"/>
              </w:rPr>
              <w:t>в</w:t>
            </w:r>
            <w:r>
              <w:rPr>
                <w:color w:val="1C1C1C"/>
                <w:spacing w:val="-5"/>
                <w:sz w:val="18"/>
              </w:rPr>
              <w:t> </w:t>
            </w:r>
            <w:r>
              <w:rPr>
                <w:color w:val="1C1C1C"/>
                <w:spacing w:val="-2"/>
                <w:sz w:val="18"/>
              </w:rPr>
              <w:t>промоторе</w:t>
            </w:r>
          </w:p>
        </w:tc>
        <w:tc>
          <w:tcPr>
            <w:tcW w:w="3102" w:type="dxa"/>
            <w:shd w:val="clear" w:color="auto" w:fill="F9F9F9"/>
          </w:tcPr>
          <w:p>
            <w:pPr>
              <w:pStyle w:val="TableParagraph"/>
              <w:spacing w:before="85"/>
              <w:ind w:left="137"/>
              <w:rPr>
                <w:sz w:val="18"/>
              </w:rPr>
            </w:pPr>
            <w:r>
              <w:rPr>
                <w:color w:val="1C1C1C"/>
                <w:sz w:val="18"/>
              </w:rPr>
              <w:t>25</w:t>
            </w:r>
            <w:r>
              <w:rPr>
                <w:color w:val="1C1C1C"/>
                <w:spacing w:val="-3"/>
                <w:sz w:val="18"/>
              </w:rPr>
              <w:t> </w:t>
            </w:r>
            <w:r>
              <w:rPr>
                <w:color w:val="1C1C1C"/>
                <w:sz w:val="18"/>
              </w:rPr>
              <w:t>китайских</w:t>
            </w:r>
            <w:r>
              <w:rPr>
                <w:color w:val="1C1C1C"/>
                <w:spacing w:val="-3"/>
                <w:sz w:val="18"/>
              </w:rPr>
              <w:t> </w:t>
            </w:r>
            <w:r>
              <w:rPr>
                <w:color w:val="1C1C1C"/>
                <w:spacing w:val="-2"/>
                <w:sz w:val="18"/>
              </w:rPr>
              <w:t>пациентов</w:t>
            </w:r>
          </w:p>
        </w:tc>
        <w:tc>
          <w:tcPr>
            <w:tcW w:w="5329" w:type="dxa"/>
            <w:shd w:val="clear" w:color="auto" w:fill="F9F9F9"/>
          </w:tcPr>
          <w:p>
            <w:pPr>
              <w:pStyle w:val="TableParagraph"/>
              <w:spacing w:before="85"/>
              <w:ind w:left="136"/>
              <w:rPr>
                <w:sz w:val="18"/>
              </w:rPr>
            </w:pPr>
            <w:r>
              <w:rPr>
                <w:color w:val="1C1C1C"/>
                <w:sz w:val="18"/>
              </w:rPr>
              <w:t>Идиопатическая</w:t>
            </w:r>
            <w:r>
              <w:rPr>
                <w:color w:val="1C1C1C"/>
                <w:spacing w:val="-9"/>
                <w:sz w:val="18"/>
              </w:rPr>
              <w:t> </w:t>
            </w:r>
            <w:r>
              <w:rPr>
                <w:color w:val="1C1C1C"/>
                <w:spacing w:val="-2"/>
                <w:sz w:val="18"/>
              </w:rPr>
              <w:t>астенозооспермия</w:t>
            </w:r>
          </w:p>
        </w:tc>
      </w:tr>
      <w:tr>
        <w:trPr>
          <w:trHeight w:val="377" w:hRule="atLeast"/>
        </w:trPr>
        <w:tc>
          <w:tcPr>
            <w:tcW w:w="1584" w:type="dxa"/>
            <w:vMerge w:val="restart"/>
            <w:tcBorders>
              <w:bottom w:val="single" w:sz="4" w:space="0" w:color="000000"/>
              <w:right w:val="thinThickMediumGap" w:sz="3" w:space="0" w:color="000000"/>
            </w:tcBorders>
          </w:tcPr>
          <w:p>
            <w:pPr>
              <w:pStyle w:val="TableParagraph"/>
              <w:rPr>
                <w:sz w:val="18"/>
              </w:rPr>
            </w:pPr>
          </w:p>
          <w:p>
            <w:pPr>
              <w:pStyle w:val="TableParagraph"/>
              <w:spacing w:before="185"/>
              <w:rPr>
                <w:sz w:val="18"/>
              </w:rPr>
            </w:pPr>
          </w:p>
          <w:p>
            <w:pPr>
              <w:pStyle w:val="TableParagraph"/>
              <w:ind w:left="150"/>
              <w:rPr>
                <w:i/>
                <w:sz w:val="18"/>
              </w:rPr>
            </w:pPr>
            <w:r>
              <w:rPr>
                <w:i/>
                <w:color w:val="1C1C1C"/>
                <w:spacing w:val="-2"/>
                <w:sz w:val="18"/>
              </w:rPr>
              <w:t>VDAC3</w:t>
            </w:r>
          </w:p>
        </w:tc>
        <w:tc>
          <w:tcPr>
            <w:tcW w:w="4854" w:type="dxa"/>
          </w:tcPr>
          <w:p>
            <w:pPr>
              <w:pStyle w:val="TableParagraph"/>
              <w:spacing w:before="85"/>
              <w:ind w:left="136"/>
              <w:rPr>
                <w:sz w:val="18"/>
              </w:rPr>
            </w:pPr>
            <w:r>
              <w:rPr>
                <w:color w:val="1C1C1C"/>
                <w:sz w:val="18"/>
              </w:rPr>
              <w:t>Варианты</w:t>
            </w:r>
            <w:r>
              <w:rPr>
                <w:color w:val="1C1C1C"/>
                <w:spacing w:val="-4"/>
                <w:sz w:val="18"/>
              </w:rPr>
              <w:t> </w:t>
            </w:r>
            <w:r>
              <w:rPr>
                <w:color w:val="1C1C1C"/>
                <w:sz w:val="18"/>
              </w:rPr>
              <w:t>миссенс</w:t>
            </w:r>
            <w:r>
              <w:rPr>
                <w:color w:val="1C1C1C"/>
                <w:spacing w:val="-3"/>
                <w:sz w:val="18"/>
              </w:rPr>
              <w:t> </w:t>
            </w:r>
            <w:r>
              <w:rPr>
                <w:color w:val="1C1C1C"/>
                <w:sz w:val="18"/>
              </w:rPr>
              <w:t>в</w:t>
            </w:r>
            <w:r>
              <w:rPr>
                <w:color w:val="1C1C1C"/>
                <w:spacing w:val="-3"/>
                <w:sz w:val="18"/>
              </w:rPr>
              <w:t> </w:t>
            </w:r>
            <w:r>
              <w:rPr>
                <w:color w:val="1C1C1C"/>
                <w:sz w:val="18"/>
              </w:rPr>
              <w:t>экзоне</w:t>
            </w:r>
            <w:r>
              <w:rPr>
                <w:color w:val="1C1C1C"/>
                <w:spacing w:val="-3"/>
                <w:sz w:val="18"/>
              </w:rPr>
              <w:t> </w:t>
            </w:r>
            <w:r>
              <w:rPr>
                <w:color w:val="1C1C1C"/>
                <w:sz w:val="18"/>
              </w:rPr>
              <w:t>6</w:t>
            </w:r>
            <w:r>
              <w:rPr>
                <w:color w:val="1C1C1C"/>
                <w:spacing w:val="-1"/>
                <w:sz w:val="18"/>
              </w:rPr>
              <w:t> </w:t>
            </w:r>
            <w:r>
              <w:rPr>
                <w:color w:val="1C1C1C"/>
                <w:sz w:val="18"/>
              </w:rPr>
              <w:t>(Ile131Leu,</w:t>
            </w:r>
            <w:r>
              <w:rPr>
                <w:color w:val="1C1C1C"/>
                <w:spacing w:val="-1"/>
                <w:sz w:val="18"/>
              </w:rPr>
              <w:t> </w:t>
            </w:r>
            <w:r>
              <w:rPr>
                <w:color w:val="1C1C1C"/>
                <w:spacing w:val="-2"/>
                <w:sz w:val="18"/>
              </w:rPr>
              <w:t>Lys171Glu)</w:t>
            </w:r>
          </w:p>
        </w:tc>
        <w:tc>
          <w:tcPr>
            <w:tcW w:w="3102" w:type="dxa"/>
          </w:tcPr>
          <w:p>
            <w:pPr>
              <w:pStyle w:val="TableParagraph"/>
              <w:spacing w:before="85"/>
              <w:ind w:left="137"/>
              <w:rPr>
                <w:sz w:val="18"/>
              </w:rPr>
            </w:pPr>
            <w:r>
              <w:rPr>
                <w:color w:val="1C1C1C"/>
                <w:sz w:val="18"/>
              </w:rPr>
              <w:t>-</w:t>
            </w:r>
          </w:p>
        </w:tc>
        <w:tc>
          <w:tcPr>
            <w:tcW w:w="5329" w:type="dxa"/>
          </w:tcPr>
          <w:p>
            <w:pPr>
              <w:pStyle w:val="TableParagraph"/>
              <w:spacing w:before="85"/>
              <w:ind w:left="136"/>
              <w:rPr>
                <w:sz w:val="18"/>
              </w:rPr>
            </w:pPr>
            <w:r>
              <w:rPr>
                <w:color w:val="1C1C1C"/>
                <w:spacing w:val="-2"/>
                <w:sz w:val="18"/>
              </w:rPr>
              <w:t>Астенозооспермия</w:t>
            </w:r>
          </w:p>
        </w:tc>
      </w:tr>
      <w:tr>
        <w:trPr>
          <w:trHeight w:val="997" w:hRule="atLeast"/>
        </w:trPr>
        <w:tc>
          <w:tcPr>
            <w:tcW w:w="1584" w:type="dxa"/>
            <w:vMerge/>
            <w:tcBorders>
              <w:top w:val="nil"/>
              <w:bottom w:val="single" w:sz="4" w:space="0" w:color="000000"/>
              <w:right w:val="thinThickMediumGap" w:sz="3" w:space="0" w:color="000000"/>
            </w:tcBorders>
          </w:tcPr>
          <w:p>
            <w:pPr>
              <w:rPr>
                <w:sz w:val="2"/>
                <w:szCs w:val="2"/>
              </w:rPr>
            </w:pPr>
          </w:p>
        </w:tc>
        <w:tc>
          <w:tcPr>
            <w:tcW w:w="4854" w:type="dxa"/>
            <w:shd w:val="clear" w:color="auto" w:fill="F9F9F9"/>
          </w:tcPr>
          <w:p>
            <w:pPr>
              <w:pStyle w:val="TableParagraph"/>
              <w:spacing w:before="83"/>
              <w:ind w:left="136"/>
              <w:rPr>
                <w:sz w:val="18"/>
              </w:rPr>
            </w:pPr>
            <w:r>
              <w:rPr>
                <w:color w:val="1C1C1C"/>
                <w:sz w:val="18"/>
              </w:rPr>
              <w:t>3</w:t>
            </w:r>
            <w:r>
              <w:rPr>
                <w:color w:val="1C1C1C"/>
                <w:spacing w:val="-2"/>
                <w:sz w:val="18"/>
              </w:rPr>
              <w:t> </w:t>
            </w:r>
            <w:r>
              <w:rPr>
                <w:color w:val="1C1C1C"/>
                <w:sz w:val="18"/>
              </w:rPr>
              <w:t>пациента:</w:t>
            </w:r>
            <w:r>
              <w:rPr>
                <w:color w:val="1C1C1C"/>
                <w:spacing w:val="-2"/>
                <w:sz w:val="18"/>
              </w:rPr>
              <w:t> </w:t>
            </w:r>
            <w:r>
              <w:rPr>
                <w:color w:val="1C1C1C"/>
                <w:sz w:val="18"/>
              </w:rPr>
              <w:t>делеция</w:t>
            </w:r>
            <w:r>
              <w:rPr>
                <w:color w:val="1C1C1C"/>
                <w:spacing w:val="-2"/>
                <w:sz w:val="18"/>
              </w:rPr>
              <w:t> </w:t>
            </w:r>
            <w:r>
              <w:rPr>
                <w:color w:val="1C1C1C"/>
                <w:sz w:val="18"/>
              </w:rPr>
              <w:t>в</w:t>
            </w:r>
            <w:r>
              <w:rPr>
                <w:color w:val="1C1C1C"/>
                <w:spacing w:val="-4"/>
                <w:sz w:val="18"/>
              </w:rPr>
              <w:t> </w:t>
            </w:r>
            <w:r>
              <w:rPr>
                <w:color w:val="1C1C1C"/>
                <w:sz w:val="18"/>
              </w:rPr>
              <w:t>экзоне</w:t>
            </w:r>
            <w:r>
              <w:rPr>
                <w:color w:val="1C1C1C"/>
                <w:spacing w:val="-3"/>
                <w:sz w:val="18"/>
              </w:rPr>
              <w:t> </w:t>
            </w:r>
            <w:r>
              <w:rPr>
                <w:color w:val="1C1C1C"/>
                <w:spacing w:val="-10"/>
                <w:sz w:val="18"/>
              </w:rPr>
              <w:t>5</w:t>
            </w:r>
          </w:p>
          <w:p>
            <w:pPr>
              <w:pStyle w:val="TableParagraph"/>
              <w:spacing w:line="207" w:lineRule="exact" w:before="2"/>
              <w:ind w:left="136"/>
              <w:rPr>
                <w:sz w:val="18"/>
              </w:rPr>
            </w:pPr>
            <w:r>
              <w:rPr>
                <w:color w:val="1C1C1C"/>
                <w:sz w:val="18"/>
              </w:rPr>
              <w:t>1</w:t>
            </w:r>
            <w:r>
              <w:rPr>
                <w:color w:val="1C1C1C"/>
                <w:spacing w:val="-3"/>
                <w:sz w:val="18"/>
              </w:rPr>
              <w:t> </w:t>
            </w:r>
            <w:r>
              <w:rPr>
                <w:color w:val="1C1C1C"/>
                <w:sz w:val="18"/>
              </w:rPr>
              <w:t>пациент:</w:t>
            </w:r>
            <w:r>
              <w:rPr>
                <w:color w:val="1C1C1C"/>
                <w:spacing w:val="-2"/>
                <w:sz w:val="18"/>
              </w:rPr>
              <w:t> </w:t>
            </w:r>
            <w:r>
              <w:rPr>
                <w:color w:val="1C1C1C"/>
                <w:sz w:val="18"/>
              </w:rPr>
              <w:t>делеция</w:t>
            </w:r>
            <w:r>
              <w:rPr>
                <w:color w:val="1C1C1C"/>
                <w:spacing w:val="-2"/>
                <w:sz w:val="18"/>
              </w:rPr>
              <w:t> </w:t>
            </w:r>
            <w:r>
              <w:rPr>
                <w:color w:val="1C1C1C"/>
                <w:sz w:val="18"/>
              </w:rPr>
              <w:t>в</w:t>
            </w:r>
            <w:r>
              <w:rPr>
                <w:color w:val="1C1C1C"/>
                <w:spacing w:val="-4"/>
                <w:sz w:val="18"/>
              </w:rPr>
              <w:t> </w:t>
            </w:r>
            <w:r>
              <w:rPr>
                <w:color w:val="1C1C1C"/>
                <w:sz w:val="18"/>
              </w:rPr>
              <w:t>экзоне</w:t>
            </w:r>
            <w:r>
              <w:rPr>
                <w:color w:val="1C1C1C"/>
                <w:spacing w:val="-4"/>
                <w:sz w:val="18"/>
              </w:rPr>
              <w:t> </w:t>
            </w:r>
            <w:r>
              <w:rPr>
                <w:color w:val="1C1C1C"/>
                <w:spacing w:val="-10"/>
                <w:sz w:val="18"/>
              </w:rPr>
              <w:t>7</w:t>
            </w:r>
          </w:p>
          <w:p>
            <w:pPr>
              <w:pStyle w:val="TableParagraph"/>
              <w:spacing w:line="207" w:lineRule="exact"/>
              <w:ind w:left="136"/>
              <w:rPr>
                <w:sz w:val="18"/>
              </w:rPr>
            </w:pPr>
            <w:r>
              <w:rPr>
                <w:color w:val="1C1C1C"/>
                <w:sz w:val="18"/>
              </w:rPr>
              <w:t>1</w:t>
            </w:r>
            <w:r>
              <w:rPr>
                <w:color w:val="1C1C1C"/>
                <w:spacing w:val="-2"/>
                <w:sz w:val="18"/>
              </w:rPr>
              <w:t> </w:t>
            </w:r>
            <w:r>
              <w:rPr>
                <w:color w:val="1C1C1C"/>
                <w:sz w:val="18"/>
              </w:rPr>
              <w:t>пациент:</w:t>
            </w:r>
            <w:r>
              <w:rPr>
                <w:color w:val="1C1C1C"/>
                <w:spacing w:val="-1"/>
                <w:sz w:val="18"/>
              </w:rPr>
              <w:t> </w:t>
            </w:r>
            <w:r>
              <w:rPr>
                <w:color w:val="1C1C1C"/>
                <w:sz w:val="18"/>
              </w:rPr>
              <w:t>делеция</w:t>
            </w:r>
            <w:r>
              <w:rPr>
                <w:color w:val="1C1C1C"/>
                <w:spacing w:val="-1"/>
                <w:sz w:val="18"/>
              </w:rPr>
              <w:t> </w:t>
            </w:r>
            <w:r>
              <w:rPr>
                <w:color w:val="1C1C1C"/>
                <w:sz w:val="18"/>
              </w:rPr>
              <w:t>в</w:t>
            </w:r>
            <w:r>
              <w:rPr>
                <w:color w:val="1C1C1C"/>
                <w:spacing w:val="-4"/>
                <w:sz w:val="18"/>
              </w:rPr>
              <w:t> </w:t>
            </w:r>
            <w:r>
              <w:rPr>
                <w:color w:val="1C1C1C"/>
                <w:sz w:val="18"/>
              </w:rPr>
              <w:t>экзоне</w:t>
            </w:r>
            <w:r>
              <w:rPr>
                <w:color w:val="1C1C1C"/>
                <w:spacing w:val="-3"/>
                <w:sz w:val="18"/>
              </w:rPr>
              <w:t> </w:t>
            </w:r>
            <w:r>
              <w:rPr>
                <w:color w:val="1C1C1C"/>
                <w:sz w:val="18"/>
              </w:rPr>
              <w:t>5</w:t>
            </w:r>
            <w:r>
              <w:rPr>
                <w:color w:val="1C1C1C"/>
                <w:spacing w:val="-1"/>
                <w:sz w:val="18"/>
              </w:rPr>
              <w:t> </w:t>
            </w:r>
            <w:r>
              <w:rPr>
                <w:color w:val="1C1C1C"/>
                <w:sz w:val="18"/>
              </w:rPr>
              <w:t>и</w:t>
            </w:r>
            <w:r>
              <w:rPr>
                <w:color w:val="1C1C1C"/>
                <w:spacing w:val="-2"/>
                <w:sz w:val="18"/>
              </w:rPr>
              <w:t> </w:t>
            </w:r>
            <w:r>
              <w:rPr>
                <w:color w:val="1C1C1C"/>
                <w:spacing w:val="-10"/>
                <w:sz w:val="18"/>
              </w:rPr>
              <w:t>7</w:t>
            </w:r>
          </w:p>
        </w:tc>
        <w:tc>
          <w:tcPr>
            <w:tcW w:w="3102" w:type="dxa"/>
            <w:shd w:val="clear" w:color="auto" w:fill="F9F9F9"/>
          </w:tcPr>
          <w:p>
            <w:pPr>
              <w:pStyle w:val="TableParagraph"/>
              <w:spacing w:before="188"/>
              <w:rPr>
                <w:sz w:val="18"/>
              </w:rPr>
            </w:pPr>
          </w:p>
          <w:p>
            <w:pPr>
              <w:pStyle w:val="TableParagraph"/>
              <w:ind w:left="137"/>
              <w:rPr>
                <w:sz w:val="18"/>
              </w:rPr>
            </w:pPr>
            <w:r>
              <w:rPr>
                <w:color w:val="1C1C1C"/>
                <w:sz w:val="18"/>
              </w:rPr>
              <w:t>5</w:t>
            </w:r>
            <w:r>
              <w:rPr>
                <w:color w:val="1C1C1C"/>
                <w:spacing w:val="-4"/>
                <w:sz w:val="18"/>
              </w:rPr>
              <w:t> </w:t>
            </w:r>
            <w:r>
              <w:rPr>
                <w:color w:val="1C1C1C"/>
                <w:sz w:val="18"/>
              </w:rPr>
              <w:t>китайских</w:t>
            </w:r>
            <w:r>
              <w:rPr>
                <w:color w:val="1C1C1C"/>
                <w:spacing w:val="-3"/>
                <w:sz w:val="18"/>
              </w:rPr>
              <w:t> </w:t>
            </w:r>
            <w:r>
              <w:rPr>
                <w:color w:val="1C1C1C"/>
                <w:spacing w:val="-2"/>
                <w:sz w:val="18"/>
              </w:rPr>
              <w:t>пациентов</w:t>
            </w:r>
          </w:p>
        </w:tc>
        <w:tc>
          <w:tcPr>
            <w:tcW w:w="5329" w:type="dxa"/>
            <w:shd w:val="clear" w:color="auto" w:fill="F9F9F9"/>
          </w:tcPr>
          <w:p>
            <w:pPr>
              <w:pStyle w:val="TableParagraph"/>
              <w:spacing w:before="188"/>
              <w:rPr>
                <w:sz w:val="18"/>
              </w:rPr>
            </w:pPr>
          </w:p>
          <w:p>
            <w:pPr>
              <w:pStyle w:val="TableParagraph"/>
              <w:ind w:left="136"/>
              <w:rPr>
                <w:sz w:val="18"/>
              </w:rPr>
            </w:pPr>
            <w:r>
              <w:rPr>
                <w:color w:val="1C1C1C"/>
                <w:spacing w:val="-2"/>
                <w:sz w:val="18"/>
              </w:rPr>
              <w:t>Астенозооспермия</w:t>
            </w:r>
          </w:p>
        </w:tc>
      </w:tr>
      <w:tr>
        <w:trPr>
          <w:trHeight w:val="375" w:hRule="atLeast"/>
        </w:trPr>
        <w:tc>
          <w:tcPr>
            <w:tcW w:w="1584" w:type="dxa"/>
            <w:tcBorders>
              <w:top w:val="single" w:sz="4" w:space="0" w:color="000000"/>
            </w:tcBorders>
          </w:tcPr>
          <w:p>
            <w:pPr>
              <w:pStyle w:val="TableParagraph"/>
              <w:spacing w:before="85"/>
              <w:ind w:left="150"/>
              <w:rPr>
                <w:i/>
                <w:sz w:val="18"/>
              </w:rPr>
            </w:pPr>
            <w:r>
              <w:rPr>
                <w:i/>
                <w:color w:val="1C1C1C"/>
                <w:spacing w:val="-4"/>
                <w:sz w:val="18"/>
              </w:rPr>
              <w:t>SLO3</w:t>
            </w:r>
          </w:p>
        </w:tc>
        <w:tc>
          <w:tcPr>
            <w:tcW w:w="4854" w:type="dxa"/>
          </w:tcPr>
          <w:p>
            <w:pPr>
              <w:pStyle w:val="TableParagraph"/>
              <w:spacing w:before="85"/>
              <w:ind w:left="136"/>
              <w:rPr>
                <w:sz w:val="18"/>
              </w:rPr>
            </w:pPr>
            <w:r>
              <w:rPr>
                <w:color w:val="1C1C1C"/>
                <w:sz w:val="18"/>
              </w:rPr>
              <w:t>Вариант</w:t>
            </w:r>
            <w:r>
              <w:rPr>
                <w:color w:val="1C1C1C"/>
                <w:spacing w:val="-1"/>
                <w:sz w:val="18"/>
              </w:rPr>
              <w:t> </w:t>
            </w:r>
            <w:r>
              <w:rPr>
                <w:color w:val="1C1C1C"/>
                <w:sz w:val="18"/>
              </w:rPr>
              <w:t>Missense</w:t>
            </w:r>
            <w:r>
              <w:rPr>
                <w:color w:val="1C1C1C"/>
                <w:spacing w:val="-3"/>
                <w:sz w:val="18"/>
              </w:rPr>
              <w:t> </w:t>
            </w:r>
            <w:r>
              <w:rPr>
                <w:color w:val="1C1C1C"/>
                <w:sz w:val="18"/>
              </w:rPr>
              <w:t>c.1237A</w:t>
            </w:r>
            <w:r>
              <w:rPr>
                <w:color w:val="1C1C1C"/>
                <w:spacing w:val="-2"/>
                <w:sz w:val="18"/>
              </w:rPr>
              <w:t> </w:t>
            </w:r>
            <w:r>
              <w:rPr>
                <w:color w:val="1C1C1C"/>
                <w:sz w:val="18"/>
              </w:rPr>
              <w:t>&gt;</w:t>
            </w:r>
            <w:r>
              <w:rPr>
                <w:color w:val="1C1C1C"/>
                <w:spacing w:val="-3"/>
                <w:sz w:val="18"/>
              </w:rPr>
              <w:t> </w:t>
            </w:r>
            <w:r>
              <w:rPr>
                <w:color w:val="1C1C1C"/>
                <w:sz w:val="18"/>
              </w:rPr>
              <w:t>T,</w:t>
            </w:r>
            <w:r>
              <w:rPr>
                <w:color w:val="1C1C1C"/>
                <w:spacing w:val="-4"/>
                <w:sz w:val="18"/>
              </w:rPr>
              <w:t> </w:t>
            </w:r>
            <w:r>
              <w:rPr>
                <w:color w:val="1C1C1C"/>
                <w:sz w:val="18"/>
              </w:rPr>
              <w:t>p.Ile413Phe-</w:t>
            </w:r>
            <w:r>
              <w:rPr>
                <w:color w:val="1C1C1C"/>
                <w:spacing w:val="-1"/>
                <w:sz w:val="18"/>
              </w:rPr>
              <w:t> </w:t>
            </w:r>
            <w:r>
              <w:rPr>
                <w:color w:val="1C1C1C"/>
                <w:spacing w:val="-5"/>
                <w:sz w:val="18"/>
              </w:rPr>
              <w:t>HОМ</w:t>
            </w:r>
          </w:p>
        </w:tc>
        <w:tc>
          <w:tcPr>
            <w:tcW w:w="3102" w:type="dxa"/>
          </w:tcPr>
          <w:p>
            <w:pPr>
              <w:pStyle w:val="TableParagraph"/>
              <w:spacing w:before="85"/>
              <w:ind w:left="137"/>
              <w:rPr>
                <w:sz w:val="18"/>
              </w:rPr>
            </w:pPr>
            <w:r>
              <w:rPr>
                <w:color w:val="1C1C1C"/>
                <w:sz w:val="18"/>
              </w:rPr>
              <w:t>1</w:t>
            </w:r>
            <w:r>
              <w:rPr>
                <w:color w:val="1C1C1C"/>
                <w:spacing w:val="-4"/>
                <w:sz w:val="18"/>
              </w:rPr>
              <w:t> </w:t>
            </w:r>
            <w:r>
              <w:rPr>
                <w:color w:val="1C1C1C"/>
                <w:sz w:val="18"/>
              </w:rPr>
              <w:t>китайский</w:t>
            </w:r>
            <w:r>
              <w:rPr>
                <w:color w:val="1C1C1C"/>
                <w:spacing w:val="-4"/>
                <w:sz w:val="18"/>
              </w:rPr>
              <w:t> </w:t>
            </w:r>
            <w:r>
              <w:rPr>
                <w:color w:val="1C1C1C"/>
                <w:spacing w:val="-2"/>
                <w:sz w:val="18"/>
              </w:rPr>
              <w:t>пациент</w:t>
            </w:r>
          </w:p>
        </w:tc>
        <w:tc>
          <w:tcPr>
            <w:tcW w:w="5329" w:type="dxa"/>
          </w:tcPr>
          <w:p>
            <w:pPr>
              <w:pStyle w:val="TableParagraph"/>
              <w:spacing w:before="85"/>
              <w:ind w:left="136"/>
              <w:rPr>
                <w:sz w:val="18"/>
              </w:rPr>
            </w:pPr>
            <w:r>
              <w:rPr>
                <w:color w:val="1C1C1C"/>
                <w:spacing w:val="-2"/>
                <w:sz w:val="18"/>
              </w:rPr>
              <w:t>Астенотератозооспермия</w:t>
            </w:r>
          </w:p>
        </w:tc>
      </w:tr>
      <w:tr>
        <w:trPr>
          <w:trHeight w:val="585" w:hRule="atLeast"/>
        </w:trPr>
        <w:tc>
          <w:tcPr>
            <w:tcW w:w="1584" w:type="dxa"/>
            <w:shd w:val="clear" w:color="auto" w:fill="F9F9F9"/>
          </w:tcPr>
          <w:p>
            <w:pPr>
              <w:pStyle w:val="TableParagraph"/>
              <w:spacing w:before="189"/>
              <w:ind w:left="150"/>
              <w:rPr>
                <w:i/>
                <w:sz w:val="18"/>
              </w:rPr>
            </w:pPr>
            <w:r>
              <w:rPr>
                <w:i/>
                <w:color w:val="1C1C1C"/>
                <w:sz w:val="18"/>
              </w:rPr>
              <w:t>PKD1</w:t>
            </w:r>
            <w:r>
              <w:rPr>
                <w:i/>
                <w:color w:val="1C1C1C"/>
                <w:spacing w:val="-1"/>
                <w:sz w:val="18"/>
              </w:rPr>
              <w:t> </w:t>
            </w:r>
            <w:r>
              <w:rPr>
                <w:i/>
                <w:color w:val="1C1C1C"/>
                <w:sz w:val="18"/>
              </w:rPr>
              <w:t>-</w:t>
            </w:r>
            <w:r>
              <w:rPr>
                <w:i/>
                <w:color w:val="1C1C1C"/>
                <w:spacing w:val="-10"/>
                <w:sz w:val="18"/>
              </w:rPr>
              <w:t>2</w:t>
            </w:r>
          </w:p>
        </w:tc>
        <w:tc>
          <w:tcPr>
            <w:tcW w:w="4854" w:type="dxa"/>
            <w:shd w:val="clear" w:color="auto" w:fill="F9F9F9"/>
          </w:tcPr>
          <w:p>
            <w:pPr>
              <w:pStyle w:val="TableParagraph"/>
              <w:spacing w:before="189"/>
              <w:ind w:left="136"/>
              <w:rPr>
                <w:i/>
                <w:sz w:val="18"/>
              </w:rPr>
            </w:pPr>
            <w:r>
              <w:rPr>
                <w:color w:val="1C1C1C"/>
                <w:sz w:val="18"/>
              </w:rPr>
              <w:t>Несколько</w:t>
            </w:r>
            <w:r>
              <w:rPr>
                <w:color w:val="1C1C1C"/>
                <w:spacing w:val="-3"/>
                <w:sz w:val="18"/>
              </w:rPr>
              <w:t> </w:t>
            </w:r>
            <w:r>
              <w:rPr>
                <w:color w:val="1C1C1C"/>
                <w:sz w:val="18"/>
              </w:rPr>
              <w:t>мутаций</w:t>
            </w:r>
            <w:r>
              <w:rPr>
                <w:color w:val="1C1C1C"/>
                <w:spacing w:val="-3"/>
                <w:sz w:val="18"/>
              </w:rPr>
              <w:t> </w:t>
            </w:r>
            <w:r>
              <w:rPr>
                <w:i/>
                <w:color w:val="1C1C1C"/>
                <w:sz w:val="18"/>
              </w:rPr>
              <w:t>PKD1</w:t>
            </w:r>
            <w:r>
              <w:rPr>
                <w:i/>
                <w:color w:val="1C1C1C"/>
                <w:spacing w:val="-4"/>
                <w:sz w:val="18"/>
              </w:rPr>
              <w:t> </w:t>
            </w:r>
            <w:r>
              <w:rPr>
                <w:color w:val="1C1C1C"/>
                <w:sz w:val="18"/>
              </w:rPr>
              <w:t>или</w:t>
            </w:r>
            <w:r>
              <w:rPr>
                <w:color w:val="1C1C1C"/>
                <w:spacing w:val="-3"/>
                <w:sz w:val="18"/>
              </w:rPr>
              <w:t> </w:t>
            </w:r>
            <w:r>
              <w:rPr>
                <w:i/>
                <w:color w:val="1C1C1C"/>
                <w:spacing w:val="-4"/>
                <w:sz w:val="18"/>
              </w:rPr>
              <w:t>PKD2</w:t>
            </w:r>
          </w:p>
        </w:tc>
        <w:tc>
          <w:tcPr>
            <w:tcW w:w="3102" w:type="dxa"/>
            <w:shd w:val="clear" w:color="auto" w:fill="F9F9F9"/>
          </w:tcPr>
          <w:p>
            <w:pPr>
              <w:pStyle w:val="TableParagraph"/>
              <w:spacing w:before="189"/>
              <w:ind w:left="137"/>
              <w:rPr>
                <w:sz w:val="18"/>
              </w:rPr>
            </w:pPr>
            <w:r>
              <w:rPr>
                <w:color w:val="1C1C1C"/>
                <w:sz w:val="18"/>
              </w:rPr>
              <w:t>46</w:t>
            </w:r>
            <w:r>
              <w:rPr>
                <w:color w:val="1C1C1C"/>
                <w:spacing w:val="-3"/>
                <w:sz w:val="18"/>
              </w:rPr>
              <w:t> </w:t>
            </w:r>
            <w:r>
              <w:rPr>
                <w:color w:val="1C1C1C"/>
                <w:sz w:val="18"/>
              </w:rPr>
              <w:t>китайских</w:t>
            </w:r>
            <w:r>
              <w:rPr>
                <w:color w:val="1C1C1C"/>
                <w:spacing w:val="-3"/>
                <w:sz w:val="18"/>
              </w:rPr>
              <w:t> </w:t>
            </w:r>
            <w:r>
              <w:rPr>
                <w:color w:val="1C1C1C"/>
                <w:spacing w:val="-2"/>
                <w:sz w:val="18"/>
              </w:rPr>
              <w:t>пациентов</w:t>
            </w:r>
          </w:p>
        </w:tc>
        <w:tc>
          <w:tcPr>
            <w:tcW w:w="5329" w:type="dxa"/>
            <w:shd w:val="clear" w:color="auto" w:fill="F9F9F9"/>
          </w:tcPr>
          <w:p>
            <w:pPr>
              <w:pStyle w:val="TableParagraph"/>
              <w:spacing w:before="85"/>
              <w:ind w:left="136" w:right="147"/>
              <w:rPr>
                <w:sz w:val="18"/>
              </w:rPr>
            </w:pPr>
            <w:r>
              <w:rPr>
                <w:color w:val="1C1C1C"/>
                <w:sz w:val="18"/>
              </w:rPr>
              <w:t>Аутосомно-доминантный</w:t>
            </w:r>
            <w:r>
              <w:rPr>
                <w:color w:val="1C1C1C"/>
                <w:spacing w:val="-10"/>
                <w:sz w:val="18"/>
              </w:rPr>
              <w:t> </w:t>
            </w:r>
            <w:r>
              <w:rPr>
                <w:color w:val="1C1C1C"/>
                <w:sz w:val="18"/>
              </w:rPr>
              <w:t>поликистоз</w:t>
            </w:r>
            <w:r>
              <w:rPr>
                <w:color w:val="1C1C1C"/>
                <w:spacing w:val="-9"/>
                <w:sz w:val="18"/>
              </w:rPr>
              <w:t> </w:t>
            </w:r>
            <w:r>
              <w:rPr>
                <w:color w:val="1C1C1C"/>
                <w:sz w:val="18"/>
              </w:rPr>
              <w:t>почек;37/46</w:t>
            </w:r>
            <w:r>
              <w:rPr>
                <w:color w:val="1C1C1C"/>
                <w:spacing w:val="-9"/>
                <w:sz w:val="18"/>
              </w:rPr>
              <w:t> </w:t>
            </w:r>
            <w:r>
              <w:rPr>
                <w:color w:val="1C1C1C"/>
                <w:sz w:val="18"/>
              </w:rPr>
              <w:t>пациентов</w:t>
            </w:r>
            <w:r>
              <w:rPr>
                <w:color w:val="1C1C1C"/>
                <w:spacing w:val="-11"/>
                <w:sz w:val="18"/>
              </w:rPr>
              <w:t> </w:t>
            </w:r>
            <w:r>
              <w:rPr>
                <w:color w:val="1C1C1C"/>
                <w:sz w:val="18"/>
              </w:rPr>
              <w:t>с АСТ, ОАТ, АЗОО</w:t>
            </w:r>
          </w:p>
        </w:tc>
      </w:tr>
    </w:tbl>
    <w:p>
      <w:pPr>
        <w:pStyle w:val="TableParagraph"/>
        <w:spacing w:after="0"/>
        <w:rPr>
          <w:sz w:val="18"/>
        </w:rPr>
        <w:sectPr>
          <w:pgSz w:w="16840" w:h="11910" w:orient="landscape"/>
          <w:pgMar w:header="0" w:footer="1002" w:top="840" w:bottom="1200" w:left="850" w:right="850"/>
        </w:sectPr>
      </w:pPr>
    </w:p>
    <w:p>
      <w:pPr>
        <w:pStyle w:val="BodyText"/>
        <w:spacing w:line="256" w:lineRule="auto" w:before="75"/>
        <w:ind w:left="1" w:right="136" w:firstLine="708"/>
      </w:pPr>
      <w:r>
        <w:rPr/>
        <w:t>Таким образом, астенозооспермия – состояние, этиология которого</w:t>
      </w:r>
      <w:r>
        <w:rPr>
          <w:spacing w:val="80"/>
        </w:rPr>
        <w:t> </w:t>
      </w:r>
      <w:r>
        <w:rPr/>
        <w:t>достаточно хорошо описана, однако пути воздействия на улучшение двигательной активности сперматозоидов все еще недостаточно внедрены в практику. Подавляющее большинство пациентов преодолевают эту проблему в клиниках ВРТ, где специалисты ограничены стандартными протоколами внутриматочной инсеминации, ЭКО и ЭКО с применением ИКСИ.</w:t>
      </w:r>
    </w:p>
    <w:p>
      <w:pPr>
        <w:pStyle w:val="BodyText"/>
        <w:spacing w:before="13"/>
        <w:jc w:val="left"/>
      </w:pPr>
    </w:p>
    <w:p>
      <w:pPr>
        <w:pStyle w:val="Heading2"/>
        <w:numPr>
          <w:ilvl w:val="3"/>
          <w:numId w:val="4"/>
        </w:numPr>
        <w:tabs>
          <w:tab w:pos="1846" w:val="left" w:leader="none"/>
          <w:tab w:pos="3516" w:val="left" w:leader="none"/>
          <w:tab w:pos="6159" w:val="left" w:leader="none"/>
          <w:tab w:pos="7678" w:val="left" w:leader="none"/>
          <w:tab w:pos="10064" w:val="left" w:leader="none"/>
        </w:tabs>
        <w:spacing w:line="240" w:lineRule="auto" w:before="0" w:after="0"/>
        <w:ind w:left="1846" w:right="0" w:hanging="1137"/>
        <w:jc w:val="left"/>
      </w:pPr>
      <w:r>
        <w:rPr>
          <w:spacing w:val="-2"/>
        </w:rPr>
        <w:t>Аномалия</w:t>
      </w:r>
      <w:r>
        <w:rPr/>
        <w:tab/>
      </w:r>
      <w:r>
        <w:rPr>
          <w:spacing w:val="-2"/>
        </w:rPr>
        <w:t>морфологических</w:t>
      </w:r>
      <w:r>
        <w:rPr/>
        <w:tab/>
      </w:r>
      <w:r>
        <w:rPr>
          <w:spacing w:val="-2"/>
        </w:rPr>
        <w:t>структур</w:t>
      </w:r>
      <w:r>
        <w:rPr/>
        <w:tab/>
      </w:r>
      <w:r>
        <w:rPr>
          <w:spacing w:val="-2"/>
        </w:rPr>
        <w:t>сперматозоидов</w:t>
      </w:r>
      <w:r>
        <w:rPr/>
        <w:tab/>
        <w:t>–</w:t>
      </w:r>
    </w:p>
    <w:p>
      <w:pPr>
        <w:spacing w:before="21"/>
        <w:ind w:left="1" w:right="0" w:firstLine="0"/>
        <w:jc w:val="left"/>
        <w:rPr>
          <w:b/>
          <w:sz w:val="28"/>
        </w:rPr>
      </w:pPr>
      <w:r>
        <w:rPr>
          <w:b/>
          <w:spacing w:val="-2"/>
          <w:sz w:val="28"/>
        </w:rPr>
        <w:t>тератозооспермия</w:t>
      </w:r>
    </w:p>
    <w:p>
      <w:pPr>
        <w:pStyle w:val="BodyText"/>
        <w:spacing w:line="256" w:lineRule="auto" w:before="24"/>
        <w:ind w:left="1" w:right="137" w:firstLine="707"/>
      </w:pPr>
      <w:r>
        <w:rPr/>
        <w:t>Тератозооспермия является результатом дефектной дифференцировки клеток во время сперматогенеза и связана с несколькими генетическими факторами и факторами окружающей среды, а также с пожилым возрастом [77-80]. Тератозооспермия часто встречается в сочетании со сниженным числом сперматозоидов и со снижением их подвижности, формируя олигоастенотератозооспермию (ОАТ) [81]. Отмечается, что изолированная тератозооспермия (иТЗС), определяемая как единственный нарушенный параметр спермограммы, является относительно частым явлением у мужчин с бесплодием (см.рис.5) [82-84].</w:t>
      </w:r>
    </w:p>
    <w:p>
      <w:pPr>
        <w:pStyle w:val="BodyText"/>
        <w:spacing w:before="80"/>
        <w:jc w:val="left"/>
        <w:rPr>
          <w:sz w:val="20"/>
        </w:rPr>
      </w:pPr>
      <w:r>
        <w:rPr>
          <w:sz w:val="20"/>
        </w:rPr>
        <w:drawing>
          <wp:anchor distT="0" distB="0" distL="0" distR="0" allowOverlap="1" layoutInCell="1" locked="0" behindDoc="1" simplePos="0" relativeHeight="487591936">
            <wp:simplePos x="0" y="0"/>
            <wp:positionH relativeFrom="page">
              <wp:posOffset>975360</wp:posOffset>
            </wp:positionH>
            <wp:positionV relativeFrom="paragraph">
              <wp:posOffset>212230</wp:posOffset>
            </wp:positionV>
            <wp:extent cx="5654938" cy="2543937"/>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5654938" cy="2543937"/>
                    </a:xfrm>
                    <a:prstGeom prst="rect">
                      <a:avLst/>
                    </a:prstGeom>
                  </pic:spPr>
                </pic:pic>
              </a:graphicData>
            </a:graphic>
          </wp:anchor>
        </w:drawing>
      </w:r>
    </w:p>
    <w:p>
      <w:pPr>
        <w:pStyle w:val="BodyText"/>
        <w:spacing w:before="25"/>
        <w:jc w:val="left"/>
      </w:pPr>
    </w:p>
    <w:p>
      <w:pPr>
        <w:pStyle w:val="BodyText"/>
        <w:spacing w:line="256" w:lineRule="auto"/>
        <w:ind w:left="4" w:right="141"/>
        <w:jc w:val="center"/>
      </w:pPr>
      <w:r>
        <w:rPr/>
        <w:t>Рисунок</w:t>
      </w:r>
      <w:r>
        <w:rPr>
          <w:spacing w:val="-6"/>
        </w:rPr>
        <w:t> </w:t>
      </w:r>
      <w:r>
        <w:rPr/>
        <w:t>5</w:t>
      </w:r>
      <w:r>
        <w:rPr>
          <w:spacing w:val="-3"/>
        </w:rPr>
        <w:t> </w:t>
      </w:r>
      <w:r>
        <w:rPr>
          <w:rFonts w:ascii="Arial MT" w:hAnsi="Arial MT"/>
          <w:color w:val="454545"/>
          <w:sz w:val="21"/>
        </w:rPr>
        <w:t>—</w:t>
      </w:r>
      <w:r>
        <w:rPr>
          <w:rFonts w:ascii="Arial MT" w:hAnsi="Arial MT"/>
          <w:color w:val="454545"/>
          <w:spacing w:val="-3"/>
          <w:sz w:val="21"/>
        </w:rPr>
        <w:t> </w:t>
      </w:r>
      <w:r>
        <w:rPr/>
        <w:t>Эякулят</w:t>
      </w:r>
      <w:r>
        <w:rPr>
          <w:spacing w:val="-4"/>
        </w:rPr>
        <w:t> </w:t>
      </w:r>
      <w:r>
        <w:rPr/>
        <w:t>пациента</w:t>
      </w:r>
      <w:r>
        <w:rPr>
          <w:spacing w:val="-4"/>
        </w:rPr>
        <w:t> </w:t>
      </w:r>
      <w:r>
        <w:rPr/>
        <w:t>с</w:t>
      </w:r>
      <w:r>
        <w:rPr>
          <w:spacing w:val="-4"/>
        </w:rPr>
        <w:t> </w:t>
      </w:r>
      <w:r>
        <w:rPr/>
        <w:t>изолированной</w:t>
      </w:r>
      <w:r>
        <w:rPr>
          <w:spacing w:val="-3"/>
        </w:rPr>
        <w:t> </w:t>
      </w:r>
      <w:r>
        <w:rPr/>
        <w:t>тератозооспермией.</w:t>
      </w:r>
      <w:r>
        <w:rPr>
          <w:spacing w:val="-4"/>
        </w:rPr>
        <w:t> </w:t>
      </w:r>
      <w:r>
        <w:rPr/>
        <w:t>А</w:t>
      </w:r>
      <w:r>
        <w:rPr>
          <w:spacing w:val="-3"/>
        </w:rPr>
        <w:t> </w:t>
      </w:r>
      <w:r>
        <w:rPr/>
        <w:t>-</w:t>
      </w:r>
      <w:r>
        <w:rPr>
          <w:spacing w:val="-7"/>
        </w:rPr>
        <w:t> </w:t>
      </w:r>
      <w:r>
        <w:rPr/>
        <w:t>нормальный сперматозоид; Б - сперматозоид с сочетанной аномалией головки и шейки; В – сперматозоид с сочетанной аномалией головки, шейки и хвоста. Остальные сперматозоиды так же аномальные. Окраска: крезиловый фиолетовый, метиленовый синий. Увеличение х400. Собственное изображение</w:t>
      </w:r>
    </w:p>
    <w:p>
      <w:pPr>
        <w:pStyle w:val="BodyText"/>
        <w:spacing w:before="17"/>
        <w:jc w:val="left"/>
      </w:pPr>
    </w:p>
    <w:p>
      <w:pPr>
        <w:pStyle w:val="BodyText"/>
        <w:spacing w:line="256" w:lineRule="auto"/>
        <w:ind w:left="2" w:right="136" w:firstLine="707"/>
      </w:pPr>
      <w:r>
        <w:rPr/>
        <w:t>В целом, иТЗС широко ассоциируется специалистами как со спонтанной беременностью, так и с беременностями после применения ВРТ [85-86]. Стоит отдельно отметить, что протоколы ВРТ, в которых мужчины имели тератозооспермию,</w:t>
      </w:r>
      <w:r>
        <w:rPr>
          <w:spacing w:val="4"/>
        </w:rPr>
        <w:t> </w:t>
      </w:r>
      <w:r>
        <w:rPr/>
        <w:t>сопряжены</w:t>
      </w:r>
      <w:r>
        <w:rPr>
          <w:spacing w:val="7"/>
        </w:rPr>
        <w:t> </w:t>
      </w:r>
      <w:r>
        <w:rPr/>
        <w:t>с</w:t>
      </w:r>
      <w:r>
        <w:rPr>
          <w:spacing w:val="10"/>
        </w:rPr>
        <w:t> </w:t>
      </w:r>
      <w:r>
        <w:rPr/>
        <w:t>более</w:t>
      </w:r>
      <w:r>
        <w:rPr>
          <w:spacing w:val="6"/>
        </w:rPr>
        <w:t> </w:t>
      </w:r>
      <w:r>
        <w:rPr/>
        <w:t>высоким</w:t>
      </w:r>
      <w:r>
        <w:rPr>
          <w:spacing w:val="7"/>
        </w:rPr>
        <w:t> </w:t>
      </w:r>
      <w:r>
        <w:rPr/>
        <w:t>риском</w:t>
      </w:r>
      <w:r>
        <w:rPr>
          <w:spacing w:val="6"/>
        </w:rPr>
        <w:t> </w:t>
      </w:r>
      <w:r>
        <w:rPr/>
        <w:t>формирования</w:t>
      </w:r>
      <w:r>
        <w:rPr>
          <w:spacing w:val="7"/>
        </w:rPr>
        <w:t> </w:t>
      </w:r>
      <w:r>
        <w:rPr>
          <w:spacing w:val="-2"/>
        </w:rPr>
        <w:t>концептусов</w:t>
      </w:r>
    </w:p>
    <w:p>
      <w:pPr>
        <w:pStyle w:val="BodyText"/>
        <w:spacing w:after="0" w:line="256" w:lineRule="auto"/>
        <w:sectPr>
          <w:footerReference w:type="default" r:id="rId13"/>
          <w:pgSz w:w="11910" w:h="16840"/>
          <w:pgMar w:header="0" w:footer="1002" w:top="1020" w:bottom="1200" w:left="850" w:right="708"/>
        </w:sectPr>
      </w:pPr>
    </w:p>
    <w:p>
      <w:pPr>
        <w:pStyle w:val="BodyText"/>
        <w:spacing w:line="256" w:lineRule="auto" w:before="69"/>
        <w:ind w:left="2" w:right="137"/>
      </w:pPr>
      <w:r>
        <w:rPr/>
        <w:t>с анеуплоидиями, в частности по половым хромосомам [87]. В более ранних исследованиях изучалась взаимосвязь между иТЗС и повреждением ДНК сперматозоидов у мужчин из общей популяции и у мужчин с бесплодием. Бесплодные мужчины с иТЗС показали большую распространенность хромосомных аномалий и более высокие индексы фрагментации ДНК по сравнению с</w:t>
      </w:r>
      <w:r>
        <w:rPr>
          <w:spacing w:val="40"/>
        </w:rPr>
        <w:t> </w:t>
      </w:r>
      <w:r>
        <w:rPr/>
        <w:t>контрольной группой фертильных пациентов. Аномальная морфология сперматозоидов также связана с повышенным уровнем активных форм кислорода (АФК) в сперме, что способствует повреждению ДНК сперматозоидов. В группе пациентов с тератозооспермией наблюдаются более высокие показатели индекса фрагментации ДНК по сравнению с изолированными формами олигозооспермии и астенозооспермии 44% против 21% и 34% соответственно[88].</w:t>
      </w:r>
    </w:p>
    <w:p>
      <w:pPr>
        <w:pStyle w:val="BodyText"/>
        <w:spacing w:line="256" w:lineRule="auto"/>
        <w:ind w:left="2" w:right="136" w:firstLine="707"/>
      </w:pPr>
      <w:r>
        <w:rPr/>
        <w:t>Убедительно показаны метаболические изменения семенной плазмы на фоне тератозооспермии. Так, например, биохимическое профилирование при помощи протонного ядерного магнитного резонанса позволило выявить множественные метаболические изменения, которые приводят к искажению биохимических путей, связанных с семенной плазмой, более подробно описываемых в разделе 1.1.2.4 настоящей диссертации [90].</w:t>
      </w:r>
    </w:p>
    <w:p>
      <w:pPr>
        <w:pStyle w:val="BodyText"/>
        <w:jc w:val="left"/>
      </w:pPr>
    </w:p>
    <w:p>
      <w:pPr>
        <w:pStyle w:val="Heading2"/>
        <w:numPr>
          <w:ilvl w:val="3"/>
          <w:numId w:val="4"/>
        </w:numPr>
        <w:tabs>
          <w:tab w:pos="1394" w:val="left" w:leader="none"/>
        </w:tabs>
        <w:spacing w:line="256" w:lineRule="auto" w:before="0" w:after="0"/>
        <w:ind w:left="2" w:right="135" w:firstLine="427"/>
        <w:jc w:val="both"/>
      </w:pPr>
      <w:r>
        <w:rPr/>
        <w:t>Нарушение целостности ДНК сперматозоидов и окислительный </w:t>
      </w:r>
      <w:r>
        <w:rPr>
          <w:spacing w:val="-2"/>
        </w:rPr>
        <w:t>стресс</w:t>
      </w:r>
    </w:p>
    <w:p>
      <w:pPr>
        <w:pStyle w:val="BodyText"/>
        <w:spacing w:line="256" w:lineRule="auto"/>
        <w:ind w:left="2" w:right="136" w:firstLine="708"/>
      </w:pPr>
      <w:r>
        <w:rPr/>
        <w:t>Фрагментация ДНК сперматозоидов может быть вызвана внешними факторами (воздействие тепла, курение, поллютанты, химиотерапия), а также внутренними факторами (дефектное созревание зародышевых клеток, апоптоз и окислительный стресс) [91]. Убедительные доказательства демонстрируют, что окислительный стресс является одной из основных причин мужского бесплодия</w:t>
      </w:r>
      <w:r>
        <w:rPr>
          <w:spacing w:val="40"/>
        </w:rPr>
        <w:t> </w:t>
      </w:r>
      <w:r>
        <w:rPr/>
        <w:t>[92]. Активные формы кислорода (АФК) жизненно важны для физиологических процессов, таких как апоптоз и капацитация, но их перепроизводство приводит к различным пагубным последствиям, включая фрагментацию ДНК [93]. Перепроизводство АФК возникает в результате измененения биохимических путей цикла трикарбоновых кислот, сопряженного с уменьшением количества промежуточных продуктов. Такие изменения влияют на электронно-транспортную цепь, ингибирование которой, приводит к тому, что избыточные электроны непосредственно взаимодействуют с молекулами кислорода с образованием АФК. Этот избыток АФК приводит к перекисному окислению мембранных липидов и фрагментации ДНК [94].</w:t>
      </w:r>
    </w:p>
    <w:p>
      <w:pPr>
        <w:pStyle w:val="BodyText"/>
        <w:spacing w:line="307" w:lineRule="exact"/>
        <w:ind w:left="710"/>
      </w:pPr>
      <w:r>
        <w:rPr/>
        <w:t>Типы</w:t>
      </w:r>
      <w:r>
        <w:rPr>
          <w:spacing w:val="42"/>
        </w:rPr>
        <w:t>  </w:t>
      </w:r>
      <w:r>
        <w:rPr/>
        <w:t>повреждений</w:t>
      </w:r>
      <w:r>
        <w:rPr>
          <w:spacing w:val="44"/>
        </w:rPr>
        <w:t>  </w:t>
      </w:r>
      <w:r>
        <w:rPr/>
        <w:t>ДНК</w:t>
      </w:r>
      <w:r>
        <w:rPr>
          <w:spacing w:val="44"/>
        </w:rPr>
        <w:t>  </w:t>
      </w:r>
      <w:r>
        <w:rPr/>
        <w:t>включают</w:t>
      </w:r>
      <w:r>
        <w:rPr>
          <w:spacing w:val="42"/>
        </w:rPr>
        <w:t>  </w:t>
      </w:r>
      <w:r>
        <w:rPr/>
        <w:t>несоответствие</w:t>
      </w:r>
      <w:r>
        <w:rPr>
          <w:spacing w:val="43"/>
        </w:rPr>
        <w:t>  </w:t>
      </w:r>
      <w:r>
        <w:rPr/>
        <w:t>оснований,</w:t>
      </w:r>
      <w:r>
        <w:rPr>
          <w:spacing w:val="43"/>
        </w:rPr>
        <w:t>  </w:t>
      </w:r>
      <w:r>
        <w:rPr>
          <w:spacing w:val="-2"/>
        </w:rPr>
        <w:t>потерю</w:t>
      </w:r>
    </w:p>
    <w:p>
      <w:pPr>
        <w:pStyle w:val="BodyText"/>
        <w:spacing w:line="256" w:lineRule="auto" w:before="20"/>
        <w:ind w:left="2" w:right="137"/>
      </w:pPr>
      <w:r>
        <w:rPr/>
        <w:t>основания (базового сайта), модификации оснований, аддукты ДНК и сшивание, пиримидиновые димеры, одноцепочечные и двуцепочечные разрывы (см. рис 6). Любое из этих изменений может вызвать фрагментацию ДНК и поставить под угрозу естественное зачатие или результаты ВРТ [95].</w:t>
      </w:r>
    </w:p>
    <w:p>
      <w:pPr>
        <w:pStyle w:val="BodyText"/>
        <w:spacing w:line="256" w:lineRule="auto"/>
        <w:ind w:left="2" w:right="137" w:firstLine="708"/>
      </w:pPr>
      <w:r>
        <w:rPr>
          <w:color w:val="1C1D1E"/>
        </w:rPr>
        <w:t>Хотя стандартный анализ спермы (спермограмма) является краеугольным камнем</w:t>
      </w:r>
      <w:r>
        <w:rPr>
          <w:color w:val="1C1D1E"/>
          <w:spacing w:val="80"/>
        </w:rPr>
        <w:t> </w:t>
      </w:r>
      <w:r>
        <w:rPr>
          <w:color w:val="1C1D1E"/>
        </w:rPr>
        <w:t>исследования</w:t>
      </w:r>
      <w:r>
        <w:rPr>
          <w:color w:val="1C1D1E"/>
          <w:spacing w:val="80"/>
        </w:rPr>
        <w:t> </w:t>
      </w:r>
      <w:r>
        <w:rPr>
          <w:color w:val="1C1D1E"/>
        </w:rPr>
        <w:t>мужского</w:t>
      </w:r>
      <w:r>
        <w:rPr>
          <w:color w:val="1C1D1E"/>
          <w:spacing w:val="80"/>
        </w:rPr>
        <w:t> </w:t>
      </w:r>
      <w:r>
        <w:rPr>
          <w:color w:val="1C1D1E"/>
        </w:rPr>
        <w:t>бесплодия,</w:t>
      </w:r>
      <w:r>
        <w:rPr>
          <w:color w:val="1C1D1E"/>
          <w:spacing w:val="80"/>
        </w:rPr>
        <w:t> </w:t>
      </w:r>
      <w:r>
        <w:rPr>
          <w:color w:val="1C1D1E"/>
        </w:rPr>
        <w:t>он</w:t>
      </w:r>
      <w:r>
        <w:rPr>
          <w:color w:val="1C1D1E"/>
          <w:spacing w:val="80"/>
        </w:rPr>
        <w:t> </w:t>
      </w:r>
      <w:r>
        <w:rPr>
          <w:color w:val="1C1D1E"/>
        </w:rPr>
        <w:t>имеет</w:t>
      </w:r>
      <w:r>
        <w:rPr>
          <w:color w:val="1C1D1E"/>
          <w:spacing w:val="80"/>
        </w:rPr>
        <w:t> </w:t>
      </w:r>
      <w:r>
        <w:rPr>
          <w:color w:val="1C1D1E"/>
        </w:rPr>
        <w:t>существенные ограничения.</w:t>
      </w:r>
      <w:r>
        <w:rPr>
          <w:color w:val="1C1D1E"/>
          <w:spacing w:val="40"/>
        </w:rPr>
        <w:t> </w:t>
      </w:r>
      <w:r>
        <w:rPr>
          <w:color w:val="1C1D1E"/>
        </w:rPr>
        <w:t>Диагностические исследования окислительного стресса и</w:t>
      </w:r>
      <w:r>
        <w:rPr>
          <w:color w:val="1C1D1E"/>
          <w:spacing w:val="40"/>
        </w:rPr>
        <w:t> </w:t>
      </w:r>
      <w:r>
        <w:rPr>
          <w:color w:val="1C1D1E"/>
        </w:rPr>
        <w:t>повреждения</w:t>
      </w:r>
      <w:r>
        <w:rPr>
          <w:color w:val="1C1D1E"/>
          <w:spacing w:val="67"/>
        </w:rPr>
        <w:t>   </w:t>
      </w:r>
      <w:r>
        <w:rPr>
          <w:color w:val="1C1D1E"/>
        </w:rPr>
        <w:t>ДНК,</w:t>
      </w:r>
      <w:r>
        <w:rPr>
          <w:color w:val="1C1D1E"/>
          <w:spacing w:val="66"/>
        </w:rPr>
        <w:t>   </w:t>
      </w:r>
      <w:r>
        <w:rPr>
          <w:color w:val="1C1D1E"/>
        </w:rPr>
        <w:t>в</w:t>
      </w:r>
      <w:r>
        <w:rPr>
          <w:color w:val="1C1D1E"/>
          <w:spacing w:val="67"/>
        </w:rPr>
        <w:t>   </w:t>
      </w:r>
      <w:r>
        <w:rPr>
          <w:color w:val="1C1D1E"/>
        </w:rPr>
        <w:t>совокупности</w:t>
      </w:r>
      <w:r>
        <w:rPr>
          <w:color w:val="1C1D1E"/>
          <w:spacing w:val="67"/>
        </w:rPr>
        <w:t>   </w:t>
      </w:r>
      <w:r>
        <w:rPr>
          <w:color w:val="1C1D1E"/>
        </w:rPr>
        <w:t>со</w:t>
      </w:r>
      <w:r>
        <w:rPr>
          <w:color w:val="1C1D1E"/>
          <w:spacing w:val="68"/>
        </w:rPr>
        <w:t>   </w:t>
      </w:r>
      <w:r>
        <w:rPr>
          <w:color w:val="1C1D1E"/>
        </w:rPr>
        <w:t>стандартной</w:t>
      </w:r>
      <w:r>
        <w:rPr>
          <w:color w:val="1C1D1E"/>
          <w:spacing w:val="67"/>
        </w:rPr>
        <w:t>   </w:t>
      </w:r>
      <w:r>
        <w:rPr>
          <w:color w:val="1C1D1E"/>
          <w:spacing w:val="-2"/>
        </w:rPr>
        <w:t>спермограммой,</w:t>
      </w:r>
    </w:p>
    <w:p>
      <w:pPr>
        <w:pStyle w:val="BodyText"/>
        <w:spacing w:after="0" w:line="256" w:lineRule="auto"/>
        <w:sectPr>
          <w:pgSz w:w="11910" w:h="16840"/>
          <w:pgMar w:header="0" w:footer="1002" w:top="340" w:bottom="1200" w:left="850" w:right="708"/>
        </w:sectPr>
      </w:pPr>
    </w:p>
    <w:p>
      <w:pPr>
        <w:pStyle w:val="BodyText"/>
        <w:tabs>
          <w:tab w:pos="2776" w:val="left" w:leader="none"/>
          <w:tab w:pos="4509" w:val="left" w:leader="none"/>
          <w:tab w:pos="5519" w:val="left" w:leader="none"/>
          <w:tab w:pos="7648" w:val="left" w:leader="none"/>
          <w:tab w:pos="9148" w:val="left" w:leader="none"/>
        </w:tabs>
        <w:spacing w:line="256" w:lineRule="auto" w:before="69"/>
        <w:ind w:left="2" w:right="138"/>
        <w:jc w:val="left"/>
      </w:pPr>
      <w:r>
        <w:rPr>
          <w:color w:val="1C1D1E"/>
          <w:spacing w:val="-2"/>
        </w:rPr>
        <w:t>продемонстрировали</w:t>
      </w:r>
      <w:r>
        <w:rPr>
          <w:color w:val="1C1D1E"/>
        </w:rPr>
        <w:tab/>
      </w:r>
      <w:r>
        <w:rPr>
          <w:color w:val="1C1D1E"/>
          <w:spacing w:val="-2"/>
        </w:rPr>
        <w:t>способность</w:t>
      </w:r>
      <w:r>
        <w:rPr>
          <w:color w:val="1C1D1E"/>
        </w:rPr>
        <w:tab/>
      </w:r>
      <w:r>
        <w:rPr>
          <w:color w:val="1C1D1E"/>
          <w:spacing w:val="-2"/>
        </w:rPr>
        <w:t>лучше</w:t>
      </w:r>
      <w:r>
        <w:rPr>
          <w:color w:val="1C1D1E"/>
        </w:rPr>
        <w:tab/>
      </w:r>
      <w:r>
        <w:rPr>
          <w:color w:val="1C1D1E"/>
          <w:spacing w:val="-2"/>
        </w:rPr>
        <w:t>прогнозировать</w:t>
      </w:r>
      <w:r>
        <w:rPr>
          <w:color w:val="1C1D1E"/>
        </w:rPr>
        <w:tab/>
      </w:r>
      <w:r>
        <w:rPr>
          <w:color w:val="1C1D1E"/>
          <w:spacing w:val="-2"/>
        </w:rPr>
        <w:t>потенциал</w:t>
      </w:r>
      <w:r>
        <w:rPr>
          <w:color w:val="1C1D1E"/>
        </w:rPr>
        <w:tab/>
      </w:r>
      <w:r>
        <w:rPr>
          <w:color w:val="1C1D1E"/>
          <w:spacing w:val="-2"/>
        </w:rPr>
        <w:t>мужской </w:t>
      </w:r>
      <w:r>
        <w:rPr>
          <w:color w:val="1C1D1E"/>
        </w:rPr>
        <w:t>фертильности и обеспечивать улучшенные стратегии диагностики и лечения.</w:t>
      </w:r>
    </w:p>
    <w:p>
      <w:pPr>
        <w:pStyle w:val="BodyText"/>
        <w:spacing w:before="165"/>
        <w:jc w:val="left"/>
        <w:rPr>
          <w:sz w:val="20"/>
        </w:rPr>
      </w:pPr>
      <w:r>
        <w:rPr>
          <w:sz w:val="20"/>
        </w:rPr>
        <w:drawing>
          <wp:anchor distT="0" distB="0" distL="0" distR="0" allowOverlap="1" layoutInCell="1" locked="0" behindDoc="1" simplePos="0" relativeHeight="487592448">
            <wp:simplePos x="0" y="0"/>
            <wp:positionH relativeFrom="page">
              <wp:posOffset>949881</wp:posOffset>
            </wp:positionH>
            <wp:positionV relativeFrom="paragraph">
              <wp:posOffset>266524</wp:posOffset>
            </wp:positionV>
            <wp:extent cx="5642590" cy="3149536"/>
            <wp:effectExtent l="0" t="0" r="0" b="0"/>
            <wp:wrapTopAndBottom/>
            <wp:docPr id="15" name="Image 15" descr=""/>
            <wp:cNvGraphicFramePr>
              <a:graphicFrameLocks/>
            </wp:cNvGraphicFramePr>
            <a:graphic>
              <a:graphicData uri="http://schemas.openxmlformats.org/drawingml/2006/picture">
                <pic:pic>
                  <pic:nvPicPr>
                    <pic:cNvPr id="15" name="Image 15" descr=""/>
                    <pic:cNvPicPr/>
                  </pic:nvPicPr>
                  <pic:blipFill>
                    <a:blip r:embed="rId15" cstate="print"/>
                    <a:stretch>
                      <a:fillRect/>
                    </a:stretch>
                  </pic:blipFill>
                  <pic:spPr>
                    <a:xfrm>
                      <a:off x="0" y="0"/>
                      <a:ext cx="5642590" cy="3149536"/>
                    </a:xfrm>
                    <a:prstGeom prst="rect">
                      <a:avLst/>
                    </a:prstGeom>
                  </pic:spPr>
                </pic:pic>
              </a:graphicData>
            </a:graphic>
          </wp:anchor>
        </w:drawing>
      </w:r>
    </w:p>
    <w:p>
      <w:pPr>
        <w:pStyle w:val="BodyText"/>
        <w:spacing w:before="29"/>
        <w:ind w:right="135"/>
        <w:jc w:val="center"/>
      </w:pPr>
      <w:r>
        <w:rPr>
          <w:color w:val="1C1D1E"/>
        </w:rPr>
        <w:t>Рисунок</w:t>
      </w:r>
      <w:r>
        <w:rPr>
          <w:color w:val="1C1D1E"/>
          <w:spacing w:val="-6"/>
        </w:rPr>
        <w:t> </w:t>
      </w:r>
      <w:r>
        <w:rPr>
          <w:color w:val="1C1D1E"/>
        </w:rPr>
        <w:t>6</w:t>
      </w:r>
      <w:r>
        <w:rPr>
          <w:color w:val="1C1D1E"/>
          <w:spacing w:val="-3"/>
        </w:rPr>
        <w:t> </w:t>
      </w:r>
      <w:r>
        <w:rPr>
          <w:rFonts w:ascii="Arial MT" w:hAnsi="Arial MT"/>
          <w:color w:val="454545"/>
          <w:sz w:val="21"/>
        </w:rPr>
        <w:t>—</w:t>
      </w:r>
      <w:r>
        <w:rPr>
          <w:rFonts w:ascii="Arial MT" w:hAnsi="Arial MT"/>
          <w:color w:val="454545"/>
          <w:spacing w:val="-4"/>
          <w:sz w:val="21"/>
        </w:rPr>
        <w:t> </w:t>
      </w:r>
      <w:r>
        <w:rPr>
          <w:color w:val="1C1D1E"/>
        </w:rPr>
        <w:t>Типы</w:t>
      </w:r>
      <w:r>
        <w:rPr>
          <w:color w:val="1C1D1E"/>
          <w:spacing w:val="-3"/>
        </w:rPr>
        <w:t> </w:t>
      </w:r>
      <w:r>
        <w:rPr>
          <w:color w:val="1C1D1E"/>
        </w:rPr>
        <w:t>повреждения</w:t>
      </w:r>
      <w:r>
        <w:rPr>
          <w:color w:val="1C1D1E"/>
          <w:spacing w:val="-3"/>
        </w:rPr>
        <w:t> </w:t>
      </w:r>
      <w:r>
        <w:rPr>
          <w:color w:val="1C1D1E"/>
        </w:rPr>
        <w:t>ДНК</w:t>
      </w:r>
      <w:r>
        <w:rPr>
          <w:color w:val="1C1D1E"/>
          <w:spacing w:val="-3"/>
        </w:rPr>
        <w:t> </w:t>
      </w:r>
      <w:r>
        <w:rPr>
          <w:color w:val="1C1D1E"/>
          <w:spacing w:val="-4"/>
        </w:rPr>
        <w:t>[96]</w:t>
      </w:r>
    </w:p>
    <w:p>
      <w:pPr>
        <w:pStyle w:val="BodyText"/>
        <w:spacing w:before="45"/>
        <w:jc w:val="left"/>
      </w:pPr>
    </w:p>
    <w:p>
      <w:pPr>
        <w:pStyle w:val="BodyText"/>
        <w:spacing w:line="256" w:lineRule="auto"/>
        <w:ind w:left="2" w:right="137" w:firstLine="708"/>
      </w:pPr>
      <w:r>
        <w:rPr>
          <w:color w:val="1C1D1E"/>
        </w:rPr>
        <w:t>Все больше данных указывает на то, что фрагментация ДНК сперматозоидов - маркер поврежденного хроматина, играет независимую и заметную роль в мужском бесплодии и репродуктивном успехе. Таким образом, целостность ДНК сперматозоидов необходима для рождения здорового потомства [97-105].</w:t>
      </w:r>
    </w:p>
    <w:p>
      <w:pPr>
        <w:pStyle w:val="BodyText"/>
        <w:spacing w:line="256" w:lineRule="auto"/>
        <w:ind w:left="2" w:right="136" w:firstLine="707"/>
      </w:pPr>
      <w:r>
        <w:rPr/>
        <w:t>Фрагментация ДНК сперматозоидов может отрицательно сказываться на способности сперматозоидов к оплодотворению, особенно при высоком уровне повреждения ДНК [106-109]. Уровни окислительного стресса, которые недостаточны для индукции гибели клеток посредством апоптоза, могут нарушать все аспекты функции сперматозоидов, включая подвижность, навигацию сперматозоидов, акросомныйэкзоцитоз и слияние сперматозоидов с ооцитом [110]. Несмотря на это, сперматозоиды с поврежденным хроматином могут сохранять способность к оплодотворению [111].</w:t>
      </w:r>
    </w:p>
    <w:p>
      <w:pPr>
        <w:pStyle w:val="BodyText"/>
        <w:spacing w:line="256" w:lineRule="auto"/>
        <w:ind w:left="2" w:right="136" w:firstLine="707"/>
      </w:pPr>
      <w:r>
        <w:rPr/>
        <w:t>С накоплением исследовательских данных анализ фрагментации ДНК сперматозоидов все чаще проникает в рутинную клиническую практику центров по лечению бесплодия, что является благоприятным маркером развития качественной диагностики мужской инфертильности.</w:t>
      </w:r>
    </w:p>
    <w:p>
      <w:pPr>
        <w:pStyle w:val="BodyText"/>
        <w:spacing w:before="2"/>
        <w:jc w:val="left"/>
      </w:pPr>
    </w:p>
    <w:p>
      <w:pPr>
        <w:pStyle w:val="Heading2"/>
        <w:numPr>
          <w:ilvl w:val="3"/>
          <w:numId w:val="4"/>
        </w:numPr>
        <w:tabs>
          <w:tab w:pos="1614" w:val="left" w:leader="none"/>
        </w:tabs>
        <w:spacing w:line="256" w:lineRule="auto" w:before="0" w:after="0"/>
        <w:ind w:left="2" w:right="136" w:firstLine="707"/>
        <w:jc w:val="both"/>
      </w:pPr>
      <w:r>
        <w:rPr/>
        <w:t>Нарушение состава семенной плазмы – фактор инфертильности </w:t>
      </w:r>
      <w:r>
        <w:rPr>
          <w:spacing w:val="-2"/>
        </w:rPr>
        <w:t>эякулята</w:t>
      </w:r>
    </w:p>
    <w:p>
      <w:pPr>
        <w:pStyle w:val="BodyText"/>
        <w:ind w:left="2" w:right="137" w:firstLine="707"/>
      </w:pPr>
      <w:r>
        <w:rPr/>
        <w:t>Как правило, семенная плазма рассматривается как простая среда, основная роль которой заключается в транспортировке сперматозоидов в женские половые пути во время зачатия. Однако такой подход требует пересмотра, так как</w:t>
      </w:r>
      <w:r>
        <w:rPr>
          <w:spacing w:val="40"/>
        </w:rPr>
        <w:t> </w:t>
      </w:r>
      <w:r>
        <w:rPr/>
        <w:t>появляются сообщения о более сложных функциях семенной плазмы в модуляции материнской</w:t>
      </w:r>
      <w:r>
        <w:rPr>
          <w:spacing w:val="80"/>
        </w:rPr>
        <w:t>  </w:t>
      </w:r>
      <w:r>
        <w:rPr/>
        <w:t>периконцептивной</w:t>
      </w:r>
      <w:r>
        <w:rPr>
          <w:spacing w:val="80"/>
        </w:rPr>
        <w:t>  </w:t>
      </w:r>
      <w:r>
        <w:rPr/>
        <w:t>клеточной</w:t>
      </w:r>
      <w:r>
        <w:rPr>
          <w:spacing w:val="80"/>
        </w:rPr>
        <w:t>  </w:t>
      </w:r>
      <w:r>
        <w:rPr/>
        <w:t>сигнальной,</w:t>
      </w:r>
      <w:r>
        <w:rPr>
          <w:spacing w:val="80"/>
        </w:rPr>
        <w:t>  </w:t>
      </w:r>
      <w:r>
        <w:rPr/>
        <w:t>воспалительной</w:t>
      </w:r>
      <w:r>
        <w:rPr>
          <w:spacing w:val="80"/>
        </w:rPr>
        <w:t>  </w:t>
      </w:r>
      <w:r>
        <w:rPr/>
        <w:t>и</w:t>
      </w:r>
    </w:p>
    <w:p>
      <w:pPr>
        <w:pStyle w:val="BodyText"/>
        <w:spacing w:after="0"/>
        <w:sectPr>
          <w:pgSz w:w="11910" w:h="16840"/>
          <w:pgMar w:header="0" w:footer="1002" w:top="340" w:bottom="1200" w:left="850" w:right="708"/>
        </w:sectPr>
      </w:pPr>
    </w:p>
    <w:p>
      <w:pPr>
        <w:pStyle w:val="BodyText"/>
        <w:spacing w:before="69"/>
        <w:ind w:left="2" w:right="136"/>
      </w:pPr>
      <w:r>
        <w:rPr/>
        <w:t>иммунологической физиологии. Семенная плазма представляет собой сложную смесь различных молекул, включая фруктозу (основной источник энергии для сперматозоидов), липиды, белки, внеклеточную ДНК, микроРНК, а также неорганические ионы, такие как цинк, медь и селен [80]. Семенная плазма содержит сложную смесь питательных веществ, белков, клеточный дебрис, которые, по всей видимости, влияют на экспрессию генов, ремоделирование сосудов,</w:t>
      </w:r>
      <w:r>
        <w:rPr>
          <w:spacing w:val="-1"/>
        </w:rPr>
        <w:t> </w:t>
      </w:r>
      <w:r>
        <w:rPr/>
        <w:t>рекрутирование лейкоцитов и премирование регуляторных Т-клеток. Все эти эффекты семенной плазмы на материнскую среду периконцепции способствуют ремоделированию матки, имплантации эмбриона и развитию плода. В последние годы возник новый акцент на важности здоровья отца во время зачатия для качества спермы, развития после оплодотворения и здоровья потомства [112]. Ранее было показано, что диета отца и воздействие токсикантов окружающей среды влияют на различные аспекты здоровья потомства [113].</w:t>
      </w:r>
    </w:p>
    <w:p>
      <w:pPr>
        <w:pStyle w:val="BodyText"/>
        <w:ind w:left="2" w:right="136" w:firstLine="707"/>
      </w:pPr>
      <w:r>
        <w:rPr/>
        <w:t>Биохимический анализ семенной плазмы у пациентов с тератозооспермией с использованием метаболического профилирования позволил выявить множественные метаболические изменения, которые приводят к изменению биохимических путей, связанных с семенной плазмой. Так, например, таурин является одним из наиболее важных антиоксидантов в сперматозоидах и семенной жидкости. В более ранних исследованиях показано, что таурин играет важную роль в подвижности и морфологии сперматозоидов. В нескольких исследованиях сообщалось, что аномальная морфология сперматозоидов связана не только с увеличением современных маркеров повреждения сперматозоидов, таких как фрагментация ДНК или активные формы кислорода, но и к уменьшению некоторых антиоксидантов, в том числе таурина. Перепроизводство АФК и окислительное повреждение сперматозоидов было определено как одна из ведущих причин, связанных со снижением потенциала фертильности у мужчин [114]. Следует отметить, что сперматозоиды сильно зависят от антиоксидантных свойств семенной плазмы, поскольку их антиоксидантные защитные системы весьма ограничены</w:t>
      </w:r>
      <w:r>
        <w:rPr>
          <w:spacing w:val="40"/>
        </w:rPr>
        <w:t> </w:t>
      </w:r>
      <w:r>
        <w:rPr/>
        <w:t>[115]. Недостаточность таких элементов, как Cu, Se и Zn так же приводит к аномалиям</w:t>
      </w:r>
      <w:r>
        <w:rPr>
          <w:spacing w:val="-1"/>
        </w:rPr>
        <w:t> </w:t>
      </w:r>
      <w:r>
        <w:rPr/>
        <w:t>оплодотворяющей функции</w:t>
      </w:r>
      <w:r>
        <w:rPr>
          <w:spacing w:val="-2"/>
        </w:rPr>
        <w:t> </w:t>
      </w:r>
      <w:r>
        <w:rPr/>
        <w:t>эякулята.</w:t>
      </w:r>
      <w:r>
        <w:rPr>
          <w:spacing w:val="-1"/>
        </w:rPr>
        <w:t> </w:t>
      </w:r>
      <w:r>
        <w:rPr/>
        <w:t>Элементы,</w:t>
      </w:r>
      <w:r>
        <w:rPr>
          <w:spacing w:val="-1"/>
        </w:rPr>
        <w:t> </w:t>
      </w:r>
      <w:r>
        <w:rPr/>
        <w:t>такие как цинк,</w:t>
      </w:r>
      <w:r>
        <w:rPr>
          <w:spacing w:val="-1"/>
        </w:rPr>
        <w:t> </w:t>
      </w:r>
      <w:r>
        <w:rPr/>
        <w:t>магний, медь и кальций, являются важными для поддержания нормального сперматогенеза, созревания сперматозоидов, метаболизма ДНК и ее репарации, а также экспрессии генов в зародышевых клетках [116].</w:t>
      </w:r>
    </w:p>
    <w:p>
      <w:pPr>
        <w:pStyle w:val="BodyText"/>
        <w:spacing w:line="256" w:lineRule="auto"/>
        <w:ind w:left="1" w:right="137" w:firstLine="708"/>
      </w:pPr>
      <w:r>
        <w:rPr/>
        <w:t>В исследовании Mehrparvar B. и соавторов (2020) показаны измененные метаболические пути, обнаруженные в семенной плазме пациентов с тератозооспермией и иными формами бесплодия, а именно нарушения:</w:t>
      </w:r>
    </w:p>
    <w:p>
      <w:pPr>
        <w:pStyle w:val="ListParagraph"/>
        <w:numPr>
          <w:ilvl w:val="0"/>
          <w:numId w:val="7"/>
        </w:numPr>
        <w:tabs>
          <w:tab w:pos="721" w:val="left" w:leader="none"/>
        </w:tabs>
        <w:spacing w:line="320" w:lineRule="exact" w:before="0" w:after="0"/>
        <w:ind w:left="721" w:right="0" w:hanging="359"/>
        <w:jc w:val="left"/>
        <w:rPr>
          <w:sz w:val="28"/>
        </w:rPr>
      </w:pPr>
      <w:r>
        <w:rPr>
          <w:sz w:val="28"/>
        </w:rPr>
        <w:t>биосинтеза</w:t>
      </w:r>
      <w:r>
        <w:rPr>
          <w:spacing w:val="-5"/>
          <w:sz w:val="28"/>
        </w:rPr>
        <w:t> </w:t>
      </w:r>
      <w:r>
        <w:rPr>
          <w:sz w:val="28"/>
        </w:rPr>
        <w:t>валина,</w:t>
      </w:r>
      <w:r>
        <w:rPr>
          <w:spacing w:val="-5"/>
          <w:sz w:val="28"/>
        </w:rPr>
        <w:t> </w:t>
      </w:r>
      <w:r>
        <w:rPr>
          <w:sz w:val="28"/>
        </w:rPr>
        <w:t>лейцина</w:t>
      </w:r>
      <w:r>
        <w:rPr>
          <w:spacing w:val="-6"/>
          <w:sz w:val="28"/>
        </w:rPr>
        <w:t> </w:t>
      </w:r>
      <w:r>
        <w:rPr>
          <w:sz w:val="28"/>
        </w:rPr>
        <w:t>и</w:t>
      </w:r>
      <w:r>
        <w:rPr>
          <w:spacing w:val="-3"/>
          <w:sz w:val="28"/>
        </w:rPr>
        <w:t> </w:t>
      </w:r>
      <w:r>
        <w:rPr>
          <w:spacing w:val="-2"/>
          <w:sz w:val="28"/>
        </w:rPr>
        <w:t>изолейцина;</w:t>
      </w:r>
    </w:p>
    <w:p>
      <w:pPr>
        <w:pStyle w:val="ListParagraph"/>
        <w:numPr>
          <w:ilvl w:val="0"/>
          <w:numId w:val="7"/>
        </w:numPr>
        <w:tabs>
          <w:tab w:pos="721" w:val="left" w:leader="none"/>
        </w:tabs>
        <w:spacing w:line="240" w:lineRule="auto" w:before="18" w:after="0"/>
        <w:ind w:left="721" w:right="0" w:hanging="359"/>
        <w:jc w:val="left"/>
        <w:rPr>
          <w:sz w:val="28"/>
        </w:rPr>
      </w:pPr>
      <w:r>
        <w:rPr>
          <w:sz w:val="28"/>
        </w:rPr>
        <w:t>биосинтезааланина,</w:t>
      </w:r>
      <w:r>
        <w:rPr>
          <w:spacing w:val="-8"/>
          <w:sz w:val="28"/>
        </w:rPr>
        <w:t> </w:t>
      </w:r>
      <w:r>
        <w:rPr>
          <w:sz w:val="28"/>
        </w:rPr>
        <w:t>аспартата</w:t>
      </w:r>
      <w:r>
        <w:rPr>
          <w:spacing w:val="-7"/>
          <w:sz w:val="28"/>
        </w:rPr>
        <w:t> </w:t>
      </w:r>
      <w:r>
        <w:rPr>
          <w:sz w:val="28"/>
        </w:rPr>
        <w:t>и</w:t>
      </w:r>
      <w:r>
        <w:rPr>
          <w:spacing w:val="-5"/>
          <w:sz w:val="28"/>
        </w:rPr>
        <w:t> </w:t>
      </w:r>
      <w:r>
        <w:rPr>
          <w:sz w:val="28"/>
        </w:rPr>
        <w:t>их</w:t>
      </w:r>
      <w:r>
        <w:rPr>
          <w:spacing w:val="-4"/>
          <w:sz w:val="28"/>
        </w:rPr>
        <w:t> </w:t>
      </w:r>
      <w:r>
        <w:rPr>
          <w:spacing w:val="-2"/>
          <w:sz w:val="28"/>
        </w:rPr>
        <w:t>метаболизма;</w:t>
      </w:r>
    </w:p>
    <w:p>
      <w:pPr>
        <w:pStyle w:val="ListParagraph"/>
        <w:numPr>
          <w:ilvl w:val="0"/>
          <w:numId w:val="7"/>
        </w:numPr>
        <w:tabs>
          <w:tab w:pos="721" w:val="left" w:leader="none"/>
        </w:tabs>
        <w:spacing w:line="240" w:lineRule="auto" w:before="22" w:after="0"/>
        <w:ind w:left="721" w:right="0" w:hanging="359"/>
        <w:jc w:val="left"/>
        <w:rPr>
          <w:sz w:val="28"/>
        </w:rPr>
      </w:pPr>
      <w:r>
        <w:rPr>
          <w:spacing w:val="-2"/>
          <w:sz w:val="28"/>
        </w:rPr>
        <w:t>биосинтезааминоацил-</w:t>
      </w:r>
      <w:r>
        <w:rPr>
          <w:spacing w:val="-4"/>
          <w:sz w:val="28"/>
        </w:rPr>
        <w:t>тРНК;</w:t>
      </w:r>
    </w:p>
    <w:p>
      <w:pPr>
        <w:pStyle w:val="ListParagraph"/>
        <w:numPr>
          <w:ilvl w:val="0"/>
          <w:numId w:val="7"/>
        </w:numPr>
        <w:tabs>
          <w:tab w:pos="721" w:val="left" w:leader="none"/>
        </w:tabs>
        <w:spacing w:line="240" w:lineRule="auto" w:before="21" w:after="0"/>
        <w:ind w:left="721" w:right="0" w:hanging="359"/>
        <w:jc w:val="left"/>
        <w:rPr>
          <w:sz w:val="28"/>
        </w:rPr>
      </w:pPr>
      <w:r>
        <w:rPr>
          <w:sz w:val="28"/>
        </w:rPr>
        <w:t>обмена</w:t>
      </w:r>
      <w:r>
        <w:rPr>
          <w:spacing w:val="-4"/>
          <w:sz w:val="28"/>
        </w:rPr>
        <w:t> </w:t>
      </w:r>
      <w:r>
        <w:rPr>
          <w:sz w:val="28"/>
        </w:rPr>
        <w:t>таурина</w:t>
      </w:r>
      <w:r>
        <w:rPr>
          <w:spacing w:val="-5"/>
          <w:sz w:val="28"/>
        </w:rPr>
        <w:t> </w:t>
      </w:r>
      <w:r>
        <w:rPr>
          <w:sz w:val="28"/>
        </w:rPr>
        <w:t>и</w:t>
      </w:r>
      <w:r>
        <w:rPr>
          <w:spacing w:val="-2"/>
          <w:sz w:val="28"/>
        </w:rPr>
        <w:t> гипотаурина;</w:t>
      </w:r>
    </w:p>
    <w:p>
      <w:pPr>
        <w:pStyle w:val="ListParagraph"/>
        <w:numPr>
          <w:ilvl w:val="0"/>
          <w:numId w:val="7"/>
        </w:numPr>
        <w:tabs>
          <w:tab w:pos="721" w:val="left" w:leader="none"/>
        </w:tabs>
        <w:spacing w:line="240" w:lineRule="auto" w:before="21" w:after="0"/>
        <w:ind w:left="721" w:right="0" w:hanging="359"/>
        <w:jc w:val="left"/>
        <w:rPr>
          <w:sz w:val="28"/>
        </w:rPr>
      </w:pPr>
      <w:r>
        <w:rPr>
          <w:spacing w:val="-2"/>
          <w:sz w:val="28"/>
        </w:rPr>
        <w:t>обменапирувата;</w:t>
      </w:r>
    </w:p>
    <w:p>
      <w:pPr>
        <w:pStyle w:val="ListParagraph"/>
        <w:numPr>
          <w:ilvl w:val="0"/>
          <w:numId w:val="7"/>
        </w:numPr>
        <w:tabs>
          <w:tab w:pos="721" w:val="left" w:leader="none"/>
        </w:tabs>
        <w:spacing w:line="240" w:lineRule="auto" w:before="21" w:after="0"/>
        <w:ind w:left="721" w:right="0" w:hanging="359"/>
        <w:jc w:val="left"/>
        <w:rPr>
          <w:sz w:val="28"/>
        </w:rPr>
      </w:pPr>
      <w:r>
        <w:rPr>
          <w:sz w:val="28"/>
        </w:rPr>
        <w:t>обмена</w:t>
      </w:r>
      <w:r>
        <w:rPr>
          <w:spacing w:val="-2"/>
          <w:sz w:val="28"/>
        </w:rPr>
        <w:t> азота;</w:t>
      </w:r>
    </w:p>
    <w:p>
      <w:pPr>
        <w:pStyle w:val="ListParagraph"/>
        <w:numPr>
          <w:ilvl w:val="0"/>
          <w:numId w:val="7"/>
        </w:numPr>
        <w:tabs>
          <w:tab w:pos="721" w:val="left" w:leader="none"/>
        </w:tabs>
        <w:spacing w:line="240" w:lineRule="auto" w:before="24" w:after="0"/>
        <w:ind w:left="721" w:right="0" w:hanging="359"/>
        <w:jc w:val="left"/>
        <w:rPr>
          <w:sz w:val="28"/>
        </w:rPr>
      </w:pPr>
      <w:r>
        <w:rPr>
          <w:sz w:val="28"/>
        </w:rPr>
        <w:t>обменаметаболитов</w:t>
      </w:r>
      <w:r>
        <w:rPr>
          <w:spacing w:val="-9"/>
          <w:sz w:val="28"/>
        </w:rPr>
        <w:t> </w:t>
      </w:r>
      <w:r>
        <w:rPr>
          <w:sz w:val="28"/>
        </w:rPr>
        <w:t>лейцина</w:t>
      </w:r>
      <w:r>
        <w:rPr>
          <w:spacing w:val="-8"/>
          <w:sz w:val="28"/>
        </w:rPr>
        <w:t> </w:t>
      </w:r>
      <w:r>
        <w:rPr>
          <w:sz w:val="28"/>
        </w:rPr>
        <w:t>и</w:t>
      </w:r>
      <w:r>
        <w:rPr>
          <w:spacing w:val="-4"/>
          <w:sz w:val="28"/>
        </w:rPr>
        <w:t> </w:t>
      </w:r>
      <w:r>
        <w:rPr>
          <w:spacing w:val="-2"/>
          <w:sz w:val="28"/>
        </w:rPr>
        <w:t>изолейцина;</w:t>
      </w:r>
    </w:p>
    <w:p>
      <w:pPr>
        <w:pStyle w:val="ListParagraph"/>
        <w:numPr>
          <w:ilvl w:val="0"/>
          <w:numId w:val="7"/>
        </w:numPr>
        <w:tabs>
          <w:tab w:pos="721" w:val="left" w:leader="none"/>
        </w:tabs>
        <w:spacing w:line="240" w:lineRule="auto" w:before="21" w:after="0"/>
        <w:ind w:left="721" w:right="0" w:hanging="359"/>
        <w:jc w:val="left"/>
        <w:rPr>
          <w:sz w:val="28"/>
        </w:rPr>
      </w:pPr>
      <w:r>
        <w:rPr>
          <w:sz w:val="28"/>
        </w:rPr>
        <w:t>гликолиза</w:t>
      </w:r>
      <w:r>
        <w:rPr>
          <w:spacing w:val="-6"/>
          <w:sz w:val="28"/>
        </w:rPr>
        <w:t> </w:t>
      </w:r>
      <w:r>
        <w:rPr>
          <w:sz w:val="28"/>
        </w:rPr>
        <w:t>или</w:t>
      </w:r>
      <w:r>
        <w:rPr>
          <w:spacing w:val="-4"/>
          <w:sz w:val="28"/>
        </w:rPr>
        <w:t> </w:t>
      </w:r>
      <w:r>
        <w:rPr>
          <w:spacing w:val="-2"/>
          <w:sz w:val="28"/>
        </w:rPr>
        <w:t>глюконеогенеза;</w:t>
      </w:r>
    </w:p>
    <w:p>
      <w:pPr>
        <w:pStyle w:val="ListParagraph"/>
        <w:numPr>
          <w:ilvl w:val="0"/>
          <w:numId w:val="7"/>
        </w:numPr>
        <w:tabs>
          <w:tab w:pos="721" w:val="left" w:leader="none"/>
        </w:tabs>
        <w:spacing w:line="240" w:lineRule="auto" w:before="21" w:after="0"/>
        <w:ind w:left="721" w:right="0" w:hanging="359"/>
        <w:jc w:val="left"/>
        <w:rPr>
          <w:sz w:val="28"/>
        </w:rPr>
      </w:pPr>
      <w:r>
        <w:rPr>
          <w:sz w:val="28"/>
        </w:rPr>
        <w:t>метаболизма</w:t>
      </w:r>
      <w:r>
        <w:rPr>
          <w:spacing w:val="-6"/>
          <w:sz w:val="28"/>
        </w:rPr>
        <w:t> </w:t>
      </w:r>
      <w:r>
        <w:rPr>
          <w:sz w:val="28"/>
        </w:rPr>
        <w:t>аргинина</w:t>
      </w:r>
      <w:r>
        <w:rPr>
          <w:spacing w:val="-6"/>
          <w:sz w:val="28"/>
        </w:rPr>
        <w:t> </w:t>
      </w:r>
      <w:r>
        <w:rPr>
          <w:sz w:val="28"/>
        </w:rPr>
        <w:t>и</w:t>
      </w:r>
      <w:r>
        <w:rPr>
          <w:spacing w:val="-6"/>
          <w:sz w:val="28"/>
        </w:rPr>
        <w:t> </w:t>
      </w:r>
      <w:r>
        <w:rPr>
          <w:spacing w:val="-2"/>
          <w:sz w:val="28"/>
        </w:rPr>
        <w:t>пролина;</w:t>
      </w:r>
    </w:p>
    <w:p>
      <w:pPr>
        <w:pStyle w:val="ListParagraph"/>
        <w:numPr>
          <w:ilvl w:val="0"/>
          <w:numId w:val="7"/>
        </w:numPr>
        <w:tabs>
          <w:tab w:pos="721" w:val="left" w:leader="none"/>
        </w:tabs>
        <w:spacing w:line="240" w:lineRule="auto" w:before="22" w:after="0"/>
        <w:ind w:left="721" w:right="0" w:hanging="359"/>
        <w:jc w:val="left"/>
        <w:rPr>
          <w:sz w:val="28"/>
        </w:rPr>
      </w:pPr>
      <w:r>
        <w:rPr>
          <w:sz w:val="28"/>
        </w:rPr>
        <w:t>метаболизма</w:t>
      </w:r>
      <w:r>
        <w:rPr>
          <w:spacing w:val="-6"/>
          <w:sz w:val="28"/>
        </w:rPr>
        <w:t> </w:t>
      </w:r>
      <w:r>
        <w:rPr>
          <w:sz w:val="28"/>
        </w:rPr>
        <w:t>глицина,</w:t>
      </w:r>
      <w:r>
        <w:rPr>
          <w:spacing w:val="-5"/>
          <w:sz w:val="28"/>
        </w:rPr>
        <w:t> </w:t>
      </w:r>
      <w:r>
        <w:rPr>
          <w:sz w:val="28"/>
        </w:rPr>
        <w:t>серина</w:t>
      </w:r>
      <w:r>
        <w:rPr>
          <w:spacing w:val="-7"/>
          <w:sz w:val="28"/>
        </w:rPr>
        <w:t> </w:t>
      </w:r>
      <w:r>
        <w:rPr>
          <w:sz w:val="28"/>
        </w:rPr>
        <w:t>и</w:t>
      </w:r>
      <w:r>
        <w:rPr>
          <w:spacing w:val="-4"/>
          <w:sz w:val="28"/>
        </w:rPr>
        <w:t> </w:t>
      </w:r>
      <w:r>
        <w:rPr>
          <w:spacing w:val="-2"/>
          <w:sz w:val="28"/>
        </w:rPr>
        <w:t>треонина;</w:t>
      </w:r>
    </w:p>
    <w:p>
      <w:pPr>
        <w:pStyle w:val="ListParagraph"/>
        <w:spacing w:after="0" w:line="240" w:lineRule="auto"/>
        <w:jc w:val="left"/>
        <w:rPr>
          <w:sz w:val="28"/>
        </w:rPr>
        <w:sectPr>
          <w:pgSz w:w="11910" w:h="16840"/>
          <w:pgMar w:header="0" w:footer="1002" w:top="340" w:bottom="1200" w:left="850" w:right="708"/>
        </w:sectPr>
      </w:pPr>
    </w:p>
    <w:p>
      <w:pPr>
        <w:pStyle w:val="ListParagraph"/>
        <w:numPr>
          <w:ilvl w:val="0"/>
          <w:numId w:val="7"/>
        </w:numPr>
        <w:tabs>
          <w:tab w:pos="721" w:val="left" w:leader="none"/>
        </w:tabs>
        <w:spacing w:line="240" w:lineRule="auto" w:before="69" w:after="0"/>
        <w:ind w:left="721" w:right="0" w:hanging="359"/>
        <w:jc w:val="both"/>
        <w:rPr>
          <w:sz w:val="28"/>
        </w:rPr>
      </w:pPr>
      <w:r>
        <w:rPr>
          <w:sz w:val="28"/>
        </w:rPr>
        <w:t>метаболизма</w:t>
      </w:r>
      <w:r>
        <w:rPr>
          <w:spacing w:val="-7"/>
          <w:sz w:val="28"/>
        </w:rPr>
        <w:t> </w:t>
      </w:r>
      <w:r>
        <w:rPr>
          <w:sz w:val="28"/>
        </w:rPr>
        <w:t>D-глютамина</w:t>
      </w:r>
      <w:r>
        <w:rPr>
          <w:spacing w:val="-6"/>
          <w:sz w:val="28"/>
        </w:rPr>
        <w:t> </w:t>
      </w:r>
      <w:r>
        <w:rPr>
          <w:sz w:val="28"/>
        </w:rPr>
        <w:t>и</w:t>
      </w:r>
      <w:r>
        <w:rPr>
          <w:spacing w:val="-6"/>
          <w:sz w:val="28"/>
        </w:rPr>
        <w:t> </w:t>
      </w:r>
      <w:r>
        <w:rPr>
          <w:sz w:val="28"/>
        </w:rPr>
        <w:t>D-</w:t>
      </w:r>
      <w:r>
        <w:rPr>
          <w:spacing w:val="-2"/>
          <w:sz w:val="28"/>
        </w:rPr>
        <w:t>глутамата;</w:t>
      </w:r>
    </w:p>
    <w:p>
      <w:pPr>
        <w:pStyle w:val="ListParagraph"/>
        <w:numPr>
          <w:ilvl w:val="0"/>
          <w:numId w:val="7"/>
        </w:numPr>
        <w:tabs>
          <w:tab w:pos="721" w:val="left" w:leader="none"/>
        </w:tabs>
        <w:spacing w:line="240" w:lineRule="auto" w:before="21" w:after="0"/>
        <w:ind w:left="721" w:right="0" w:hanging="359"/>
        <w:jc w:val="both"/>
        <w:rPr>
          <w:sz w:val="28"/>
        </w:rPr>
      </w:pPr>
      <w:r>
        <w:rPr>
          <w:sz w:val="28"/>
        </w:rPr>
        <w:t>цитратного</w:t>
      </w:r>
      <w:r>
        <w:rPr>
          <w:spacing w:val="-6"/>
          <w:sz w:val="28"/>
        </w:rPr>
        <w:t> </w:t>
      </w:r>
      <w:r>
        <w:rPr>
          <w:sz w:val="28"/>
        </w:rPr>
        <w:t>цикла</w:t>
      </w:r>
      <w:r>
        <w:rPr>
          <w:spacing w:val="-5"/>
          <w:sz w:val="28"/>
        </w:rPr>
        <w:t> </w:t>
      </w:r>
      <w:r>
        <w:rPr>
          <w:spacing w:val="-4"/>
          <w:sz w:val="28"/>
        </w:rPr>
        <w:t>[90].</w:t>
      </w:r>
    </w:p>
    <w:p>
      <w:pPr>
        <w:pStyle w:val="BodyText"/>
        <w:spacing w:line="256" w:lineRule="auto" w:before="21"/>
        <w:ind w:left="2" w:right="137" w:firstLine="359"/>
      </w:pPr>
      <w:r>
        <w:rPr/>
        <w:t>Мультифакторность влияния биохимических процессов, протекающих в семенной плазме, на оплодотворяющую функцию эякулята представляет сложность при планировании экспериментальных исследований. Следует при планировании экспериментов, объектом которых является эякулят, учитывать биохимию семенной плазмы в целом и окислительно-восстановительные реакции в частности, не упрощая ее функцию в оплодотворении у человека.</w:t>
      </w:r>
    </w:p>
    <w:p>
      <w:pPr>
        <w:pStyle w:val="BodyText"/>
        <w:spacing w:before="13"/>
        <w:jc w:val="left"/>
      </w:pPr>
    </w:p>
    <w:p>
      <w:pPr>
        <w:pStyle w:val="Heading2"/>
        <w:numPr>
          <w:ilvl w:val="1"/>
          <w:numId w:val="4"/>
        </w:numPr>
        <w:tabs>
          <w:tab w:pos="1186" w:val="left" w:leader="none"/>
        </w:tabs>
        <w:spacing w:line="256" w:lineRule="auto" w:before="0" w:after="0"/>
        <w:ind w:left="2" w:right="138" w:firstLine="707"/>
        <w:jc w:val="both"/>
      </w:pPr>
      <w:r>
        <w:rPr/>
        <w:t>Влияние неионизирующего электромагнитного излучения на живые </w:t>
      </w:r>
      <w:r>
        <w:rPr>
          <w:spacing w:val="-2"/>
        </w:rPr>
        <w:t>объекты</w:t>
      </w:r>
    </w:p>
    <w:p>
      <w:pPr>
        <w:pStyle w:val="BodyText"/>
        <w:spacing w:line="256" w:lineRule="auto"/>
        <w:ind w:left="2" w:right="136" w:firstLine="707"/>
      </w:pPr>
      <w:r>
        <w:rPr/>
        <w:t>Видимый свет – это электромагнитное излучение с длиной волны в диапазоне от 380 до</w:t>
      </w:r>
      <w:r>
        <w:rPr>
          <w:spacing w:val="-1"/>
        </w:rPr>
        <w:t> </w:t>
      </w:r>
      <w:r>
        <w:rPr/>
        <w:t>780</w:t>
      </w:r>
      <w:r>
        <w:rPr>
          <w:spacing w:val="-1"/>
        </w:rPr>
        <w:t> </w:t>
      </w:r>
      <w:r>
        <w:rPr/>
        <w:t>нм</w:t>
      </w:r>
      <w:r>
        <w:rPr>
          <w:spacing w:val="-2"/>
        </w:rPr>
        <w:t> </w:t>
      </w:r>
      <w:r>
        <w:rPr/>
        <w:t>и энергией фотонов</w:t>
      </w:r>
      <w:r>
        <w:rPr>
          <w:spacing w:val="-2"/>
        </w:rPr>
        <w:t> </w:t>
      </w:r>
      <w:r>
        <w:rPr/>
        <w:t>от</w:t>
      </w:r>
      <w:r>
        <w:rPr>
          <w:spacing w:val="-2"/>
        </w:rPr>
        <w:t> </w:t>
      </w:r>
      <w:r>
        <w:rPr/>
        <w:t>1,6</w:t>
      </w:r>
      <w:r>
        <w:rPr>
          <w:spacing w:val="-1"/>
        </w:rPr>
        <w:t> </w:t>
      </w:r>
      <w:r>
        <w:rPr/>
        <w:t>до 3,2 эВ.</w:t>
      </w:r>
      <w:r>
        <w:rPr>
          <w:spacing w:val="-2"/>
        </w:rPr>
        <w:t> </w:t>
      </w:r>
      <w:r>
        <w:rPr/>
        <w:t>Именно этот</w:t>
      </w:r>
      <w:r>
        <w:rPr>
          <w:spacing w:val="-2"/>
        </w:rPr>
        <w:t> </w:t>
      </w:r>
      <w:r>
        <w:rPr/>
        <w:t>промежуток</w:t>
      </w:r>
      <w:r>
        <w:rPr>
          <w:spacing w:val="-2"/>
        </w:rPr>
        <w:t> </w:t>
      </w:r>
      <w:r>
        <w:rPr/>
        <w:t>длин волн воспринимается человеческим глазом. Видимый свет — важнейший фактор существования жизни на Земле, он является основным источником энергии для большинства биоценозов [117]. Световые волны участвуют в следующих важных процессах: фототаксис, фототропизм, фотопериодизм, циркадная ритмика и, конечно, в зрительном восприятии. Фототаксис характерен в основном для микроорганизмов и растений, он подразумевает направленность движения по градиенту яркости [118, 93]. Фототропизм проявляется в изменении направления роста органов растений или положение тела животных в зависимости от направления</w:t>
      </w:r>
      <w:r>
        <w:rPr>
          <w:spacing w:val="-3"/>
        </w:rPr>
        <w:t> </w:t>
      </w:r>
      <w:r>
        <w:rPr/>
        <w:t>падающего</w:t>
      </w:r>
      <w:r>
        <w:rPr>
          <w:spacing w:val="-3"/>
        </w:rPr>
        <w:t> </w:t>
      </w:r>
      <w:r>
        <w:rPr/>
        <w:t>света</w:t>
      </w:r>
      <w:r>
        <w:rPr>
          <w:spacing w:val="-4"/>
        </w:rPr>
        <w:t> </w:t>
      </w:r>
      <w:r>
        <w:rPr/>
        <w:t>[119].</w:t>
      </w:r>
      <w:r>
        <w:rPr>
          <w:spacing w:val="-4"/>
        </w:rPr>
        <w:t> </w:t>
      </w:r>
      <w:r>
        <w:rPr/>
        <w:t>Фотопериодизм</w:t>
      </w:r>
      <w:r>
        <w:rPr>
          <w:spacing w:val="-4"/>
        </w:rPr>
        <w:t> </w:t>
      </w:r>
      <w:r>
        <w:rPr/>
        <w:t>-</w:t>
      </w:r>
      <w:r>
        <w:rPr>
          <w:spacing w:val="-4"/>
        </w:rPr>
        <w:t> </w:t>
      </w:r>
      <w:r>
        <w:rPr/>
        <w:t>реакция</w:t>
      </w:r>
      <w:r>
        <w:rPr>
          <w:spacing w:val="-5"/>
        </w:rPr>
        <w:t> </w:t>
      </w:r>
      <w:r>
        <w:rPr/>
        <w:t>живых</w:t>
      </w:r>
      <w:r>
        <w:rPr>
          <w:spacing w:val="-4"/>
        </w:rPr>
        <w:t> </w:t>
      </w:r>
      <w:r>
        <w:rPr/>
        <w:t>организмов</w:t>
      </w:r>
      <w:r>
        <w:rPr>
          <w:spacing w:val="-4"/>
        </w:rPr>
        <w:t> </w:t>
      </w:r>
      <w:r>
        <w:rPr/>
        <w:t>на суточный режим освещенности: продолжительности светового дня или</w:t>
      </w:r>
      <w:r>
        <w:rPr>
          <w:spacing w:val="40"/>
        </w:rPr>
        <w:t> </w:t>
      </w:r>
      <w:r>
        <w:rPr/>
        <w:t>соотношения дневного и ночного периодов. Фотопериодизм, например, заставляет растения переходить от вегетативного роста к цветению. Фототропизм у животных контролирует начало брачного периода, сезонные миграции, а также линьку и зимний покой некоторых млекопитающих [120].</w:t>
      </w:r>
    </w:p>
    <w:p>
      <w:pPr>
        <w:pStyle w:val="BodyText"/>
        <w:spacing w:before="71"/>
        <w:jc w:val="left"/>
        <w:rPr>
          <w:sz w:val="20"/>
        </w:rPr>
      </w:pPr>
      <w:r>
        <w:rPr>
          <w:sz w:val="20"/>
        </w:rPr>
        <w:drawing>
          <wp:anchor distT="0" distB="0" distL="0" distR="0" allowOverlap="1" layoutInCell="1" locked="0" behindDoc="1" simplePos="0" relativeHeight="487592960">
            <wp:simplePos x="0" y="0"/>
            <wp:positionH relativeFrom="page">
              <wp:posOffset>1018222</wp:posOffset>
            </wp:positionH>
            <wp:positionV relativeFrom="paragraph">
              <wp:posOffset>206803</wp:posOffset>
            </wp:positionV>
            <wp:extent cx="5521917" cy="1937004"/>
            <wp:effectExtent l="0" t="0" r="0" b="0"/>
            <wp:wrapTopAndBottom/>
            <wp:docPr id="16" name="Image 16" descr=""/>
            <wp:cNvGraphicFramePr>
              <a:graphicFrameLocks/>
            </wp:cNvGraphicFramePr>
            <a:graphic>
              <a:graphicData uri="http://schemas.openxmlformats.org/drawingml/2006/picture">
                <pic:pic>
                  <pic:nvPicPr>
                    <pic:cNvPr id="16" name="Image 16" descr=""/>
                    <pic:cNvPicPr/>
                  </pic:nvPicPr>
                  <pic:blipFill>
                    <a:blip r:embed="rId16" cstate="print"/>
                    <a:stretch>
                      <a:fillRect/>
                    </a:stretch>
                  </pic:blipFill>
                  <pic:spPr>
                    <a:xfrm>
                      <a:off x="0" y="0"/>
                      <a:ext cx="5521917" cy="1937004"/>
                    </a:xfrm>
                    <a:prstGeom prst="rect">
                      <a:avLst/>
                    </a:prstGeom>
                  </pic:spPr>
                </pic:pic>
              </a:graphicData>
            </a:graphic>
          </wp:anchor>
        </w:drawing>
      </w:r>
    </w:p>
    <w:p>
      <w:pPr>
        <w:pStyle w:val="BodyText"/>
        <w:spacing w:before="30"/>
        <w:ind w:right="134"/>
        <w:jc w:val="center"/>
      </w:pPr>
      <w:r>
        <w:rPr/>
        <w:t>Рисунок</w:t>
      </w:r>
      <w:r>
        <w:rPr>
          <w:spacing w:val="-9"/>
        </w:rPr>
        <w:t> </w:t>
      </w:r>
      <w:r>
        <w:rPr/>
        <w:t>7</w:t>
      </w:r>
      <w:r>
        <w:rPr>
          <w:spacing w:val="-4"/>
        </w:rPr>
        <w:t> </w:t>
      </w:r>
      <w:r>
        <w:rPr>
          <w:rFonts w:ascii="Arial MT" w:hAnsi="Arial MT"/>
          <w:color w:val="454545"/>
          <w:sz w:val="21"/>
        </w:rPr>
        <w:t>—</w:t>
      </w:r>
      <w:r>
        <w:rPr>
          <w:rFonts w:ascii="Arial MT" w:hAnsi="Arial MT"/>
          <w:color w:val="454545"/>
          <w:spacing w:val="8"/>
          <w:sz w:val="21"/>
        </w:rPr>
        <w:t> </w:t>
      </w:r>
      <w:r>
        <w:rPr/>
        <w:t>Соответствие</w:t>
      </w:r>
      <w:r>
        <w:rPr>
          <w:spacing w:val="-5"/>
        </w:rPr>
        <w:t> </w:t>
      </w:r>
      <w:r>
        <w:rPr/>
        <w:t>цвета</w:t>
      </w:r>
      <w:r>
        <w:rPr>
          <w:spacing w:val="-5"/>
        </w:rPr>
        <w:t> </w:t>
      </w:r>
      <w:r>
        <w:rPr/>
        <w:t>спектра</w:t>
      </w:r>
      <w:r>
        <w:rPr>
          <w:spacing w:val="-4"/>
        </w:rPr>
        <w:t> </w:t>
      </w:r>
      <w:r>
        <w:rPr/>
        <w:t>длине</w:t>
      </w:r>
      <w:r>
        <w:rPr>
          <w:spacing w:val="-5"/>
        </w:rPr>
        <w:t> </w:t>
      </w:r>
      <w:r>
        <w:rPr/>
        <w:t>волны</w:t>
      </w:r>
      <w:r>
        <w:rPr>
          <w:spacing w:val="-3"/>
        </w:rPr>
        <w:t> </w:t>
      </w:r>
      <w:r>
        <w:rPr>
          <w:spacing w:val="-2"/>
        </w:rPr>
        <w:t>[117]</w:t>
      </w:r>
    </w:p>
    <w:p>
      <w:pPr>
        <w:pStyle w:val="BodyText"/>
        <w:spacing w:before="43"/>
        <w:jc w:val="left"/>
      </w:pPr>
    </w:p>
    <w:p>
      <w:pPr>
        <w:pStyle w:val="BodyText"/>
        <w:spacing w:line="256" w:lineRule="auto"/>
        <w:ind w:left="1" w:right="137" w:firstLine="707"/>
      </w:pPr>
      <w:r>
        <w:rPr/>
        <w:t>Выполнена масса экспериментальных работ по влиянию электромагнитных излучений, в том числе видимого диапазона, на живые объекты. Например, низкоинтенсивный красный свет, стимулирует реабилитацию изолированного сердца крысы</w:t>
      </w:r>
      <w:r>
        <w:rPr>
          <w:spacing w:val="-1"/>
        </w:rPr>
        <w:t> </w:t>
      </w:r>
      <w:r>
        <w:rPr/>
        <w:t>после</w:t>
      </w:r>
      <w:r>
        <w:rPr>
          <w:spacing w:val="-1"/>
        </w:rPr>
        <w:t> </w:t>
      </w:r>
      <w:r>
        <w:rPr/>
        <w:t>ишемии</w:t>
      </w:r>
      <w:r>
        <w:rPr>
          <w:spacing w:val="-1"/>
        </w:rPr>
        <w:t> </w:t>
      </w:r>
      <w:r>
        <w:rPr/>
        <w:t>[121]. Экспозиция</w:t>
      </w:r>
      <w:r>
        <w:rPr>
          <w:spacing w:val="-1"/>
        </w:rPr>
        <w:t> </w:t>
      </w:r>
      <w:r>
        <w:rPr/>
        <w:t>красного света положительно влияет на</w:t>
      </w:r>
      <w:r>
        <w:rPr>
          <w:spacing w:val="40"/>
        </w:rPr>
        <w:t> </w:t>
      </w:r>
      <w:r>
        <w:rPr/>
        <w:t>эмбриональное</w:t>
      </w:r>
      <w:r>
        <w:rPr>
          <w:spacing w:val="40"/>
        </w:rPr>
        <w:t> </w:t>
      </w:r>
      <w:r>
        <w:rPr/>
        <w:t>развитие</w:t>
      </w:r>
      <w:r>
        <w:rPr>
          <w:spacing w:val="40"/>
        </w:rPr>
        <w:t> </w:t>
      </w:r>
      <w:r>
        <w:rPr/>
        <w:t>хомяков</w:t>
      </w:r>
      <w:r>
        <w:rPr>
          <w:spacing w:val="40"/>
        </w:rPr>
        <w:t> </w:t>
      </w:r>
      <w:r>
        <w:rPr/>
        <w:t>[122].</w:t>
      </w:r>
      <w:r>
        <w:rPr>
          <w:spacing w:val="40"/>
        </w:rPr>
        <w:t> </w:t>
      </w:r>
      <w:r>
        <w:rPr/>
        <w:t>Воздействие</w:t>
      </w:r>
      <w:r>
        <w:rPr>
          <w:spacing w:val="40"/>
        </w:rPr>
        <w:t> </w:t>
      </w:r>
      <w:r>
        <w:rPr/>
        <w:t>преобразованного</w:t>
      </w:r>
      <w:r>
        <w:rPr>
          <w:spacing w:val="40"/>
        </w:rPr>
        <w:t> </w:t>
      </w:r>
      <w:r>
        <w:rPr/>
        <w:t>света</w:t>
      </w:r>
      <w:r>
        <w:rPr>
          <w:spacing w:val="40"/>
        </w:rPr>
        <w:t> </w:t>
      </w:r>
      <w:r>
        <w:rPr/>
        <w:t>с</w:t>
      </w:r>
    </w:p>
    <w:p>
      <w:pPr>
        <w:pStyle w:val="BodyText"/>
        <w:spacing w:after="0" w:line="256" w:lineRule="auto"/>
        <w:sectPr>
          <w:pgSz w:w="11910" w:h="16840"/>
          <w:pgMar w:header="0" w:footer="1002" w:top="340" w:bottom="1200" w:left="850" w:right="708"/>
        </w:sectPr>
      </w:pPr>
    </w:p>
    <w:p>
      <w:pPr>
        <w:pStyle w:val="BodyText"/>
        <w:spacing w:line="256" w:lineRule="auto" w:before="69"/>
        <w:ind w:left="1" w:right="137"/>
      </w:pPr>
      <w:r>
        <w:rPr/>
        <w:t>дополнительной составляющей люминесценции в красной области спектра значительно снижает количество аномально развитых и нежизнеспособных эмбрионов мыши [123-124]. Показано модулирование процессов эмбрионального развития рыб под воздействием видимого спектра [125].</w:t>
      </w:r>
    </w:p>
    <w:p>
      <w:pPr>
        <w:pStyle w:val="BodyText"/>
        <w:spacing w:line="256" w:lineRule="auto"/>
        <w:ind w:left="1" w:right="135" w:firstLine="708"/>
      </w:pPr>
      <w:r>
        <w:rPr/>
        <w:t>Большинство авторов разделяют мнение, что красные фотоны (620-780 нм) усиливают дифференцировку клеток, модулируют функциональную клеточную активность, стимулируют репарационные процессы и имеют</w:t>
      </w:r>
      <w:r>
        <w:rPr>
          <w:spacing w:val="40"/>
        </w:rPr>
        <w:t> </w:t>
      </w:r>
      <w:r>
        <w:rPr/>
        <w:t>иммуномодулирующие, анестезирующие и гипосенсибилизирующие свойства, в целом стимулируют биологическую активность. В то время как синие фотоны (440-490 нм) оказывают цитостатическое, бактерицидное, ингибирующее действие [121-</w:t>
      </w:r>
      <w:r>
        <w:rPr>
          <w:spacing w:val="-4"/>
        </w:rPr>
        <w:t>125].</w:t>
      </w:r>
    </w:p>
    <w:p>
      <w:pPr>
        <w:pStyle w:val="BodyText"/>
        <w:spacing w:line="256" w:lineRule="auto"/>
        <w:ind w:left="1" w:right="137" w:firstLine="707"/>
      </w:pPr>
      <w:r>
        <w:rPr/>
        <w:t>Таким образом, видимый спектр ЭМИ обладает широким потенциалом биологического воздействия, имея богатую историю экспериментального применения, не теряет актуальности на сегодняшний день и показывает обнадеживающую перспективу.</w:t>
      </w:r>
    </w:p>
    <w:p>
      <w:pPr>
        <w:pStyle w:val="BodyText"/>
        <w:spacing w:before="3"/>
        <w:jc w:val="left"/>
      </w:pPr>
    </w:p>
    <w:p>
      <w:pPr>
        <w:pStyle w:val="Heading2"/>
        <w:numPr>
          <w:ilvl w:val="2"/>
          <w:numId w:val="4"/>
        </w:numPr>
        <w:tabs>
          <w:tab w:pos="1858" w:val="left" w:leader="none"/>
        </w:tabs>
        <w:spacing w:line="256" w:lineRule="auto" w:before="0" w:after="0"/>
        <w:ind w:left="1" w:right="138" w:firstLine="707"/>
        <w:jc w:val="both"/>
      </w:pPr>
      <w:r>
        <w:rPr/>
        <w:t>Фотоакцептивность цитохромоксидазы в отношении монохроматического и инфракрасного электромагнитного излучений</w:t>
      </w:r>
    </w:p>
    <w:p>
      <w:pPr>
        <w:pStyle w:val="BodyText"/>
        <w:spacing w:line="256" w:lineRule="auto"/>
        <w:ind w:left="1" w:right="136" w:firstLine="708"/>
      </w:pPr>
      <w:r>
        <w:rPr/>
        <w:t>Изучение</w:t>
      </w:r>
      <w:r>
        <w:rPr>
          <w:spacing w:val="-6"/>
        </w:rPr>
        <w:t> </w:t>
      </w:r>
      <w:r>
        <w:rPr/>
        <w:t>механизмов</w:t>
      </w:r>
      <w:r>
        <w:rPr>
          <w:spacing w:val="-6"/>
        </w:rPr>
        <w:t> </w:t>
      </w:r>
      <w:r>
        <w:rPr/>
        <w:t>повреждающего</w:t>
      </w:r>
      <w:r>
        <w:rPr>
          <w:spacing w:val="-7"/>
        </w:rPr>
        <w:t> </w:t>
      </w:r>
      <w:r>
        <w:rPr/>
        <w:t>действия</w:t>
      </w:r>
      <w:r>
        <w:rPr>
          <w:spacing w:val="-7"/>
        </w:rPr>
        <w:t> </w:t>
      </w:r>
      <w:r>
        <w:rPr/>
        <w:t>ультрафиолетового</w:t>
      </w:r>
      <w:r>
        <w:rPr>
          <w:spacing w:val="-5"/>
        </w:rPr>
        <w:t> </w:t>
      </w:r>
      <w:r>
        <w:rPr/>
        <w:t>излучения в диапазоне длин волн 290–400 нм (часть солнечного излучения, достигающая земной поверхности) уже много лет является одной из основных тем фотобиологических исследований. В то же время, исследователи считали, что</w:t>
      </w:r>
      <w:r>
        <w:rPr>
          <w:spacing w:val="40"/>
        </w:rPr>
        <w:t> </w:t>
      </w:r>
      <w:r>
        <w:rPr/>
        <w:t>другие компоненты солнечного излучения, достигающие земной поверхности, такие как видимый</w:t>
      </w:r>
      <w:r>
        <w:rPr>
          <w:spacing w:val="40"/>
        </w:rPr>
        <w:t> </w:t>
      </w:r>
      <w:r>
        <w:rPr/>
        <w:t>свет, 400–760</w:t>
      </w:r>
      <w:r>
        <w:rPr>
          <w:spacing w:val="40"/>
        </w:rPr>
        <w:t> </w:t>
      </w:r>
      <w:r>
        <w:rPr/>
        <w:t>нм и инфракрасное (ИК) излучение в диапазоне 760–3000 нм не влияют на метаболизм клеток млекопитающих [126]. Обосновывалась такая точка зрения низкой интенсивностью ИК излучения (760–1440 нм) от солнечного спектра [127]. Помимо этого, не были известны подходящие фотоакцепторы в клетках млекопитающих для этой конкретной области спектра. Во второй половине 20 века действие излучения в красной и ИК областях на ткани и клетки изучались с использованием лазеров низкой интенсивности (например, гелий-неоновый лазер), а затем и светодиодов. Эти новые устройства использовались</w:t>
      </w:r>
      <w:r>
        <w:rPr>
          <w:spacing w:val="-1"/>
        </w:rPr>
        <w:t> </w:t>
      </w:r>
      <w:r>
        <w:rPr/>
        <w:t>для</w:t>
      </w:r>
      <w:r>
        <w:rPr>
          <w:spacing w:val="-2"/>
        </w:rPr>
        <w:t> </w:t>
      </w:r>
      <w:r>
        <w:rPr/>
        <w:t>лечения неразрушающим и нетермическим способом различных воспалительных состояний и язв [5, 6, 128]. Как выяснилось, видимый диапазон излучения нельзя считать полностью неактивным и безвредным, он все же имеет биологический эффект [1, 129-133].</w:t>
      </w:r>
    </w:p>
    <w:p>
      <w:pPr>
        <w:pStyle w:val="BodyText"/>
        <w:spacing w:line="304" w:lineRule="exact"/>
        <w:ind w:left="710"/>
      </w:pPr>
      <w:r>
        <w:rPr/>
        <w:t>Цитохром-с-оксидаза</w:t>
      </w:r>
      <w:r>
        <w:rPr>
          <w:spacing w:val="65"/>
        </w:rPr>
        <w:t>   </w:t>
      </w:r>
      <w:r>
        <w:rPr/>
        <w:t>(цитохромоксидаза)</w:t>
      </w:r>
      <w:r>
        <w:rPr>
          <w:spacing w:val="66"/>
        </w:rPr>
        <w:t>   </w:t>
      </w:r>
      <w:r>
        <w:rPr/>
        <w:t>-</w:t>
      </w:r>
      <w:r>
        <w:rPr>
          <w:spacing w:val="66"/>
        </w:rPr>
        <w:t>   </w:t>
      </w:r>
      <w:r>
        <w:rPr/>
        <w:t>терминальный</w:t>
      </w:r>
      <w:r>
        <w:rPr>
          <w:spacing w:val="66"/>
        </w:rPr>
        <w:t>   </w:t>
      </w:r>
      <w:r>
        <w:rPr>
          <w:spacing w:val="-2"/>
        </w:rPr>
        <w:t>фермент</w:t>
      </w:r>
    </w:p>
    <w:p>
      <w:pPr>
        <w:pStyle w:val="BodyText"/>
        <w:spacing w:line="256" w:lineRule="auto" w:before="18"/>
        <w:ind w:left="2" w:right="136"/>
      </w:pPr>
      <w:r>
        <w:rPr/>
        <w:t>дыхательной цепи эукариотических клеток, опосредующий перенос электронов от цитохрома-с к молекулярному кислороду (рис.</w:t>
      </w:r>
      <w:r>
        <w:rPr>
          <w:spacing w:val="-1"/>
        </w:rPr>
        <w:t> </w:t>
      </w:r>
      <w:r>
        <w:rPr/>
        <w:t>8).</w:t>
      </w:r>
      <w:r>
        <w:rPr>
          <w:spacing w:val="-1"/>
        </w:rPr>
        <w:t> </w:t>
      </w:r>
      <w:r>
        <w:rPr/>
        <w:t>Также данный фермент</w:t>
      </w:r>
      <w:r>
        <w:rPr>
          <w:spacing w:val="-1"/>
        </w:rPr>
        <w:t> </w:t>
      </w:r>
      <w:r>
        <w:rPr/>
        <w:t>выступает как фотоакцептор и преобразователь фотосигнала в видимой и ИК областях [5]. Эта реакционная</w:t>
      </w:r>
      <w:r>
        <w:rPr>
          <w:spacing w:val="-3"/>
        </w:rPr>
        <w:t> </w:t>
      </w:r>
      <w:r>
        <w:rPr/>
        <w:t>способность</w:t>
      </w:r>
      <w:r>
        <w:rPr>
          <w:spacing w:val="-4"/>
        </w:rPr>
        <w:t> </w:t>
      </w:r>
      <w:r>
        <w:rPr/>
        <w:t>обусловлена</w:t>
      </w:r>
      <w:r>
        <w:rPr>
          <w:spacing w:val="-3"/>
        </w:rPr>
        <w:t> </w:t>
      </w:r>
      <w:r>
        <w:rPr/>
        <w:t>четырьмя</w:t>
      </w:r>
      <w:r>
        <w:rPr>
          <w:spacing w:val="-3"/>
        </w:rPr>
        <w:t> </w:t>
      </w:r>
      <w:r>
        <w:rPr/>
        <w:t>окислительно-восстановительными центрами активных металлов:</w:t>
      </w:r>
      <w:r>
        <w:rPr>
          <w:spacing w:val="-2"/>
        </w:rPr>
        <w:t> </w:t>
      </w:r>
      <w:r>
        <w:rPr/>
        <w:t>бинуклеарные Cu</w:t>
      </w:r>
      <w:r>
        <w:rPr>
          <w:vertAlign w:val="subscript"/>
        </w:rPr>
        <w:t>A</w:t>
      </w:r>
      <w:r>
        <w:rPr>
          <w:vertAlign w:val="baseline"/>
        </w:rPr>
        <w:t>,</w:t>
      </w:r>
      <w:r>
        <w:rPr>
          <w:spacing w:val="-1"/>
          <w:vertAlign w:val="baseline"/>
        </w:rPr>
        <w:t> </w:t>
      </w:r>
      <w:r>
        <w:rPr>
          <w:vertAlign w:val="baseline"/>
        </w:rPr>
        <w:t>Cu</w:t>
      </w:r>
      <w:r>
        <w:rPr>
          <w:vertAlign w:val="subscript"/>
        </w:rPr>
        <w:t>B</w:t>
      </w:r>
      <w:r>
        <w:rPr>
          <w:vertAlign w:val="baseline"/>
        </w:rPr>
        <w:t>,</w:t>
      </w:r>
      <w:r>
        <w:rPr>
          <w:spacing w:val="-1"/>
          <w:vertAlign w:val="baseline"/>
        </w:rPr>
        <w:t> </w:t>
      </w:r>
      <w:r>
        <w:rPr>
          <w:vertAlign w:val="baseline"/>
        </w:rPr>
        <w:t>гем</w:t>
      </w:r>
      <w:r>
        <w:rPr>
          <w:spacing w:val="-3"/>
          <w:vertAlign w:val="baseline"/>
        </w:rPr>
        <w:t> </w:t>
      </w:r>
      <w:r>
        <w:rPr>
          <w:i/>
          <w:vertAlign w:val="baseline"/>
        </w:rPr>
        <w:t>а </w:t>
      </w:r>
      <w:r>
        <w:rPr>
          <w:vertAlign w:val="baseline"/>
        </w:rPr>
        <w:t>и гем</w:t>
      </w:r>
      <w:r>
        <w:rPr>
          <w:i/>
          <w:vertAlign w:val="baseline"/>
        </w:rPr>
        <w:t>a</w:t>
      </w:r>
      <w:r>
        <w:rPr>
          <w:i/>
          <w:vertAlign w:val="subscript"/>
        </w:rPr>
        <w:t>3</w:t>
      </w:r>
      <w:r>
        <w:rPr>
          <w:vertAlign w:val="baseline"/>
        </w:rPr>
        <w:t>,</w:t>
      </w:r>
      <w:r>
        <w:rPr>
          <w:spacing w:val="-1"/>
          <w:vertAlign w:val="baseline"/>
        </w:rPr>
        <w:t> </w:t>
      </w:r>
      <w:r>
        <w:rPr>
          <w:vertAlign w:val="baseline"/>
        </w:rPr>
        <w:t>которые имеют поглощающую способность в диапазоне спектра от красного до ИК [5-7]. Спектральный анализ позволил сделать вывод, о том, что цитохром-с-оксидаза выступает</w:t>
      </w:r>
      <w:r>
        <w:rPr>
          <w:spacing w:val="22"/>
          <w:vertAlign w:val="baseline"/>
        </w:rPr>
        <w:t> </w:t>
      </w:r>
      <w:r>
        <w:rPr>
          <w:vertAlign w:val="baseline"/>
        </w:rPr>
        <w:t>в</w:t>
      </w:r>
      <w:r>
        <w:rPr>
          <w:spacing w:val="22"/>
          <w:vertAlign w:val="baseline"/>
        </w:rPr>
        <w:t> </w:t>
      </w:r>
      <w:r>
        <w:rPr>
          <w:vertAlign w:val="baseline"/>
        </w:rPr>
        <w:t>качестве</w:t>
      </w:r>
      <w:r>
        <w:rPr>
          <w:spacing w:val="22"/>
          <w:vertAlign w:val="baseline"/>
        </w:rPr>
        <w:t> </w:t>
      </w:r>
      <w:r>
        <w:rPr>
          <w:vertAlign w:val="baseline"/>
        </w:rPr>
        <w:t>фотоакцептора</w:t>
      </w:r>
      <w:r>
        <w:rPr>
          <w:spacing w:val="20"/>
          <w:vertAlign w:val="baseline"/>
        </w:rPr>
        <w:t> </w:t>
      </w:r>
      <w:r>
        <w:rPr>
          <w:vertAlign w:val="baseline"/>
        </w:rPr>
        <w:t>на</w:t>
      </w:r>
      <w:r>
        <w:rPr>
          <w:spacing w:val="20"/>
          <w:vertAlign w:val="baseline"/>
        </w:rPr>
        <w:t> </w:t>
      </w:r>
      <w:r>
        <w:rPr>
          <w:vertAlign w:val="baseline"/>
        </w:rPr>
        <w:t>примере</w:t>
      </w:r>
      <w:r>
        <w:rPr>
          <w:spacing w:val="22"/>
          <w:vertAlign w:val="baseline"/>
        </w:rPr>
        <w:t> </w:t>
      </w:r>
      <w:r>
        <w:rPr>
          <w:vertAlign w:val="baseline"/>
        </w:rPr>
        <w:t>пиков</w:t>
      </w:r>
      <w:r>
        <w:rPr>
          <w:spacing w:val="22"/>
          <w:vertAlign w:val="baseline"/>
        </w:rPr>
        <w:t> </w:t>
      </w:r>
      <w:r>
        <w:rPr>
          <w:vertAlign w:val="baseline"/>
        </w:rPr>
        <w:t>поглощения</w:t>
      </w:r>
      <w:r>
        <w:rPr>
          <w:spacing w:val="20"/>
          <w:vertAlign w:val="baseline"/>
        </w:rPr>
        <w:t> </w:t>
      </w:r>
      <w:r>
        <w:rPr>
          <w:vertAlign w:val="baseline"/>
        </w:rPr>
        <w:t>620,</w:t>
      </w:r>
      <w:r>
        <w:rPr>
          <w:spacing w:val="19"/>
          <w:vertAlign w:val="baseline"/>
        </w:rPr>
        <w:t> </w:t>
      </w:r>
      <w:r>
        <w:rPr>
          <w:vertAlign w:val="baseline"/>
        </w:rPr>
        <w:t>680,</w:t>
      </w:r>
      <w:r>
        <w:rPr>
          <w:spacing w:val="22"/>
          <w:vertAlign w:val="baseline"/>
        </w:rPr>
        <w:t> </w:t>
      </w:r>
      <w:r>
        <w:rPr>
          <w:vertAlign w:val="baseline"/>
        </w:rPr>
        <w:t>760</w:t>
      </w:r>
      <w:r>
        <w:rPr>
          <w:spacing w:val="18"/>
          <w:vertAlign w:val="baseline"/>
        </w:rPr>
        <w:t> </w:t>
      </w:r>
      <w:r>
        <w:rPr>
          <w:vertAlign w:val="baseline"/>
        </w:rPr>
        <w:t>и</w:t>
      </w:r>
    </w:p>
    <w:p>
      <w:pPr>
        <w:pStyle w:val="BodyText"/>
        <w:spacing w:after="0" w:line="256" w:lineRule="auto"/>
        <w:sectPr>
          <w:pgSz w:w="11910" w:h="16840"/>
          <w:pgMar w:header="0" w:footer="1002" w:top="340" w:bottom="1200" w:left="850" w:right="708"/>
        </w:sectPr>
      </w:pPr>
    </w:p>
    <w:p>
      <w:pPr>
        <w:pStyle w:val="BodyText"/>
        <w:spacing w:line="256" w:lineRule="auto" w:before="69"/>
        <w:ind w:left="2"/>
        <w:jc w:val="left"/>
      </w:pPr>
      <w:r>
        <w:rPr/>
        <w:t>825 нм [6-9]. Примечательно, что еще в 1988 году экспериментально показано, что</w:t>
      </w:r>
      <w:r>
        <w:rPr>
          <w:spacing w:val="40"/>
        </w:rPr>
        <w:t> </w:t>
      </w:r>
      <w:r>
        <w:rPr/>
        <w:t>изолированная и очищенная цитохромоксидаза активируется видимым светом [10].</w:t>
      </w:r>
    </w:p>
    <w:p>
      <w:pPr>
        <w:pStyle w:val="BodyText"/>
        <w:spacing w:before="86"/>
        <w:jc w:val="left"/>
        <w:rPr>
          <w:sz w:val="20"/>
        </w:rPr>
      </w:pPr>
      <w:r>
        <w:rPr>
          <w:sz w:val="20"/>
        </w:rPr>
        <w:drawing>
          <wp:anchor distT="0" distB="0" distL="0" distR="0" allowOverlap="1" layoutInCell="1" locked="0" behindDoc="1" simplePos="0" relativeHeight="487593472">
            <wp:simplePos x="0" y="0"/>
            <wp:positionH relativeFrom="page">
              <wp:posOffset>1751647</wp:posOffset>
            </wp:positionH>
            <wp:positionV relativeFrom="paragraph">
              <wp:posOffset>216153</wp:posOffset>
            </wp:positionV>
            <wp:extent cx="4068604" cy="3846385"/>
            <wp:effectExtent l="0" t="0" r="0" b="0"/>
            <wp:wrapTopAndBottom/>
            <wp:docPr id="17" name="Image 17" descr=""/>
            <wp:cNvGraphicFramePr>
              <a:graphicFrameLocks/>
            </wp:cNvGraphicFramePr>
            <a:graphic>
              <a:graphicData uri="http://schemas.openxmlformats.org/drawingml/2006/picture">
                <pic:pic>
                  <pic:nvPicPr>
                    <pic:cNvPr id="17" name="Image 17" descr=""/>
                    <pic:cNvPicPr/>
                  </pic:nvPicPr>
                  <pic:blipFill>
                    <a:blip r:embed="rId17" cstate="print"/>
                    <a:stretch>
                      <a:fillRect/>
                    </a:stretch>
                  </pic:blipFill>
                  <pic:spPr>
                    <a:xfrm>
                      <a:off x="0" y="0"/>
                      <a:ext cx="4068604" cy="3846385"/>
                    </a:xfrm>
                    <a:prstGeom prst="rect">
                      <a:avLst/>
                    </a:prstGeom>
                  </pic:spPr>
                </pic:pic>
              </a:graphicData>
            </a:graphic>
          </wp:anchor>
        </w:drawing>
      </w:r>
    </w:p>
    <w:p>
      <w:pPr>
        <w:pStyle w:val="BodyText"/>
        <w:spacing w:before="26"/>
        <w:jc w:val="left"/>
      </w:pPr>
    </w:p>
    <w:p>
      <w:pPr>
        <w:pStyle w:val="BodyText"/>
        <w:ind w:left="4" w:right="141"/>
        <w:jc w:val="center"/>
      </w:pPr>
      <w:r>
        <w:rPr/>
        <w:t>Рисунок</w:t>
      </w:r>
      <w:r>
        <w:rPr>
          <w:spacing w:val="-9"/>
        </w:rPr>
        <w:t> </w:t>
      </w:r>
      <w:r>
        <w:rPr/>
        <w:t>8</w:t>
      </w:r>
      <w:r>
        <w:rPr>
          <w:spacing w:val="-4"/>
        </w:rPr>
        <w:t> </w:t>
      </w:r>
      <w:r>
        <w:rPr/>
        <w:t>—</w:t>
      </w:r>
      <w:r>
        <w:rPr>
          <w:spacing w:val="-4"/>
        </w:rPr>
        <w:t> </w:t>
      </w:r>
      <w:r>
        <w:rPr/>
        <w:t>Схема</w:t>
      </w:r>
      <w:r>
        <w:rPr>
          <w:spacing w:val="-6"/>
        </w:rPr>
        <w:t> </w:t>
      </w:r>
      <w:r>
        <w:rPr/>
        <w:t>каталитического</w:t>
      </w:r>
      <w:r>
        <w:rPr>
          <w:spacing w:val="-6"/>
        </w:rPr>
        <w:t> </w:t>
      </w:r>
      <w:r>
        <w:rPr/>
        <w:t>цикла</w:t>
      </w:r>
      <w:r>
        <w:rPr>
          <w:spacing w:val="-4"/>
        </w:rPr>
        <w:t> </w:t>
      </w:r>
      <w:r>
        <w:rPr>
          <w:spacing w:val="-2"/>
        </w:rPr>
        <w:t>цитохромоксидазы.</w:t>
      </w:r>
    </w:p>
    <w:p>
      <w:pPr>
        <w:pStyle w:val="BodyText"/>
        <w:spacing w:line="276" w:lineRule="auto" w:before="48"/>
        <w:ind w:left="3" w:right="141"/>
        <w:jc w:val="center"/>
      </w:pPr>
      <w:r>
        <w:rPr/>
        <w:t>A</w:t>
      </w:r>
      <w:r>
        <w:rPr>
          <w:spacing w:val="-3"/>
        </w:rPr>
        <w:t> </w:t>
      </w:r>
      <w:r>
        <w:rPr/>
        <w:t>-</w:t>
      </w:r>
      <w:r>
        <w:rPr>
          <w:spacing w:val="-3"/>
        </w:rPr>
        <w:t> </w:t>
      </w:r>
      <w:r>
        <w:rPr/>
        <w:t>Полностью</w:t>
      </w:r>
      <w:r>
        <w:rPr>
          <w:spacing w:val="-4"/>
        </w:rPr>
        <w:t> </w:t>
      </w:r>
      <w:r>
        <w:rPr/>
        <w:t>восстановленный</w:t>
      </w:r>
      <w:r>
        <w:rPr>
          <w:spacing w:val="-3"/>
        </w:rPr>
        <w:t> </w:t>
      </w:r>
      <w:r>
        <w:rPr/>
        <w:t>биядерный</w:t>
      </w:r>
      <w:r>
        <w:rPr>
          <w:spacing w:val="-4"/>
        </w:rPr>
        <w:t> </w:t>
      </w:r>
      <w:r>
        <w:rPr/>
        <w:t>центр</w:t>
      </w:r>
      <w:r>
        <w:rPr>
          <w:spacing w:val="-4"/>
        </w:rPr>
        <w:t> </w:t>
      </w:r>
      <w:r>
        <w:rPr/>
        <w:t>быстро</w:t>
      </w:r>
      <w:r>
        <w:rPr>
          <w:spacing w:val="-4"/>
        </w:rPr>
        <w:t> </w:t>
      </w:r>
      <w:r>
        <w:rPr/>
        <w:t>связывает</w:t>
      </w:r>
      <w:r>
        <w:rPr>
          <w:spacing w:val="-6"/>
        </w:rPr>
        <w:t> </w:t>
      </w:r>
      <w:r>
        <w:rPr/>
        <w:t>O</w:t>
      </w:r>
      <w:r>
        <w:rPr>
          <w:vertAlign w:val="subscript"/>
        </w:rPr>
        <w:t>2</w:t>
      </w:r>
      <w:r>
        <w:rPr>
          <w:spacing w:val="-3"/>
          <w:vertAlign w:val="baseline"/>
        </w:rPr>
        <w:t> </w:t>
      </w:r>
      <w:r>
        <w:rPr>
          <w:vertAlign w:val="baseline"/>
        </w:rPr>
        <w:t>c образованием кислородного аддукта, что приводит к конформационным перестройкам (обозначены тонкими чёрными стрелочками).</w:t>
      </w:r>
    </w:p>
    <w:p>
      <w:pPr>
        <w:pStyle w:val="BodyText"/>
        <w:spacing w:line="276" w:lineRule="auto"/>
        <w:ind w:left="146" w:right="285" w:hanging="2"/>
        <w:jc w:val="center"/>
      </w:pPr>
      <w:r>
        <w:rPr/>
        <w:t>P</w:t>
      </w:r>
      <w:r>
        <w:rPr>
          <w:vertAlign w:val="subscript"/>
        </w:rPr>
        <w:t>M</w:t>
      </w:r>
      <w:r>
        <w:rPr>
          <w:vertAlign w:val="baseline"/>
        </w:rPr>
        <w:t> -</w:t>
      </w:r>
      <w:r>
        <w:rPr>
          <w:spacing w:val="40"/>
          <w:vertAlign w:val="baseline"/>
        </w:rPr>
        <w:t> </w:t>
      </w:r>
      <w:r>
        <w:rPr>
          <w:vertAlign w:val="baseline"/>
        </w:rPr>
        <w:t>Происходит быстрый перенос четырёх электронов на кислород: два поставляются железом гема а3 (FeII→FeIV), ещё один расположенным рядом Cu</w:t>
      </w:r>
      <w:r>
        <w:rPr>
          <w:vertAlign w:val="subscript"/>
        </w:rPr>
        <w:t>B</w:t>
      </w:r>
      <w:r>
        <w:rPr>
          <w:vertAlign w:val="baseline"/>
        </w:rPr>
        <w:t> (CuI→CuII), а четвёртый приходит от остатка тирозина-244, он же отдаёт протон, необходимый для разрыва двойной связи O</w:t>
      </w:r>
      <w:r>
        <w:rPr>
          <w:vertAlign w:val="subscript"/>
        </w:rPr>
        <w:t>2</w:t>
      </w:r>
      <w:r>
        <w:rPr>
          <w:vertAlign w:val="baseline"/>
        </w:rPr>
        <w:t>. Образовавшийся нейтральный тирозиновый</w:t>
      </w:r>
      <w:r>
        <w:rPr>
          <w:spacing w:val="-3"/>
          <w:vertAlign w:val="baseline"/>
        </w:rPr>
        <w:t> </w:t>
      </w:r>
      <w:r>
        <w:rPr>
          <w:vertAlign w:val="baseline"/>
        </w:rPr>
        <w:t>радикал</w:t>
      </w:r>
      <w:r>
        <w:rPr>
          <w:spacing w:val="-5"/>
          <w:vertAlign w:val="baseline"/>
        </w:rPr>
        <w:t> </w:t>
      </w:r>
      <w:r>
        <w:rPr>
          <w:vertAlign w:val="baseline"/>
        </w:rPr>
        <w:t>восстанавливается</w:t>
      </w:r>
      <w:r>
        <w:rPr>
          <w:spacing w:val="-4"/>
          <w:vertAlign w:val="baseline"/>
        </w:rPr>
        <w:t> </w:t>
      </w:r>
      <w:r>
        <w:rPr>
          <w:vertAlign w:val="baseline"/>
        </w:rPr>
        <w:t>до</w:t>
      </w:r>
      <w:r>
        <w:rPr>
          <w:spacing w:val="-5"/>
          <w:vertAlign w:val="baseline"/>
        </w:rPr>
        <w:t> </w:t>
      </w:r>
      <w:r>
        <w:rPr>
          <w:vertAlign w:val="baseline"/>
        </w:rPr>
        <w:t>состояния</w:t>
      </w:r>
      <w:r>
        <w:rPr>
          <w:spacing w:val="-3"/>
          <w:vertAlign w:val="baseline"/>
        </w:rPr>
        <w:t> </w:t>
      </w:r>
      <w:r>
        <w:rPr>
          <w:vertAlign w:val="baseline"/>
        </w:rPr>
        <w:t>аниона</w:t>
      </w:r>
      <w:r>
        <w:rPr>
          <w:spacing w:val="-4"/>
          <w:vertAlign w:val="baseline"/>
        </w:rPr>
        <w:t> </w:t>
      </w:r>
      <w:r>
        <w:rPr>
          <w:vertAlign w:val="baseline"/>
        </w:rPr>
        <w:t>за</w:t>
      </w:r>
      <w:r>
        <w:rPr>
          <w:spacing w:val="-4"/>
          <w:vertAlign w:val="baseline"/>
        </w:rPr>
        <w:t> </w:t>
      </w:r>
      <w:r>
        <w:rPr>
          <w:vertAlign w:val="baseline"/>
        </w:rPr>
        <w:t>счёт</w:t>
      </w:r>
      <w:r>
        <w:rPr>
          <w:spacing w:val="-4"/>
          <w:vertAlign w:val="baseline"/>
        </w:rPr>
        <w:t> </w:t>
      </w:r>
      <w:r>
        <w:rPr>
          <w:vertAlign w:val="baseline"/>
        </w:rPr>
        <w:t>электрона</w:t>
      </w:r>
      <w:r>
        <w:rPr>
          <w:spacing w:val="-6"/>
          <w:vertAlign w:val="baseline"/>
        </w:rPr>
        <w:t> </w:t>
      </w:r>
      <w:r>
        <w:rPr>
          <w:vertAlign w:val="baseline"/>
        </w:rPr>
        <w:t>от цитохрома С.</w:t>
      </w:r>
    </w:p>
    <w:p>
      <w:pPr>
        <w:pStyle w:val="BodyText"/>
        <w:spacing w:line="320" w:lineRule="exact"/>
        <w:ind w:right="134"/>
        <w:jc w:val="center"/>
      </w:pPr>
      <w:r>
        <w:rPr/>
        <w:t>P</w:t>
      </w:r>
      <w:r>
        <w:rPr>
          <w:vertAlign w:val="subscript"/>
        </w:rPr>
        <w:t>R</w:t>
      </w:r>
      <w:r>
        <w:rPr>
          <w:spacing w:val="-6"/>
          <w:vertAlign w:val="baseline"/>
        </w:rPr>
        <w:t> </w:t>
      </w:r>
      <w:r>
        <w:rPr>
          <w:vertAlign w:val="baseline"/>
        </w:rPr>
        <w:t>-</w:t>
      </w:r>
      <w:r>
        <w:rPr>
          <w:spacing w:val="-6"/>
          <w:vertAlign w:val="baseline"/>
        </w:rPr>
        <w:t> </w:t>
      </w:r>
      <w:r>
        <w:rPr>
          <w:vertAlign w:val="baseline"/>
        </w:rPr>
        <w:t>Происходит</w:t>
      </w:r>
      <w:r>
        <w:rPr>
          <w:spacing w:val="-9"/>
          <w:vertAlign w:val="baseline"/>
        </w:rPr>
        <w:t> </w:t>
      </w:r>
      <w:r>
        <w:rPr>
          <w:vertAlign w:val="baseline"/>
        </w:rPr>
        <w:t>протонирование</w:t>
      </w:r>
      <w:r>
        <w:rPr>
          <w:spacing w:val="-5"/>
          <w:vertAlign w:val="baseline"/>
        </w:rPr>
        <w:t> </w:t>
      </w:r>
      <w:r>
        <w:rPr>
          <w:vertAlign w:val="baseline"/>
        </w:rPr>
        <w:t>Cu(II)-OH−</w:t>
      </w:r>
      <w:r>
        <w:rPr>
          <w:spacing w:val="-6"/>
          <w:vertAlign w:val="baseline"/>
        </w:rPr>
        <w:t> </w:t>
      </w:r>
      <w:r>
        <w:rPr>
          <w:vertAlign w:val="baseline"/>
        </w:rPr>
        <w:t>с</w:t>
      </w:r>
      <w:r>
        <w:rPr>
          <w:spacing w:val="-6"/>
          <w:vertAlign w:val="baseline"/>
        </w:rPr>
        <w:t> </w:t>
      </w:r>
      <w:r>
        <w:rPr>
          <w:vertAlign w:val="baseline"/>
        </w:rPr>
        <w:t>образованием</w:t>
      </w:r>
      <w:r>
        <w:rPr>
          <w:spacing w:val="-6"/>
          <w:vertAlign w:val="baseline"/>
        </w:rPr>
        <w:t> </w:t>
      </w:r>
      <w:r>
        <w:rPr>
          <w:vertAlign w:val="baseline"/>
        </w:rPr>
        <w:t>молекулы</w:t>
      </w:r>
      <w:r>
        <w:rPr>
          <w:spacing w:val="-4"/>
          <w:vertAlign w:val="baseline"/>
        </w:rPr>
        <w:t> </w:t>
      </w:r>
      <w:r>
        <w:rPr>
          <w:spacing w:val="-2"/>
          <w:vertAlign w:val="baseline"/>
        </w:rPr>
        <w:t>воды.</w:t>
      </w:r>
    </w:p>
    <w:p>
      <w:pPr>
        <w:pStyle w:val="BodyText"/>
        <w:spacing w:before="50"/>
        <w:ind w:left="4" w:right="141"/>
        <w:jc w:val="center"/>
      </w:pPr>
      <w:r>
        <w:rPr/>
        <w:t>F</w:t>
      </w:r>
      <w:r>
        <w:rPr>
          <w:spacing w:val="-7"/>
        </w:rPr>
        <w:t> </w:t>
      </w:r>
      <w:r>
        <w:rPr/>
        <w:t>-</w:t>
      </w:r>
      <w:r>
        <w:rPr>
          <w:spacing w:val="61"/>
        </w:rPr>
        <w:t> </w:t>
      </w:r>
      <w:r>
        <w:rPr/>
        <w:t>Образовавшаяся</w:t>
      </w:r>
      <w:r>
        <w:rPr>
          <w:spacing w:val="-7"/>
        </w:rPr>
        <w:t> </w:t>
      </w:r>
      <w:r>
        <w:rPr/>
        <w:t>молекула</w:t>
      </w:r>
      <w:r>
        <w:rPr>
          <w:spacing w:val="-4"/>
        </w:rPr>
        <w:t> </w:t>
      </w:r>
      <w:r>
        <w:rPr/>
        <w:t>воды</w:t>
      </w:r>
      <w:r>
        <w:rPr>
          <w:spacing w:val="-4"/>
        </w:rPr>
        <w:t> </w:t>
      </w:r>
      <w:r>
        <w:rPr/>
        <w:t>связывается</w:t>
      </w:r>
      <w:r>
        <w:rPr>
          <w:spacing w:val="-4"/>
        </w:rPr>
        <w:t> </w:t>
      </w:r>
      <w:r>
        <w:rPr/>
        <w:t>с</w:t>
      </w:r>
      <w:r>
        <w:rPr>
          <w:spacing w:val="-5"/>
        </w:rPr>
        <w:t> </w:t>
      </w:r>
      <w:r>
        <w:rPr/>
        <w:t>Cu</w:t>
      </w:r>
      <w:r>
        <w:rPr>
          <w:vertAlign w:val="subscript"/>
        </w:rPr>
        <w:t>B</w:t>
      </w:r>
      <w:r>
        <w:rPr>
          <w:spacing w:val="-5"/>
          <w:vertAlign w:val="baseline"/>
        </w:rPr>
        <w:t> </w:t>
      </w:r>
      <w:r>
        <w:rPr>
          <w:vertAlign w:val="baseline"/>
        </w:rPr>
        <w:t>координационной</w:t>
      </w:r>
      <w:r>
        <w:rPr>
          <w:spacing w:val="-5"/>
          <w:vertAlign w:val="baseline"/>
        </w:rPr>
        <w:t> </w:t>
      </w:r>
      <w:r>
        <w:rPr>
          <w:spacing w:val="-2"/>
          <w:vertAlign w:val="baseline"/>
        </w:rPr>
        <w:t>связью.</w:t>
      </w:r>
    </w:p>
    <w:p>
      <w:pPr>
        <w:pStyle w:val="BodyText"/>
        <w:spacing w:line="276" w:lineRule="auto" w:before="48"/>
        <w:ind w:left="1" w:right="141"/>
        <w:jc w:val="center"/>
      </w:pPr>
      <w:r>
        <w:rPr/>
        <w:t>Железо</w:t>
      </w:r>
      <w:r>
        <w:rPr>
          <w:spacing w:val="-3"/>
        </w:rPr>
        <w:t> </w:t>
      </w:r>
      <w:r>
        <w:rPr/>
        <w:t>Fe(IV)=О</w:t>
      </w:r>
      <w:r>
        <w:rPr>
          <w:vertAlign w:val="subscript"/>
        </w:rPr>
        <w:t>2</w:t>
      </w:r>
      <w:r>
        <w:rPr>
          <w:vertAlign w:val="baseline"/>
        </w:rPr>
        <w:t>-</w:t>
      </w:r>
      <w:r>
        <w:rPr>
          <w:spacing w:val="-6"/>
          <w:vertAlign w:val="baseline"/>
        </w:rPr>
        <w:t> </w:t>
      </w:r>
      <w:r>
        <w:rPr>
          <w:vertAlign w:val="baseline"/>
        </w:rPr>
        <w:t>восстанавливается</w:t>
      </w:r>
      <w:r>
        <w:rPr>
          <w:spacing w:val="-6"/>
          <w:vertAlign w:val="baseline"/>
        </w:rPr>
        <w:t> </w:t>
      </w:r>
      <w:r>
        <w:rPr>
          <w:vertAlign w:val="baseline"/>
        </w:rPr>
        <w:t>до</w:t>
      </w:r>
      <w:r>
        <w:rPr>
          <w:spacing w:val="-3"/>
          <w:vertAlign w:val="baseline"/>
        </w:rPr>
        <w:t> </w:t>
      </w:r>
      <w:r>
        <w:rPr>
          <w:vertAlign w:val="baseline"/>
        </w:rPr>
        <w:t>FeIII,</w:t>
      </w:r>
      <w:r>
        <w:rPr>
          <w:spacing w:val="-4"/>
          <w:vertAlign w:val="baseline"/>
        </w:rPr>
        <w:t> </w:t>
      </w:r>
      <w:r>
        <w:rPr>
          <w:vertAlign w:val="baseline"/>
        </w:rPr>
        <w:t>а</w:t>
      </w:r>
      <w:r>
        <w:rPr>
          <w:spacing w:val="-4"/>
          <w:vertAlign w:val="baseline"/>
        </w:rPr>
        <w:t> </w:t>
      </w:r>
      <w:r>
        <w:rPr>
          <w:vertAlign w:val="baseline"/>
        </w:rPr>
        <w:t>связанный</w:t>
      </w:r>
      <w:r>
        <w:rPr>
          <w:spacing w:val="-5"/>
          <w:vertAlign w:val="baseline"/>
        </w:rPr>
        <w:t> </w:t>
      </w:r>
      <w:r>
        <w:rPr>
          <w:vertAlign w:val="baseline"/>
        </w:rPr>
        <w:t>с</w:t>
      </w:r>
      <w:r>
        <w:rPr>
          <w:spacing w:val="-4"/>
          <w:vertAlign w:val="baseline"/>
        </w:rPr>
        <w:t> </w:t>
      </w:r>
      <w:r>
        <w:rPr>
          <w:vertAlign w:val="baseline"/>
        </w:rPr>
        <w:t>ним</w:t>
      </w:r>
      <w:r>
        <w:rPr>
          <w:spacing w:val="-4"/>
          <w:vertAlign w:val="baseline"/>
        </w:rPr>
        <w:t> </w:t>
      </w:r>
      <w:r>
        <w:rPr>
          <w:vertAlign w:val="baseline"/>
        </w:rPr>
        <w:t>кислород протонируется. Высвобождается первая молекула воды.</w:t>
      </w:r>
    </w:p>
    <w:p>
      <w:pPr>
        <w:pStyle w:val="BodyText"/>
        <w:spacing w:line="278" w:lineRule="auto"/>
        <w:ind w:left="3" w:right="141"/>
        <w:jc w:val="center"/>
      </w:pPr>
      <w:r>
        <w:rPr/>
        <w:t>O</w:t>
      </w:r>
      <w:r>
        <w:rPr>
          <w:vertAlign w:val="subscript"/>
        </w:rPr>
        <w:t>H</w:t>
      </w:r>
      <w:r>
        <w:rPr>
          <w:spacing w:val="-3"/>
          <w:vertAlign w:val="baseline"/>
        </w:rPr>
        <w:t> </w:t>
      </w:r>
      <w:r>
        <w:rPr>
          <w:vertAlign w:val="baseline"/>
        </w:rPr>
        <w:t>-</w:t>
      </w:r>
      <w:r>
        <w:rPr>
          <w:spacing w:val="-3"/>
          <w:vertAlign w:val="baseline"/>
        </w:rPr>
        <w:t> </w:t>
      </w:r>
      <w:r>
        <w:rPr>
          <w:vertAlign w:val="baseline"/>
        </w:rPr>
        <w:t>Тирозиновый</w:t>
      </w:r>
      <w:r>
        <w:rPr>
          <w:spacing w:val="-2"/>
          <w:vertAlign w:val="baseline"/>
        </w:rPr>
        <w:t> </w:t>
      </w:r>
      <w:r>
        <w:rPr>
          <w:vertAlign w:val="baseline"/>
        </w:rPr>
        <w:t>анион</w:t>
      </w:r>
      <w:r>
        <w:rPr>
          <w:spacing w:val="-4"/>
          <w:vertAlign w:val="baseline"/>
        </w:rPr>
        <w:t> </w:t>
      </w:r>
      <w:r>
        <w:rPr>
          <w:vertAlign w:val="baseline"/>
        </w:rPr>
        <w:t>протонируется,</w:t>
      </w:r>
      <w:r>
        <w:rPr>
          <w:spacing w:val="-3"/>
          <w:vertAlign w:val="baseline"/>
        </w:rPr>
        <w:t> </w:t>
      </w:r>
      <w:r>
        <w:rPr>
          <w:vertAlign w:val="baseline"/>
        </w:rPr>
        <w:t>а</w:t>
      </w:r>
      <w:r>
        <w:rPr>
          <w:spacing w:val="-3"/>
          <w:vertAlign w:val="baseline"/>
        </w:rPr>
        <w:t> </w:t>
      </w:r>
      <w:r>
        <w:rPr>
          <w:vertAlign w:val="baseline"/>
        </w:rPr>
        <w:t>Cu</w:t>
      </w:r>
      <w:r>
        <w:rPr>
          <w:vertAlign w:val="subscript"/>
        </w:rPr>
        <w:t>B</w:t>
      </w:r>
      <w:r>
        <w:rPr>
          <w:spacing w:val="-3"/>
          <w:vertAlign w:val="baseline"/>
        </w:rPr>
        <w:t> </w:t>
      </w:r>
      <w:r>
        <w:rPr>
          <w:vertAlign w:val="baseline"/>
        </w:rPr>
        <w:t>восстанавливается</w:t>
      </w:r>
      <w:r>
        <w:rPr>
          <w:spacing w:val="-2"/>
          <w:vertAlign w:val="baseline"/>
        </w:rPr>
        <w:t> </w:t>
      </w:r>
      <w:r>
        <w:rPr>
          <w:vertAlign w:val="baseline"/>
        </w:rPr>
        <w:t>до</w:t>
      </w:r>
      <w:r>
        <w:rPr>
          <w:spacing w:val="-2"/>
          <w:vertAlign w:val="baseline"/>
        </w:rPr>
        <w:t> </w:t>
      </w:r>
      <w:r>
        <w:rPr>
          <w:vertAlign w:val="baseline"/>
        </w:rPr>
        <w:t>Cu</w:t>
      </w:r>
      <w:r>
        <w:rPr>
          <w:vertAlign w:val="subscript"/>
        </w:rPr>
        <w:t>I</w:t>
      </w:r>
      <w:r>
        <w:rPr>
          <w:spacing w:val="-3"/>
          <w:vertAlign w:val="baseline"/>
        </w:rPr>
        <w:t> </w:t>
      </w:r>
      <w:r>
        <w:rPr>
          <w:vertAlign w:val="baseline"/>
        </w:rPr>
        <w:t>за</w:t>
      </w:r>
      <w:r>
        <w:rPr>
          <w:spacing w:val="-3"/>
          <w:vertAlign w:val="baseline"/>
        </w:rPr>
        <w:t> </w:t>
      </w:r>
      <w:r>
        <w:rPr>
          <w:vertAlign w:val="baseline"/>
        </w:rPr>
        <w:t>счёт электрона от цитохрома С.</w:t>
      </w:r>
    </w:p>
    <w:p>
      <w:pPr>
        <w:pStyle w:val="BodyText"/>
        <w:spacing w:line="276" w:lineRule="auto"/>
        <w:ind w:left="1" w:right="141"/>
        <w:jc w:val="center"/>
      </w:pPr>
      <w:r>
        <w:rPr/>
        <w:t>E</w:t>
      </w:r>
      <w:r>
        <w:rPr>
          <w:vertAlign w:val="subscript"/>
        </w:rPr>
        <w:t>H</w:t>
      </w:r>
      <w:r>
        <w:rPr>
          <w:spacing w:val="-3"/>
          <w:vertAlign w:val="baseline"/>
        </w:rPr>
        <w:t> </w:t>
      </w:r>
      <w:r>
        <w:rPr>
          <w:vertAlign w:val="baseline"/>
        </w:rPr>
        <w:t>-</w:t>
      </w:r>
      <w:r>
        <w:rPr>
          <w:spacing w:val="-3"/>
          <w:vertAlign w:val="baseline"/>
        </w:rPr>
        <w:t> </w:t>
      </w:r>
      <w:r>
        <w:rPr>
          <w:vertAlign w:val="baseline"/>
        </w:rPr>
        <w:t>Железо</w:t>
      </w:r>
      <w:r>
        <w:rPr>
          <w:spacing w:val="-2"/>
          <w:vertAlign w:val="baseline"/>
        </w:rPr>
        <w:t> </w:t>
      </w:r>
      <w:r>
        <w:rPr>
          <w:vertAlign w:val="baseline"/>
        </w:rPr>
        <w:t>восстанавливается</w:t>
      </w:r>
      <w:r>
        <w:rPr>
          <w:spacing w:val="-5"/>
          <w:vertAlign w:val="baseline"/>
        </w:rPr>
        <w:t> </w:t>
      </w:r>
      <w:r>
        <w:rPr>
          <w:vertAlign w:val="baseline"/>
        </w:rPr>
        <w:t>до</w:t>
      </w:r>
      <w:r>
        <w:rPr>
          <w:spacing w:val="-2"/>
          <w:vertAlign w:val="baseline"/>
        </w:rPr>
        <w:t> </w:t>
      </w:r>
      <w:r>
        <w:rPr>
          <w:vertAlign w:val="baseline"/>
        </w:rPr>
        <w:t>FeII,</w:t>
      </w:r>
      <w:r>
        <w:rPr>
          <w:spacing w:val="-6"/>
          <w:vertAlign w:val="baseline"/>
        </w:rPr>
        <w:t> </w:t>
      </w:r>
      <w:r>
        <w:rPr>
          <w:vertAlign w:val="baseline"/>
        </w:rPr>
        <w:t>после</w:t>
      </w:r>
      <w:r>
        <w:rPr>
          <w:spacing w:val="-5"/>
          <w:vertAlign w:val="baseline"/>
        </w:rPr>
        <w:t> </w:t>
      </w:r>
      <w:r>
        <w:rPr>
          <w:vertAlign w:val="baseline"/>
        </w:rPr>
        <w:t>чего</w:t>
      </w:r>
      <w:r>
        <w:rPr>
          <w:spacing w:val="-2"/>
          <w:vertAlign w:val="baseline"/>
        </w:rPr>
        <w:t> </w:t>
      </w:r>
      <w:r>
        <w:rPr>
          <w:vertAlign w:val="baseline"/>
        </w:rPr>
        <w:t>связанная</w:t>
      </w:r>
      <w:r>
        <w:rPr>
          <w:spacing w:val="-3"/>
          <w:vertAlign w:val="baseline"/>
        </w:rPr>
        <w:t> </w:t>
      </w:r>
      <w:r>
        <w:rPr>
          <w:vertAlign w:val="baseline"/>
        </w:rPr>
        <w:t>с</w:t>
      </w:r>
      <w:r>
        <w:rPr>
          <w:spacing w:val="-3"/>
          <w:vertAlign w:val="baseline"/>
        </w:rPr>
        <w:t> </w:t>
      </w:r>
      <w:r>
        <w:rPr>
          <w:vertAlign w:val="baseline"/>
        </w:rPr>
        <w:t>ним</w:t>
      </w:r>
      <w:r>
        <w:rPr>
          <w:spacing w:val="-5"/>
          <w:vertAlign w:val="baseline"/>
        </w:rPr>
        <w:t> </w:t>
      </w:r>
      <w:r>
        <w:rPr>
          <w:vertAlign w:val="baseline"/>
        </w:rPr>
        <w:t>OH-</w:t>
      </w:r>
      <w:r>
        <w:rPr>
          <w:spacing w:val="-3"/>
          <w:vertAlign w:val="baseline"/>
        </w:rPr>
        <w:t> </w:t>
      </w:r>
      <w:r>
        <w:rPr>
          <w:vertAlign w:val="baseline"/>
        </w:rPr>
        <w:t>группа протонируется с образованием второй молекулы воды.</w:t>
      </w:r>
    </w:p>
    <w:p>
      <w:pPr>
        <w:pStyle w:val="BodyText"/>
        <w:spacing w:line="276" w:lineRule="auto"/>
        <w:ind w:right="141"/>
        <w:jc w:val="center"/>
      </w:pPr>
      <w:r>
        <w:rPr/>
        <w:t>R</w:t>
      </w:r>
      <w:r>
        <w:rPr>
          <w:spacing w:val="-3"/>
        </w:rPr>
        <w:t> </w:t>
      </w:r>
      <w:r>
        <w:rPr/>
        <w:t>-</w:t>
      </w:r>
      <w:r>
        <w:rPr>
          <w:spacing w:val="-3"/>
        </w:rPr>
        <w:t> </w:t>
      </w:r>
      <w:r>
        <w:rPr/>
        <w:t>В</w:t>
      </w:r>
      <w:r>
        <w:rPr>
          <w:spacing w:val="-3"/>
        </w:rPr>
        <w:t> </w:t>
      </w:r>
      <w:r>
        <w:rPr/>
        <w:t>этом</w:t>
      </w:r>
      <w:r>
        <w:rPr>
          <w:spacing w:val="-3"/>
        </w:rPr>
        <w:t> </w:t>
      </w:r>
      <w:r>
        <w:rPr/>
        <w:t>состоянии</w:t>
      </w:r>
      <w:r>
        <w:rPr>
          <w:spacing w:val="-2"/>
        </w:rPr>
        <w:t> </w:t>
      </w:r>
      <w:r>
        <w:rPr/>
        <w:t>биядерный</w:t>
      </w:r>
      <w:r>
        <w:rPr>
          <w:spacing w:val="-4"/>
        </w:rPr>
        <w:t> </w:t>
      </w:r>
      <w:r>
        <w:rPr/>
        <w:t>центр</w:t>
      </w:r>
      <w:r>
        <w:rPr>
          <w:spacing w:val="-4"/>
        </w:rPr>
        <w:t> </w:t>
      </w:r>
      <w:r>
        <w:rPr/>
        <w:t>полностью</w:t>
      </w:r>
      <w:r>
        <w:rPr>
          <w:spacing w:val="-4"/>
        </w:rPr>
        <w:t> </w:t>
      </w:r>
      <w:r>
        <w:rPr/>
        <w:t>восстановлен</w:t>
      </w:r>
      <w:r>
        <w:rPr>
          <w:spacing w:val="-2"/>
        </w:rPr>
        <w:t> </w:t>
      </w:r>
      <w:r>
        <w:rPr/>
        <w:t>и</w:t>
      </w:r>
      <w:r>
        <w:rPr>
          <w:spacing w:val="-2"/>
        </w:rPr>
        <w:t> </w:t>
      </w:r>
      <w:r>
        <w:rPr/>
        <w:t>комплекс</w:t>
      </w:r>
      <w:r>
        <w:rPr>
          <w:spacing w:val="-3"/>
        </w:rPr>
        <w:t> </w:t>
      </w:r>
      <w:r>
        <w:rPr/>
        <w:t>готов</w:t>
      </w:r>
      <w:r>
        <w:rPr>
          <w:spacing w:val="-3"/>
        </w:rPr>
        <w:t> </w:t>
      </w:r>
      <w:r>
        <w:rPr/>
        <w:t>к связыванию новой молекулы кислорода [134].</w:t>
      </w:r>
    </w:p>
    <w:p>
      <w:pPr>
        <w:pStyle w:val="BodyText"/>
        <w:spacing w:after="0" w:line="276" w:lineRule="auto"/>
        <w:jc w:val="center"/>
        <w:sectPr>
          <w:pgSz w:w="11910" w:h="16840"/>
          <w:pgMar w:header="0" w:footer="1002" w:top="340" w:bottom="1200" w:left="850" w:right="708"/>
        </w:sectPr>
      </w:pPr>
    </w:p>
    <w:p>
      <w:pPr>
        <w:pStyle w:val="BodyText"/>
        <w:spacing w:line="256" w:lineRule="auto" w:before="69"/>
        <w:ind w:left="1" w:right="135" w:firstLine="708"/>
      </w:pPr>
      <w:r>
        <w:rPr/>
        <w:t>Перенос электрона О</w:t>
      </w:r>
      <w:r>
        <w:rPr>
          <w:vertAlign w:val="subscript"/>
        </w:rPr>
        <w:t>2</w:t>
      </w:r>
      <w:r>
        <w:rPr>
          <w:vertAlign w:val="baseline"/>
        </w:rPr>
        <w:t> внутри цитохром-с-оксидазы происходит быстро (в микросекундном масштабе времени) между Cu</w:t>
      </w:r>
      <w:r>
        <w:rPr>
          <w:vertAlign w:val="subscript"/>
        </w:rPr>
        <w:t>A</w:t>
      </w:r>
      <w:r>
        <w:rPr>
          <w:vertAlign w:val="baseline"/>
        </w:rPr>
        <w:t> и гемом </w:t>
      </w:r>
      <w:r>
        <w:rPr>
          <w:i/>
          <w:vertAlign w:val="baseline"/>
        </w:rPr>
        <w:t>а</w:t>
      </w:r>
      <w:r>
        <w:rPr>
          <w:vertAlign w:val="baseline"/>
        </w:rPr>
        <w:t>, а также между каталитическим центром [гем </w:t>
      </w:r>
      <w:r>
        <w:rPr>
          <w:i/>
          <w:vertAlign w:val="baseline"/>
        </w:rPr>
        <w:t>а</w:t>
      </w:r>
      <w:r>
        <w:rPr>
          <w:i/>
          <w:vertAlign w:val="subscript"/>
        </w:rPr>
        <w:t>3</w:t>
      </w:r>
      <w:r>
        <w:rPr>
          <w:i/>
          <w:vertAlign w:val="baseline"/>
        </w:rPr>
        <w:t> </w:t>
      </w:r>
      <w:r>
        <w:rPr>
          <w:vertAlign w:val="baseline"/>
        </w:rPr>
        <w:t>— Cu</w:t>
      </w:r>
      <w:r>
        <w:rPr>
          <w:vertAlign w:val="subscript"/>
        </w:rPr>
        <w:t>B</w:t>
      </w:r>
      <w:r>
        <w:rPr>
          <w:vertAlign w:val="baseline"/>
        </w:rPr>
        <w:t>] и молекулярным кислородом.</w:t>
      </w:r>
      <w:r>
        <w:rPr>
          <w:spacing w:val="40"/>
          <w:vertAlign w:val="baseline"/>
        </w:rPr>
        <w:t> </w:t>
      </w:r>
      <w:r>
        <w:rPr>
          <w:vertAlign w:val="baseline"/>
        </w:rPr>
        <w:t>Единственной стадией, ограничивающей скорость оборота, является внутренний перенос электрона между гемом а и парой [гем </w:t>
      </w:r>
      <w:r>
        <w:rPr>
          <w:i/>
          <w:vertAlign w:val="baseline"/>
        </w:rPr>
        <w:t>а</w:t>
      </w:r>
      <w:r>
        <w:rPr>
          <w:vertAlign w:val="subscript"/>
        </w:rPr>
        <w:t>3</w:t>
      </w:r>
      <w:r>
        <w:rPr>
          <w:vertAlign w:val="baseline"/>
        </w:rPr>
        <w:t>—Cu</w:t>
      </w:r>
      <w:r>
        <w:rPr>
          <w:vertAlign w:val="subscript"/>
        </w:rPr>
        <w:t>B</w:t>
      </w:r>
      <w:r>
        <w:rPr>
          <w:vertAlign w:val="baseline"/>
        </w:rPr>
        <w:t>]. Редукция сайта бинуклеарного гема [</w:t>
      </w:r>
      <w:r>
        <w:rPr>
          <w:i/>
          <w:vertAlign w:val="baseline"/>
        </w:rPr>
        <w:t>a</w:t>
      </w:r>
      <w:r>
        <w:rPr>
          <w:i/>
          <w:vertAlign w:val="subscript"/>
        </w:rPr>
        <w:t>3</w:t>
      </w:r>
      <w:r>
        <w:rPr>
          <w:i/>
          <w:vertAlign w:val="baseline"/>
        </w:rPr>
        <w:t> </w:t>
      </w:r>
      <w:r>
        <w:rPr>
          <w:vertAlign w:val="baseline"/>
        </w:rPr>
        <w:t>— Cu</w:t>
      </w:r>
      <w:r>
        <w:rPr>
          <w:vertAlign w:val="subscript"/>
        </w:rPr>
        <w:t>B</w:t>
      </w:r>
      <w:r>
        <w:rPr>
          <w:vertAlign w:val="baseline"/>
        </w:rPr>
        <w:t>] редуцированнымгемом</w:t>
      </w:r>
      <w:r>
        <w:rPr>
          <w:i/>
          <w:vertAlign w:val="baseline"/>
        </w:rPr>
        <w:t>а </w:t>
      </w:r>
      <w:r>
        <w:rPr>
          <w:vertAlign w:val="baseline"/>
        </w:rPr>
        <w:t>происходит в миллисекундной шкале времени [11]. Можно предположить, что облучение интенсифицирует именно эту стадию переноса электрона внутри фермента. Вероятно, что облучение дает больше электронов, доступных для восстановления кислорода в каталитический центр цитохром-с-оксидазы (гем </w:t>
      </w:r>
      <w:r>
        <w:rPr>
          <w:i/>
          <w:vertAlign w:val="baseline"/>
        </w:rPr>
        <w:t>а</w:t>
      </w:r>
      <w:r>
        <w:rPr>
          <w:i/>
          <w:vertAlign w:val="subscript"/>
        </w:rPr>
        <w:t>3</w:t>
      </w:r>
      <w:r>
        <w:rPr>
          <w:i/>
          <w:vertAlign w:val="baseline"/>
        </w:rPr>
        <w:t> </w:t>
      </w:r>
      <w:r>
        <w:rPr>
          <w:vertAlign w:val="baseline"/>
        </w:rPr>
        <w:t>— сайт Cu</w:t>
      </w:r>
      <w:r>
        <w:rPr>
          <w:vertAlign w:val="subscript"/>
        </w:rPr>
        <w:t>B</w:t>
      </w:r>
      <w:r>
        <w:rPr>
          <w:vertAlign w:val="baseline"/>
        </w:rPr>
        <w:t>). Ранее было показано, что электронное возбуждение светом стимулирует окислительно-восстановительные процессы в органических пигментах, интенсифицируя перенос электронов, что также относится к цитохром-с-оксидазе [1, 12].</w:t>
      </w:r>
    </w:p>
    <w:p>
      <w:pPr>
        <w:pStyle w:val="BodyText"/>
        <w:spacing w:line="307" w:lineRule="exact"/>
        <w:ind w:left="709"/>
      </w:pPr>
      <w:r>
        <w:rPr/>
        <w:t>Danno</w:t>
      </w:r>
      <w:r>
        <w:rPr>
          <w:spacing w:val="55"/>
        </w:rPr>
        <w:t> </w:t>
      </w:r>
      <w:r>
        <w:rPr/>
        <w:t>с</w:t>
      </w:r>
      <w:r>
        <w:rPr>
          <w:spacing w:val="53"/>
        </w:rPr>
        <w:t> </w:t>
      </w:r>
      <w:r>
        <w:rPr/>
        <w:t>соавторами</w:t>
      </w:r>
      <w:r>
        <w:rPr>
          <w:spacing w:val="55"/>
        </w:rPr>
        <w:t> </w:t>
      </w:r>
      <w:r>
        <w:rPr/>
        <w:t>в</w:t>
      </w:r>
      <w:r>
        <w:rPr>
          <w:spacing w:val="55"/>
        </w:rPr>
        <w:t> </w:t>
      </w:r>
      <w:r>
        <w:rPr/>
        <w:t>1992</w:t>
      </w:r>
      <w:r>
        <w:rPr>
          <w:spacing w:val="53"/>
        </w:rPr>
        <w:t> </w:t>
      </w:r>
      <w:r>
        <w:rPr/>
        <w:t>году</w:t>
      </w:r>
      <w:r>
        <w:rPr>
          <w:spacing w:val="56"/>
        </w:rPr>
        <w:t> </w:t>
      </w:r>
      <w:r>
        <w:rPr/>
        <w:t>обнаружили,</w:t>
      </w:r>
      <w:r>
        <w:rPr>
          <w:spacing w:val="54"/>
        </w:rPr>
        <w:t> </w:t>
      </w:r>
      <w:r>
        <w:rPr/>
        <w:t>что</w:t>
      </w:r>
      <w:r>
        <w:rPr>
          <w:spacing w:val="56"/>
        </w:rPr>
        <w:t> </w:t>
      </w:r>
      <w:r>
        <w:rPr/>
        <w:t>ИК-излучение</w:t>
      </w:r>
      <w:r>
        <w:rPr>
          <w:spacing w:val="53"/>
        </w:rPr>
        <w:t> </w:t>
      </w:r>
      <w:r>
        <w:rPr>
          <w:spacing w:val="-2"/>
        </w:rPr>
        <w:t>подавляет</w:t>
      </w:r>
    </w:p>
    <w:p>
      <w:pPr>
        <w:pStyle w:val="BodyText"/>
        <w:spacing w:line="256" w:lineRule="auto" w:before="21"/>
        <w:ind w:left="1" w:right="135"/>
      </w:pPr>
      <w:r>
        <w:rPr/>
        <w:t>солнечные ожоги, вызванные ультрафиолетом (УФ) [135]. На сегодняшний день имеются исследования, показывающие, что стимулирующее действие видимого и ближнего ИК-диапазона оптического спектра на цитохром-с-оксидазе может выполняться при определенных обстоятельствах, когда регистрируется защитная функция клеток от вредного воздействия рентгеновских лучей или других областей спектра, например УФ [136-141]. Было высказано предположение, что радиозащитное действие облучения гелий-неоновым лазером перед гамма-облучением может происходить из-за изменения окислительно-восстановительного состояния клеток при предварительном лазерном облучении [7].Так же был показан эффект от облучения длиной волны 670 нм, которое способствовало выживаемости</w:t>
      </w:r>
      <w:r>
        <w:rPr>
          <w:spacing w:val="40"/>
        </w:rPr>
        <w:t> </w:t>
      </w:r>
      <w:r>
        <w:rPr/>
        <w:t>и функциональному восстановлению изолированной сетчатки глаза после острого повреждения муравьиной кислотой - митохондриальным токсином, образующимся во время интоксикации метанолом [142-143]. Ярким примером воздействия 670-нанометровым излучением является восстановление функции цитохромоксидазы, инактивированной тетродоксином или цианистым калием в нейронах [144-145].</w:t>
      </w:r>
    </w:p>
    <w:p>
      <w:pPr>
        <w:pStyle w:val="BodyText"/>
        <w:spacing w:line="305" w:lineRule="exact"/>
        <w:ind w:left="710"/>
      </w:pPr>
      <w:r>
        <w:rPr/>
        <w:t>Резюмируя</w:t>
      </w:r>
      <w:r>
        <w:rPr>
          <w:spacing w:val="-7"/>
        </w:rPr>
        <w:t> </w:t>
      </w:r>
      <w:r>
        <w:rPr/>
        <w:t>следует</w:t>
      </w:r>
      <w:r>
        <w:rPr>
          <w:spacing w:val="-6"/>
        </w:rPr>
        <w:t> </w:t>
      </w:r>
      <w:r>
        <w:rPr/>
        <w:t>отметить,</w:t>
      </w:r>
      <w:r>
        <w:rPr>
          <w:spacing w:val="-3"/>
        </w:rPr>
        <w:t> </w:t>
      </w:r>
      <w:r>
        <w:rPr/>
        <w:t>что</w:t>
      </w:r>
      <w:r>
        <w:rPr>
          <w:spacing w:val="-5"/>
        </w:rPr>
        <w:t> </w:t>
      </w:r>
      <w:r>
        <w:rPr/>
        <w:t>реакции</w:t>
      </w:r>
      <w:r>
        <w:rPr>
          <w:spacing w:val="-5"/>
        </w:rPr>
        <w:t> </w:t>
      </w:r>
      <w:r>
        <w:rPr/>
        <w:t>окислительного</w:t>
      </w:r>
      <w:r>
        <w:rPr>
          <w:spacing w:val="-4"/>
        </w:rPr>
        <w:t> </w:t>
      </w:r>
      <w:r>
        <w:rPr>
          <w:spacing w:val="-2"/>
        </w:rPr>
        <w:t>фосфорилирования,</w:t>
      </w:r>
    </w:p>
    <w:p>
      <w:pPr>
        <w:pStyle w:val="BodyText"/>
        <w:spacing w:line="256" w:lineRule="auto" w:before="21"/>
        <w:ind w:left="1" w:right="136"/>
      </w:pPr>
      <w:r>
        <w:rPr/>
        <w:t>характерные для практически всех аэробных организмов, и в которых непосредственную роль играет цитохромоксидаза, дают широкую теоретическую возможность для экспериментального воздействия ЭМИ. Замечательно продемонстрирована такая возможность в обзоре </w:t>
      </w:r>
      <w:r>
        <w:rPr>
          <w:color w:val="1C1C1C"/>
        </w:rPr>
        <w:t>Karu T. I. (2010)</w:t>
      </w:r>
      <w:r>
        <w:rPr/>
        <w:t>, и требует дальнейшего научного развития [1]. Особенное внимание следует уделять тем областям патологий и состояний, в которых постулируется роль митохондриальной дисфункции в развитии патологии.</w:t>
      </w:r>
    </w:p>
    <w:p>
      <w:pPr>
        <w:pStyle w:val="BodyText"/>
        <w:spacing w:before="14"/>
        <w:jc w:val="left"/>
      </w:pPr>
    </w:p>
    <w:p>
      <w:pPr>
        <w:pStyle w:val="Heading2"/>
        <w:numPr>
          <w:ilvl w:val="2"/>
          <w:numId w:val="4"/>
        </w:numPr>
        <w:tabs>
          <w:tab w:pos="1502" w:val="left" w:leader="none"/>
        </w:tabs>
        <w:spacing w:line="256" w:lineRule="auto" w:before="0" w:after="0"/>
        <w:ind w:left="2" w:right="136" w:firstLine="707"/>
        <w:jc w:val="both"/>
      </w:pPr>
      <w:r>
        <w:rPr/>
        <w:t>Экстрасинтез аденозинтрифосфата под воздействием видимого </w:t>
      </w:r>
      <w:r>
        <w:rPr>
          <w:spacing w:val="-2"/>
        </w:rPr>
        <w:t>излучения</w:t>
      </w:r>
    </w:p>
    <w:p>
      <w:pPr>
        <w:pStyle w:val="BodyText"/>
        <w:spacing w:line="256" w:lineRule="auto"/>
        <w:ind w:left="2" w:right="136" w:firstLine="707"/>
      </w:pPr>
      <w:r>
        <w:rPr/>
        <w:t>В конце прошлого века было обнаружено, что гелий-неоновый лазер вызывает как увеличение электрохимического протонного градиента, так и экстрасинтез аденозинтрифосфата (АТФ) [2-3]. Показано, что внутримитохондриальное количество</w:t>
      </w:r>
      <w:r>
        <w:rPr>
          <w:spacing w:val="15"/>
        </w:rPr>
        <w:t> </w:t>
      </w:r>
      <w:r>
        <w:rPr/>
        <w:t>АТФ</w:t>
      </w:r>
      <w:r>
        <w:rPr>
          <w:spacing w:val="15"/>
        </w:rPr>
        <w:t> </w:t>
      </w:r>
      <w:r>
        <w:rPr/>
        <w:t>(около</w:t>
      </w:r>
      <w:r>
        <w:rPr>
          <w:spacing w:val="17"/>
        </w:rPr>
        <w:t> </w:t>
      </w:r>
      <w:r>
        <w:rPr/>
        <w:t>1</w:t>
      </w:r>
      <w:r>
        <w:rPr>
          <w:spacing w:val="17"/>
        </w:rPr>
        <w:t> </w:t>
      </w:r>
      <w:r>
        <w:rPr/>
        <w:t>мкмоль/мг</w:t>
      </w:r>
      <w:r>
        <w:rPr>
          <w:spacing w:val="16"/>
        </w:rPr>
        <w:t> </w:t>
      </w:r>
      <w:r>
        <w:rPr/>
        <w:t>митохондриального</w:t>
      </w:r>
      <w:r>
        <w:rPr>
          <w:spacing w:val="17"/>
        </w:rPr>
        <w:t> </w:t>
      </w:r>
      <w:r>
        <w:rPr/>
        <w:t>белка)</w:t>
      </w:r>
      <w:r>
        <w:rPr>
          <w:spacing w:val="16"/>
        </w:rPr>
        <w:t> </w:t>
      </w:r>
      <w:r>
        <w:rPr/>
        <w:t>увеличивается</w:t>
      </w:r>
      <w:r>
        <w:rPr>
          <w:spacing w:val="17"/>
        </w:rPr>
        <w:t> </w:t>
      </w:r>
      <w:r>
        <w:rPr>
          <w:spacing w:val="-5"/>
        </w:rPr>
        <w:t>при</w:t>
      </w:r>
    </w:p>
    <w:p>
      <w:pPr>
        <w:pStyle w:val="BodyText"/>
        <w:spacing w:after="0" w:line="256" w:lineRule="auto"/>
        <w:sectPr>
          <w:pgSz w:w="11910" w:h="16840"/>
          <w:pgMar w:header="0" w:footer="1002" w:top="340" w:bottom="1200" w:left="850" w:right="708"/>
        </w:sectPr>
      </w:pPr>
    </w:p>
    <w:p>
      <w:pPr>
        <w:pStyle w:val="BodyText"/>
        <w:spacing w:line="256" w:lineRule="auto" w:before="69"/>
        <w:ind w:left="2" w:right="138"/>
      </w:pPr>
      <w:r>
        <w:rPr/>
        <w:t>облучении гелий-неоновым лазером. При этом, в экспериментальных условиях, с помощью электронной микроскопии зафиксировано наличие изменений митохондриальных конформаций [2, 146].</w:t>
      </w:r>
    </w:p>
    <w:p>
      <w:pPr>
        <w:pStyle w:val="BodyText"/>
        <w:spacing w:line="256" w:lineRule="auto"/>
        <w:ind w:left="2" w:right="138" w:firstLine="707"/>
      </w:pPr>
      <w:r>
        <w:rPr/>
        <w:t>Остается открытым вопрос: сопровождается ли такой экстрасинтез АТФ увеличением доступности АТФ в цитозоле, что может вызвать клеточную и тканевую фотостимуляцию лазерным светом либо же нет.</w:t>
      </w:r>
    </w:p>
    <w:p>
      <w:pPr>
        <w:pStyle w:val="BodyText"/>
        <w:spacing w:line="256" w:lineRule="auto"/>
        <w:ind w:left="1" w:right="137" w:firstLine="708"/>
      </w:pPr>
      <w:r>
        <w:rPr/>
        <w:t>В последние годы длинная серия открытий продемонстрировала, что АТФ — это не только источник энергии, но и критически важная сигнальная молекула, которая позволяет клеткам и тканям организма взаимодействовать друг с другом [1, 147-148]. Экстрасинтез АТФ в изолированных митохондриях и интактных клетках различного типа при облучении монохроматическим светом хорошо задокументирован на протяжении десятилетий. Отдельно стоит отметить, что данный эффект долгое время считается самым полезным с точки зрения фототерапии [1, 4].</w:t>
      </w:r>
    </w:p>
    <w:p>
      <w:pPr>
        <w:pStyle w:val="BodyText"/>
        <w:spacing w:line="256" w:lineRule="auto"/>
        <w:ind w:left="1" w:right="136" w:firstLine="707"/>
      </w:pPr>
      <w:r>
        <w:rPr/>
        <w:t>Поскольку АТФ является универсальным топливом внутри живых клеток, он участвует в большинстве биологических реакций. Известно, что даже небольшое изменение уровня АТФ может существенно повлиять на клеточный метаболизм. Увеличение количества энергии АТФ может стимулировать клеточный метаболизм, особенно в подавленных или цитопатологичных клетках [145,149]. Данное обстоятельство указывает на потенциал применения ЭМИ в терапии цитопатологических состояний, в том числе в репродуктивной медицине, тем более, что начиная с 1980-х годов облучение клеток животных низким уровнем видимого света, используется для лечения в различных клинических дисциплинах [150-154].</w:t>
      </w:r>
    </w:p>
    <w:p>
      <w:pPr>
        <w:pStyle w:val="BodyText"/>
        <w:spacing w:line="256" w:lineRule="auto"/>
        <w:ind w:left="1" w:right="136" w:firstLine="707"/>
      </w:pPr>
      <w:r>
        <w:rPr/>
        <w:t>Поскольку световая стимуляция, как было сказано выше, увеличивает продукцию</w:t>
      </w:r>
      <w:r>
        <w:rPr>
          <w:spacing w:val="-4"/>
        </w:rPr>
        <w:t> </w:t>
      </w:r>
      <w:r>
        <w:rPr/>
        <w:t>АТФ,</w:t>
      </w:r>
      <w:r>
        <w:rPr>
          <w:spacing w:val="-3"/>
        </w:rPr>
        <w:t> </w:t>
      </w:r>
      <w:r>
        <w:rPr/>
        <w:t>а</w:t>
      </w:r>
      <w:r>
        <w:rPr>
          <w:spacing w:val="-3"/>
        </w:rPr>
        <w:t> </w:t>
      </w:r>
      <w:r>
        <w:rPr/>
        <w:t>это</w:t>
      </w:r>
      <w:r>
        <w:rPr>
          <w:spacing w:val="-2"/>
        </w:rPr>
        <w:t> </w:t>
      </w:r>
      <w:r>
        <w:rPr/>
        <w:t>имеет</w:t>
      </w:r>
      <w:r>
        <w:rPr>
          <w:spacing w:val="-6"/>
        </w:rPr>
        <w:t> </w:t>
      </w:r>
      <w:r>
        <w:rPr/>
        <w:t>решающее</w:t>
      </w:r>
      <w:r>
        <w:rPr>
          <w:spacing w:val="-3"/>
        </w:rPr>
        <w:t> </w:t>
      </w:r>
      <w:r>
        <w:rPr/>
        <w:t>значение</w:t>
      </w:r>
      <w:r>
        <w:rPr>
          <w:spacing w:val="-5"/>
        </w:rPr>
        <w:t> </w:t>
      </w:r>
      <w:r>
        <w:rPr/>
        <w:t>для</w:t>
      </w:r>
      <w:r>
        <w:rPr>
          <w:spacing w:val="-2"/>
        </w:rPr>
        <w:t> </w:t>
      </w:r>
      <w:r>
        <w:rPr/>
        <w:t>подвижности</w:t>
      </w:r>
      <w:r>
        <w:rPr>
          <w:spacing w:val="-2"/>
        </w:rPr>
        <w:t> </w:t>
      </w:r>
      <w:r>
        <w:rPr/>
        <w:t>сперматозоидов, ведутся исследования по изучению влияния ЭМИ на гаметы и эмбриональные клетки </w:t>
      </w:r>
      <w:r>
        <w:rPr>
          <w:i/>
        </w:rPr>
        <w:t>in vitro</w:t>
      </w:r>
      <w:r>
        <w:rPr/>
        <w:t>, которые по сей день являются актуальными, поскольку комбинации времени, интенсивности, частоты и длины волны при экспериментальном воздействии ЭМИ на сперматозоиды исчисляются более чем 10</w:t>
      </w:r>
      <w:r>
        <w:rPr>
          <w:vertAlign w:val="superscript"/>
        </w:rPr>
        <w:t>9</w:t>
      </w:r>
      <w:r>
        <w:rPr>
          <w:vertAlign w:val="baseline"/>
        </w:rPr>
        <w:t> числом вариантов,</w:t>
      </w:r>
      <w:r>
        <w:rPr>
          <w:spacing w:val="40"/>
          <w:vertAlign w:val="baseline"/>
        </w:rPr>
        <w:t> </w:t>
      </w:r>
      <w:r>
        <w:rPr>
          <w:vertAlign w:val="baseline"/>
        </w:rPr>
        <w:t>и исследователям еще предстоит определить их биологическую роль.</w:t>
      </w:r>
    </w:p>
    <w:p>
      <w:pPr>
        <w:pStyle w:val="Heading2"/>
        <w:numPr>
          <w:ilvl w:val="2"/>
          <w:numId w:val="8"/>
        </w:numPr>
        <w:tabs>
          <w:tab w:pos="1252" w:val="left" w:leader="none"/>
        </w:tabs>
        <w:spacing w:line="256" w:lineRule="auto" w:before="311" w:after="0"/>
        <w:ind w:left="1" w:right="137" w:firstLine="566"/>
        <w:jc w:val="both"/>
      </w:pPr>
      <w:r>
        <w:rPr/>
        <w:t>Влияние видимого и инфракрасного диапазонов электромагнитных излучений на подвижность сперматозоидов</w:t>
      </w:r>
    </w:p>
    <w:p>
      <w:pPr>
        <w:pStyle w:val="BodyText"/>
        <w:spacing w:line="256" w:lineRule="auto"/>
        <w:ind w:left="1" w:right="136" w:firstLine="566"/>
      </w:pPr>
      <w:r>
        <w:rPr/>
        <w:t>Отмечается богатая история исследований, в которых оценивалось влияние ЭМИ на сперматозоиды. В основном исследования сосредоточены на скорости движения и других кинематических параметрах сперматозоидов, где они обнаружили положительный эффект [155-161]. Одним из первых опубликованных исследований, в котором оценивалось влияние ЭМИ на подвижность сперматозоидов, было исследование Sato и соавторов (1984). В экспериментах подвергали человеческую сперму лазерному облучению (красный свет</w:t>
      </w:r>
      <w:r>
        <w:rPr>
          <w:spacing w:val="40"/>
        </w:rPr>
        <w:t> </w:t>
      </w:r>
      <w:r>
        <w:rPr/>
        <w:t>криптонового лазера, λ = 647 нм) с различной интенсивностью и обнаружили, что процентное содержание подвижных сперматозоидов увеличилось, особенно когда интенсивность была 32 Дж/см</w:t>
      </w:r>
      <w:r>
        <w:rPr>
          <w:vertAlign w:val="superscript"/>
        </w:rPr>
        <w:t>2</w:t>
      </w:r>
      <w:r>
        <w:rPr>
          <w:vertAlign w:val="baseline"/>
        </w:rPr>
        <w:t>. Наблюдали увеличение подвижных сперматозоидов примерно на 8–10% [155].</w:t>
      </w:r>
    </w:p>
    <w:p>
      <w:pPr>
        <w:pStyle w:val="BodyText"/>
        <w:spacing w:after="0" w:line="256" w:lineRule="auto"/>
        <w:sectPr>
          <w:pgSz w:w="11910" w:h="16840"/>
          <w:pgMar w:header="0" w:footer="1002" w:top="340" w:bottom="1200" w:left="850" w:right="708"/>
        </w:sectPr>
      </w:pPr>
    </w:p>
    <w:p>
      <w:pPr>
        <w:pStyle w:val="BodyText"/>
        <w:spacing w:line="256" w:lineRule="auto" w:before="69"/>
        <w:ind w:left="1" w:right="136" w:firstLine="708"/>
      </w:pPr>
      <w:r>
        <w:rPr/>
        <w:t>Говоря об инфракрасном диапазоне ЭМИ, примечательна работа Lenzi и соавторов (1989) в которой они объединили две разные интенсивности и две разные частоты следующим образом: 5 мВт</w:t>
      </w:r>
      <w:r>
        <w:rPr>
          <w:spacing w:val="-2"/>
        </w:rPr>
        <w:t> </w:t>
      </w:r>
      <w:r>
        <w:rPr/>
        <w:t>и 2 Гц;</w:t>
      </w:r>
      <w:r>
        <w:rPr>
          <w:spacing w:val="-1"/>
        </w:rPr>
        <w:t> </w:t>
      </w:r>
      <w:r>
        <w:rPr/>
        <w:t>5 мВт и2200 Гц;</w:t>
      </w:r>
      <w:r>
        <w:rPr>
          <w:spacing w:val="-1"/>
        </w:rPr>
        <w:t> </w:t>
      </w:r>
      <w:r>
        <w:rPr/>
        <w:t>30 мВт и 2</w:t>
      </w:r>
      <w:r>
        <w:rPr>
          <w:spacing w:val="-1"/>
        </w:rPr>
        <w:t> </w:t>
      </w:r>
      <w:r>
        <w:rPr/>
        <w:t>Гц; 30</w:t>
      </w:r>
      <w:r>
        <w:rPr>
          <w:spacing w:val="-1"/>
        </w:rPr>
        <w:t> </w:t>
      </w:r>
      <w:r>
        <w:rPr/>
        <w:t>мВт</w:t>
      </w:r>
      <w:r>
        <w:rPr>
          <w:spacing w:val="-2"/>
        </w:rPr>
        <w:t> </w:t>
      </w:r>
      <w:r>
        <w:rPr/>
        <w:t>и 2200 Гц, и наблюдалось увеличение процента прогрессивно подвижных сперматозоидов, линейность, амплитуда латерального смещения головки спермия и увеличение частоты хвостовых биений. Эти различия между облученными и необлученными образцами были</w:t>
      </w:r>
      <w:r>
        <w:rPr>
          <w:spacing w:val="-2"/>
        </w:rPr>
        <w:t> </w:t>
      </w:r>
      <w:r>
        <w:rPr/>
        <w:t>более заметны после</w:t>
      </w:r>
      <w:r>
        <w:rPr>
          <w:spacing w:val="-3"/>
        </w:rPr>
        <w:t> </w:t>
      </w:r>
      <w:r>
        <w:rPr/>
        <w:t>4–22 часов</w:t>
      </w:r>
      <w:r>
        <w:rPr>
          <w:spacing w:val="-3"/>
        </w:rPr>
        <w:t> </w:t>
      </w:r>
      <w:r>
        <w:rPr/>
        <w:t>облучения [156].</w:t>
      </w:r>
      <w:r>
        <w:rPr>
          <w:spacing w:val="-3"/>
        </w:rPr>
        <w:t> </w:t>
      </w:r>
      <w:r>
        <w:rPr/>
        <w:t>В работе</w:t>
      </w:r>
      <w:r>
        <w:rPr>
          <w:spacing w:val="-4"/>
        </w:rPr>
        <w:t> </w:t>
      </w:r>
      <w:r>
        <w:rPr/>
        <w:t>Firestone</w:t>
      </w:r>
      <w:r>
        <w:rPr>
          <w:spacing w:val="-4"/>
        </w:rPr>
        <w:t> </w:t>
      </w:r>
      <w:r>
        <w:rPr/>
        <w:t>и</w:t>
      </w:r>
      <w:r>
        <w:rPr>
          <w:spacing w:val="-1"/>
        </w:rPr>
        <w:t> </w:t>
      </w:r>
      <w:r>
        <w:rPr/>
        <w:t>соавторов(2012)</w:t>
      </w:r>
      <w:r>
        <w:rPr>
          <w:spacing w:val="-1"/>
        </w:rPr>
        <w:t> </w:t>
      </w:r>
      <w:r>
        <w:rPr/>
        <w:t>облучали</w:t>
      </w:r>
      <w:r>
        <w:rPr>
          <w:spacing w:val="-1"/>
        </w:rPr>
        <w:t> </w:t>
      </w:r>
      <w:r>
        <w:rPr/>
        <w:t>человеческую</w:t>
      </w:r>
      <w:r>
        <w:rPr>
          <w:spacing w:val="-5"/>
        </w:rPr>
        <w:t> </w:t>
      </w:r>
      <w:r>
        <w:rPr/>
        <w:t>сперму</w:t>
      </w:r>
      <w:r>
        <w:rPr>
          <w:spacing w:val="-3"/>
        </w:rPr>
        <w:t> </w:t>
      </w:r>
      <w:r>
        <w:rPr/>
        <w:t>пациентов</w:t>
      </w:r>
      <w:r>
        <w:rPr>
          <w:spacing w:val="-4"/>
        </w:rPr>
        <w:t> </w:t>
      </w:r>
      <w:r>
        <w:rPr/>
        <w:t>разной фертильности длиной волны инфракрасного излучения 905 нм, плотностью энергии 50 мВт/см</w:t>
      </w:r>
      <w:r>
        <w:rPr>
          <w:vertAlign w:val="superscript"/>
        </w:rPr>
        <w:t>2</w:t>
      </w:r>
      <w:r>
        <w:rPr>
          <w:spacing w:val="-18"/>
          <w:vertAlign w:val="baseline"/>
        </w:rPr>
        <w:t> </w:t>
      </w:r>
      <w:r>
        <w:rPr>
          <w:vertAlign w:val="baseline"/>
        </w:rPr>
        <w:t>в течение 30 минут. После экспозиции образцов было обнаружено, что в течение 30 и 120 минут при 37 °C световая стимуляция с длиной волны 905 нм значительно увеличивает общую подвижность сперматозоидов, скорость прямолинейного движения и линейность движения. Степень увеличения была выше у пациентов с олигоастенозооспермией, что побудило авторов предположить, что фотостимуляция может использоваться для улучшения подвижности сперматозоидов у пациентов с астенозооспермией [157]. Похожие результаты опубликованы в сообщении Salman и соавторов (2014) об исследовании, в котором наблюдалось, что облучение сперматозоидов человека у пациентов с астенозооспермией</w:t>
      </w:r>
      <w:r>
        <w:rPr>
          <w:spacing w:val="-7"/>
          <w:vertAlign w:val="baseline"/>
        </w:rPr>
        <w:t> </w:t>
      </w:r>
      <w:r>
        <w:rPr>
          <w:vertAlign w:val="baseline"/>
        </w:rPr>
        <w:t>830-нм алюмо-галлий-арсенидным</w:t>
      </w:r>
      <w:r>
        <w:rPr>
          <w:spacing w:val="-1"/>
          <w:vertAlign w:val="baseline"/>
        </w:rPr>
        <w:t> </w:t>
      </w:r>
      <w:r>
        <w:rPr>
          <w:vertAlign w:val="baseline"/>
        </w:rPr>
        <w:t>лазером</w:t>
      </w:r>
      <w:r>
        <w:rPr>
          <w:spacing w:val="-3"/>
          <w:vertAlign w:val="baseline"/>
        </w:rPr>
        <w:t> </w:t>
      </w:r>
      <w:r>
        <w:rPr>
          <w:vertAlign w:val="baseline"/>
        </w:rPr>
        <w:t>(выходная </w:t>
      </w:r>
      <w:r>
        <w:rPr>
          <w:spacing w:val="-2"/>
          <w:vertAlign w:val="baseline"/>
        </w:rPr>
        <w:t>мощность</w:t>
      </w:r>
    </w:p>
    <w:p>
      <w:pPr>
        <w:pStyle w:val="BodyText"/>
        <w:spacing w:line="299" w:lineRule="exact"/>
        <w:ind w:left="2"/>
      </w:pPr>
      <w:r>
        <w:rPr/>
        <w:t>= 100</w:t>
      </w:r>
      <w:r>
        <w:rPr>
          <w:spacing w:val="3"/>
        </w:rPr>
        <w:t> </w:t>
      </w:r>
      <w:r>
        <w:rPr/>
        <w:t>мВт,</w:t>
      </w:r>
      <w:r>
        <w:rPr>
          <w:spacing w:val="1"/>
        </w:rPr>
        <w:t> </w:t>
      </w:r>
      <w:r>
        <w:rPr/>
        <w:t>размер</w:t>
      </w:r>
      <w:r>
        <w:rPr>
          <w:spacing w:val="3"/>
        </w:rPr>
        <w:t> </w:t>
      </w:r>
      <w:r>
        <w:rPr/>
        <w:t>апертуры</w:t>
      </w:r>
      <w:r>
        <w:rPr>
          <w:spacing w:val="3"/>
        </w:rPr>
        <w:t> </w:t>
      </w:r>
      <w:r>
        <w:rPr/>
        <w:t>= 0,67</w:t>
      </w:r>
      <w:r>
        <w:rPr>
          <w:spacing w:val="3"/>
        </w:rPr>
        <w:t> </w:t>
      </w:r>
      <w:r>
        <w:rPr/>
        <w:t>см</w:t>
      </w:r>
      <w:r>
        <w:rPr>
          <w:vertAlign w:val="superscript"/>
        </w:rPr>
        <w:t>2</w:t>
      </w:r>
      <w:r>
        <w:rPr>
          <w:vertAlign w:val="baseline"/>
        </w:rPr>
        <w:t>, плотность</w:t>
      </w:r>
      <w:r>
        <w:rPr>
          <w:spacing w:val="1"/>
          <w:vertAlign w:val="baseline"/>
        </w:rPr>
        <w:t> </w:t>
      </w:r>
      <w:r>
        <w:rPr>
          <w:vertAlign w:val="baseline"/>
        </w:rPr>
        <w:t>энергии</w:t>
      </w:r>
      <w:r>
        <w:rPr>
          <w:spacing w:val="3"/>
          <w:vertAlign w:val="baseline"/>
        </w:rPr>
        <w:t> </w:t>
      </w:r>
      <w:r>
        <w:rPr>
          <w:vertAlign w:val="baseline"/>
        </w:rPr>
        <w:t>=</w:t>
      </w:r>
      <w:r>
        <w:rPr>
          <w:spacing w:val="2"/>
          <w:vertAlign w:val="baseline"/>
        </w:rPr>
        <w:t> </w:t>
      </w:r>
      <w:r>
        <w:rPr>
          <w:vertAlign w:val="baseline"/>
        </w:rPr>
        <w:t>4</w:t>
      </w:r>
      <w:r>
        <w:rPr>
          <w:spacing w:val="3"/>
          <w:vertAlign w:val="baseline"/>
        </w:rPr>
        <w:t> </w:t>
      </w:r>
      <w:r>
        <w:rPr>
          <w:vertAlign w:val="baseline"/>
        </w:rPr>
        <w:t>и</w:t>
      </w:r>
      <w:r>
        <w:rPr>
          <w:spacing w:val="3"/>
          <w:vertAlign w:val="baseline"/>
        </w:rPr>
        <w:t> </w:t>
      </w:r>
      <w:r>
        <w:rPr>
          <w:vertAlign w:val="baseline"/>
        </w:rPr>
        <w:t>6</w:t>
      </w:r>
      <w:r>
        <w:rPr>
          <w:spacing w:val="3"/>
          <w:vertAlign w:val="baseline"/>
        </w:rPr>
        <w:t> </w:t>
      </w:r>
      <w:r>
        <w:rPr>
          <w:vertAlign w:val="baseline"/>
        </w:rPr>
        <w:t>Дж/см</w:t>
      </w:r>
      <w:r>
        <w:rPr>
          <w:vertAlign w:val="superscript"/>
        </w:rPr>
        <w:t>2</w:t>
      </w:r>
      <w:r>
        <w:rPr>
          <w:vertAlign w:val="baseline"/>
        </w:rPr>
        <w:t>)</w:t>
      </w:r>
      <w:r>
        <w:rPr>
          <w:spacing w:val="3"/>
          <w:vertAlign w:val="baseline"/>
        </w:rPr>
        <w:t> </w:t>
      </w:r>
      <w:r>
        <w:rPr>
          <w:spacing w:val="-2"/>
          <w:vertAlign w:val="baseline"/>
        </w:rPr>
        <w:t>позволяет</w:t>
      </w:r>
    </w:p>
    <w:p>
      <w:pPr>
        <w:pStyle w:val="BodyText"/>
        <w:spacing w:line="256" w:lineRule="auto" w:before="21"/>
        <w:ind w:left="1" w:right="136"/>
      </w:pPr>
      <w:r>
        <w:rPr/>
        <w:t>лучше сохранять их поступательную подвижность после 45 и 60 мин облучения при 37°C [158]. Preece и соавторы (2017) сообщали, что стимуляция красным светом диодного лазера (λ = 633 нм, плотность энергии = 5,66 мВт/см</w:t>
      </w:r>
      <w:r>
        <w:rPr>
          <w:vertAlign w:val="superscript"/>
        </w:rPr>
        <w:t>2</w:t>
      </w:r>
      <w:r>
        <w:rPr>
          <w:vertAlign w:val="baseline"/>
        </w:rPr>
        <w:t>)) на протяжении 35 минут усилила подвижность размороженных сперматозоидов человека [159].</w:t>
      </w:r>
    </w:p>
    <w:p>
      <w:pPr>
        <w:pStyle w:val="BodyText"/>
        <w:spacing w:line="256" w:lineRule="auto"/>
        <w:ind w:left="2" w:right="137" w:firstLine="707"/>
      </w:pPr>
      <w:r>
        <w:rPr/>
        <w:t>Помимо лазеров в качестве агента, влияющего на подвижность сперматозоидов у пациентов с астенозооспермией, оценивалась реакция на светоизлучающие диоды. Так, например, BanFrangez с соавторами (2015) облучали сперматозоиды разными длинами волн (плотности энергии указаны в скобках):</w:t>
      </w:r>
    </w:p>
    <w:p>
      <w:pPr>
        <w:pStyle w:val="BodyText"/>
        <w:spacing w:line="317" w:lineRule="exact"/>
        <w:ind w:left="2"/>
        <w:jc w:val="left"/>
      </w:pPr>
      <w:r>
        <w:rPr/>
        <w:t>а)</w:t>
      </w:r>
      <w:r>
        <w:rPr>
          <w:spacing w:val="-3"/>
        </w:rPr>
        <w:t> </w:t>
      </w:r>
      <w:r>
        <w:rPr/>
        <w:t>850</w:t>
      </w:r>
      <w:r>
        <w:rPr>
          <w:spacing w:val="-3"/>
        </w:rPr>
        <w:t> </w:t>
      </w:r>
      <w:r>
        <w:rPr/>
        <w:t>нм</w:t>
      </w:r>
      <w:r>
        <w:rPr>
          <w:spacing w:val="-2"/>
        </w:rPr>
        <w:t> </w:t>
      </w:r>
      <w:r>
        <w:rPr/>
        <w:t>(2,16</w:t>
      </w:r>
      <w:r>
        <w:rPr>
          <w:spacing w:val="-1"/>
        </w:rPr>
        <w:t> </w:t>
      </w:r>
      <w:r>
        <w:rPr/>
        <w:t>мВт</w:t>
      </w:r>
      <w:r>
        <w:rPr>
          <w:spacing w:val="-5"/>
        </w:rPr>
        <w:t> </w:t>
      </w:r>
      <w:r>
        <w:rPr/>
        <w:t>см</w:t>
      </w:r>
      <w:r>
        <w:rPr>
          <w:vertAlign w:val="superscript"/>
        </w:rPr>
        <w:t>-</w:t>
      </w:r>
      <w:r>
        <w:rPr>
          <w:spacing w:val="-5"/>
          <w:vertAlign w:val="superscript"/>
        </w:rPr>
        <w:t>2</w:t>
      </w:r>
      <w:r>
        <w:rPr>
          <w:spacing w:val="-5"/>
          <w:vertAlign w:val="baseline"/>
        </w:rPr>
        <w:t>),</w:t>
      </w:r>
    </w:p>
    <w:p>
      <w:pPr>
        <w:pStyle w:val="BodyText"/>
        <w:spacing w:line="256" w:lineRule="auto" w:before="18"/>
        <w:ind w:left="2" w:right="5955"/>
        <w:jc w:val="left"/>
      </w:pPr>
      <w:r>
        <w:rPr/>
        <w:t>б)</w:t>
      </w:r>
      <w:r>
        <w:rPr>
          <w:spacing w:val="-6"/>
        </w:rPr>
        <w:t> </w:t>
      </w:r>
      <w:r>
        <w:rPr/>
        <w:t>625,</w:t>
      </w:r>
      <w:r>
        <w:rPr>
          <w:spacing w:val="-6"/>
        </w:rPr>
        <w:t> </w:t>
      </w:r>
      <w:r>
        <w:rPr/>
        <w:t>660</w:t>
      </w:r>
      <w:r>
        <w:rPr>
          <w:spacing w:val="-7"/>
        </w:rPr>
        <w:t> </w:t>
      </w:r>
      <w:r>
        <w:rPr/>
        <w:t>и</w:t>
      </w:r>
      <w:r>
        <w:rPr>
          <w:spacing w:val="-5"/>
        </w:rPr>
        <w:t> </w:t>
      </w:r>
      <w:r>
        <w:rPr/>
        <w:t>850</w:t>
      </w:r>
      <w:r>
        <w:rPr>
          <w:spacing w:val="-7"/>
        </w:rPr>
        <w:t> </w:t>
      </w:r>
      <w:r>
        <w:rPr/>
        <w:t>нм(3,92</w:t>
      </w:r>
      <w:r>
        <w:rPr>
          <w:spacing w:val="-5"/>
        </w:rPr>
        <w:t> </w:t>
      </w:r>
      <w:r>
        <w:rPr/>
        <w:t>мВт/см</w:t>
      </w:r>
      <w:r>
        <w:rPr>
          <w:vertAlign w:val="superscript"/>
        </w:rPr>
        <w:t>-2</w:t>
      </w:r>
      <w:r>
        <w:rPr>
          <w:vertAlign w:val="baseline"/>
        </w:rPr>
        <w:t>), в) 470 нм (5,06 мВт см</w:t>
      </w:r>
      <w:r>
        <w:rPr>
          <w:vertAlign w:val="superscript"/>
        </w:rPr>
        <w:t>-2</w:t>
      </w:r>
      <w:r>
        <w:rPr>
          <w:vertAlign w:val="baseline"/>
        </w:rPr>
        <w:t>), и</w:t>
      </w:r>
    </w:p>
    <w:p>
      <w:pPr>
        <w:pStyle w:val="BodyText"/>
        <w:ind w:left="1"/>
        <w:jc w:val="left"/>
      </w:pPr>
      <w:r>
        <w:rPr/>
        <w:t>г)</w:t>
      </w:r>
      <w:r>
        <w:rPr>
          <w:spacing w:val="-5"/>
        </w:rPr>
        <w:t> </w:t>
      </w:r>
      <w:r>
        <w:rPr/>
        <w:t>625,</w:t>
      </w:r>
      <w:r>
        <w:rPr>
          <w:spacing w:val="-3"/>
        </w:rPr>
        <w:t> </w:t>
      </w:r>
      <w:r>
        <w:rPr/>
        <w:t>660</w:t>
      </w:r>
      <w:r>
        <w:rPr>
          <w:spacing w:val="-2"/>
        </w:rPr>
        <w:t> </w:t>
      </w:r>
      <w:r>
        <w:rPr/>
        <w:t>и</w:t>
      </w:r>
      <w:r>
        <w:rPr>
          <w:spacing w:val="-4"/>
        </w:rPr>
        <w:t> </w:t>
      </w:r>
      <w:r>
        <w:rPr/>
        <w:t>470</w:t>
      </w:r>
      <w:r>
        <w:rPr>
          <w:spacing w:val="-2"/>
        </w:rPr>
        <w:t> </w:t>
      </w:r>
      <w:r>
        <w:rPr/>
        <w:t>нм</w:t>
      </w:r>
      <w:r>
        <w:rPr>
          <w:spacing w:val="-3"/>
        </w:rPr>
        <w:t> </w:t>
      </w:r>
      <w:r>
        <w:rPr/>
        <w:t>(8,23</w:t>
      </w:r>
      <w:r>
        <w:rPr>
          <w:spacing w:val="-2"/>
        </w:rPr>
        <w:t> </w:t>
      </w:r>
      <w:r>
        <w:rPr/>
        <w:t>мВт</w:t>
      </w:r>
      <w:r>
        <w:rPr>
          <w:spacing w:val="-2"/>
        </w:rPr>
        <w:t> </w:t>
      </w:r>
      <w:r>
        <w:rPr/>
        <w:t>см</w:t>
      </w:r>
      <w:r>
        <w:rPr>
          <w:vertAlign w:val="superscript"/>
        </w:rPr>
        <w:t>-</w:t>
      </w:r>
      <w:r>
        <w:rPr>
          <w:spacing w:val="-5"/>
          <w:vertAlign w:val="superscript"/>
        </w:rPr>
        <w:t>2</w:t>
      </w:r>
      <w:r>
        <w:rPr>
          <w:spacing w:val="-5"/>
          <w:vertAlign w:val="baseline"/>
        </w:rPr>
        <w:t>).</w:t>
      </w:r>
    </w:p>
    <w:p>
      <w:pPr>
        <w:pStyle w:val="BodyText"/>
        <w:spacing w:line="256" w:lineRule="auto" w:before="21"/>
        <w:ind w:left="2" w:right="136" w:firstLine="708"/>
      </w:pPr>
      <w:r>
        <w:rPr/>
        <w:t>Они обнаружили, что независимо от длины волны, доли прогрессивно-подвижных сперматозоидов значительно увеличились, а доли неподвижных сперматозоидов значительно уменьшились после 30 мин световой стимуляции; лучшая обработка была при длине волны 470 нм и мощностью 5,06 мВт см</w:t>
      </w:r>
      <w:r>
        <w:rPr>
          <w:vertAlign w:val="superscript"/>
        </w:rPr>
        <w:t>-2</w:t>
      </w:r>
      <w:r>
        <w:rPr>
          <w:vertAlign w:val="baseline"/>
        </w:rPr>
        <w:t>. Кроме того, экспозиция сперматозоидов человека (λ = 636,6 нм; выходная мощность = 1,3 Вт) в течение 2, 5 и 10 мин повышали подвижность астеничных сперматозоидов, особенно при их предварительном отмывании [160].</w:t>
      </w:r>
    </w:p>
    <w:p>
      <w:pPr>
        <w:pStyle w:val="BodyText"/>
        <w:spacing w:line="256" w:lineRule="auto"/>
        <w:ind w:left="2" w:right="139" w:firstLine="707"/>
      </w:pPr>
      <w:r>
        <w:rPr/>
        <w:t>Вызванные ЭМИ изменения подвижности наблюдались не только в кинематических параметрах спермы человека, но и у других животных, Siqueira и соавторы (2016) [161]. В таблице 4 собраны биологические эффекты от облучения электромагнитными волнами сперматозоидов человека и других животных [162].</w:t>
      </w:r>
    </w:p>
    <w:p>
      <w:pPr>
        <w:pStyle w:val="BodyText"/>
        <w:spacing w:after="0" w:line="256" w:lineRule="auto"/>
        <w:sectPr>
          <w:pgSz w:w="11910" w:h="16840"/>
          <w:pgMar w:header="0" w:footer="1002" w:top="340" w:bottom="1200" w:left="850" w:right="708"/>
        </w:sectPr>
      </w:pPr>
    </w:p>
    <w:p>
      <w:pPr>
        <w:pStyle w:val="BodyText"/>
        <w:spacing w:line="256" w:lineRule="auto" w:before="60"/>
        <w:ind w:left="7832" w:right="112" w:hanging="6867"/>
        <w:jc w:val="left"/>
      </w:pPr>
      <w:r>
        <w:rPr/>
        <w:t>Таблица</w:t>
      </w:r>
      <w:r>
        <w:rPr>
          <w:spacing w:val="-3"/>
        </w:rPr>
        <w:t> </w:t>
      </w:r>
      <w:r>
        <w:rPr/>
        <w:t>4</w:t>
      </w:r>
      <w:r>
        <w:rPr>
          <w:spacing w:val="-4"/>
        </w:rPr>
        <w:t> </w:t>
      </w:r>
      <w:r>
        <w:rPr>
          <w:rFonts w:ascii="Arial MT" w:hAnsi="Arial MT"/>
          <w:color w:val="454545"/>
          <w:sz w:val="21"/>
        </w:rPr>
        <w:t>— </w:t>
      </w:r>
      <w:r>
        <w:rPr/>
        <w:t>Биологические</w:t>
      </w:r>
      <w:r>
        <w:rPr>
          <w:spacing w:val="-3"/>
        </w:rPr>
        <w:t> </w:t>
      </w:r>
      <w:r>
        <w:rPr/>
        <w:t>эффекты</w:t>
      </w:r>
      <w:r>
        <w:rPr>
          <w:spacing w:val="-4"/>
        </w:rPr>
        <w:t> </w:t>
      </w:r>
      <w:r>
        <w:rPr/>
        <w:t>от</w:t>
      </w:r>
      <w:r>
        <w:rPr>
          <w:spacing w:val="-6"/>
        </w:rPr>
        <w:t> </w:t>
      </w:r>
      <w:r>
        <w:rPr/>
        <w:t>облучения</w:t>
      </w:r>
      <w:r>
        <w:rPr>
          <w:spacing w:val="-3"/>
        </w:rPr>
        <w:t> </w:t>
      </w:r>
      <w:r>
        <w:rPr/>
        <w:t>электромагнитными</w:t>
      </w:r>
      <w:r>
        <w:rPr>
          <w:spacing w:val="-2"/>
        </w:rPr>
        <w:t> </w:t>
      </w:r>
      <w:r>
        <w:rPr/>
        <w:t>волнами</w:t>
      </w:r>
      <w:r>
        <w:rPr>
          <w:spacing w:val="-2"/>
        </w:rPr>
        <w:t> </w:t>
      </w:r>
      <w:r>
        <w:rPr/>
        <w:t>сперматозоидов</w:t>
      </w:r>
      <w:r>
        <w:rPr>
          <w:spacing w:val="-3"/>
        </w:rPr>
        <w:t> </w:t>
      </w:r>
      <w:r>
        <w:rPr/>
        <w:t>человека</w:t>
      </w:r>
      <w:r>
        <w:rPr>
          <w:spacing w:val="-5"/>
        </w:rPr>
        <w:t> </w:t>
      </w:r>
      <w:r>
        <w:rPr/>
        <w:t>и</w:t>
      </w:r>
      <w:r>
        <w:rPr>
          <w:spacing w:val="-2"/>
        </w:rPr>
        <w:t> </w:t>
      </w:r>
      <w:r>
        <w:rPr/>
        <w:t>животных </w:t>
      </w:r>
      <w:r>
        <w:rPr>
          <w:spacing w:val="-2"/>
        </w:rPr>
        <w:t>[162]</w:t>
      </w:r>
    </w:p>
    <w:p>
      <w:pPr>
        <w:pStyle w:val="BodyText"/>
        <w:spacing w:before="112" w:after="1"/>
        <w:jc w:val="left"/>
        <w:rPr>
          <w:sz w:val="20"/>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998"/>
        <w:gridCol w:w="1137"/>
        <w:gridCol w:w="1156"/>
        <w:gridCol w:w="1122"/>
        <w:gridCol w:w="2848"/>
        <w:gridCol w:w="2421"/>
        <w:gridCol w:w="3275"/>
        <w:gridCol w:w="1624"/>
      </w:tblGrid>
      <w:tr>
        <w:trPr>
          <w:trHeight w:val="546" w:hRule="atLeast"/>
        </w:trPr>
        <w:tc>
          <w:tcPr>
            <w:tcW w:w="427" w:type="dxa"/>
          </w:tcPr>
          <w:p>
            <w:pPr>
              <w:pStyle w:val="TableParagraph"/>
              <w:ind w:left="8" w:right="1"/>
              <w:jc w:val="center"/>
              <w:rPr>
                <w:sz w:val="20"/>
              </w:rPr>
            </w:pPr>
            <w:r>
              <w:rPr>
                <w:spacing w:val="-10"/>
                <w:sz w:val="20"/>
              </w:rPr>
              <w:t>№</w:t>
            </w:r>
          </w:p>
        </w:tc>
        <w:tc>
          <w:tcPr>
            <w:tcW w:w="998" w:type="dxa"/>
          </w:tcPr>
          <w:p>
            <w:pPr>
              <w:pStyle w:val="TableParagraph"/>
              <w:ind w:left="7" w:right="4"/>
              <w:jc w:val="center"/>
              <w:rPr>
                <w:sz w:val="20"/>
              </w:rPr>
            </w:pPr>
            <w:r>
              <w:rPr>
                <w:spacing w:val="-2"/>
                <w:sz w:val="20"/>
              </w:rPr>
              <w:t>Объект</w:t>
            </w:r>
          </w:p>
        </w:tc>
        <w:tc>
          <w:tcPr>
            <w:tcW w:w="1137" w:type="dxa"/>
          </w:tcPr>
          <w:p>
            <w:pPr>
              <w:pStyle w:val="TableParagraph"/>
              <w:spacing w:line="254" w:lineRule="auto"/>
              <w:ind w:left="197" w:right="186" w:firstLine="206"/>
              <w:rPr>
                <w:sz w:val="20"/>
              </w:rPr>
            </w:pPr>
            <w:r>
              <w:rPr>
                <w:spacing w:val="-4"/>
                <w:sz w:val="20"/>
              </w:rPr>
              <w:t>Тип </w:t>
            </w:r>
            <w:r>
              <w:rPr>
                <w:spacing w:val="-2"/>
                <w:sz w:val="20"/>
              </w:rPr>
              <w:t>эякулята</w:t>
            </w:r>
          </w:p>
        </w:tc>
        <w:tc>
          <w:tcPr>
            <w:tcW w:w="1156" w:type="dxa"/>
          </w:tcPr>
          <w:p>
            <w:pPr>
              <w:pStyle w:val="TableParagraph"/>
              <w:spacing w:line="254" w:lineRule="auto"/>
              <w:ind w:left="351" w:right="146" w:hanging="188"/>
              <w:rPr>
                <w:sz w:val="20"/>
              </w:rPr>
            </w:pPr>
            <w:r>
              <w:rPr>
                <w:spacing w:val="-2"/>
                <w:sz w:val="20"/>
              </w:rPr>
              <w:t>Источник </w:t>
            </w:r>
            <w:r>
              <w:rPr>
                <w:spacing w:val="-4"/>
                <w:sz w:val="20"/>
              </w:rPr>
              <w:t>ЭМИ</w:t>
            </w:r>
          </w:p>
        </w:tc>
        <w:tc>
          <w:tcPr>
            <w:tcW w:w="1122" w:type="dxa"/>
          </w:tcPr>
          <w:p>
            <w:pPr>
              <w:pStyle w:val="TableParagraph"/>
              <w:spacing w:line="254" w:lineRule="auto"/>
              <w:ind w:left="294" w:right="278"/>
              <w:rPr>
                <w:sz w:val="20"/>
              </w:rPr>
            </w:pPr>
            <w:r>
              <w:rPr>
                <w:spacing w:val="-4"/>
                <w:sz w:val="20"/>
              </w:rPr>
              <w:t>Длина волны</w:t>
            </w:r>
          </w:p>
        </w:tc>
        <w:tc>
          <w:tcPr>
            <w:tcW w:w="2848" w:type="dxa"/>
          </w:tcPr>
          <w:p>
            <w:pPr>
              <w:pStyle w:val="TableParagraph"/>
              <w:ind w:left="300"/>
              <w:rPr>
                <w:sz w:val="20"/>
              </w:rPr>
            </w:pPr>
            <w:r>
              <w:rPr>
                <w:spacing w:val="-2"/>
                <w:sz w:val="20"/>
              </w:rPr>
              <w:t>Интенсивность</w:t>
            </w:r>
            <w:r>
              <w:rPr>
                <w:spacing w:val="11"/>
                <w:sz w:val="20"/>
              </w:rPr>
              <w:t> </w:t>
            </w:r>
            <w:r>
              <w:rPr>
                <w:spacing w:val="-2"/>
                <w:sz w:val="20"/>
              </w:rPr>
              <w:t>облучения</w:t>
            </w:r>
          </w:p>
        </w:tc>
        <w:tc>
          <w:tcPr>
            <w:tcW w:w="2421" w:type="dxa"/>
          </w:tcPr>
          <w:p>
            <w:pPr>
              <w:pStyle w:val="TableParagraph"/>
              <w:spacing w:line="254" w:lineRule="auto"/>
              <w:ind w:left="764" w:right="380" w:hanging="360"/>
              <w:rPr>
                <w:sz w:val="20"/>
              </w:rPr>
            </w:pPr>
            <w:r>
              <w:rPr>
                <w:sz w:val="20"/>
              </w:rPr>
              <w:t>Наилучший</w:t>
            </w:r>
            <w:r>
              <w:rPr>
                <w:spacing w:val="-13"/>
                <w:sz w:val="20"/>
              </w:rPr>
              <w:t> </w:t>
            </w:r>
            <w:r>
              <w:rPr>
                <w:sz w:val="20"/>
              </w:rPr>
              <w:t>режим </w:t>
            </w:r>
            <w:r>
              <w:rPr>
                <w:spacing w:val="-2"/>
                <w:sz w:val="20"/>
              </w:rPr>
              <w:t>облучения</w:t>
            </w:r>
          </w:p>
        </w:tc>
        <w:tc>
          <w:tcPr>
            <w:tcW w:w="3275" w:type="dxa"/>
          </w:tcPr>
          <w:p>
            <w:pPr>
              <w:pStyle w:val="TableParagraph"/>
              <w:ind w:left="111" w:right="96"/>
              <w:jc w:val="center"/>
              <w:rPr>
                <w:sz w:val="20"/>
              </w:rPr>
            </w:pPr>
            <w:r>
              <w:rPr>
                <w:spacing w:val="-2"/>
                <w:sz w:val="20"/>
              </w:rPr>
              <w:t>Биологический</w:t>
            </w:r>
            <w:r>
              <w:rPr>
                <w:spacing w:val="10"/>
                <w:sz w:val="20"/>
              </w:rPr>
              <w:t> </w:t>
            </w:r>
            <w:r>
              <w:rPr>
                <w:spacing w:val="-2"/>
                <w:sz w:val="20"/>
              </w:rPr>
              <w:t>эффект</w:t>
            </w:r>
          </w:p>
        </w:tc>
        <w:tc>
          <w:tcPr>
            <w:tcW w:w="1624" w:type="dxa"/>
          </w:tcPr>
          <w:p>
            <w:pPr>
              <w:pStyle w:val="TableParagraph"/>
              <w:ind w:left="22" w:right="3"/>
              <w:jc w:val="center"/>
              <w:rPr>
                <w:sz w:val="20"/>
              </w:rPr>
            </w:pPr>
            <w:r>
              <w:rPr>
                <w:spacing w:val="-2"/>
                <w:sz w:val="20"/>
              </w:rPr>
              <w:t>Источник</w:t>
            </w:r>
          </w:p>
        </w:tc>
      </w:tr>
      <w:tr>
        <w:trPr>
          <w:trHeight w:val="981" w:hRule="atLeast"/>
        </w:trPr>
        <w:tc>
          <w:tcPr>
            <w:tcW w:w="427" w:type="dxa"/>
          </w:tcPr>
          <w:p>
            <w:pPr>
              <w:pStyle w:val="TableParagraph"/>
              <w:ind w:left="8"/>
              <w:jc w:val="center"/>
              <w:rPr>
                <w:sz w:val="20"/>
              </w:rPr>
            </w:pPr>
            <w:r>
              <w:rPr>
                <w:spacing w:val="-10"/>
                <w:sz w:val="20"/>
              </w:rPr>
              <w:t>1</w:t>
            </w:r>
          </w:p>
        </w:tc>
        <w:tc>
          <w:tcPr>
            <w:tcW w:w="998" w:type="dxa"/>
          </w:tcPr>
          <w:p>
            <w:pPr>
              <w:pStyle w:val="TableParagraph"/>
              <w:ind w:left="7"/>
              <w:jc w:val="center"/>
              <w:rPr>
                <w:sz w:val="20"/>
              </w:rPr>
            </w:pPr>
            <w:r>
              <w:rPr>
                <w:spacing w:val="-5"/>
                <w:sz w:val="20"/>
              </w:rPr>
              <w:t>Бык</w:t>
            </w:r>
          </w:p>
        </w:tc>
        <w:tc>
          <w:tcPr>
            <w:tcW w:w="1137" w:type="dxa"/>
          </w:tcPr>
          <w:p>
            <w:pPr>
              <w:pStyle w:val="TableParagraph"/>
              <w:ind w:left="13"/>
              <w:jc w:val="center"/>
              <w:rPr>
                <w:sz w:val="20"/>
              </w:rPr>
            </w:pPr>
            <w:r>
              <w:rPr>
                <w:spacing w:val="-2"/>
                <w:sz w:val="20"/>
              </w:rPr>
              <w:t>Разморож.</w:t>
            </w:r>
          </w:p>
        </w:tc>
        <w:tc>
          <w:tcPr>
            <w:tcW w:w="1156" w:type="dxa"/>
          </w:tcPr>
          <w:p>
            <w:pPr>
              <w:pStyle w:val="TableParagraph"/>
              <w:ind w:right="320"/>
              <w:jc w:val="right"/>
              <w:rPr>
                <w:sz w:val="20"/>
              </w:rPr>
            </w:pPr>
            <w:r>
              <w:rPr>
                <w:spacing w:val="-2"/>
                <w:sz w:val="20"/>
              </w:rPr>
              <w:t>Лазер</w:t>
            </w:r>
          </w:p>
          <w:p>
            <w:pPr>
              <w:pStyle w:val="TableParagraph"/>
              <w:spacing w:before="15"/>
              <w:ind w:right="241"/>
              <w:jc w:val="right"/>
              <w:rPr>
                <w:sz w:val="20"/>
              </w:rPr>
            </w:pPr>
            <w:r>
              <w:rPr>
                <w:spacing w:val="-2"/>
                <w:sz w:val="20"/>
              </w:rPr>
              <w:t>(He-</w:t>
            </w:r>
            <w:r>
              <w:rPr>
                <w:spacing w:val="-5"/>
                <w:sz w:val="20"/>
              </w:rPr>
              <w:t>Ne,</w:t>
            </w:r>
          </w:p>
          <w:p>
            <w:pPr>
              <w:pStyle w:val="TableParagraph"/>
              <w:spacing w:before="17"/>
              <w:ind w:right="156"/>
              <w:jc w:val="right"/>
              <w:rPr>
                <w:sz w:val="20"/>
              </w:rPr>
            </w:pPr>
            <w:r>
              <w:rPr>
                <w:spacing w:val="-2"/>
                <w:sz w:val="20"/>
              </w:rPr>
              <w:t>диодный)</w:t>
            </w:r>
          </w:p>
        </w:tc>
        <w:tc>
          <w:tcPr>
            <w:tcW w:w="1122" w:type="dxa"/>
          </w:tcPr>
          <w:p>
            <w:pPr>
              <w:pStyle w:val="TableParagraph"/>
              <w:ind w:left="13"/>
              <w:jc w:val="center"/>
              <w:rPr>
                <w:sz w:val="20"/>
              </w:rPr>
            </w:pPr>
            <w:r>
              <w:rPr>
                <w:sz w:val="20"/>
              </w:rPr>
              <w:t>632 </w:t>
            </w:r>
            <w:r>
              <w:rPr>
                <w:spacing w:val="-5"/>
                <w:sz w:val="20"/>
              </w:rPr>
              <w:t>нм</w:t>
            </w:r>
          </w:p>
          <w:p>
            <w:pPr>
              <w:pStyle w:val="TableParagraph"/>
              <w:spacing w:before="15"/>
              <w:ind w:left="13"/>
              <w:jc w:val="center"/>
              <w:rPr>
                <w:sz w:val="20"/>
              </w:rPr>
            </w:pPr>
            <w:r>
              <w:rPr>
                <w:spacing w:val="-2"/>
                <w:sz w:val="20"/>
              </w:rPr>
              <w:t>(He-</w:t>
            </w:r>
            <w:r>
              <w:rPr>
                <w:spacing w:val="-5"/>
                <w:sz w:val="20"/>
              </w:rPr>
              <w:t>Ne)</w:t>
            </w:r>
          </w:p>
          <w:p>
            <w:pPr>
              <w:pStyle w:val="TableParagraph"/>
              <w:spacing w:line="240" w:lineRule="atLeast" w:before="6"/>
              <w:ind w:left="117" w:right="104" w:firstLine="2"/>
              <w:jc w:val="center"/>
              <w:rPr>
                <w:sz w:val="20"/>
              </w:rPr>
            </w:pPr>
            <w:r>
              <w:rPr>
                <w:sz w:val="20"/>
              </w:rPr>
              <w:t>780 нм </w:t>
            </w:r>
            <w:r>
              <w:rPr>
                <w:spacing w:val="-2"/>
                <w:sz w:val="20"/>
              </w:rPr>
              <w:t>(диодный)</w:t>
            </w:r>
          </w:p>
        </w:tc>
        <w:tc>
          <w:tcPr>
            <w:tcW w:w="2848" w:type="dxa"/>
          </w:tcPr>
          <w:p>
            <w:pPr>
              <w:pStyle w:val="TableParagraph"/>
              <w:ind w:left="14" w:right="3"/>
              <w:jc w:val="center"/>
              <w:rPr>
                <w:sz w:val="20"/>
              </w:rPr>
            </w:pPr>
            <w:r>
              <w:rPr>
                <w:sz w:val="20"/>
              </w:rPr>
              <w:t>He-Ne</w:t>
            </w:r>
            <w:r>
              <w:rPr>
                <w:spacing w:val="-3"/>
                <w:sz w:val="20"/>
              </w:rPr>
              <w:t> </w:t>
            </w:r>
            <w:r>
              <w:rPr>
                <w:sz w:val="20"/>
              </w:rPr>
              <w:t>(10</w:t>
            </w:r>
            <w:r>
              <w:rPr>
                <w:spacing w:val="-1"/>
                <w:sz w:val="20"/>
              </w:rPr>
              <w:t> </w:t>
            </w:r>
            <w:r>
              <w:rPr>
                <w:sz w:val="20"/>
              </w:rPr>
              <w:t>и</w:t>
            </w:r>
            <w:r>
              <w:rPr>
                <w:spacing w:val="-3"/>
                <w:sz w:val="20"/>
              </w:rPr>
              <w:t> </w:t>
            </w:r>
            <w:r>
              <w:rPr>
                <w:sz w:val="20"/>
              </w:rPr>
              <w:t>35</w:t>
            </w:r>
            <w:r>
              <w:rPr>
                <w:spacing w:val="-4"/>
                <w:sz w:val="20"/>
              </w:rPr>
              <w:t> мВт)</w:t>
            </w:r>
          </w:p>
          <w:p>
            <w:pPr>
              <w:pStyle w:val="TableParagraph"/>
              <w:spacing w:before="15"/>
              <w:ind w:left="14" w:right="3"/>
              <w:jc w:val="center"/>
              <w:rPr>
                <w:sz w:val="20"/>
              </w:rPr>
            </w:pPr>
            <w:r>
              <w:rPr>
                <w:sz w:val="20"/>
              </w:rPr>
              <w:t>Диодный</w:t>
            </w:r>
            <w:r>
              <w:rPr>
                <w:spacing w:val="-5"/>
                <w:sz w:val="20"/>
              </w:rPr>
              <w:t> </w:t>
            </w:r>
            <w:r>
              <w:rPr>
                <w:sz w:val="20"/>
              </w:rPr>
              <w:t>лазер</w:t>
            </w:r>
            <w:r>
              <w:rPr>
                <w:spacing w:val="-2"/>
                <w:sz w:val="20"/>
              </w:rPr>
              <w:t> </w:t>
            </w:r>
            <w:r>
              <w:rPr>
                <w:sz w:val="20"/>
              </w:rPr>
              <w:t>(13</w:t>
            </w:r>
            <w:r>
              <w:rPr>
                <w:spacing w:val="-3"/>
                <w:sz w:val="20"/>
              </w:rPr>
              <w:t> </w:t>
            </w:r>
            <w:r>
              <w:rPr>
                <w:sz w:val="20"/>
              </w:rPr>
              <w:t>и</w:t>
            </w:r>
            <w:r>
              <w:rPr>
                <w:spacing w:val="-4"/>
                <w:sz w:val="20"/>
              </w:rPr>
              <w:t> </w:t>
            </w:r>
            <w:r>
              <w:rPr>
                <w:sz w:val="20"/>
              </w:rPr>
              <w:t>40</w:t>
            </w:r>
            <w:r>
              <w:rPr>
                <w:spacing w:val="-3"/>
                <w:sz w:val="20"/>
              </w:rPr>
              <w:t> </w:t>
            </w:r>
            <w:r>
              <w:rPr>
                <w:spacing w:val="-4"/>
                <w:sz w:val="20"/>
              </w:rPr>
              <w:t>мВт)</w:t>
            </w:r>
          </w:p>
          <w:p>
            <w:pPr>
              <w:pStyle w:val="TableParagraph"/>
              <w:spacing w:line="240" w:lineRule="atLeast" w:before="6"/>
              <w:ind w:left="14" w:right="2"/>
              <w:jc w:val="center"/>
              <w:rPr>
                <w:sz w:val="20"/>
              </w:rPr>
            </w:pPr>
            <w:r>
              <w:rPr>
                <w:sz w:val="20"/>
              </w:rPr>
              <w:t>Плотность</w:t>
            </w:r>
            <w:r>
              <w:rPr>
                <w:spacing w:val="-8"/>
                <w:sz w:val="20"/>
              </w:rPr>
              <w:t> </w:t>
            </w:r>
            <w:r>
              <w:rPr>
                <w:sz w:val="20"/>
              </w:rPr>
              <w:t>энергии</w:t>
            </w:r>
            <w:r>
              <w:rPr>
                <w:spacing w:val="-8"/>
                <w:sz w:val="20"/>
              </w:rPr>
              <w:t> </w:t>
            </w:r>
            <w:r>
              <w:rPr>
                <w:sz w:val="20"/>
              </w:rPr>
              <w:t>от</w:t>
            </w:r>
            <w:r>
              <w:rPr>
                <w:spacing w:val="-8"/>
                <w:sz w:val="20"/>
              </w:rPr>
              <w:t> </w:t>
            </w:r>
            <w:r>
              <w:rPr>
                <w:sz w:val="20"/>
              </w:rPr>
              <w:t>2</w:t>
            </w:r>
            <w:r>
              <w:rPr>
                <w:spacing w:val="-7"/>
                <w:sz w:val="20"/>
              </w:rPr>
              <w:t> </w:t>
            </w:r>
            <w:r>
              <w:rPr>
                <w:sz w:val="20"/>
              </w:rPr>
              <w:t>до</w:t>
            </w:r>
            <w:r>
              <w:rPr>
                <w:spacing w:val="-7"/>
                <w:sz w:val="20"/>
              </w:rPr>
              <w:t> </w:t>
            </w:r>
            <w:r>
              <w:rPr>
                <w:sz w:val="20"/>
              </w:rPr>
              <w:t>30 </w:t>
            </w:r>
            <w:r>
              <w:rPr>
                <w:spacing w:val="-2"/>
                <w:sz w:val="20"/>
              </w:rPr>
              <w:t>Дж/см</w:t>
            </w:r>
            <w:r>
              <w:rPr>
                <w:spacing w:val="-2"/>
                <w:sz w:val="20"/>
                <w:vertAlign w:val="superscript"/>
              </w:rPr>
              <w:t>2</w:t>
            </w:r>
          </w:p>
        </w:tc>
        <w:tc>
          <w:tcPr>
            <w:tcW w:w="2421" w:type="dxa"/>
          </w:tcPr>
          <w:p>
            <w:pPr>
              <w:pStyle w:val="TableParagraph"/>
              <w:ind w:left="272"/>
              <w:rPr>
                <w:sz w:val="20"/>
              </w:rPr>
            </w:pPr>
            <w:r>
              <w:rPr>
                <w:sz w:val="20"/>
              </w:rPr>
              <w:t>6-18</w:t>
            </w:r>
            <w:r>
              <w:rPr>
                <w:spacing w:val="39"/>
                <w:sz w:val="20"/>
              </w:rPr>
              <w:t> </w:t>
            </w:r>
            <w:r>
              <w:rPr>
                <w:sz w:val="20"/>
              </w:rPr>
              <w:t>Дж*см</w:t>
            </w:r>
            <w:r>
              <w:rPr>
                <w:sz w:val="20"/>
                <w:vertAlign w:val="superscript"/>
              </w:rPr>
              <w:t>-</w:t>
            </w:r>
            <w:r>
              <w:rPr>
                <w:sz w:val="20"/>
                <w:vertAlign w:val="superscript"/>
              </w:rPr>
              <w:t>2</w:t>
            </w:r>
            <w:r>
              <w:rPr>
                <w:spacing w:val="-5"/>
                <w:sz w:val="20"/>
                <w:vertAlign w:val="baseline"/>
              </w:rPr>
              <w:t> </w:t>
            </w:r>
            <w:r>
              <w:rPr>
                <w:sz w:val="20"/>
                <w:vertAlign w:val="baseline"/>
              </w:rPr>
              <w:t>(He-</w:t>
            </w:r>
            <w:r>
              <w:rPr>
                <w:spacing w:val="-5"/>
                <w:sz w:val="20"/>
                <w:vertAlign w:val="baseline"/>
              </w:rPr>
              <w:t>Ne)</w:t>
            </w:r>
          </w:p>
          <w:p>
            <w:pPr>
              <w:pStyle w:val="TableParagraph"/>
              <w:spacing w:line="256" w:lineRule="auto" w:before="15"/>
              <w:ind w:left="951" w:right="332" w:hanging="598"/>
              <w:rPr>
                <w:sz w:val="20"/>
              </w:rPr>
            </w:pPr>
            <w:r>
              <w:rPr>
                <w:sz w:val="20"/>
              </w:rPr>
              <w:t>3</w:t>
            </w:r>
            <w:r>
              <w:rPr>
                <w:spacing w:val="-13"/>
                <w:sz w:val="20"/>
              </w:rPr>
              <w:t> </w:t>
            </w:r>
            <w:r>
              <w:rPr>
                <w:sz w:val="20"/>
              </w:rPr>
              <w:t>Дж*см</w:t>
            </w:r>
            <w:r>
              <w:rPr>
                <w:sz w:val="20"/>
                <w:vertAlign w:val="superscript"/>
              </w:rPr>
              <w:t>-</w:t>
            </w:r>
            <w:r>
              <w:rPr>
                <w:sz w:val="20"/>
                <w:vertAlign w:val="superscript"/>
              </w:rPr>
              <w:t>2</w:t>
            </w:r>
            <w:r>
              <w:rPr>
                <w:spacing w:val="-12"/>
                <w:sz w:val="20"/>
                <w:vertAlign w:val="baseline"/>
              </w:rPr>
              <w:t> </w:t>
            </w:r>
            <w:r>
              <w:rPr>
                <w:sz w:val="20"/>
                <w:vertAlign w:val="baseline"/>
              </w:rPr>
              <w:t>(диодный </w:t>
            </w:r>
            <w:r>
              <w:rPr>
                <w:spacing w:val="-2"/>
                <w:sz w:val="20"/>
                <w:vertAlign w:val="baseline"/>
              </w:rPr>
              <w:t>лазер)</w:t>
            </w:r>
          </w:p>
        </w:tc>
        <w:tc>
          <w:tcPr>
            <w:tcW w:w="3275" w:type="dxa"/>
          </w:tcPr>
          <w:p>
            <w:pPr>
              <w:pStyle w:val="TableParagraph"/>
              <w:ind w:left="111" w:right="93"/>
              <w:jc w:val="center"/>
              <w:rPr>
                <w:sz w:val="20"/>
              </w:rPr>
            </w:pPr>
            <w:r>
              <w:rPr>
                <w:sz w:val="20"/>
              </w:rPr>
              <w:t>Увеличение</w:t>
            </w:r>
            <w:r>
              <w:rPr>
                <w:spacing w:val="-10"/>
                <w:sz w:val="20"/>
              </w:rPr>
              <w:t> </w:t>
            </w:r>
            <w:r>
              <w:rPr>
                <w:sz w:val="20"/>
              </w:rPr>
              <w:t>транспорта</w:t>
            </w:r>
            <w:r>
              <w:rPr>
                <w:spacing w:val="-10"/>
                <w:sz w:val="20"/>
              </w:rPr>
              <w:t> </w:t>
            </w:r>
            <w:r>
              <w:rPr>
                <w:spacing w:val="-4"/>
                <w:sz w:val="20"/>
              </w:rPr>
              <w:t>Ca</w:t>
            </w:r>
            <w:r>
              <w:rPr>
                <w:spacing w:val="-4"/>
                <w:sz w:val="20"/>
                <w:vertAlign w:val="superscript"/>
              </w:rPr>
              <w:t>2+</w:t>
            </w:r>
          </w:p>
        </w:tc>
        <w:tc>
          <w:tcPr>
            <w:tcW w:w="1624" w:type="dxa"/>
          </w:tcPr>
          <w:p>
            <w:pPr>
              <w:pStyle w:val="TableParagraph"/>
              <w:ind w:left="22" w:right="4"/>
              <w:jc w:val="center"/>
              <w:rPr>
                <w:sz w:val="20"/>
              </w:rPr>
            </w:pPr>
            <w:r>
              <w:rPr>
                <w:sz w:val="20"/>
              </w:rPr>
              <w:t>Lubart</w:t>
            </w:r>
            <w:r>
              <w:rPr>
                <w:spacing w:val="-3"/>
                <w:sz w:val="20"/>
              </w:rPr>
              <w:t> </w:t>
            </w:r>
            <w:r>
              <w:rPr>
                <w:sz w:val="20"/>
              </w:rPr>
              <w:t>и</w:t>
            </w:r>
            <w:r>
              <w:rPr>
                <w:spacing w:val="-3"/>
                <w:sz w:val="20"/>
              </w:rPr>
              <w:t> </w:t>
            </w:r>
            <w:r>
              <w:rPr>
                <w:spacing w:val="-5"/>
                <w:sz w:val="20"/>
              </w:rPr>
              <w:t>др.</w:t>
            </w:r>
          </w:p>
          <w:p>
            <w:pPr>
              <w:pStyle w:val="TableParagraph"/>
              <w:spacing w:before="15"/>
              <w:ind w:left="22" w:right="1"/>
              <w:jc w:val="center"/>
              <w:rPr>
                <w:sz w:val="20"/>
              </w:rPr>
            </w:pPr>
            <w:r>
              <w:rPr>
                <w:spacing w:val="-2"/>
                <w:sz w:val="20"/>
              </w:rPr>
              <w:t>(1992)</w:t>
            </w:r>
          </w:p>
        </w:tc>
      </w:tr>
      <w:tr>
        <w:trPr>
          <w:trHeight w:val="741" w:hRule="atLeast"/>
        </w:trPr>
        <w:tc>
          <w:tcPr>
            <w:tcW w:w="427" w:type="dxa"/>
          </w:tcPr>
          <w:p>
            <w:pPr>
              <w:pStyle w:val="TableParagraph"/>
              <w:ind w:left="8"/>
              <w:jc w:val="center"/>
              <w:rPr>
                <w:sz w:val="20"/>
              </w:rPr>
            </w:pPr>
            <w:r>
              <w:rPr>
                <w:spacing w:val="-10"/>
                <w:sz w:val="20"/>
              </w:rPr>
              <w:t>2</w:t>
            </w:r>
          </w:p>
        </w:tc>
        <w:tc>
          <w:tcPr>
            <w:tcW w:w="998" w:type="dxa"/>
          </w:tcPr>
          <w:p>
            <w:pPr>
              <w:pStyle w:val="TableParagraph"/>
              <w:ind w:left="7"/>
              <w:jc w:val="center"/>
              <w:rPr>
                <w:sz w:val="20"/>
              </w:rPr>
            </w:pPr>
            <w:r>
              <w:rPr>
                <w:spacing w:val="-2"/>
                <w:sz w:val="20"/>
              </w:rPr>
              <w:t>Буйвол</w:t>
            </w:r>
          </w:p>
        </w:tc>
        <w:tc>
          <w:tcPr>
            <w:tcW w:w="1137" w:type="dxa"/>
          </w:tcPr>
          <w:p>
            <w:pPr>
              <w:pStyle w:val="TableParagraph"/>
              <w:ind w:left="13" w:right="1"/>
              <w:jc w:val="center"/>
              <w:rPr>
                <w:sz w:val="20"/>
              </w:rPr>
            </w:pPr>
            <w:r>
              <w:rPr>
                <w:spacing w:val="-2"/>
                <w:sz w:val="20"/>
              </w:rPr>
              <w:t>Свежий</w:t>
            </w:r>
          </w:p>
        </w:tc>
        <w:tc>
          <w:tcPr>
            <w:tcW w:w="1156" w:type="dxa"/>
          </w:tcPr>
          <w:p>
            <w:pPr>
              <w:pStyle w:val="TableParagraph"/>
              <w:spacing w:line="254" w:lineRule="auto"/>
              <w:ind w:left="133" w:right="118" w:firstLine="199"/>
              <w:rPr>
                <w:sz w:val="20"/>
              </w:rPr>
            </w:pPr>
            <w:r>
              <w:rPr>
                <w:spacing w:val="-2"/>
                <w:sz w:val="20"/>
              </w:rPr>
              <w:t>Лазер (диодный)</w:t>
            </w:r>
          </w:p>
        </w:tc>
        <w:tc>
          <w:tcPr>
            <w:tcW w:w="1122" w:type="dxa"/>
          </w:tcPr>
          <w:p>
            <w:pPr>
              <w:pStyle w:val="TableParagraph"/>
              <w:ind w:left="13"/>
              <w:jc w:val="center"/>
              <w:rPr>
                <w:sz w:val="20"/>
              </w:rPr>
            </w:pPr>
            <w:r>
              <w:rPr>
                <w:sz w:val="20"/>
              </w:rPr>
              <w:t>532 </w:t>
            </w:r>
            <w:r>
              <w:rPr>
                <w:spacing w:val="-5"/>
                <w:sz w:val="20"/>
              </w:rPr>
              <w:t>нм</w:t>
            </w:r>
          </w:p>
        </w:tc>
        <w:tc>
          <w:tcPr>
            <w:tcW w:w="2848" w:type="dxa"/>
          </w:tcPr>
          <w:p>
            <w:pPr>
              <w:pStyle w:val="TableParagraph"/>
              <w:spacing w:line="254" w:lineRule="auto"/>
              <w:ind w:left="147" w:right="133" w:firstLine="21"/>
              <w:rPr>
                <w:sz w:val="20"/>
              </w:rPr>
            </w:pPr>
            <w:r>
              <w:rPr>
                <w:sz w:val="20"/>
              </w:rPr>
              <w:t>Плотность</w:t>
            </w:r>
            <w:r>
              <w:rPr>
                <w:spacing w:val="-7"/>
                <w:sz w:val="20"/>
              </w:rPr>
              <w:t> </w:t>
            </w:r>
            <w:r>
              <w:rPr>
                <w:sz w:val="20"/>
              </w:rPr>
              <w:t>энергии:</w:t>
            </w:r>
            <w:r>
              <w:rPr>
                <w:spacing w:val="-7"/>
                <w:sz w:val="20"/>
              </w:rPr>
              <w:t> </w:t>
            </w:r>
            <w:r>
              <w:rPr>
                <w:sz w:val="20"/>
              </w:rPr>
              <w:t>0,076</w:t>
            </w:r>
            <w:r>
              <w:rPr>
                <w:spacing w:val="-6"/>
                <w:sz w:val="20"/>
              </w:rPr>
              <w:t> </w:t>
            </w:r>
            <w:r>
              <w:rPr>
                <w:sz w:val="20"/>
              </w:rPr>
              <w:t>Дж см</w:t>
            </w:r>
            <w:r>
              <w:rPr>
                <w:sz w:val="20"/>
                <w:vertAlign w:val="superscript"/>
              </w:rPr>
              <w:t>-2</w:t>
            </w:r>
            <w:r>
              <w:rPr>
                <w:sz w:val="20"/>
                <w:vertAlign w:val="baseline"/>
              </w:rPr>
              <w:t>,</w:t>
            </w:r>
            <w:r>
              <w:rPr>
                <w:spacing w:val="-3"/>
                <w:sz w:val="20"/>
                <w:vertAlign w:val="baseline"/>
              </w:rPr>
              <w:t> </w:t>
            </w:r>
            <w:r>
              <w:rPr>
                <w:sz w:val="20"/>
                <w:vertAlign w:val="baseline"/>
              </w:rPr>
              <w:t>0,15</w:t>
            </w:r>
            <w:r>
              <w:rPr>
                <w:spacing w:val="-2"/>
                <w:sz w:val="20"/>
                <w:vertAlign w:val="baseline"/>
              </w:rPr>
              <w:t> </w:t>
            </w:r>
            <w:r>
              <w:rPr>
                <w:sz w:val="20"/>
                <w:vertAlign w:val="baseline"/>
              </w:rPr>
              <w:t>Дж</w:t>
            </w:r>
            <w:r>
              <w:rPr>
                <w:spacing w:val="-4"/>
                <w:sz w:val="20"/>
                <w:vertAlign w:val="baseline"/>
              </w:rPr>
              <w:t> </w:t>
            </w:r>
            <w:r>
              <w:rPr>
                <w:sz w:val="20"/>
                <w:vertAlign w:val="baseline"/>
              </w:rPr>
              <w:t>см</w:t>
            </w:r>
            <w:r>
              <w:rPr>
                <w:sz w:val="20"/>
                <w:vertAlign w:val="superscript"/>
              </w:rPr>
              <w:t>-2</w:t>
            </w:r>
            <w:r>
              <w:rPr>
                <w:sz w:val="20"/>
                <w:vertAlign w:val="baseline"/>
              </w:rPr>
              <w:t>,</w:t>
            </w:r>
            <w:r>
              <w:rPr>
                <w:spacing w:val="-3"/>
                <w:sz w:val="20"/>
                <w:vertAlign w:val="baseline"/>
              </w:rPr>
              <w:t> </w:t>
            </w:r>
            <w:r>
              <w:rPr>
                <w:sz w:val="20"/>
                <w:vertAlign w:val="baseline"/>
              </w:rPr>
              <w:t>0,23</w:t>
            </w:r>
            <w:r>
              <w:rPr>
                <w:spacing w:val="-2"/>
                <w:sz w:val="20"/>
                <w:vertAlign w:val="baseline"/>
              </w:rPr>
              <w:t> </w:t>
            </w:r>
            <w:r>
              <w:rPr>
                <w:sz w:val="20"/>
                <w:vertAlign w:val="baseline"/>
              </w:rPr>
              <w:t>Дж</w:t>
            </w:r>
            <w:r>
              <w:rPr>
                <w:spacing w:val="-4"/>
                <w:sz w:val="20"/>
                <w:vertAlign w:val="baseline"/>
              </w:rPr>
              <w:t> </w:t>
            </w:r>
            <w:r>
              <w:rPr>
                <w:spacing w:val="-5"/>
                <w:sz w:val="20"/>
                <w:vertAlign w:val="baseline"/>
              </w:rPr>
              <w:t>см</w:t>
            </w:r>
            <w:r>
              <w:rPr>
                <w:spacing w:val="-5"/>
                <w:sz w:val="20"/>
                <w:vertAlign w:val="superscript"/>
              </w:rPr>
              <w:t>-</w:t>
            </w:r>
          </w:p>
          <w:p>
            <w:pPr>
              <w:pStyle w:val="TableParagraph"/>
              <w:spacing w:line="229" w:lineRule="exact" w:before="4"/>
              <w:ind w:left="190"/>
              <w:rPr>
                <w:sz w:val="20"/>
              </w:rPr>
            </w:pPr>
            <w:r>
              <w:rPr>
                <w:sz w:val="20"/>
                <w:vertAlign w:val="superscript"/>
              </w:rPr>
              <w:t>2</w:t>
            </w:r>
            <w:r>
              <w:rPr>
                <w:sz w:val="20"/>
                <w:vertAlign w:val="baseline"/>
              </w:rPr>
              <w:t>,</w:t>
            </w:r>
            <w:r>
              <w:rPr>
                <w:spacing w:val="-2"/>
                <w:sz w:val="20"/>
                <w:vertAlign w:val="baseline"/>
              </w:rPr>
              <w:t> </w:t>
            </w:r>
            <w:r>
              <w:rPr>
                <w:sz w:val="20"/>
                <w:vertAlign w:val="baseline"/>
              </w:rPr>
              <w:t>0,31</w:t>
            </w:r>
            <w:r>
              <w:rPr>
                <w:spacing w:val="-3"/>
                <w:sz w:val="20"/>
                <w:vertAlign w:val="baseline"/>
              </w:rPr>
              <w:t> </w:t>
            </w:r>
            <w:r>
              <w:rPr>
                <w:sz w:val="20"/>
                <w:vertAlign w:val="baseline"/>
              </w:rPr>
              <w:t>Дж</w:t>
            </w:r>
            <w:r>
              <w:rPr>
                <w:spacing w:val="-3"/>
                <w:sz w:val="20"/>
                <w:vertAlign w:val="baseline"/>
              </w:rPr>
              <w:t> </w:t>
            </w:r>
            <w:r>
              <w:rPr>
                <w:sz w:val="20"/>
                <w:vertAlign w:val="baseline"/>
              </w:rPr>
              <w:t>см</w:t>
            </w:r>
            <w:r>
              <w:rPr>
                <w:sz w:val="20"/>
                <w:vertAlign w:val="superscript"/>
              </w:rPr>
              <w:t>-2</w:t>
            </w:r>
            <w:r>
              <w:rPr>
                <w:spacing w:val="-2"/>
                <w:sz w:val="20"/>
                <w:vertAlign w:val="baseline"/>
              </w:rPr>
              <w:t> </w:t>
            </w:r>
            <w:r>
              <w:rPr>
                <w:sz w:val="20"/>
                <w:vertAlign w:val="baseline"/>
              </w:rPr>
              <w:t>и</w:t>
            </w:r>
            <w:r>
              <w:rPr>
                <w:spacing w:val="-3"/>
                <w:sz w:val="20"/>
                <w:vertAlign w:val="baseline"/>
              </w:rPr>
              <w:t> </w:t>
            </w:r>
            <w:r>
              <w:rPr>
                <w:sz w:val="20"/>
                <w:vertAlign w:val="baseline"/>
              </w:rPr>
              <w:t>0,38</w:t>
            </w:r>
            <w:r>
              <w:rPr>
                <w:spacing w:val="-3"/>
                <w:sz w:val="20"/>
                <w:vertAlign w:val="baseline"/>
              </w:rPr>
              <w:t> </w:t>
            </w:r>
            <w:r>
              <w:rPr>
                <w:sz w:val="20"/>
                <w:vertAlign w:val="baseline"/>
              </w:rPr>
              <w:t>Дж</w:t>
            </w:r>
            <w:r>
              <w:rPr>
                <w:spacing w:val="-3"/>
                <w:sz w:val="20"/>
                <w:vertAlign w:val="baseline"/>
              </w:rPr>
              <w:t> </w:t>
            </w:r>
            <w:r>
              <w:rPr>
                <w:sz w:val="20"/>
                <w:vertAlign w:val="baseline"/>
              </w:rPr>
              <w:t>см</w:t>
            </w:r>
            <w:r>
              <w:rPr>
                <w:sz w:val="20"/>
                <w:vertAlign w:val="superscript"/>
              </w:rPr>
              <w:t>-</w:t>
            </w:r>
            <w:r>
              <w:rPr>
                <w:spacing w:val="-10"/>
                <w:sz w:val="20"/>
                <w:vertAlign w:val="superscript"/>
              </w:rPr>
              <w:t>2</w:t>
            </w:r>
          </w:p>
        </w:tc>
        <w:tc>
          <w:tcPr>
            <w:tcW w:w="2421" w:type="dxa"/>
          </w:tcPr>
          <w:p>
            <w:pPr>
              <w:pStyle w:val="TableParagraph"/>
              <w:ind w:left="18" w:right="3"/>
              <w:jc w:val="center"/>
              <w:rPr>
                <w:sz w:val="20"/>
              </w:rPr>
            </w:pPr>
            <w:r>
              <w:rPr>
                <w:sz w:val="20"/>
              </w:rPr>
              <w:t>0,31</w:t>
            </w:r>
            <w:r>
              <w:rPr>
                <w:spacing w:val="-1"/>
                <w:sz w:val="20"/>
              </w:rPr>
              <w:t> </w:t>
            </w:r>
            <w:r>
              <w:rPr>
                <w:spacing w:val="-2"/>
                <w:sz w:val="20"/>
              </w:rPr>
              <w:t>Дж*см</w:t>
            </w:r>
            <w:r>
              <w:rPr>
                <w:spacing w:val="-2"/>
                <w:sz w:val="20"/>
                <w:vertAlign w:val="superscript"/>
              </w:rPr>
              <w:t>−2</w:t>
            </w:r>
          </w:p>
        </w:tc>
        <w:tc>
          <w:tcPr>
            <w:tcW w:w="3275" w:type="dxa"/>
          </w:tcPr>
          <w:p>
            <w:pPr>
              <w:pStyle w:val="TableParagraph"/>
              <w:spacing w:line="254" w:lineRule="auto"/>
              <w:ind w:left="362" w:firstLine="36"/>
              <w:rPr>
                <w:sz w:val="20"/>
              </w:rPr>
            </w:pPr>
            <w:r>
              <w:rPr>
                <w:sz w:val="20"/>
              </w:rPr>
              <w:t>Увеличение</w:t>
            </w:r>
            <w:r>
              <w:rPr>
                <w:spacing w:val="-1"/>
                <w:sz w:val="20"/>
              </w:rPr>
              <w:t> </w:t>
            </w:r>
            <w:r>
              <w:rPr>
                <w:sz w:val="20"/>
              </w:rPr>
              <w:t>ряда</w:t>
            </w:r>
            <w:r>
              <w:rPr>
                <w:spacing w:val="-1"/>
                <w:sz w:val="20"/>
              </w:rPr>
              <w:t> </w:t>
            </w:r>
            <w:r>
              <w:rPr>
                <w:sz w:val="20"/>
              </w:rPr>
              <w:t>параметров </w:t>
            </w:r>
            <w:r>
              <w:rPr>
                <w:spacing w:val="-2"/>
                <w:sz w:val="20"/>
              </w:rPr>
              <w:t>подвижности</w:t>
            </w:r>
            <w:r>
              <w:rPr>
                <w:spacing w:val="8"/>
                <w:sz w:val="20"/>
              </w:rPr>
              <w:t> </w:t>
            </w:r>
            <w:r>
              <w:rPr>
                <w:spacing w:val="-2"/>
                <w:sz w:val="20"/>
              </w:rPr>
              <w:t>сперматозоидов</w:t>
            </w:r>
          </w:p>
        </w:tc>
        <w:tc>
          <w:tcPr>
            <w:tcW w:w="1624" w:type="dxa"/>
          </w:tcPr>
          <w:p>
            <w:pPr>
              <w:pStyle w:val="TableParagraph"/>
              <w:ind w:left="288"/>
              <w:rPr>
                <w:sz w:val="20"/>
              </w:rPr>
            </w:pPr>
            <w:r>
              <w:rPr>
                <w:spacing w:val="-2"/>
                <w:sz w:val="20"/>
              </w:rPr>
              <w:t>Abdel-Salam</w:t>
            </w:r>
          </w:p>
          <w:p>
            <w:pPr>
              <w:pStyle w:val="TableParagraph"/>
              <w:spacing w:before="15"/>
              <w:ind w:left="322"/>
              <w:rPr>
                <w:sz w:val="20"/>
              </w:rPr>
            </w:pPr>
            <w:r>
              <w:rPr>
                <w:sz w:val="20"/>
              </w:rPr>
              <w:t>и</w:t>
            </w:r>
            <w:r>
              <w:rPr>
                <w:spacing w:val="-3"/>
                <w:sz w:val="20"/>
              </w:rPr>
              <w:t> </w:t>
            </w:r>
            <w:r>
              <w:rPr>
                <w:sz w:val="20"/>
              </w:rPr>
              <w:t>др.</w:t>
            </w:r>
            <w:r>
              <w:rPr>
                <w:spacing w:val="-1"/>
                <w:sz w:val="20"/>
              </w:rPr>
              <w:t> </w:t>
            </w:r>
            <w:r>
              <w:rPr>
                <w:spacing w:val="-2"/>
                <w:sz w:val="20"/>
              </w:rPr>
              <w:t>(2011)</w:t>
            </w:r>
          </w:p>
        </w:tc>
      </w:tr>
      <w:tr>
        <w:trPr>
          <w:trHeight w:val="981" w:hRule="atLeast"/>
        </w:trPr>
        <w:tc>
          <w:tcPr>
            <w:tcW w:w="427" w:type="dxa"/>
          </w:tcPr>
          <w:p>
            <w:pPr>
              <w:pStyle w:val="TableParagraph"/>
              <w:ind w:left="8"/>
              <w:jc w:val="center"/>
              <w:rPr>
                <w:sz w:val="20"/>
              </w:rPr>
            </w:pPr>
            <w:r>
              <w:rPr>
                <w:spacing w:val="-10"/>
                <w:sz w:val="20"/>
              </w:rPr>
              <w:t>3</w:t>
            </w:r>
          </w:p>
        </w:tc>
        <w:tc>
          <w:tcPr>
            <w:tcW w:w="998" w:type="dxa"/>
          </w:tcPr>
          <w:p>
            <w:pPr>
              <w:pStyle w:val="TableParagraph"/>
              <w:ind w:left="7" w:right="5"/>
              <w:jc w:val="center"/>
              <w:rPr>
                <w:sz w:val="20"/>
              </w:rPr>
            </w:pPr>
            <w:r>
              <w:rPr>
                <w:spacing w:val="-2"/>
                <w:sz w:val="20"/>
              </w:rPr>
              <w:t>Собака</w:t>
            </w:r>
          </w:p>
        </w:tc>
        <w:tc>
          <w:tcPr>
            <w:tcW w:w="1137" w:type="dxa"/>
          </w:tcPr>
          <w:p>
            <w:pPr>
              <w:pStyle w:val="TableParagraph"/>
              <w:ind w:left="13" w:right="1"/>
              <w:jc w:val="center"/>
              <w:rPr>
                <w:sz w:val="20"/>
              </w:rPr>
            </w:pPr>
            <w:r>
              <w:rPr>
                <w:spacing w:val="-2"/>
                <w:sz w:val="20"/>
              </w:rPr>
              <w:t>Свежий</w:t>
            </w:r>
          </w:p>
        </w:tc>
        <w:tc>
          <w:tcPr>
            <w:tcW w:w="1156" w:type="dxa"/>
          </w:tcPr>
          <w:p>
            <w:pPr>
              <w:pStyle w:val="TableParagraph"/>
              <w:spacing w:line="254" w:lineRule="auto"/>
              <w:ind w:left="133" w:right="118" w:firstLine="199"/>
              <w:rPr>
                <w:sz w:val="20"/>
              </w:rPr>
            </w:pPr>
            <w:r>
              <w:rPr>
                <w:spacing w:val="-2"/>
                <w:sz w:val="20"/>
              </w:rPr>
              <w:t>Лазер (диодный)</w:t>
            </w:r>
          </w:p>
        </w:tc>
        <w:tc>
          <w:tcPr>
            <w:tcW w:w="1122" w:type="dxa"/>
          </w:tcPr>
          <w:p>
            <w:pPr>
              <w:pStyle w:val="TableParagraph"/>
              <w:ind w:left="13"/>
              <w:jc w:val="center"/>
              <w:rPr>
                <w:sz w:val="20"/>
              </w:rPr>
            </w:pPr>
            <w:r>
              <w:rPr>
                <w:sz w:val="20"/>
              </w:rPr>
              <w:t>655 </w:t>
            </w:r>
            <w:r>
              <w:rPr>
                <w:spacing w:val="-5"/>
                <w:sz w:val="20"/>
              </w:rPr>
              <w:t>нм</w:t>
            </w:r>
          </w:p>
        </w:tc>
        <w:tc>
          <w:tcPr>
            <w:tcW w:w="2848" w:type="dxa"/>
          </w:tcPr>
          <w:p>
            <w:pPr>
              <w:pStyle w:val="TableParagraph"/>
              <w:ind w:left="14" w:right="2"/>
              <w:jc w:val="center"/>
              <w:rPr>
                <w:sz w:val="20"/>
              </w:rPr>
            </w:pPr>
            <w:r>
              <w:rPr>
                <w:sz w:val="20"/>
              </w:rPr>
              <w:t>Плотность</w:t>
            </w:r>
            <w:r>
              <w:rPr>
                <w:spacing w:val="-4"/>
                <w:sz w:val="20"/>
              </w:rPr>
              <w:t> </w:t>
            </w:r>
            <w:r>
              <w:rPr>
                <w:sz w:val="20"/>
              </w:rPr>
              <w:t>энергии:</w:t>
            </w:r>
            <w:r>
              <w:rPr>
                <w:spacing w:val="-4"/>
                <w:sz w:val="20"/>
              </w:rPr>
              <w:t> </w:t>
            </w:r>
            <w:r>
              <w:rPr>
                <w:sz w:val="20"/>
              </w:rPr>
              <w:t>0,</w:t>
            </w:r>
            <w:r>
              <w:rPr>
                <w:spacing w:val="-3"/>
                <w:sz w:val="20"/>
              </w:rPr>
              <w:t> </w:t>
            </w:r>
            <w:r>
              <w:rPr>
                <w:sz w:val="20"/>
              </w:rPr>
              <w:t>4,</w:t>
            </w:r>
            <w:r>
              <w:rPr>
                <w:spacing w:val="-3"/>
                <w:sz w:val="20"/>
              </w:rPr>
              <w:t> </w:t>
            </w:r>
            <w:r>
              <w:rPr>
                <w:sz w:val="20"/>
              </w:rPr>
              <w:t>6</w:t>
            </w:r>
            <w:r>
              <w:rPr>
                <w:spacing w:val="-3"/>
                <w:sz w:val="20"/>
              </w:rPr>
              <w:t> </w:t>
            </w:r>
            <w:r>
              <w:rPr>
                <w:spacing w:val="-10"/>
                <w:sz w:val="20"/>
              </w:rPr>
              <w:t>и</w:t>
            </w:r>
          </w:p>
          <w:p>
            <w:pPr>
              <w:pStyle w:val="TableParagraph"/>
              <w:spacing w:before="15"/>
              <w:ind w:left="14" w:right="1"/>
              <w:jc w:val="center"/>
              <w:rPr>
                <w:sz w:val="20"/>
              </w:rPr>
            </w:pPr>
            <w:r>
              <w:rPr>
                <w:sz w:val="20"/>
              </w:rPr>
              <w:t>10</w:t>
            </w:r>
            <w:r>
              <w:rPr>
                <w:spacing w:val="-2"/>
                <w:sz w:val="20"/>
              </w:rPr>
              <w:t> Дж/см</w:t>
            </w:r>
            <w:r>
              <w:rPr>
                <w:spacing w:val="-2"/>
                <w:sz w:val="20"/>
                <w:vertAlign w:val="superscript"/>
              </w:rPr>
              <w:t>2</w:t>
            </w:r>
            <w:r>
              <w:rPr>
                <w:spacing w:val="-2"/>
                <w:sz w:val="20"/>
                <w:vertAlign w:val="baseline"/>
              </w:rPr>
              <w:t>.</w:t>
            </w:r>
          </w:p>
        </w:tc>
        <w:tc>
          <w:tcPr>
            <w:tcW w:w="2421" w:type="dxa"/>
          </w:tcPr>
          <w:p>
            <w:pPr>
              <w:pStyle w:val="TableParagraph"/>
              <w:ind w:left="18"/>
              <w:jc w:val="center"/>
              <w:rPr>
                <w:sz w:val="20"/>
              </w:rPr>
            </w:pPr>
            <w:r>
              <w:rPr>
                <w:sz w:val="20"/>
              </w:rPr>
              <w:t>4,</w:t>
            </w:r>
            <w:r>
              <w:rPr>
                <w:spacing w:val="49"/>
                <w:sz w:val="20"/>
              </w:rPr>
              <w:t> </w:t>
            </w:r>
            <w:r>
              <w:rPr>
                <w:sz w:val="20"/>
              </w:rPr>
              <w:t>6</w:t>
            </w:r>
            <w:r>
              <w:rPr>
                <w:spacing w:val="51"/>
                <w:sz w:val="20"/>
              </w:rPr>
              <w:t> </w:t>
            </w:r>
            <w:r>
              <w:rPr>
                <w:sz w:val="20"/>
              </w:rPr>
              <w:t>и</w:t>
            </w:r>
            <w:r>
              <w:rPr>
                <w:spacing w:val="46"/>
                <w:sz w:val="20"/>
              </w:rPr>
              <w:t> </w:t>
            </w:r>
            <w:r>
              <w:rPr>
                <w:sz w:val="20"/>
              </w:rPr>
              <w:t>10</w:t>
            </w:r>
            <w:r>
              <w:rPr>
                <w:spacing w:val="1"/>
                <w:sz w:val="20"/>
              </w:rPr>
              <w:t> </w:t>
            </w:r>
            <w:r>
              <w:rPr>
                <w:spacing w:val="-2"/>
                <w:sz w:val="20"/>
              </w:rPr>
              <w:t>Дж*см</w:t>
            </w:r>
            <w:r>
              <w:rPr>
                <w:spacing w:val="-2"/>
                <w:sz w:val="20"/>
                <w:vertAlign w:val="superscript"/>
              </w:rPr>
              <w:t>−2</w:t>
            </w:r>
          </w:p>
        </w:tc>
        <w:tc>
          <w:tcPr>
            <w:tcW w:w="3275" w:type="dxa"/>
          </w:tcPr>
          <w:p>
            <w:pPr>
              <w:pStyle w:val="TableParagraph"/>
              <w:spacing w:line="254" w:lineRule="auto"/>
              <w:ind w:left="117" w:right="94" w:hanging="2"/>
              <w:jc w:val="center"/>
              <w:rPr>
                <w:sz w:val="20"/>
              </w:rPr>
            </w:pPr>
            <w:r>
              <w:rPr>
                <w:sz w:val="20"/>
              </w:rPr>
              <w:t>Увеличение средней скорости</w:t>
            </w:r>
            <w:r>
              <w:rPr>
                <w:spacing w:val="40"/>
                <w:sz w:val="20"/>
              </w:rPr>
              <w:t> </w:t>
            </w:r>
            <w:r>
              <w:rPr>
                <w:sz w:val="20"/>
              </w:rPr>
              <w:t>пути,</w:t>
            </w:r>
            <w:r>
              <w:rPr>
                <w:spacing w:val="-13"/>
                <w:sz w:val="20"/>
              </w:rPr>
              <w:t> </w:t>
            </w:r>
            <w:r>
              <w:rPr>
                <w:sz w:val="20"/>
              </w:rPr>
              <w:t>криволинейного</w:t>
            </w:r>
            <w:r>
              <w:rPr>
                <w:spacing w:val="-12"/>
                <w:sz w:val="20"/>
              </w:rPr>
              <w:t> </w:t>
            </w:r>
            <w:r>
              <w:rPr>
                <w:sz w:val="20"/>
              </w:rPr>
              <w:t>движения,</w:t>
            </w:r>
            <w:r>
              <w:rPr>
                <w:spacing w:val="-13"/>
                <w:sz w:val="20"/>
              </w:rPr>
              <w:t> </w:t>
            </w:r>
            <w:r>
              <w:rPr>
                <w:sz w:val="20"/>
              </w:rPr>
              <w:t>% линейности.Не влияет на общую</w:t>
            </w:r>
          </w:p>
          <w:p>
            <w:pPr>
              <w:pStyle w:val="TableParagraph"/>
              <w:spacing w:line="227" w:lineRule="exact" w:before="3"/>
              <w:ind w:left="111" w:right="91"/>
              <w:jc w:val="center"/>
              <w:rPr>
                <w:sz w:val="20"/>
              </w:rPr>
            </w:pPr>
            <w:r>
              <w:rPr>
                <w:sz w:val="20"/>
              </w:rPr>
              <w:t>подвижность</w:t>
            </w:r>
            <w:r>
              <w:rPr>
                <w:spacing w:val="-13"/>
                <w:sz w:val="20"/>
              </w:rPr>
              <w:t> </w:t>
            </w:r>
            <w:r>
              <w:rPr>
                <w:spacing w:val="-2"/>
                <w:sz w:val="20"/>
              </w:rPr>
              <w:t>сперматозоидов</w:t>
            </w:r>
          </w:p>
        </w:tc>
        <w:tc>
          <w:tcPr>
            <w:tcW w:w="1624" w:type="dxa"/>
          </w:tcPr>
          <w:p>
            <w:pPr>
              <w:pStyle w:val="TableParagraph"/>
              <w:spacing w:line="254" w:lineRule="auto"/>
              <w:ind w:left="399" w:right="127" w:hanging="243"/>
              <w:rPr>
                <w:sz w:val="20"/>
              </w:rPr>
            </w:pPr>
            <w:r>
              <w:rPr>
                <w:sz w:val="20"/>
              </w:rPr>
              <w:t>Corral-Baqués</w:t>
            </w:r>
            <w:r>
              <w:rPr>
                <w:spacing w:val="-13"/>
                <w:sz w:val="20"/>
              </w:rPr>
              <w:t> </w:t>
            </w:r>
            <w:r>
              <w:rPr>
                <w:sz w:val="20"/>
              </w:rPr>
              <w:t>и др. (2005)</w:t>
            </w:r>
          </w:p>
        </w:tc>
      </w:tr>
      <w:tr>
        <w:trPr>
          <w:trHeight w:val="496" w:hRule="atLeast"/>
        </w:trPr>
        <w:tc>
          <w:tcPr>
            <w:tcW w:w="427" w:type="dxa"/>
          </w:tcPr>
          <w:p>
            <w:pPr>
              <w:pStyle w:val="TableParagraph"/>
              <w:ind w:left="8"/>
              <w:jc w:val="center"/>
              <w:rPr>
                <w:sz w:val="20"/>
              </w:rPr>
            </w:pPr>
            <w:r>
              <w:rPr>
                <w:spacing w:val="-10"/>
                <w:sz w:val="20"/>
              </w:rPr>
              <w:t>4</w:t>
            </w:r>
          </w:p>
        </w:tc>
        <w:tc>
          <w:tcPr>
            <w:tcW w:w="998" w:type="dxa"/>
          </w:tcPr>
          <w:p>
            <w:pPr>
              <w:pStyle w:val="TableParagraph"/>
              <w:ind w:left="7" w:right="1"/>
              <w:jc w:val="center"/>
              <w:rPr>
                <w:sz w:val="20"/>
              </w:rPr>
            </w:pPr>
            <w:r>
              <w:rPr>
                <w:spacing w:val="-2"/>
                <w:sz w:val="20"/>
              </w:rPr>
              <w:t>Человек</w:t>
            </w:r>
          </w:p>
        </w:tc>
        <w:tc>
          <w:tcPr>
            <w:tcW w:w="1137" w:type="dxa"/>
          </w:tcPr>
          <w:p>
            <w:pPr>
              <w:pStyle w:val="TableParagraph"/>
              <w:ind w:left="13" w:right="1"/>
              <w:jc w:val="center"/>
              <w:rPr>
                <w:sz w:val="20"/>
              </w:rPr>
            </w:pPr>
            <w:r>
              <w:rPr>
                <w:spacing w:val="-2"/>
                <w:sz w:val="20"/>
              </w:rPr>
              <w:t>Свежий</w:t>
            </w:r>
          </w:p>
        </w:tc>
        <w:tc>
          <w:tcPr>
            <w:tcW w:w="1156" w:type="dxa"/>
          </w:tcPr>
          <w:p>
            <w:pPr>
              <w:pStyle w:val="TableParagraph"/>
              <w:ind w:left="135"/>
              <w:rPr>
                <w:sz w:val="20"/>
              </w:rPr>
            </w:pPr>
            <w:r>
              <w:rPr>
                <w:sz w:val="20"/>
              </w:rPr>
              <w:t>Лазер</w:t>
            </w:r>
            <w:r>
              <w:rPr>
                <w:spacing w:val="-5"/>
                <w:sz w:val="20"/>
              </w:rPr>
              <w:t> </w:t>
            </w:r>
            <w:r>
              <w:rPr>
                <w:spacing w:val="-4"/>
                <w:sz w:val="20"/>
              </w:rPr>
              <w:t>(Kr)</w:t>
            </w:r>
          </w:p>
        </w:tc>
        <w:tc>
          <w:tcPr>
            <w:tcW w:w="1122" w:type="dxa"/>
          </w:tcPr>
          <w:p>
            <w:pPr>
              <w:pStyle w:val="TableParagraph"/>
              <w:ind w:left="13"/>
              <w:jc w:val="center"/>
              <w:rPr>
                <w:sz w:val="20"/>
              </w:rPr>
            </w:pPr>
            <w:r>
              <w:rPr>
                <w:sz w:val="20"/>
              </w:rPr>
              <w:t>647 </w:t>
            </w:r>
            <w:r>
              <w:rPr>
                <w:spacing w:val="-5"/>
                <w:sz w:val="20"/>
              </w:rPr>
              <w:t>нм</w:t>
            </w:r>
          </w:p>
        </w:tc>
        <w:tc>
          <w:tcPr>
            <w:tcW w:w="2848" w:type="dxa"/>
          </w:tcPr>
          <w:p>
            <w:pPr>
              <w:pStyle w:val="TableParagraph"/>
              <w:ind w:left="14" w:right="5"/>
              <w:jc w:val="center"/>
              <w:rPr>
                <w:sz w:val="20"/>
              </w:rPr>
            </w:pPr>
            <w:r>
              <w:rPr>
                <w:sz w:val="20"/>
              </w:rPr>
              <w:t>Плотность</w:t>
            </w:r>
            <w:r>
              <w:rPr>
                <w:spacing w:val="-6"/>
                <w:sz w:val="20"/>
              </w:rPr>
              <w:t> </w:t>
            </w:r>
            <w:r>
              <w:rPr>
                <w:sz w:val="20"/>
              </w:rPr>
              <w:t>энергии:</w:t>
            </w:r>
            <w:r>
              <w:rPr>
                <w:spacing w:val="-6"/>
                <w:sz w:val="20"/>
              </w:rPr>
              <w:t> </w:t>
            </w:r>
            <w:r>
              <w:rPr>
                <w:sz w:val="20"/>
              </w:rPr>
              <w:t>4</w:t>
            </w:r>
            <w:r>
              <w:rPr>
                <w:spacing w:val="-5"/>
                <w:sz w:val="20"/>
              </w:rPr>
              <w:t> </w:t>
            </w:r>
            <w:r>
              <w:rPr>
                <w:sz w:val="20"/>
              </w:rPr>
              <w:t>Дж</w:t>
            </w:r>
            <w:r>
              <w:rPr>
                <w:spacing w:val="-6"/>
                <w:sz w:val="20"/>
              </w:rPr>
              <w:t> </w:t>
            </w:r>
            <w:r>
              <w:rPr>
                <w:sz w:val="20"/>
              </w:rPr>
              <w:t>см</w:t>
            </w:r>
            <w:r>
              <w:rPr>
                <w:sz w:val="20"/>
                <w:vertAlign w:val="superscript"/>
              </w:rPr>
              <w:t>-</w:t>
            </w:r>
            <w:r>
              <w:rPr>
                <w:spacing w:val="-7"/>
                <w:sz w:val="20"/>
                <w:vertAlign w:val="superscript"/>
              </w:rPr>
              <w:t>2</w:t>
            </w:r>
            <w:r>
              <w:rPr>
                <w:spacing w:val="-7"/>
                <w:sz w:val="20"/>
                <w:vertAlign w:val="baseline"/>
              </w:rPr>
              <w:t>,</w:t>
            </w:r>
          </w:p>
          <w:p>
            <w:pPr>
              <w:pStyle w:val="TableParagraph"/>
              <w:spacing w:before="15"/>
              <w:ind w:left="14"/>
              <w:jc w:val="center"/>
              <w:rPr>
                <w:sz w:val="20"/>
              </w:rPr>
            </w:pPr>
            <w:r>
              <w:rPr>
                <w:sz w:val="20"/>
              </w:rPr>
              <w:t>8</w:t>
            </w:r>
            <w:r>
              <w:rPr>
                <w:spacing w:val="-2"/>
                <w:sz w:val="20"/>
              </w:rPr>
              <w:t> </w:t>
            </w:r>
            <w:r>
              <w:rPr>
                <w:sz w:val="20"/>
              </w:rPr>
              <w:t>Дж</w:t>
            </w:r>
            <w:r>
              <w:rPr>
                <w:spacing w:val="-3"/>
                <w:sz w:val="20"/>
              </w:rPr>
              <w:t> </w:t>
            </w:r>
            <w:r>
              <w:rPr>
                <w:sz w:val="20"/>
              </w:rPr>
              <w:t>см</w:t>
            </w:r>
            <w:r>
              <w:rPr>
                <w:sz w:val="20"/>
                <w:vertAlign w:val="superscript"/>
              </w:rPr>
              <w:t>-</w:t>
            </w:r>
            <w:r>
              <w:rPr>
                <w:sz w:val="20"/>
                <w:vertAlign w:val="superscript"/>
              </w:rPr>
              <w:t>2</w:t>
            </w:r>
            <w:r>
              <w:rPr>
                <w:spacing w:val="-2"/>
                <w:sz w:val="20"/>
                <w:vertAlign w:val="baseline"/>
              </w:rPr>
              <w:t> </w:t>
            </w:r>
            <w:r>
              <w:rPr>
                <w:sz w:val="20"/>
                <w:vertAlign w:val="baseline"/>
              </w:rPr>
              <w:t>и</w:t>
            </w:r>
            <w:r>
              <w:rPr>
                <w:spacing w:val="-3"/>
                <w:sz w:val="20"/>
                <w:vertAlign w:val="baseline"/>
              </w:rPr>
              <w:t> </w:t>
            </w:r>
            <w:r>
              <w:rPr>
                <w:sz w:val="20"/>
                <w:vertAlign w:val="baseline"/>
              </w:rPr>
              <w:t>32</w:t>
            </w:r>
            <w:r>
              <w:rPr>
                <w:spacing w:val="-1"/>
                <w:sz w:val="20"/>
                <w:vertAlign w:val="baseline"/>
              </w:rPr>
              <w:t> </w:t>
            </w:r>
            <w:r>
              <w:rPr>
                <w:sz w:val="20"/>
                <w:vertAlign w:val="baseline"/>
              </w:rPr>
              <w:t>Дж</w:t>
            </w:r>
            <w:r>
              <w:rPr>
                <w:spacing w:val="-3"/>
                <w:sz w:val="20"/>
                <w:vertAlign w:val="baseline"/>
              </w:rPr>
              <w:t> </w:t>
            </w:r>
            <w:r>
              <w:rPr>
                <w:sz w:val="20"/>
                <w:vertAlign w:val="baseline"/>
              </w:rPr>
              <w:t>см</w:t>
            </w:r>
            <w:r>
              <w:rPr>
                <w:sz w:val="20"/>
                <w:vertAlign w:val="superscript"/>
              </w:rPr>
              <w:t>-</w:t>
            </w:r>
            <w:r>
              <w:rPr>
                <w:spacing w:val="-10"/>
                <w:sz w:val="20"/>
                <w:vertAlign w:val="superscript"/>
              </w:rPr>
              <w:t>2</w:t>
            </w:r>
          </w:p>
        </w:tc>
        <w:tc>
          <w:tcPr>
            <w:tcW w:w="2421" w:type="dxa"/>
          </w:tcPr>
          <w:p>
            <w:pPr>
              <w:pStyle w:val="TableParagraph"/>
              <w:ind w:left="18" w:right="5"/>
              <w:jc w:val="center"/>
              <w:rPr>
                <w:sz w:val="20"/>
              </w:rPr>
            </w:pPr>
            <w:r>
              <w:rPr>
                <w:sz w:val="20"/>
              </w:rPr>
              <w:t>32</w:t>
            </w:r>
            <w:r>
              <w:rPr>
                <w:spacing w:val="-2"/>
                <w:sz w:val="20"/>
              </w:rPr>
              <w:t> Дж*см</w:t>
            </w:r>
            <w:r>
              <w:rPr>
                <w:spacing w:val="-2"/>
                <w:sz w:val="20"/>
                <w:vertAlign w:val="superscript"/>
              </w:rPr>
              <w:t>−</w:t>
            </w:r>
            <w:r>
              <w:rPr>
                <w:spacing w:val="-2"/>
                <w:sz w:val="20"/>
                <w:vertAlign w:val="superscript"/>
              </w:rPr>
              <w:t>2</w:t>
            </w:r>
          </w:p>
        </w:tc>
        <w:tc>
          <w:tcPr>
            <w:tcW w:w="3275" w:type="dxa"/>
          </w:tcPr>
          <w:p>
            <w:pPr>
              <w:pStyle w:val="TableParagraph"/>
              <w:ind w:left="111" w:right="93"/>
              <w:jc w:val="center"/>
              <w:rPr>
                <w:sz w:val="20"/>
              </w:rPr>
            </w:pPr>
            <w:r>
              <w:rPr>
                <w:sz w:val="20"/>
              </w:rPr>
              <w:t>Увеличение</w:t>
            </w:r>
            <w:r>
              <w:rPr>
                <w:spacing w:val="-9"/>
                <w:sz w:val="20"/>
              </w:rPr>
              <w:t> </w:t>
            </w:r>
            <w:r>
              <w:rPr>
                <w:sz w:val="20"/>
              </w:rPr>
              <w:t>общей</w:t>
            </w:r>
            <w:r>
              <w:rPr>
                <w:spacing w:val="-7"/>
                <w:sz w:val="20"/>
              </w:rPr>
              <w:t> </w:t>
            </w:r>
            <w:r>
              <w:rPr>
                <w:spacing w:val="-2"/>
                <w:sz w:val="20"/>
              </w:rPr>
              <w:t>подвижности</w:t>
            </w:r>
          </w:p>
          <w:p>
            <w:pPr>
              <w:pStyle w:val="TableParagraph"/>
              <w:spacing w:before="15"/>
              <w:ind w:left="111" w:right="92"/>
              <w:jc w:val="center"/>
              <w:rPr>
                <w:sz w:val="20"/>
              </w:rPr>
            </w:pPr>
            <w:r>
              <w:rPr>
                <w:spacing w:val="-2"/>
                <w:sz w:val="20"/>
              </w:rPr>
              <w:t>сперматозоидов</w:t>
            </w:r>
          </w:p>
        </w:tc>
        <w:tc>
          <w:tcPr>
            <w:tcW w:w="1624" w:type="dxa"/>
          </w:tcPr>
          <w:p>
            <w:pPr>
              <w:pStyle w:val="TableParagraph"/>
              <w:ind w:left="22" w:right="2"/>
              <w:jc w:val="center"/>
              <w:rPr>
                <w:sz w:val="20"/>
              </w:rPr>
            </w:pPr>
            <w:r>
              <w:rPr>
                <w:sz w:val="20"/>
              </w:rPr>
              <w:t>Sato</w:t>
            </w:r>
            <w:r>
              <w:rPr>
                <w:spacing w:val="-3"/>
                <w:sz w:val="20"/>
              </w:rPr>
              <w:t> </w:t>
            </w:r>
            <w:r>
              <w:rPr>
                <w:sz w:val="20"/>
              </w:rPr>
              <w:t>и</w:t>
            </w:r>
            <w:r>
              <w:rPr>
                <w:spacing w:val="-4"/>
                <w:sz w:val="20"/>
              </w:rPr>
              <w:t> </w:t>
            </w:r>
            <w:r>
              <w:rPr>
                <w:sz w:val="20"/>
              </w:rPr>
              <w:t>др.</w:t>
            </w:r>
            <w:r>
              <w:rPr>
                <w:spacing w:val="-2"/>
                <w:sz w:val="20"/>
              </w:rPr>
              <w:t> (1984)</w:t>
            </w:r>
          </w:p>
        </w:tc>
      </w:tr>
      <w:tr>
        <w:trPr>
          <w:trHeight w:val="981" w:hRule="atLeast"/>
        </w:trPr>
        <w:tc>
          <w:tcPr>
            <w:tcW w:w="427" w:type="dxa"/>
          </w:tcPr>
          <w:p>
            <w:pPr>
              <w:pStyle w:val="TableParagraph"/>
              <w:ind w:left="8"/>
              <w:jc w:val="center"/>
              <w:rPr>
                <w:sz w:val="20"/>
              </w:rPr>
            </w:pPr>
            <w:r>
              <w:rPr>
                <w:spacing w:val="-10"/>
                <w:sz w:val="20"/>
              </w:rPr>
              <w:t>5</w:t>
            </w:r>
          </w:p>
        </w:tc>
        <w:tc>
          <w:tcPr>
            <w:tcW w:w="998" w:type="dxa"/>
          </w:tcPr>
          <w:p>
            <w:pPr>
              <w:pStyle w:val="TableParagraph"/>
              <w:ind w:left="7" w:right="1"/>
              <w:jc w:val="center"/>
              <w:rPr>
                <w:sz w:val="20"/>
              </w:rPr>
            </w:pPr>
            <w:r>
              <w:rPr>
                <w:spacing w:val="-2"/>
                <w:sz w:val="20"/>
              </w:rPr>
              <w:t>Человек</w:t>
            </w:r>
          </w:p>
        </w:tc>
        <w:tc>
          <w:tcPr>
            <w:tcW w:w="1137" w:type="dxa"/>
          </w:tcPr>
          <w:p>
            <w:pPr>
              <w:pStyle w:val="TableParagraph"/>
              <w:ind w:left="13" w:right="1"/>
              <w:jc w:val="center"/>
              <w:rPr>
                <w:sz w:val="20"/>
              </w:rPr>
            </w:pPr>
            <w:r>
              <w:rPr>
                <w:spacing w:val="-2"/>
                <w:sz w:val="20"/>
              </w:rPr>
              <w:t>Свежий</w:t>
            </w:r>
          </w:p>
        </w:tc>
        <w:tc>
          <w:tcPr>
            <w:tcW w:w="1156" w:type="dxa"/>
          </w:tcPr>
          <w:p>
            <w:pPr>
              <w:pStyle w:val="TableParagraph"/>
              <w:ind w:left="9"/>
              <w:jc w:val="center"/>
              <w:rPr>
                <w:sz w:val="20"/>
              </w:rPr>
            </w:pPr>
            <w:r>
              <w:rPr>
                <w:spacing w:val="-2"/>
                <w:sz w:val="20"/>
              </w:rPr>
              <w:t>Лазер</w:t>
            </w:r>
          </w:p>
          <w:p>
            <w:pPr>
              <w:pStyle w:val="TableParagraph"/>
              <w:spacing w:before="15"/>
              <w:ind w:left="10"/>
              <w:jc w:val="center"/>
              <w:rPr>
                <w:sz w:val="20"/>
              </w:rPr>
            </w:pPr>
            <w:r>
              <w:rPr>
                <w:spacing w:val="-2"/>
                <w:sz w:val="20"/>
              </w:rPr>
              <w:t>(Ga-Al-</w:t>
            </w:r>
            <w:r>
              <w:rPr>
                <w:spacing w:val="-5"/>
                <w:sz w:val="20"/>
              </w:rPr>
              <w:t>As)</w:t>
            </w:r>
          </w:p>
        </w:tc>
        <w:tc>
          <w:tcPr>
            <w:tcW w:w="1122" w:type="dxa"/>
          </w:tcPr>
          <w:p>
            <w:pPr>
              <w:pStyle w:val="TableParagraph"/>
              <w:ind w:left="13"/>
              <w:jc w:val="center"/>
              <w:rPr>
                <w:sz w:val="20"/>
              </w:rPr>
            </w:pPr>
            <w:r>
              <w:rPr>
                <w:sz w:val="20"/>
              </w:rPr>
              <w:t>830 </w:t>
            </w:r>
            <w:r>
              <w:rPr>
                <w:spacing w:val="-5"/>
                <w:sz w:val="20"/>
              </w:rPr>
              <w:t>нм</w:t>
            </w:r>
          </w:p>
        </w:tc>
        <w:tc>
          <w:tcPr>
            <w:tcW w:w="2848" w:type="dxa"/>
          </w:tcPr>
          <w:p>
            <w:pPr>
              <w:pStyle w:val="TableParagraph"/>
              <w:ind w:left="14" w:right="2"/>
              <w:jc w:val="center"/>
              <w:rPr>
                <w:sz w:val="20"/>
              </w:rPr>
            </w:pPr>
            <w:r>
              <w:rPr>
                <w:sz w:val="20"/>
              </w:rPr>
              <w:t>Плотность</w:t>
            </w:r>
            <w:r>
              <w:rPr>
                <w:spacing w:val="-4"/>
                <w:sz w:val="20"/>
              </w:rPr>
              <w:t> </w:t>
            </w:r>
            <w:r>
              <w:rPr>
                <w:sz w:val="20"/>
              </w:rPr>
              <w:t>энергии:</w:t>
            </w:r>
            <w:r>
              <w:rPr>
                <w:spacing w:val="-3"/>
                <w:sz w:val="20"/>
              </w:rPr>
              <w:t> </w:t>
            </w:r>
            <w:r>
              <w:rPr>
                <w:sz w:val="20"/>
              </w:rPr>
              <w:t>0,</w:t>
            </w:r>
            <w:r>
              <w:rPr>
                <w:spacing w:val="-3"/>
                <w:sz w:val="20"/>
              </w:rPr>
              <w:t> </w:t>
            </w:r>
            <w:r>
              <w:rPr>
                <w:sz w:val="20"/>
              </w:rPr>
              <w:t>2,</w:t>
            </w:r>
            <w:r>
              <w:rPr>
                <w:spacing w:val="-2"/>
                <w:sz w:val="20"/>
              </w:rPr>
              <w:t> </w:t>
            </w:r>
            <w:r>
              <w:rPr>
                <w:sz w:val="20"/>
              </w:rPr>
              <w:t>4,</w:t>
            </w:r>
            <w:r>
              <w:rPr>
                <w:spacing w:val="-5"/>
                <w:sz w:val="20"/>
              </w:rPr>
              <w:t> </w:t>
            </w:r>
            <w:r>
              <w:rPr>
                <w:sz w:val="20"/>
              </w:rPr>
              <w:t>6</w:t>
            </w:r>
            <w:r>
              <w:rPr>
                <w:spacing w:val="-4"/>
                <w:sz w:val="20"/>
              </w:rPr>
              <w:t> </w:t>
            </w:r>
            <w:r>
              <w:rPr>
                <w:spacing w:val="-10"/>
                <w:sz w:val="20"/>
              </w:rPr>
              <w:t>и</w:t>
            </w:r>
          </w:p>
          <w:p>
            <w:pPr>
              <w:pStyle w:val="TableParagraph"/>
              <w:spacing w:before="15"/>
              <w:ind w:left="14" w:right="2"/>
              <w:jc w:val="center"/>
              <w:rPr>
                <w:sz w:val="20"/>
              </w:rPr>
            </w:pPr>
            <w:r>
              <w:rPr>
                <w:sz w:val="20"/>
              </w:rPr>
              <w:t>10</w:t>
            </w:r>
            <w:r>
              <w:rPr>
                <w:spacing w:val="-2"/>
                <w:sz w:val="20"/>
              </w:rPr>
              <w:t> Дж/см</w:t>
            </w:r>
            <w:r>
              <w:rPr>
                <w:spacing w:val="-2"/>
                <w:sz w:val="20"/>
                <w:vertAlign w:val="superscript"/>
              </w:rPr>
              <w:t>2</w:t>
            </w:r>
          </w:p>
        </w:tc>
        <w:tc>
          <w:tcPr>
            <w:tcW w:w="2421" w:type="dxa"/>
          </w:tcPr>
          <w:p>
            <w:pPr>
              <w:pStyle w:val="TableParagraph"/>
              <w:ind w:left="570"/>
              <w:rPr>
                <w:sz w:val="20"/>
              </w:rPr>
            </w:pPr>
            <w:r>
              <w:rPr>
                <w:sz w:val="20"/>
              </w:rPr>
              <w:t>4</w:t>
            </w:r>
            <w:r>
              <w:rPr>
                <w:spacing w:val="50"/>
                <w:sz w:val="20"/>
              </w:rPr>
              <w:t> </w:t>
            </w:r>
            <w:r>
              <w:rPr>
                <w:sz w:val="20"/>
              </w:rPr>
              <w:t>и</w:t>
            </w:r>
            <w:r>
              <w:rPr>
                <w:spacing w:val="48"/>
                <w:sz w:val="20"/>
              </w:rPr>
              <w:t> </w:t>
            </w:r>
            <w:r>
              <w:rPr>
                <w:sz w:val="20"/>
              </w:rPr>
              <w:t>6 </w:t>
            </w:r>
            <w:r>
              <w:rPr>
                <w:spacing w:val="-2"/>
                <w:sz w:val="20"/>
              </w:rPr>
              <w:t>Дж*см</w:t>
            </w:r>
            <w:r>
              <w:rPr>
                <w:spacing w:val="-2"/>
                <w:sz w:val="20"/>
                <w:vertAlign w:val="superscript"/>
              </w:rPr>
              <w:t>−</w:t>
            </w:r>
            <w:r>
              <w:rPr>
                <w:spacing w:val="-2"/>
                <w:sz w:val="20"/>
                <w:vertAlign w:val="superscript"/>
              </w:rPr>
              <w:t>2</w:t>
            </w:r>
          </w:p>
        </w:tc>
        <w:tc>
          <w:tcPr>
            <w:tcW w:w="3275" w:type="dxa"/>
          </w:tcPr>
          <w:p>
            <w:pPr>
              <w:pStyle w:val="TableParagraph"/>
              <w:spacing w:line="254" w:lineRule="auto"/>
              <w:ind w:left="359" w:right="338" w:firstLine="1"/>
              <w:jc w:val="center"/>
              <w:rPr>
                <w:sz w:val="20"/>
              </w:rPr>
            </w:pPr>
            <w:r>
              <w:rPr>
                <w:sz w:val="20"/>
              </w:rPr>
              <w:t>Лучше поддерживает прогрессивную подвижность сперматозоидов.</w:t>
            </w:r>
            <w:r>
              <w:rPr>
                <w:spacing w:val="-7"/>
                <w:sz w:val="20"/>
              </w:rPr>
              <w:t> </w:t>
            </w:r>
            <w:r>
              <w:rPr>
                <w:sz w:val="20"/>
              </w:rPr>
              <w:t>Не</w:t>
            </w:r>
            <w:r>
              <w:rPr>
                <w:spacing w:val="-7"/>
                <w:sz w:val="20"/>
              </w:rPr>
              <w:t> </w:t>
            </w:r>
            <w:r>
              <w:rPr>
                <w:sz w:val="20"/>
              </w:rPr>
              <w:t>влияет</w:t>
            </w:r>
            <w:r>
              <w:rPr>
                <w:spacing w:val="-9"/>
                <w:sz w:val="20"/>
              </w:rPr>
              <w:t> </w:t>
            </w:r>
            <w:r>
              <w:rPr>
                <w:spacing w:val="-5"/>
                <w:sz w:val="20"/>
              </w:rPr>
              <w:t>на</w:t>
            </w:r>
          </w:p>
          <w:p>
            <w:pPr>
              <w:pStyle w:val="TableParagraph"/>
              <w:spacing w:line="224" w:lineRule="exact" w:before="5"/>
              <w:ind w:left="111" w:right="93"/>
              <w:jc w:val="center"/>
              <w:rPr>
                <w:sz w:val="20"/>
              </w:rPr>
            </w:pPr>
            <w:r>
              <w:rPr>
                <w:sz w:val="20"/>
              </w:rPr>
              <w:t>целостность</w:t>
            </w:r>
            <w:r>
              <w:rPr>
                <w:spacing w:val="-12"/>
                <w:sz w:val="20"/>
              </w:rPr>
              <w:t> </w:t>
            </w:r>
            <w:r>
              <w:rPr>
                <w:spacing w:val="-5"/>
                <w:sz w:val="20"/>
              </w:rPr>
              <w:t>ДНК</w:t>
            </w:r>
          </w:p>
        </w:tc>
        <w:tc>
          <w:tcPr>
            <w:tcW w:w="1624" w:type="dxa"/>
          </w:tcPr>
          <w:p>
            <w:pPr>
              <w:pStyle w:val="TableParagraph"/>
              <w:spacing w:line="254" w:lineRule="auto"/>
              <w:ind w:left="399" w:hanging="224"/>
              <w:rPr>
                <w:sz w:val="20"/>
              </w:rPr>
            </w:pPr>
            <w:r>
              <w:rPr>
                <w:sz w:val="20"/>
              </w:rPr>
              <w:t>Salman</w:t>
            </w:r>
            <w:r>
              <w:rPr>
                <w:spacing w:val="-13"/>
                <w:sz w:val="20"/>
              </w:rPr>
              <w:t> </w:t>
            </w:r>
            <w:r>
              <w:rPr>
                <w:sz w:val="20"/>
              </w:rPr>
              <w:t>Yazdi</w:t>
            </w:r>
            <w:r>
              <w:rPr>
                <w:spacing w:val="-12"/>
                <w:sz w:val="20"/>
              </w:rPr>
              <w:t> </w:t>
            </w:r>
            <w:r>
              <w:rPr>
                <w:sz w:val="20"/>
              </w:rPr>
              <w:t>и др. (2014)</w:t>
            </w:r>
          </w:p>
        </w:tc>
      </w:tr>
      <w:tr>
        <w:trPr>
          <w:trHeight w:val="1962" w:hRule="atLeast"/>
        </w:trPr>
        <w:tc>
          <w:tcPr>
            <w:tcW w:w="427" w:type="dxa"/>
          </w:tcPr>
          <w:p>
            <w:pPr>
              <w:pStyle w:val="TableParagraph"/>
              <w:ind w:left="8"/>
              <w:jc w:val="center"/>
              <w:rPr>
                <w:sz w:val="20"/>
              </w:rPr>
            </w:pPr>
            <w:r>
              <w:rPr>
                <w:spacing w:val="-10"/>
                <w:sz w:val="20"/>
              </w:rPr>
              <w:t>6</w:t>
            </w:r>
          </w:p>
        </w:tc>
        <w:tc>
          <w:tcPr>
            <w:tcW w:w="998" w:type="dxa"/>
          </w:tcPr>
          <w:p>
            <w:pPr>
              <w:pStyle w:val="TableParagraph"/>
              <w:ind w:left="7" w:right="1"/>
              <w:jc w:val="center"/>
              <w:rPr>
                <w:sz w:val="20"/>
              </w:rPr>
            </w:pPr>
            <w:r>
              <w:rPr>
                <w:spacing w:val="-2"/>
                <w:sz w:val="20"/>
              </w:rPr>
              <w:t>Баран</w:t>
            </w:r>
          </w:p>
        </w:tc>
        <w:tc>
          <w:tcPr>
            <w:tcW w:w="1137" w:type="dxa"/>
          </w:tcPr>
          <w:p>
            <w:pPr>
              <w:pStyle w:val="TableParagraph"/>
              <w:ind w:left="13" w:right="1"/>
              <w:jc w:val="center"/>
              <w:rPr>
                <w:sz w:val="20"/>
              </w:rPr>
            </w:pPr>
            <w:r>
              <w:rPr>
                <w:spacing w:val="-2"/>
                <w:sz w:val="20"/>
              </w:rPr>
              <w:t>Свежий</w:t>
            </w:r>
          </w:p>
        </w:tc>
        <w:tc>
          <w:tcPr>
            <w:tcW w:w="1156" w:type="dxa"/>
          </w:tcPr>
          <w:p>
            <w:pPr>
              <w:pStyle w:val="TableParagraph"/>
              <w:ind w:left="9"/>
              <w:jc w:val="center"/>
              <w:rPr>
                <w:sz w:val="20"/>
              </w:rPr>
            </w:pPr>
            <w:r>
              <w:rPr>
                <w:sz w:val="20"/>
              </w:rPr>
              <w:t>Лазер</w:t>
            </w:r>
            <w:r>
              <w:rPr>
                <w:spacing w:val="-5"/>
                <w:sz w:val="20"/>
              </w:rPr>
              <w:t> </w:t>
            </w:r>
            <w:r>
              <w:rPr>
                <w:spacing w:val="-4"/>
                <w:sz w:val="20"/>
              </w:rPr>
              <w:t>(He-</w:t>
            </w:r>
          </w:p>
          <w:p>
            <w:pPr>
              <w:pStyle w:val="TableParagraph"/>
              <w:spacing w:before="15"/>
              <w:ind w:left="9"/>
              <w:jc w:val="center"/>
              <w:rPr>
                <w:sz w:val="20"/>
              </w:rPr>
            </w:pPr>
            <w:r>
              <w:rPr>
                <w:spacing w:val="-5"/>
                <w:sz w:val="20"/>
              </w:rPr>
              <w:t>Ne)</w:t>
            </w:r>
          </w:p>
        </w:tc>
        <w:tc>
          <w:tcPr>
            <w:tcW w:w="1122" w:type="dxa"/>
          </w:tcPr>
          <w:p>
            <w:pPr>
              <w:pStyle w:val="TableParagraph"/>
              <w:ind w:left="196"/>
              <w:rPr>
                <w:sz w:val="20"/>
              </w:rPr>
            </w:pPr>
            <w:r>
              <w:rPr>
                <w:sz w:val="20"/>
              </w:rPr>
              <w:t>632.8</w:t>
            </w:r>
            <w:r>
              <w:rPr>
                <w:spacing w:val="-3"/>
                <w:sz w:val="20"/>
              </w:rPr>
              <w:t> </w:t>
            </w:r>
            <w:r>
              <w:rPr>
                <w:spacing w:val="-5"/>
                <w:sz w:val="20"/>
              </w:rPr>
              <w:t>нм</w:t>
            </w:r>
          </w:p>
        </w:tc>
        <w:tc>
          <w:tcPr>
            <w:tcW w:w="2848" w:type="dxa"/>
          </w:tcPr>
          <w:p>
            <w:pPr>
              <w:pStyle w:val="TableParagraph"/>
              <w:ind w:left="14" w:right="6"/>
              <w:jc w:val="center"/>
              <w:rPr>
                <w:sz w:val="20"/>
              </w:rPr>
            </w:pPr>
            <w:r>
              <w:rPr>
                <w:sz w:val="20"/>
              </w:rPr>
              <w:t>Плотность</w:t>
            </w:r>
            <w:r>
              <w:rPr>
                <w:spacing w:val="-7"/>
                <w:sz w:val="20"/>
              </w:rPr>
              <w:t> </w:t>
            </w:r>
            <w:r>
              <w:rPr>
                <w:sz w:val="20"/>
              </w:rPr>
              <w:t>энергии:</w:t>
            </w:r>
            <w:r>
              <w:rPr>
                <w:spacing w:val="-6"/>
                <w:sz w:val="20"/>
              </w:rPr>
              <w:t> </w:t>
            </w:r>
            <w:r>
              <w:rPr>
                <w:sz w:val="20"/>
              </w:rPr>
              <w:t>3,96,</w:t>
            </w:r>
            <w:r>
              <w:rPr>
                <w:spacing w:val="-5"/>
                <w:sz w:val="20"/>
              </w:rPr>
              <w:t> </w:t>
            </w:r>
            <w:r>
              <w:rPr>
                <w:spacing w:val="-4"/>
                <w:sz w:val="20"/>
              </w:rPr>
              <w:t>6,12</w:t>
            </w:r>
          </w:p>
          <w:p>
            <w:pPr>
              <w:pStyle w:val="TableParagraph"/>
              <w:spacing w:before="15"/>
              <w:ind w:left="14" w:right="1"/>
              <w:jc w:val="center"/>
              <w:rPr>
                <w:sz w:val="20"/>
              </w:rPr>
            </w:pPr>
            <w:r>
              <w:rPr>
                <w:sz w:val="20"/>
              </w:rPr>
              <w:t>и</w:t>
            </w:r>
            <w:r>
              <w:rPr>
                <w:spacing w:val="-3"/>
                <w:sz w:val="20"/>
              </w:rPr>
              <w:t> </w:t>
            </w:r>
            <w:r>
              <w:rPr>
                <w:sz w:val="20"/>
              </w:rPr>
              <w:t>9,00 </w:t>
            </w:r>
            <w:r>
              <w:rPr>
                <w:spacing w:val="-2"/>
                <w:sz w:val="20"/>
              </w:rPr>
              <w:t>Дж/см</w:t>
            </w:r>
            <w:r>
              <w:rPr>
                <w:spacing w:val="-2"/>
                <w:sz w:val="20"/>
                <w:vertAlign w:val="superscript"/>
              </w:rPr>
              <w:t>2</w:t>
            </w:r>
            <w:r>
              <w:rPr>
                <w:spacing w:val="-2"/>
                <w:sz w:val="20"/>
                <w:vertAlign w:val="baseline"/>
              </w:rPr>
              <w:t>.</w:t>
            </w:r>
          </w:p>
        </w:tc>
        <w:tc>
          <w:tcPr>
            <w:tcW w:w="2421" w:type="dxa"/>
          </w:tcPr>
          <w:p>
            <w:pPr>
              <w:pStyle w:val="TableParagraph"/>
              <w:spacing w:line="254" w:lineRule="auto"/>
              <w:ind w:left="601" w:right="569" w:hanging="12"/>
              <w:jc w:val="both"/>
              <w:rPr>
                <w:sz w:val="20"/>
              </w:rPr>
            </w:pPr>
            <w:r>
              <w:rPr>
                <w:sz w:val="20"/>
              </w:rPr>
              <w:t>6,12</w:t>
            </w:r>
            <w:r>
              <w:rPr>
                <w:spacing w:val="-13"/>
                <w:sz w:val="20"/>
              </w:rPr>
              <w:t> </w:t>
            </w:r>
            <w:r>
              <w:rPr>
                <w:sz w:val="20"/>
              </w:rPr>
              <w:t>Дж*см</w:t>
            </w:r>
            <w:r>
              <w:rPr>
                <w:sz w:val="20"/>
                <w:vertAlign w:val="superscript"/>
              </w:rPr>
              <w:t>−2</w:t>
            </w:r>
            <w:r>
              <w:rPr>
                <w:spacing w:val="-12"/>
                <w:sz w:val="20"/>
                <w:vertAlign w:val="baseline"/>
              </w:rPr>
              <w:t> </w:t>
            </w:r>
            <w:r>
              <w:rPr>
                <w:sz w:val="20"/>
                <w:vertAlign w:val="baseline"/>
              </w:rPr>
              <w:t>с </w:t>
            </w:r>
            <w:r>
              <w:rPr>
                <w:spacing w:val="-2"/>
                <w:sz w:val="20"/>
                <w:vertAlign w:val="baseline"/>
              </w:rPr>
              <w:t>последующим </w:t>
            </w:r>
            <w:r>
              <w:rPr>
                <w:sz w:val="20"/>
                <w:vertAlign w:val="baseline"/>
              </w:rPr>
              <w:t>9,00 Дж*см</w:t>
            </w:r>
            <w:r>
              <w:rPr>
                <w:sz w:val="20"/>
                <w:vertAlign w:val="superscript"/>
              </w:rPr>
              <w:t>-2</w:t>
            </w:r>
          </w:p>
        </w:tc>
        <w:tc>
          <w:tcPr>
            <w:tcW w:w="3275" w:type="dxa"/>
          </w:tcPr>
          <w:p>
            <w:pPr>
              <w:pStyle w:val="TableParagraph"/>
              <w:spacing w:line="256" w:lineRule="auto"/>
              <w:ind w:left="114" w:right="94" w:firstLine="2"/>
              <w:jc w:val="center"/>
              <w:rPr>
                <w:sz w:val="20"/>
              </w:rPr>
            </w:pPr>
            <w:r>
              <w:rPr>
                <w:sz w:val="20"/>
              </w:rPr>
              <w:t>Увеличение активности цитохромоксидазы и энергетического</w:t>
            </w:r>
            <w:r>
              <w:rPr>
                <w:spacing w:val="-13"/>
                <w:sz w:val="20"/>
              </w:rPr>
              <w:t> </w:t>
            </w:r>
            <w:r>
              <w:rPr>
                <w:sz w:val="20"/>
              </w:rPr>
              <w:t>потенциала</w:t>
            </w:r>
            <w:r>
              <w:rPr>
                <w:spacing w:val="-12"/>
                <w:sz w:val="20"/>
              </w:rPr>
              <w:t> </w:t>
            </w:r>
            <w:r>
              <w:rPr>
                <w:sz w:val="20"/>
              </w:rPr>
              <w:t>клеток </w:t>
            </w:r>
            <w:r>
              <w:rPr>
                <w:spacing w:val="-4"/>
                <w:sz w:val="20"/>
              </w:rPr>
              <w:t>(АТФ</w:t>
            </w:r>
          </w:p>
          <w:p>
            <w:pPr>
              <w:pStyle w:val="TableParagraph"/>
              <w:spacing w:line="254" w:lineRule="auto"/>
              <w:ind w:left="232" w:right="213" w:firstLine="3"/>
              <w:jc w:val="center"/>
              <w:rPr>
                <w:sz w:val="20"/>
              </w:rPr>
            </w:pPr>
            <w:r>
              <w:rPr>
                <w:sz w:val="20"/>
              </w:rPr>
              <w:t>+АДФ+АМФ).</w:t>
            </w:r>
            <w:r>
              <w:rPr>
                <w:spacing w:val="-8"/>
                <w:sz w:val="20"/>
              </w:rPr>
              <w:t> </w:t>
            </w:r>
            <w:r>
              <w:rPr>
                <w:sz w:val="20"/>
              </w:rPr>
              <w:t>Лучше</w:t>
            </w:r>
            <w:r>
              <w:rPr>
                <w:spacing w:val="-9"/>
                <w:sz w:val="20"/>
              </w:rPr>
              <w:t> </w:t>
            </w:r>
            <w:r>
              <w:rPr>
                <w:sz w:val="20"/>
              </w:rPr>
              <w:t>сохраняет качество</w:t>
            </w:r>
            <w:r>
              <w:rPr>
                <w:spacing w:val="-10"/>
                <w:sz w:val="20"/>
              </w:rPr>
              <w:t> </w:t>
            </w:r>
            <w:r>
              <w:rPr>
                <w:sz w:val="20"/>
              </w:rPr>
              <w:t>спермы</w:t>
            </w:r>
            <w:r>
              <w:rPr>
                <w:spacing w:val="-11"/>
                <w:sz w:val="20"/>
              </w:rPr>
              <w:t> </w:t>
            </w:r>
            <w:r>
              <w:rPr>
                <w:sz w:val="20"/>
              </w:rPr>
              <w:t>по</w:t>
            </w:r>
            <w:r>
              <w:rPr>
                <w:spacing w:val="-10"/>
                <w:sz w:val="20"/>
              </w:rPr>
              <w:t> </w:t>
            </w:r>
            <w:r>
              <w:rPr>
                <w:sz w:val="20"/>
              </w:rPr>
              <w:t>сравнению</w:t>
            </w:r>
            <w:r>
              <w:rPr>
                <w:spacing w:val="-11"/>
                <w:sz w:val="20"/>
              </w:rPr>
              <w:t> </w:t>
            </w:r>
            <w:r>
              <w:rPr>
                <w:sz w:val="20"/>
              </w:rPr>
              <w:t>с обычным хранением при</w:t>
            </w:r>
          </w:p>
          <w:p>
            <w:pPr>
              <w:pStyle w:val="TableParagraph"/>
              <w:spacing w:line="224" w:lineRule="exact" w:before="3"/>
              <w:ind w:left="111" w:right="93"/>
              <w:jc w:val="center"/>
              <w:rPr>
                <w:sz w:val="20"/>
              </w:rPr>
            </w:pPr>
            <w:r>
              <w:rPr>
                <w:sz w:val="20"/>
              </w:rPr>
              <w:t>температуре</w:t>
            </w:r>
            <w:r>
              <w:rPr>
                <w:spacing w:val="-4"/>
                <w:sz w:val="20"/>
              </w:rPr>
              <w:t> </w:t>
            </w:r>
            <w:r>
              <w:rPr>
                <w:sz w:val="20"/>
              </w:rPr>
              <w:t>15</w:t>
            </w:r>
            <w:r>
              <w:rPr>
                <w:spacing w:val="-3"/>
                <w:sz w:val="20"/>
              </w:rPr>
              <w:t> </w:t>
            </w:r>
            <w:r>
              <w:rPr>
                <w:sz w:val="20"/>
              </w:rPr>
              <w:t>°C</w:t>
            </w:r>
            <w:r>
              <w:rPr>
                <w:spacing w:val="-5"/>
                <w:sz w:val="20"/>
              </w:rPr>
              <w:t> </w:t>
            </w:r>
            <w:r>
              <w:rPr>
                <w:sz w:val="20"/>
              </w:rPr>
              <w:t>(48</w:t>
            </w:r>
            <w:r>
              <w:rPr>
                <w:spacing w:val="-3"/>
                <w:sz w:val="20"/>
              </w:rPr>
              <w:t> </w:t>
            </w:r>
            <w:r>
              <w:rPr>
                <w:spacing w:val="-2"/>
                <w:sz w:val="20"/>
              </w:rPr>
              <w:t>часов)</w:t>
            </w:r>
          </w:p>
        </w:tc>
        <w:tc>
          <w:tcPr>
            <w:tcW w:w="1624" w:type="dxa"/>
          </w:tcPr>
          <w:p>
            <w:pPr>
              <w:pStyle w:val="TableParagraph"/>
              <w:ind w:left="22"/>
              <w:jc w:val="center"/>
              <w:rPr>
                <w:sz w:val="20"/>
              </w:rPr>
            </w:pPr>
            <w:r>
              <w:rPr>
                <w:sz w:val="20"/>
              </w:rPr>
              <w:t>Iaffaldano</w:t>
            </w:r>
            <w:r>
              <w:rPr>
                <w:spacing w:val="-10"/>
                <w:sz w:val="20"/>
              </w:rPr>
              <w:t> </w:t>
            </w:r>
            <w:r>
              <w:rPr>
                <w:sz w:val="20"/>
              </w:rPr>
              <w:t>и</w:t>
            </w:r>
            <w:r>
              <w:rPr>
                <w:spacing w:val="-12"/>
                <w:sz w:val="20"/>
              </w:rPr>
              <w:t> </w:t>
            </w:r>
            <w:r>
              <w:rPr>
                <w:spacing w:val="-5"/>
                <w:sz w:val="20"/>
              </w:rPr>
              <w:t>др.</w:t>
            </w:r>
          </w:p>
          <w:p>
            <w:pPr>
              <w:pStyle w:val="TableParagraph"/>
              <w:spacing w:before="15"/>
              <w:ind w:left="22" w:right="1"/>
              <w:jc w:val="center"/>
              <w:rPr>
                <w:sz w:val="20"/>
              </w:rPr>
            </w:pPr>
            <w:r>
              <w:rPr>
                <w:spacing w:val="-2"/>
                <w:sz w:val="20"/>
              </w:rPr>
              <w:t>(2010)</w:t>
            </w:r>
          </w:p>
        </w:tc>
      </w:tr>
      <w:tr>
        <w:trPr>
          <w:trHeight w:val="1715" w:hRule="atLeast"/>
        </w:trPr>
        <w:tc>
          <w:tcPr>
            <w:tcW w:w="427" w:type="dxa"/>
          </w:tcPr>
          <w:p>
            <w:pPr>
              <w:pStyle w:val="TableParagraph"/>
              <w:ind w:left="8"/>
              <w:jc w:val="center"/>
              <w:rPr>
                <w:sz w:val="20"/>
              </w:rPr>
            </w:pPr>
            <w:r>
              <w:rPr>
                <w:spacing w:val="-10"/>
                <w:sz w:val="20"/>
              </w:rPr>
              <w:t>7</w:t>
            </w:r>
          </w:p>
        </w:tc>
        <w:tc>
          <w:tcPr>
            <w:tcW w:w="998" w:type="dxa"/>
          </w:tcPr>
          <w:p>
            <w:pPr>
              <w:pStyle w:val="TableParagraph"/>
              <w:ind w:left="7" w:right="1"/>
              <w:jc w:val="center"/>
              <w:rPr>
                <w:sz w:val="20"/>
              </w:rPr>
            </w:pPr>
            <w:r>
              <w:rPr>
                <w:spacing w:val="-2"/>
                <w:sz w:val="20"/>
              </w:rPr>
              <w:t>Баран</w:t>
            </w:r>
          </w:p>
        </w:tc>
        <w:tc>
          <w:tcPr>
            <w:tcW w:w="1137" w:type="dxa"/>
          </w:tcPr>
          <w:p>
            <w:pPr>
              <w:pStyle w:val="TableParagraph"/>
              <w:ind w:left="13"/>
              <w:jc w:val="center"/>
              <w:rPr>
                <w:sz w:val="20"/>
              </w:rPr>
            </w:pPr>
            <w:r>
              <w:rPr>
                <w:spacing w:val="-2"/>
                <w:sz w:val="20"/>
              </w:rPr>
              <w:t>Разморож.</w:t>
            </w:r>
          </w:p>
        </w:tc>
        <w:tc>
          <w:tcPr>
            <w:tcW w:w="1156" w:type="dxa"/>
          </w:tcPr>
          <w:p>
            <w:pPr>
              <w:pStyle w:val="TableParagraph"/>
              <w:ind w:left="9"/>
              <w:jc w:val="center"/>
              <w:rPr>
                <w:sz w:val="20"/>
              </w:rPr>
            </w:pPr>
            <w:r>
              <w:rPr>
                <w:sz w:val="20"/>
              </w:rPr>
              <w:t>Лазер</w:t>
            </w:r>
            <w:r>
              <w:rPr>
                <w:spacing w:val="-5"/>
                <w:sz w:val="20"/>
              </w:rPr>
              <w:t> </w:t>
            </w:r>
            <w:r>
              <w:rPr>
                <w:spacing w:val="-4"/>
                <w:sz w:val="20"/>
              </w:rPr>
              <w:t>(He-</w:t>
            </w:r>
          </w:p>
          <w:p>
            <w:pPr>
              <w:pStyle w:val="TableParagraph"/>
              <w:spacing w:before="15"/>
              <w:ind w:left="9"/>
              <w:jc w:val="center"/>
              <w:rPr>
                <w:sz w:val="20"/>
              </w:rPr>
            </w:pPr>
            <w:r>
              <w:rPr>
                <w:spacing w:val="-5"/>
                <w:sz w:val="20"/>
              </w:rPr>
              <w:t>Ne)</w:t>
            </w:r>
          </w:p>
        </w:tc>
        <w:tc>
          <w:tcPr>
            <w:tcW w:w="1122" w:type="dxa"/>
          </w:tcPr>
          <w:p>
            <w:pPr>
              <w:pStyle w:val="TableParagraph"/>
              <w:ind w:left="196"/>
              <w:rPr>
                <w:sz w:val="20"/>
              </w:rPr>
            </w:pPr>
            <w:r>
              <w:rPr>
                <w:sz w:val="20"/>
              </w:rPr>
              <w:t>632.8</w:t>
            </w:r>
            <w:r>
              <w:rPr>
                <w:spacing w:val="-3"/>
                <w:sz w:val="20"/>
              </w:rPr>
              <w:t> </w:t>
            </w:r>
            <w:r>
              <w:rPr>
                <w:spacing w:val="-5"/>
                <w:sz w:val="20"/>
              </w:rPr>
              <w:t>нм</w:t>
            </w:r>
          </w:p>
        </w:tc>
        <w:tc>
          <w:tcPr>
            <w:tcW w:w="2848" w:type="dxa"/>
          </w:tcPr>
          <w:p>
            <w:pPr>
              <w:pStyle w:val="TableParagraph"/>
              <w:ind w:left="14" w:right="6"/>
              <w:jc w:val="center"/>
              <w:rPr>
                <w:sz w:val="20"/>
              </w:rPr>
            </w:pPr>
            <w:r>
              <w:rPr>
                <w:sz w:val="20"/>
              </w:rPr>
              <w:t>Плотность</w:t>
            </w:r>
            <w:r>
              <w:rPr>
                <w:spacing w:val="-7"/>
                <w:sz w:val="20"/>
              </w:rPr>
              <w:t> </w:t>
            </w:r>
            <w:r>
              <w:rPr>
                <w:sz w:val="20"/>
              </w:rPr>
              <w:t>энергии:</w:t>
            </w:r>
            <w:r>
              <w:rPr>
                <w:spacing w:val="-6"/>
                <w:sz w:val="20"/>
              </w:rPr>
              <w:t> </w:t>
            </w:r>
            <w:r>
              <w:rPr>
                <w:sz w:val="20"/>
              </w:rPr>
              <w:t>3,96,</w:t>
            </w:r>
            <w:r>
              <w:rPr>
                <w:spacing w:val="-5"/>
                <w:sz w:val="20"/>
              </w:rPr>
              <w:t> </w:t>
            </w:r>
            <w:r>
              <w:rPr>
                <w:spacing w:val="-4"/>
                <w:sz w:val="20"/>
              </w:rPr>
              <w:t>6,12</w:t>
            </w:r>
          </w:p>
          <w:p>
            <w:pPr>
              <w:pStyle w:val="TableParagraph"/>
              <w:spacing w:before="15"/>
              <w:ind w:left="14" w:right="3"/>
              <w:jc w:val="center"/>
              <w:rPr>
                <w:sz w:val="20"/>
              </w:rPr>
            </w:pPr>
            <w:r>
              <w:rPr>
                <w:sz w:val="20"/>
              </w:rPr>
              <w:t>и</w:t>
            </w:r>
            <w:r>
              <w:rPr>
                <w:spacing w:val="-3"/>
                <w:sz w:val="20"/>
              </w:rPr>
              <w:t> </w:t>
            </w:r>
            <w:r>
              <w:rPr>
                <w:sz w:val="20"/>
              </w:rPr>
              <w:t>9 </w:t>
            </w:r>
            <w:r>
              <w:rPr>
                <w:spacing w:val="-2"/>
                <w:sz w:val="20"/>
              </w:rPr>
              <w:t>Дж/см</w:t>
            </w:r>
            <w:r>
              <w:rPr>
                <w:spacing w:val="-2"/>
                <w:sz w:val="20"/>
                <w:vertAlign w:val="superscript"/>
              </w:rPr>
              <w:t>2</w:t>
            </w:r>
            <w:r>
              <w:rPr>
                <w:spacing w:val="-2"/>
                <w:sz w:val="20"/>
                <w:vertAlign w:val="baseline"/>
              </w:rPr>
              <w:t>.</w:t>
            </w:r>
          </w:p>
        </w:tc>
        <w:tc>
          <w:tcPr>
            <w:tcW w:w="2421" w:type="dxa"/>
          </w:tcPr>
          <w:p>
            <w:pPr>
              <w:pStyle w:val="TableParagraph"/>
              <w:ind w:left="18" w:right="3"/>
              <w:jc w:val="center"/>
              <w:rPr>
                <w:sz w:val="20"/>
              </w:rPr>
            </w:pPr>
            <w:r>
              <w:rPr>
                <w:sz w:val="20"/>
              </w:rPr>
              <w:t>6,12</w:t>
            </w:r>
            <w:r>
              <w:rPr>
                <w:spacing w:val="39"/>
                <w:sz w:val="20"/>
              </w:rPr>
              <w:t> </w:t>
            </w:r>
            <w:r>
              <w:rPr>
                <w:sz w:val="20"/>
              </w:rPr>
              <w:t>Дж*см</w:t>
            </w:r>
            <w:r>
              <w:rPr>
                <w:sz w:val="20"/>
                <w:vertAlign w:val="superscript"/>
              </w:rPr>
              <w:t>-</w:t>
            </w:r>
            <w:r>
              <w:rPr>
                <w:spacing w:val="-10"/>
                <w:sz w:val="20"/>
                <w:vertAlign w:val="superscript"/>
              </w:rPr>
              <w:t>2</w:t>
            </w:r>
          </w:p>
        </w:tc>
        <w:tc>
          <w:tcPr>
            <w:tcW w:w="3275" w:type="dxa"/>
          </w:tcPr>
          <w:p>
            <w:pPr>
              <w:pStyle w:val="TableParagraph"/>
              <w:spacing w:line="254" w:lineRule="auto"/>
              <w:ind w:left="138" w:right="117" w:firstLine="1"/>
              <w:jc w:val="center"/>
              <w:rPr>
                <w:sz w:val="20"/>
              </w:rPr>
            </w:pPr>
            <w:r>
              <w:rPr>
                <w:sz w:val="20"/>
              </w:rPr>
              <w:t>Повышение подвижности сперматозоидов,</w:t>
            </w:r>
            <w:r>
              <w:rPr>
                <w:spacing w:val="-13"/>
                <w:sz w:val="20"/>
              </w:rPr>
              <w:t> </w:t>
            </w:r>
            <w:r>
              <w:rPr>
                <w:sz w:val="20"/>
              </w:rPr>
              <w:t>содержания</w:t>
            </w:r>
            <w:r>
              <w:rPr>
                <w:spacing w:val="-12"/>
                <w:sz w:val="20"/>
              </w:rPr>
              <w:t> </w:t>
            </w:r>
            <w:r>
              <w:rPr>
                <w:sz w:val="20"/>
              </w:rPr>
              <w:t>АТФ, активности цитохромоксидазы.</w:t>
            </w:r>
          </w:p>
          <w:p>
            <w:pPr>
              <w:pStyle w:val="TableParagraph"/>
              <w:spacing w:line="254" w:lineRule="auto" w:before="5"/>
              <w:ind w:left="111" w:right="90"/>
              <w:jc w:val="center"/>
              <w:rPr>
                <w:sz w:val="20"/>
              </w:rPr>
            </w:pPr>
            <w:r>
              <w:rPr>
                <w:sz w:val="20"/>
              </w:rPr>
              <w:t>Лучшее поддержание выживаемости</w:t>
            </w:r>
            <w:r>
              <w:rPr>
                <w:spacing w:val="-13"/>
                <w:sz w:val="20"/>
              </w:rPr>
              <w:t> </w:t>
            </w:r>
            <w:r>
              <w:rPr>
                <w:sz w:val="20"/>
              </w:rPr>
              <w:t>сперматозоидов после оттаивания</w:t>
            </w:r>
          </w:p>
          <w:p>
            <w:pPr>
              <w:pStyle w:val="TableParagraph"/>
              <w:spacing w:line="224" w:lineRule="exact" w:before="4"/>
              <w:ind w:left="111" w:right="95"/>
              <w:jc w:val="center"/>
              <w:rPr>
                <w:sz w:val="20"/>
              </w:rPr>
            </w:pPr>
            <w:r>
              <w:rPr>
                <w:sz w:val="20"/>
              </w:rPr>
              <w:t>Не</w:t>
            </w:r>
            <w:r>
              <w:rPr>
                <w:spacing w:val="-6"/>
                <w:sz w:val="20"/>
              </w:rPr>
              <w:t> </w:t>
            </w:r>
            <w:r>
              <w:rPr>
                <w:sz w:val="20"/>
              </w:rPr>
              <w:t>влияет</w:t>
            </w:r>
            <w:r>
              <w:rPr>
                <w:spacing w:val="-4"/>
                <w:sz w:val="20"/>
              </w:rPr>
              <w:t> </w:t>
            </w:r>
            <w:r>
              <w:rPr>
                <w:sz w:val="20"/>
              </w:rPr>
              <w:t>на</w:t>
            </w:r>
            <w:r>
              <w:rPr>
                <w:spacing w:val="-5"/>
                <w:sz w:val="20"/>
              </w:rPr>
              <w:t> </w:t>
            </w:r>
            <w:r>
              <w:rPr>
                <w:sz w:val="20"/>
              </w:rPr>
              <w:t>целостность</w:t>
            </w:r>
            <w:r>
              <w:rPr>
                <w:spacing w:val="-6"/>
                <w:sz w:val="20"/>
              </w:rPr>
              <w:t> </w:t>
            </w:r>
            <w:r>
              <w:rPr>
                <w:spacing w:val="-5"/>
                <w:sz w:val="20"/>
              </w:rPr>
              <w:t>ДНК</w:t>
            </w:r>
          </w:p>
        </w:tc>
        <w:tc>
          <w:tcPr>
            <w:tcW w:w="1624" w:type="dxa"/>
          </w:tcPr>
          <w:p>
            <w:pPr>
              <w:pStyle w:val="TableParagraph"/>
              <w:ind w:left="22"/>
              <w:jc w:val="center"/>
              <w:rPr>
                <w:sz w:val="20"/>
              </w:rPr>
            </w:pPr>
            <w:r>
              <w:rPr>
                <w:sz w:val="20"/>
              </w:rPr>
              <w:t>Iaffaldano</w:t>
            </w:r>
            <w:r>
              <w:rPr>
                <w:spacing w:val="-10"/>
                <w:sz w:val="20"/>
              </w:rPr>
              <w:t> </w:t>
            </w:r>
            <w:r>
              <w:rPr>
                <w:sz w:val="20"/>
              </w:rPr>
              <w:t>и</w:t>
            </w:r>
            <w:r>
              <w:rPr>
                <w:spacing w:val="-12"/>
                <w:sz w:val="20"/>
              </w:rPr>
              <w:t> </w:t>
            </w:r>
            <w:r>
              <w:rPr>
                <w:spacing w:val="-5"/>
                <w:sz w:val="20"/>
              </w:rPr>
              <w:t>др.</w:t>
            </w:r>
          </w:p>
          <w:p>
            <w:pPr>
              <w:pStyle w:val="TableParagraph"/>
              <w:spacing w:before="15"/>
              <w:ind w:left="22" w:right="1"/>
              <w:jc w:val="center"/>
              <w:rPr>
                <w:sz w:val="20"/>
              </w:rPr>
            </w:pPr>
            <w:r>
              <w:rPr>
                <w:spacing w:val="-2"/>
                <w:sz w:val="20"/>
              </w:rPr>
              <w:t>(2016)</w:t>
            </w:r>
          </w:p>
        </w:tc>
      </w:tr>
    </w:tbl>
    <w:p>
      <w:pPr>
        <w:pStyle w:val="TableParagraph"/>
        <w:spacing w:after="0"/>
        <w:jc w:val="center"/>
        <w:rPr>
          <w:sz w:val="20"/>
        </w:rPr>
        <w:sectPr>
          <w:footerReference w:type="default" r:id="rId18"/>
          <w:pgSz w:w="16840" w:h="11910" w:orient="landscape"/>
          <w:pgMar w:header="0" w:footer="1002" w:top="500" w:bottom="1200" w:left="992" w:right="425"/>
        </w:sectPr>
      </w:pPr>
    </w:p>
    <w:p>
      <w:pPr>
        <w:pStyle w:val="BodyText"/>
        <w:spacing w:line="256" w:lineRule="auto" w:before="72"/>
        <w:ind w:left="286" w:right="278" w:firstLine="707"/>
      </w:pPr>
      <w:r>
        <w:rPr/>
        <w:t>Таким образом, большое число сообщений о влиянии ЭМИ на подвижность сперматозоидов, как человека, так и других животных дает основание для планирования экспериментов с сочетанием длин волн, времени экспозиции и сообщаемой энергии для дальнейшего подбора оптимальных</w:t>
      </w:r>
      <w:r>
        <w:rPr>
          <w:spacing w:val="-1"/>
        </w:rPr>
        <w:t> </w:t>
      </w:r>
      <w:r>
        <w:rPr/>
        <w:t>параметров</w:t>
      </w:r>
      <w:r>
        <w:rPr>
          <w:spacing w:val="-3"/>
        </w:rPr>
        <w:t> </w:t>
      </w:r>
      <w:r>
        <w:rPr/>
        <w:t>облучения, не нарушающих целостность генетического материала и эффективно увеличивающих кинематические характеристики сперматозоидов.</w:t>
      </w:r>
    </w:p>
    <w:p>
      <w:pPr>
        <w:pStyle w:val="BodyText"/>
        <w:spacing w:before="13"/>
        <w:jc w:val="left"/>
      </w:pPr>
    </w:p>
    <w:p>
      <w:pPr>
        <w:pStyle w:val="Heading2"/>
        <w:numPr>
          <w:ilvl w:val="2"/>
          <w:numId w:val="8"/>
        </w:numPr>
        <w:tabs>
          <w:tab w:pos="1728" w:val="left" w:leader="none"/>
        </w:tabs>
        <w:spacing w:line="256" w:lineRule="auto" w:before="0" w:after="0"/>
        <w:ind w:left="286" w:right="281" w:firstLine="707"/>
        <w:jc w:val="both"/>
      </w:pPr>
      <w:r>
        <w:rPr/>
        <w:t>Влияние электромагнитных излучений на продукцию активных форм кислорода и фрагментацию ДНК сперматозоидов</w:t>
      </w:r>
    </w:p>
    <w:p>
      <w:pPr>
        <w:pStyle w:val="BodyText"/>
        <w:spacing w:line="256" w:lineRule="auto"/>
        <w:ind w:left="285" w:right="278" w:firstLine="708"/>
      </w:pPr>
      <w:r>
        <w:rPr/>
        <w:t>Описанные в обзоре Yeste и соавторов (2018) сообщения показывают, что видимый спектр ЭМИ не вызывает нарушения целостности ДНК сперматозоидов вне зависимости от длины волны [162]. В работе Firestone и соавторов (2012) облучали сперму пациентов с разным потенциалом фертильности</w:t>
      </w:r>
      <w:r>
        <w:rPr>
          <w:spacing w:val="40"/>
        </w:rPr>
        <w:t> </w:t>
      </w:r>
      <w:r>
        <w:rPr/>
        <w:t>(нормозооспермия, астенозооспермия и олигоастенозооспермия) при длине волны инфракрасного излучения (λ = 905 нм; плотности энергии = 50 мВт/см</w:t>
      </w:r>
      <w:r>
        <w:rPr>
          <w:vertAlign w:val="superscript"/>
        </w:rPr>
        <w:t>2</w:t>
      </w:r>
      <w:r>
        <w:rPr>
          <w:vertAlign w:val="baseline"/>
        </w:rPr>
        <w:t>, интенсивности энергии = 1,5 Дж см</w:t>
      </w:r>
      <w:r>
        <w:rPr>
          <w:vertAlign w:val="superscript"/>
        </w:rPr>
        <w:t>-2</w:t>
      </w:r>
      <w:r>
        <w:rPr>
          <w:vertAlign w:val="baseline"/>
        </w:rPr>
        <w:t>) в течение 30 с. После экспозиции образцов в течение 30 и 120 минут при 37°С их замораживали при -80°C, оттаивали и</w:t>
      </w:r>
      <w:r>
        <w:rPr>
          <w:spacing w:val="40"/>
          <w:vertAlign w:val="baseline"/>
        </w:rPr>
        <w:t> </w:t>
      </w:r>
      <w:r>
        <w:rPr>
          <w:vertAlign w:val="baseline"/>
        </w:rPr>
        <w:t>оценивали фрагментацию ДНК. Изменений целостности ДНК не наблюдалось [157]. В</w:t>
      </w:r>
      <w:r>
        <w:rPr>
          <w:spacing w:val="-3"/>
          <w:vertAlign w:val="baseline"/>
        </w:rPr>
        <w:t> </w:t>
      </w:r>
      <w:r>
        <w:rPr>
          <w:vertAlign w:val="baseline"/>
        </w:rPr>
        <w:t>исследовании</w:t>
      </w:r>
      <w:r>
        <w:rPr>
          <w:spacing w:val="-2"/>
          <w:vertAlign w:val="baseline"/>
        </w:rPr>
        <w:t> </w:t>
      </w:r>
      <w:r>
        <w:rPr>
          <w:vertAlign w:val="baseline"/>
        </w:rPr>
        <w:t>Salman</w:t>
      </w:r>
      <w:r>
        <w:rPr>
          <w:spacing w:val="-2"/>
          <w:vertAlign w:val="baseline"/>
        </w:rPr>
        <w:t> </w:t>
      </w:r>
      <w:r>
        <w:rPr>
          <w:vertAlign w:val="baseline"/>
        </w:rPr>
        <w:t>и</w:t>
      </w:r>
      <w:r>
        <w:rPr>
          <w:spacing w:val="-2"/>
          <w:vertAlign w:val="baseline"/>
        </w:rPr>
        <w:t> </w:t>
      </w:r>
      <w:r>
        <w:rPr>
          <w:vertAlign w:val="baseline"/>
        </w:rPr>
        <w:t>соавторов</w:t>
      </w:r>
      <w:r>
        <w:rPr>
          <w:spacing w:val="-3"/>
          <w:vertAlign w:val="baseline"/>
        </w:rPr>
        <w:t> </w:t>
      </w:r>
      <w:r>
        <w:rPr>
          <w:vertAlign w:val="baseline"/>
        </w:rPr>
        <w:t>(2014)</w:t>
      </w:r>
      <w:r>
        <w:rPr>
          <w:spacing w:val="-5"/>
          <w:vertAlign w:val="baseline"/>
        </w:rPr>
        <w:t> </w:t>
      </w:r>
      <w:r>
        <w:rPr>
          <w:vertAlign w:val="baseline"/>
        </w:rPr>
        <w:t>облучали</w:t>
      </w:r>
      <w:r>
        <w:rPr>
          <w:spacing w:val="-2"/>
          <w:vertAlign w:val="baseline"/>
        </w:rPr>
        <w:t> </w:t>
      </w:r>
      <w:r>
        <w:rPr>
          <w:vertAlign w:val="baseline"/>
        </w:rPr>
        <w:t>человеческую</w:t>
      </w:r>
      <w:r>
        <w:rPr>
          <w:spacing w:val="-4"/>
          <w:vertAlign w:val="baseline"/>
        </w:rPr>
        <w:t> </w:t>
      </w:r>
      <w:r>
        <w:rPr>
          <w:vertAlign w:val="baseline"/>
        </w:rPr>
        <w:t>сперму</w:t>
      </w:r>
      <w:r>
        <w:rPr>
          <w:spacing w:val="-2"/>
          <w:vertAlign w:val="baseline"/>
        </w:rPr>
        <w:t> </w:t>
      </w:r>
      <w:r>
        <w:rPr>
          <w:vertAlign w:val="baseline"/>
        </w:rPr>
        <w:t>лазером</w:t>
      </w:r>
      <w:r>
        <w:rPr>
          <w:spacing w:val="-5"/>
          <w:vertAlign w:val="baseline"/>
        </w:rPr>
        <w:t> </w:t>
      </w:r>
      <w:r>
        <w:rPr>
          <w:vertAlign w:val="baseline"/>
        </w:rPr>
        <w:t>с длиной волны 830 нм (выходная мощность = 100 мВт; плотность энергии = 10 Дж см</w:t>
      </w:r>
      <w:r>
        <w:rPr>
          <w:vertAlign w:val="superscript"/>
        </w:rPr>
        <w:t>-2</w:t>
      </w:r>
      <w:r>
        <w:rPr>
          <w:vertAlign w:val="baseline"/>
        </w:rPr>
        <w:t>) и не обнаружили влияния на целостность хроматина сперматозоидов [158]. Красная световая стимуляция диодным лазером (λ = 633 нм, плотность энергии = 31 мВт/см</w:t>
      </w:r>
      <w:r>
        <w:rPr>
          <w:vertAlign w:val="superscript"/>
        </w:rPr>
        <w:t>2</w:t>
      </w:r>
      <w:r>
        <w:rPr>
          <w:vertAlign w:val="baseline"/>
        </w:rPr>
        <w:t>) описанная Preece и соавторами (2017) так же не обнаружила повреждающего эффекта</w:t>
      </w:r>
      <w:r>
        <w:rPr>
          <w:spacing w:val="-1"/>
          <w:vertAlign w:val="baseline"/>
        </w:rPr>
        <w:t> </w:t>
      </w:r>
      <w:r>
        <w:rPr>
          <w:vertAlign w:val="baseline"/>
        </w:rPr>
        <w:t>на ДНК сперматозоидов [159]. Эти результаты аналогичны сообщению Salama и соавторов (2015), которые не обнаружили вредного воздействия световой стимуляции на фрагментацию ДНК сперматозоидов (λ = 636,6 нм; выходная мощность = 1,3 Вт). Примечательно, что результаты, полученные у людей, аналогичны другим млекопитающим (см.таблицу 4) [162].</w:t>
      </w:r>
    </w:p>
    <w:p>
      <w:pPr>
        <w:pStyle w:val="BodyText"/>
        <w:spacing w:line="301" w:lineRule="exact"/>
        <w:ind w:left="994"/>
      </w:pPr>
      <w:r>
        <w:rPr/>
        <w:t>В</w:t>
      </w:r>
      <w:r>
        <w:rPr>
          <w:spacing w:val="36"/>
        </w:rPr>
        <w:t>  </w:t>
      </w:r>
      <w:r>
        <w:rPr/>
        <w:t>норме</w:t>
      </w:r>
      <w:r>
        <w:rPr>
          <w:spacing w:val="36"/>
        </w:rPr>
        <w:t>  </w:t>
      </w:r>
      <w:r>
        <w:rPr/>
        <w:t>низкий</w:t>
      </w:r>
      <w:r>
        <w:rPr>
          <w:spacing w:val="37"/>
        </w:rPr>
        <w:t>  </w:t>
      </w:r>
      <w:r>
        <w:rPr/>
        <w:t>уровень</w:t>
      </w:r>
      <w:r>
        <w:rPr>
          <w:spacing w:val="36"/>
        </w:rPr>
        <w:t>  </w:t>
      </w:r>
      <w:r>
        <w:rPr/>
        <w:t>АФК</w:t>
      </w:r>
      <w:r>
        <w:rPr>
          <w:spacing w:val="36"/>
        </w:rPr>
        <w:t>  </w:t>
      </w:r>
      <w:r>
        <w:rPr/>
        <w:t>действует</w:t>
      </w:r>
      <w:r>
        <w:rPr>
          <w:spacing w:val="37"/>
        </w:rPr>
        <w:t>  </w:t>
      </w:r>
      <w:r>
        <w:rPr/>
        <w:t>как</w:t>
      </w:r>
      <w:r>
        <w:rPr>
          <w:spacing w:val="36"/>
        </w:rPr>
        <w:t>  </w:t>
      </w:r>
      <w:r>
        <w:rPr/>
        <w:t>важный</w:t>
      </w:r>
      <w:r>
        <w:rPr>
          <w:spacing w:val="37"/>
        </w:rPr>
        <w:t>  </w:t>
      </w:r>
      <w:r>
        <w:rPr/>
        <w:t>посредник</w:t>
      </w:r>
      <w:r>
        <w:rPr>
          <w:spacing w:val="37"/>
        </w:rPr>
        <w:t>  </w:t>
      </w:r>
      <w:r>
        <w:rPr>
          <w:spacing w:val="-5"/>
        </w:rPr>
        <w:t>при</w:t>
      </w:r>
    </w:p>
    <w:p>
      <w:pPr>
        <w:pStyle w:val="BodyText"/>
        <w:spacing w:line="256" w:lineRule="auto" w:before="19"/>
        <w:ind w:left="285" w:right="278"/>
      </w:pPr>
      <w:r>
        <w:rPr/>
        <w:t>оплодотворении, позволяя акросоме сперматозоида реагировать с ооцитом [163]. Ранее было показано, что стимуляция лазерным излучением с длиной волны 630 нм может приводить к выработке АФК, таких как перекись водорода (H</w:t>
      </w:r>
      <w:r>
        <w:rPr>
          <w:vertAlign w:val="subscript"/>
        </w:rPr>
        <w:t>2</w:t>
      </w:r>
      <w:r>
        <w:rPr>
          <w:vertAlign w:val="baseline"/>
        </w:rPr>
        <w:t>O</w:t>
      </w:r>
      <w:r>
        <w:rPr>
          <w:vertAlign w:val="subscript"/>
        </w:rPr>
        <w:t>2</w:t>
      </w:r>
      <w:r>
        <w:rPr>
          <w:vertAlign w:val="baseline"/>
        </w:rPr>
        <w:t>), в митохондриях сперматозоидов мышей [164]. Благодаря многочисленным исследованиям стало известно, что свет влияет на клетки через производство АФК [164-168]. Одной из таких АФК является супероксид-анион, который может быть преобразован в перекись водорода с помощью супероксид дисмутазы (СОД). Добавление СОД к суспензии сперматозоидов перед световым облучением предотвращает гиперактивацию сперматозоидов после воздействия света. Кроме того, СОД предотвращает развитие гиперактивации при капацитации сперматозоидов вконтрольных клетках, но не в присутствии аналога цАМФ - 8-бромаденозин-циклического монофосфата (8Br-цАМФ), что указывает на то, что АФК могут усиливать продукцию цАМФ. Эти данные свидетельствуют о том, что АФК</w:t>
      </w:r>
      <w:r>
        <w:rPr>
          <w:spacing w:val="38"/>
          <w:vertAlign w:val="baseline"/>
        </w:rPr>
        <w:t> </w:t>
      </w:r>
      <w:r>
        <w:rPr>
          <w:vertAlign w:val="baseline"/>
        </w:rPr>
        <w:t>продуцируются</w:t>
      </w:r>
      <w:r>
        <w:rPr>
          <w:spacing w:val="38"/>
          <w:vertAlign w:val="baseline"/>
        </w:rPr>
        <w:t> </w:t>
      </w:r>
      <w:r>
        <w:rPr>
          <w:vertAlign w:val="baseline"/>
        </w:rPr>
        <w:t>во</w:t>
      </w:r>
      <w:r>
        <w:rPr>
          <w:spacing w:val="39"/>
          <w:vertAlign w:val="baseline"/>
        </w:rPr>
        <w:t> </w:t>
      </w:r>
      <w:r>
        <w:rPr>
          <w:vertAlign w:val="baseline"/>
        </w:rPr>
        <w:t>время</w:t>
      </w:r>
      <w:r>
        <w:rPr>
          <w:spacing w:val="38"/>
          <w:vertAlign w:val="baseline"/>
        </w:rPr>
        <w:t> </w:t>
      </w:r>
      <w:r>
        <w:rPr>
          <w:vertAlign w:val="baseline"/>
        </w:rPr>
        <w:t>инкубации</w:t>
      </w:r>
      <w:r>
        <w:rPr>
          <w:spacing w:val="39"/>
          <w:vertAlign w:val="baseline"/>
        </w:rPr>
        <w:t> </w:t>
      </w:r>
      <w:r>
        <w:rPr>
          <w:vertAlign w:val="baseline"/>
        </w:rPr>
        <w:t>и</w:t>
      </w:r>
      <w:r>
        <w:rPr>
          <w:spacing w:val="39"/>
          <w:vertAlign w:val="baseline"/>
        </w:rPr>
        <w:t> </w:t>
      </w:r>
      <w:r>
        <w:rPr>
          <w:vertAlign w:val="baseline"/>
        </w:rPr>
        <w:t>что</w:t>
      </w:r>
      <w:r>
        <w:rPr>
          <w:spacing w:val="39"/>
          <w:vertAlign w:val="baseline"/>
        </w:rPr>
        <w:t> </w:t>
      </w:r>
      <w:r>
        <w:rPr>
          <w:vertAlign w:val="baseline"/>
        </w:rPr>
        <w:t>продукция</w:t>
      </w:r>
      <w:r>
        <w:rPr>
          <w:spacing w:val="38"/>
          <w:vertAlign w:val="baseline"/>
        </w:rPr>
        <w:t> </w:t>
      </w:r>
      <w:r>
        <w:rPr>
          <w:vertAlign w:val="baseline"/>
        </w:rPr>
        <w:t>АФК</w:t>
      </w:r>
      <w:r>
        <w:rPr>
          <w:spacing w:val="35"/>
          <w:vertAlign w:val="baseline"/>
        </w:rPr>
        <w:t> </w:t>
      </w:r>
      <w:r>
        <w:rPr>
          <w:vertAlign w:val="baseline"/>
        </w:rPr>
        <w:t>усиливается</w:t>
      </w:r>
      <w:r>
        <w:rPr>
          <w:spacing w:val="38"/>
          <w:vertAlign w:val="baseline"/>
        </w:rPr>
        <w:t> </w:t>
      </w:r>
      <w:r>
        <w:rPr>
          <w:vertAlign w:val="baseline"/>
        </w:rPr>
        <w:t>при</w:t>
      </w:r>
    </w:p>
    <w:p>
      <w:pPr>
        <w:pStyle w:val="BodyText"/>
        <w:spacing w:after="0" w:line="256" w:lineRule="auto"/>
        <w:sectPr>
          <w:footerReference w:type="default" r:id="rId19"/>
          <w:pgSz w:w="11910" w:h="16840"/>
          <w:pgMar w:header="0" w:footer="983" w:top="680" w:bottom="1180" w:left="566" w:right="566"/>
          <w:pgNumType w:start="36"/>
        </w:sectPr>
      </w:pPr>
    </w:p>
    <w:p>
      <w:pPr>
        <w:pStyle w:val="BodyText"/>
        <w:spacing w:line="256" w:lineRule="auto" w:before="69"/>
        <w:ind w:left="285" w:right="278"/>
      </w:pPr>
      <w:r>
        <w:rPr/>
        <w:t>облучении светом. В работе Shahar и соавторов (2011) показано, что АФК образовывались через 1–3 мин светового облучения, в то же время наблюдалось значительное снижение АФК в присутствии СОД или ингибитора митохондриального дыхания- азида. Продукция АФК азидом и усиленная флуоресценция светом в средней части спермия, где расположены митохондрии, четко указывало на то, что митохондриальное дыхание сперматозоидов является основным источником АФК, образующихся при световом освещении [169].</w:t>
      </w:r>
    </w:p>
    <w:p>
      <w:pPr>
        <w:pStyle w:val="BodyText"/>
        <w:spacing w:line="256" w:lineRule="auto"/>
        <w:ind w:left="285" w:right="278" w:firstLine="708"/>
      </w:pPr>
      <w:r>
        <w:rPr/>
        <w:t>Однако, высокие уровни АФК могут повредить ДНК. Увеличение концентрации активных форм кислорода и развитие окислительного стресса в ответ на воздействие лазерного излучения в диапазоне 1265–1270 нм ранее было показано при фотобиомодуляции в разных дозах на клеточных линиях животных [170-175]. При этом наблюдалось изменение мембранного потенциала митохондрий,</w:t>
      </w:r>
      <w:r>
        <w:rPr>
          <w:spacing w:val="40"/>
        </w:rPr>
        <w:t> </w:t>
      </w:r>
      <w:r>
        <w:rPr/>
        <w:t>окисление белков и ДНК, апоптоз и другие клеточные события. Данная реакция клеток на облучение обусловлена вмешательством в работу митохондрий, считающихся основными акцепторами ЭМИ [176-180]. Поэтому есть основания полагать, что световая стимуляция может вызывать усиление окислительных реакций и повреждение ДНК соответственно.</w:t>
      </w:r>
    </w:p>
    <w:p>
      <w:pPr>
        <w:pStyle w:val="BodyText"/>
        <w:spacing w:line="256" w:lineRule="auto"/>
        <w:ind w:left="285" w:right="279" w:firstLine="707"/>
      </w:pPr>
      <w:r>
        <w:rPr/>
        <w:t>Предыдущие исследования показали, что повреждение ДНК может привести к бесплодию у мужчин и что окислительный стресс от АФК является основной причиной фрагментации ДНК. Наиболее заметные повреждения ядерной ДНК обнаруживаются вблизи средней части сперматозоида, где сконцентрированы митохондрии [98-109, 181-183]. Поэтому оценка воздействия ЭМИ на ДНК важна, особенно если прикладной аспект предполагает внедрение в клиническую практику. Большинство сообщений о безопасности ЭМИ для ДНК видимого и инфракрасного диапазонов относится к лазерному облучению, красному и инфракрасному</w:t>
      </w:r>
      <w:r>
        <w:rPr>
          <w:spacing w:val="40"/>
        </w:rPr>
        <w:t> </w:t>
      </w:r>
      <w:r>
        <w:rPr/>
        <w:t>спектрам, влияние синего, зеленого, желтого спектров и их сочетаний пока мало изучено, как и не рассмотрены все возможные временные рамки экспозиции ЭМИ.</w:t>
      </w:r>
    </w:p>
    <w:p>
      <w:pPr>
        <w:pStyle w:val="Heading2"/>
        <w:numPr>
          <w:ilvl w:val="2"/>
          <w:numId w:val="8"/>
        </w:numPr>
        <w:tabs>
          <w:tab w:pos="1622" w:val="left" w:leader="none"/>
        </w:tabs>
        <w:spacing w:line="240" w:lineRule="auto" w:before="311" w:after="0"/>
        <w:ind w:left="1622" w:right="0" w:hanging="629"/>
        <w:jc w:val="both"/>
      </w:pPr>
      <w:r>
        <w:rPr/>
        <w:t>Влияние</w:t>
      </w:r>
      <w:r>
        <w:rPr>
          <w:spacing w:val="-6"/>
        </w:rPr>
        <w:t> </w:t>
      </w:r>
      <w:r>
        <w:rPr/>
        <w:t>света</w:t>
      </w:r>
      <w:r>
        <w:rPr>
          <w:spacing w:val="-6"/>
        </w:rPr>
        <w:t> </w:t>
      </w:r>
      <w:r>
        <w:rPr/>
        <w:t>на</w:t>
      </w:r>
      <w:r>
        <w:rPr>
          <w:spacing w:val="-5"/>
        </w:rPr>
        <w:t> </w:t>
      </w:r>
      <w:r>
        <w:rPr/>
        <w:t>капацитацию</w:t>
      </w:r>
      <w:r>
        <w:rPr>
          <w:spacing w:val="-6"/>
        </w:rPr>
        <w:t> </w:t>
      </w:r>
      <w:r>
        <w:rPr>
          <w:spacing w:val="-2"/>
        </w:rPr>
        <w:t>сперматозоидов</w:t>
      </w:r>
    </w:p>
    <w:p>
      <w:pPr>
        <w:pStyle w:val="BodyText"/>
        <w:spacing w:line="256" w:lineRule="auto" w:before="23"/>
        <w:ind w:left="285" w:right="278" w:firstLine="708"/>
      </w:pPr>
      <w:r>
        <w:rPr/>
        <w:t>Несмотря на активную подвижность сперматозоидов сразу же после проникновения в женский половой тракт, они не способны к оплодотворению ооцита. Для успешного оплодотворения сперматозоид должен претерпеть ряд физиологических изменений под общим названием «капацитация». Впервые капацитация сперматозоидов была описана в 1951 г. независимо друг от друга</w:t>
      </w:r>
      <w:r>
        <w:rPr>
          <w:spacing w:val="80"/>
        </w:rPr>
        <w:t> </w:t>
      </w:r>
      <w:r>
        <w:rPr/>
        <w:t>Chang (США) и Austin (Австралия). Инициация и завершение капацитации осуществляется в цервикальном канале шейки матки. Капацитация характеризуется удалением холестерина с плазматической мембраны сперматозоида, повышением текучести мембраны, изменением мембранного потенциала, интенсификацией тирозинового фосфорилирования, а также полимеризацией актина и другими биохимическими событиями [184-188]. У человека капацитация может быть инициирована </w:t>
      </w:r>
      <w:r>
        <w:rPr>
          <w:i/>
        </w:rPr>
        <w:t>in vitro </w:t>
      </w:r>
      <w:r>
        <w:rPr/>
        <w:t>в культуральной среде, имитирующей электролитный состав жидкости маточных труб, содержащей в своем составе пируват, лактат, глюкозу, человеческий сывороточный альбумин и другие компоненты. Капацитация протекает как в головке (акросомная реакция) так и в шейке и хвосте сперматозоида</w:t>
      </w:r>
    </w:p>
    <w:p>
      <w:pPr>
        <w:pStyle w:val="BodyText"/>
        <w:spacing w:after="0" w:line="256" w:lineRule="auto"/>
        <w:sectPr>
          <w:pgSz w:w="11910" w:h="16840"/>
          <w:pgMar w:header="0" w:footer="983" w:top="340" w:bottom="1200" w:left="566" w:right="566"/>
        </w:sectPr>
      </w:pPr>
    </w:p>
    <w:p>
      <w:pPr>
        <w:pStyle w:val="BodyText"/>
        <w:spacing w:line="256" w:lineRule="auto" w:before="69"/>
        <w:ind w:left="285" w:right="280"/>
      </w:pPr>
      <w:r>
        <w:rPr/>
        <w:t>(гиперактивация). Гиперактивированные сперматозоиды имеют большую скорость движения, интенсивность и амплитуду жгутиковых биений (см. рисунок 9). Такой характер движений позволяет сперматозоидам перемещаться в вязком секрете женского полового тракта и преодолевать кумулюсное окружение ооцита [189-191].</w:t>
      </w:r>
    </w:p>
    <w:p>
      <w:pPr>
        <w:pStyle w:val="BodyText"/>
        <w:spacing w:before="144"/>
        <w:jc w:val="left"/>
        <w:rPr>
          <w:sz w:val="20"/>
        </w:rPr>
      </w:pPr>
      <w:r>
        <w:rPr>
          <w:sz w:val="20"/>
        </w:rPr>
        <w:drawing>
          <wp:anchor distT="0" distB="0" distL="0" distR="0" allowOverlap="1" layoutInCell="1" locked="0" behindDoc="1" simplePos="0" relativeHeight="487593984">
            <wp:simplePos x="0" y="0"/>
            <wp:positionH relativeFrom="page">
              <wp:posOffset>2238660</wp:posOffset>
            </wp:positionH>
            <wp:positionV relativeFrom="paragraph">
              <wp:posOffset>253194</wp:posOffset>
            </wp:positionV>
            <wp:extent cx="3070102" cy="4085367"/>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0" cstate="print"/>
                    <a:stretch>
                      <a:fillRect/>
                    </a:stretch>
                  </pic:blipFill>
                  <pic:spPr>
                    <a:xfrm>
                      <a:off x="0" y="0"/>
                      <a:ext cx="3070102" cy="4085367"/>
                    </a:xfrm>
                    <a:prstGeom prst="rect">
                      <a:avLst/>
                    </a:prstGeom>
                  </pic:spPr>
                </pic:pic>
              </a:graphicData>
            </a:graphic>
          </wp:anchor>
        </w:drawing>
      </w:r>
    </w:p>
    <w:p>
      <w:pPr>
        <w:pStyle w:val="BodyText"/>
        <w:spacing w:before="187"/>
        <w:jc w:val="center"/>
      </w:pPr>
      <w:r>
        <w:rPr/>
        <w:t>Рисунок</w:t>
      </w:r>
      <w:r>
        <w:rPr>
          <w:spacing w:val="-7"/>
        </w:rPr>
        <w:t> </w:t>
      </w:r>
      <w:r>
        <w:rPr/>
        <w:t>9</w:t>
      </w:r>
      <w:r>
        <w:rPr>
          <w:spacing w:val="-4"/>
        </w:rPr>
        <w:t> </w:t>
      </w:r>
      <w:r>
        <w:rPr>
          <w:rFonts w:ascii="Arial MT" w:hAnsi="Arial MT"/>
          <w:color w:val="454545"/>
          <w:sz w:val="21"/>
        </w:rPr>
        <w:t>—</w:t>
      </w:r>
      <w:r>
        <w:rPr>
          <w:rFonts w:ascii="Arial MT" w:hAnsi="Arial MT"/>
          <w:color w:val="454545"/>
          <w:spacing w:val="-5"/>
          <w:sz w:val="21"/>
        </w:rPr>
        <w:t> </w:t>
      </w:r>
      <w:r>
        <w:rPr/>
        <w:t>Капацитация</w:t>
      </w:r>
      <w:r>
        <w:rPr>
          <w:spacing w:val="-4"/>
        </w:rPr>
        <w:t> </w:t>
      </w:r>
      <w:r>
        <w:rPr>
          <w:spacing w:val="-2"/>
        </w:rPr>
        <w:t>сперматозоида.</w:t>
      </w:r>
    </w:p>
    <w:p>
      <w:pPr>
        <w:pStyle w:val="BodyText"/>
        <w:spacing w:before="47"/>
        <w:ind w:right="1"/>
        <w:jc w:val="center"/>
      </w:pPr>
      <w:r>
        <w:rPr/>
        <w:t>1-</w:t>
      </w:r>
      <w:r>
        <w:rPr>
          <w:spacing w:val="-11"/>
        </w:rPr>
        <w:t> </w:t>
      </w:r>
      <w:r>
        <w:rPr/>
        <w:t>неактивный,</w:t>
      </w:r>
      <w:r>
        <w:rPr>
          <w:spacing w:val="-8"/>
        </w:rPr>
        <w:t> </w:t>
      </w:r>
      <w:r>
        <w:rPr/>
        <w:t>покрытый</w:t>
      </w:r>
      <w:r>
        <w:rPr>
          <w:spacing w:val="-8"/>
        </w:rPr>
        <w:t> </w:t>
      </w:r>
      <w:r>
        <w:rPr/>
        <w:t>холестерином</w:t>
      </w:r>
      <w:r>
        <w:rPr>
          <w:spacing w:val="-10"/>
        </w:rPr>
        <w:t> </w:t>
      </w:r>
      <w:r>
        <w:rPr/>
        <w:t>сперматозоид;</w:t>
      </w:r>
      <w:r>
        <w:rPr>
          <w:spacing w:val="-8"/>
        </w:rPr>
        <w:t> </w:t>
      </w:r>
      <w:r>
        <w:rPr/>
        <w:t>2-инициация</w:t>
      </w:r>
      <w:r>
        <w:rPr>
          <w:spacing w:val="-7"/>
        </w:rPr>
        <w:t> </w:t>
      </w:r>
      <w:r>
        <w:rPr>
          <w:spacing w:val="-2"/>
        </w:rPr>
        <w:t>капацитации;</w:t>
      </w:r>
    </w:p>
    <w:p>
      <w:pPr>
        <w:pStyle w:val="BodyText"/>
        <w:spacing w:before="48"/>
        <w:jc w:val="center"/>
      </w:pPr>
      <w:r>
        <w:rPr/>
        <w:t>3-капацитированный</w:t>
      </w:r>
      <w:r>
        <w:rPr>
          <w:spacing w:val="-16"/>
        </w:rPr>
        <w:t> </w:t>
      </w:r>
      <w:r>
        <w:rPr/>
        <w:t>гиперактивированный</w:t>
      </w:r>
      <w:r>
        <w:rPr>
          <w:spacing w:val="-13"/>
        </w:rPr>
        <w:t> </w:t>
      </w:r>
      <w:r>
        <w:rPr/>
        <w:t>сперматозоид</w:t>
      </w:r>
      <w:r>
        <w:rPr>
          <w:spacing w:val="-13"/>
        </w:rPr>
        <w:t> </w:t>
      </w:r>
      <w:r>
        <w:rPr>
          <w:spacing w:val="-2"/>
        </w:rPr>
        <w:t>[186]</w:t>
      </w:r>
    </w:p>
    <w:p>
      <w:pPr>
        <w:pStyle w:val="BodyText"/>
        <w:spacing w:before="98"/>
        <w:jc w:val="left"/>
      </w:pPr>
    </w:p>
    <w:p>
      <w:pPr>
        <w:pStyle w:val="BodyText"/>
        <w:spacing w:line="256" w:lineRule="auto"/>
        <w:ind w:left="285" w:right="278" w:firstLine="708"/>
      </w:pPr>
      <w:r>
        <w:rPr/>
        <w:t>Полимеризация актина и фосфорилирование аминокислоты - тирозина являются двумя процессами, необходимыми для капацитации сперматозоидов [192-194]. Эти два процесса стимулируются низкими концентрациями H</w:t>
      </w:r>
      <w:r>
        <w:rPr>
          <w:vertAlign w:val="subscript"/>
        </w:rPr>
        <w:t>2</w:t>
      </w:r>
      <w:r>
        <w:rPr>
          <w:vertAlign w:val="baseline"/>
        </w:rPr>
        <w:t>O</w:t>
      </w:r>
      <w:r>
        <w:rPr>
          <w:vertAlign w:val="subscript"/>
        </w:rPr>
        <w:t>2</w:t>
      </w:r>
      <w:r>
        <w:rPr>
          <w:vertAlign w:val="baseline"/>
        </w:rPr>
        <w:t>, что указывает на участие АФК [192, 195]. В работе Shahar и соавторов (2014) показано, что рецептор эпидермального фактора роста (EGFR) сперматозоидов участвует в полимеризации актина и фосфорилировании тирозина во время капацитации сперматозоидов и что полимеризация актина является важным процессом для развития гиперактивации во время капацитации сперматозоидов [196-197]. Описана полимеризация актина в ответ на 3-минутное облучение светом. Отмечается резкое увеличение</w:t>
      </w:r>
      <w:r>
        <w:rPr>
          <w:spacing w:val="-5"/>
          <w:vertAlign w:val="baseline"/>
        </w:rPr>
        <w:t> </w:t>
      </w:r>
      <w:r>
        <w:rPr>
          <w:vertAlign w:val="baseline"/>
        </w:rPr>
        <w:t>полимеризации,</w:t>
      </w:r>
      <w:r>
        <w:rPr>
          <w:spacing w:val="-5"/>
          <w:vertAlign w:val="baseline"/>
        </w:rPr>
        <w:t> </w:t>
      </w:r>
      <w:r>
        <w:rPr>
          <w:vertAlign w:val="baseline"/>
        </w:rPr>
        <w:t>которое</w:t>
      </w:r>
      <w:r>
        <w:rPr>
          <w:spacing w:val="-5"/>
          <w:vertAlign w:val="baseline"/>
        </w:rPr>
        <w:t> </w:t>
      </w:r>
      <w:r>
        <w:rPr>
          <w:vertAlign w:val="baseline"/>
        </w:rPr>
        <w:t>было</w:t>
      </w:r>
      <w:r>
        <w:rPr>
          <w:spacing w:val="-4"/>
          <w:vertAlign w:val="baseline"/>
        </w:rPr>
        <w:t> </w:t>
      </w:r>
      <w:r>
        <w:rPr>
          <w:vertAlign w:val="baseline"/>
        </w:rPr>
        <w:t>заблокировано</w:t>
      </w:r>
      <w:r>
        <w:rPr>
          <w:spacing w:val="-4"/>
          <w:vertAlign w:val="baseline"/>
        </w:rPr>
        <w:t> </w:t>
      </w:r>
      <w:r>
        <w:rPr>
          <w:vertAlign w:val="baseline"/>
        </w:rPr>
        <w:t>СОД,</w:t>
      </w:r>
      <w:r>
        <w:rPr>
          <w:spacing w:val="-5"/>
          <w:vertAlign w:val="baseline"/>
        </w:rPr>
        <w:t> </w:t>
      </w:r>
      <w:r>
        <w:rPr>
          <w:vertAlign w:val="baseline"/>
        </w:rPr>
        <w:t>что</w:t>
      </w:r>
      <w:r>
        <w:rPr>
          <w:spacing w:val="-4"/>
          <w:vertAlign w:val="baseline"/>
        </w:rPr>
        <w:t> </w:t>
      </w:r>
      <w:r>
        <w:rPr>
          <w:vertAlign w:val="baseline"/>
        </w:rPr>
        <w:t>свидетельствуют о том, что стимулированнаясветом гиперактивация опосредуется АФК-индуцированным образованием F-актина. При этом тирозиновое фосфорилирование гельсолина вызывает его ингибирование, что приводит к увеличению уровня F-актина в сперме человека, и стимулирует гиперактивацию [197-199]. Отсюда можно сделать</w:t>
      </w:r>
      <w:r>
        <w:rPr>
          <w:spacing w:val="60"/>
          <w:w w:val="150"/>
          <w:vertAlign w:val="baseline"/>
        </w:rPr>
        <w:t> </w:t>
      </w:r>
      <w:r>
        <w:rPr>
          <w:vertAlign w:val="baseline"/>
        </w:rPr>
        <w:t>вывод</w:t>
      </w:r>
      <w:r>
        <w:rPr>
          <w:spacing w:val="63"/>
          <w:w w:val="150"/>
          <w:vertAlign w:val="baseline"/>
        </w:rPr>
        <w:t> </w:t>
      </w:r>
      <w:r>
        <w:rPr>
          <w:vertAlign w:val="baseline"/>
        </w:rPr>
        <w:t>о</w:t>
      </w:r>
      <w:r>
        <w:rPr>
          <w:spacing w:val="65"/>
          <w:w w:val="150"/>
          <w:vertAlign w:val="baseline"/>
        </w:rPr>
        <w:t> </w:t>
      </w:r>
      <w:r>
        <w:rPr>
          <w:vertAlign w:val="baseline"/>
        </w:rPr>
        <w:t>том,</w:t>
      </w:r>
      <w:r>
        <w:rPr>
          <w:spacing w:val="64"/>
          <w:w w:val="150"/>
          <w:vertAlign w:val="baseline"/>
        </w:rPr>
        <w:t> </w:t>
      </w:r>
      <w:r>
        <w:rPr>
          <w:vertAlign w:val="baseline"/>
        </w:rPr>
        <w:t>что</w:t>
      </w:r>
      <w:r>
        <w:rPr>
          <w:spacing w:val="62"/>
          <w:w w:val="150"/>
          <w:vertAlign w:val="baseline"/>
        </w:rPr>
        <w:t> </w:t>
      </w:r>
      <w:r>
        <w:rPr>
          <w:vertAlign w:val="baseline"/>
        </w:rPr>
        <w:t>индуцированная</w:t>
      </w:r>
      <w:r>
        <w:rPr>
          <w:spacing w:val="65"/>
          <w:w w:val="150"/>
          <w:vertAlign w:val="baseline"/>
        </w:rPr>
        <w:t> </w:t>
      </w:r>
      <w:r>
        <w:rPr>
          <w:vertAlign w:val="baseline"/>
        </w:rPr>
        <w:t>воздействием</w:t>
      </w:r>
      <w:r>
        <w:rPr>
          <w:spacing w:val="63"/>
          <w:w w:val="150"/>
          <w:vertAlign w:val="baseline"/>
        </w:rPr>
        <w:t> </w:t>
      </w:r>
      <w:r>
        <w:rPr>
          <w:vertAlign w:val="baseline"/>
        </w:rPr>
        <w:t>света</w:t>
      </w:r>
      <w:r>
        <w:rPr>
          <w:spacing w:val="64"/>
          <w:w w:val="150"/>
          <w:vertAlign w:val="baseline"/>
        </w:rPr>
        <w:t> </w:t>
      </w:r>
      <w:r>
        <w:rPr>
          <w:spacing w:val="-2"/>
          <w:vertAlign w:val="baseline"/>
        </w:rPr>
        <w:t>гиперактивация</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79"/>
      </w:pPr>
      <w:r>
        <w:rPr/>
        <w:drawing>
          <wp:anchor distT="0" distB="0" distL="0" distR="0" allowOverlap="1" layoutInCell="1" locked="0" behindDoc="0" simplePos="0" relativeHeight="15735296">
            <wp:simplePos x="0" y="0"/>
            <wp:positionH relativeFrom="page">
              <wp:posOffset>1367631</wp:posOffset>
            </wp:positionH>
            <wp:positionV relativeFrom="paragraph">
              <wp:posOffset>561611</wp:posOffset>
            </wp:positionV>
            <wp:extent cx="5274623" cy="3570429"/>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21" cstate="print"/>
                    <a:stretch>
                      <a:fillRect/>
                    </a:stretch>
                  </pic:blipFill>
                  <pic:spPr>
                    <a:xfrm>
                      <a:off x="0" y="0"/>
                      <a:ext cx="5274623" cy="3570429"/>
                    </a:xfrm>
                    <a:prstGeom prst="rect">
                      <a:avLst/>
                    </a:prstGeom>
                  </pic:spPr>
                </pic:pic>
              </a:graphicData>
            </a:graphic>
          </wp:anchor>
        </w:drawing>
      </w:r>
      <w:r>
        <w:rPr/>
        <w:t>опосредована активацией Src, приводя к ингибированию гельсолина и образованию F-актина (см. рисунок 10).</w:t>
      </w: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38"/>
        <w:jc w:val="left"/>
      </w:pPr>
    </w:p>
    <w:p>
      <w:pPr>
        <w:pStyle w:val="BodyText"/>
        <w:spacing w:line="680" w:lineRule="atLeast"/>
        <w:ind w:left="993" w:right="206" w:firstLine="129"/>
        <w:jc w:val="left"/>
      </w:pPr>
      <w:r>
        <w:rPr/>
        <w:t>Рисунок 10 </w:t>
      </w:r>
      <w:r>
        <w:rPr>
          <w:rFonts w:ascii="Arial MT" w:hAnsi="Arial MT"/>
          <w:color w:val="454545"/>
          <w:sz w:val="21"/>
        </w:rPr>
        <w:t>— </w:t>
      </w:r>
      <w:r>
        <w:rPr/>
        <w:t>Гиперактивация сперматозоидов под воздействием света Световое</w:t>
      </w:r>
      <w:r>
        <w:rPr>
          <w:spacing w:val="54"/>
        </w:rPr>
        <w:t> </w:t>
      </w:r>
      <w:r>
        <w:rPr/>
        <w:t>облучение</w:t>
      </w:r>
      <w:r>
        <w:rPr>
          <w:spacing w:val="57"/>
        </w:rPr>
        <w:t> </w:t>
      </w:r>
      <w:r>
        <w:rPr/>
        <w:t>индуцирует</w:t>
      </w:r>
      <w:r>
        <w:rPr>
          <w:spacing w:val="57"/>
        </w:rPr>
        <w:t> </w:t>
      </w:r>
      <w:r>
        <w:rPr/>
        <w:t>продукцию</w:t>
      </w:r>
      <w:r>
        <w:rPr>
          <w:spacing w:val="53"/>
        </w:rPr>
        <w:t> </w:t>
      </w:r>
      <w:r>
        <w:rPr/>
        <w:t>АФК</w:t>
      </w:r>
      <w:r>
        <w:rPr>
          <w:spacing w:val="56"/>
        </w:rPr>
        <w:t> </w:t>
      </w:r>
      <w:r>
        <w:rPr/>
        <w:t>в</w:t>
      </w:r>
      <w:r>
        <w:rPr>
          <w:spacing w:val="57"/>
        </w:rPr>
        <w:t> </w:t>
      </w:r>
      <w:r>
        <w:rPr/>
        <w:t>митохондриях.</w:t>
      </w:r>
      <w:r>
        <w:rPr>
          <w:spacing w:val="54"/>
        </w:rPr>
        <w:t> </w:t>
      </w:r>
      <w:r>
        <w:rPr/>
        <w:t>В</w:t>
      </w:r>
      <w:r>
        <w:rPr>
          <w:spacing w:val="57"/>
        </w:rPr>
        <w:t> </w:t>
      </w:r>
      <w:r>
        <w:rPr>
          <w:spacing w:val="-4"/>
        </w:rPr>
        <w:t>свою</w:t>
      </w:r>
    </w:p>
    <w:p>
      <w:pPr>
        <w:pStyle w:val="BodyText"/>
        <w:spacing w:line="256" w:lineRule="auto" w:before="30"/>
        <w:ind w:left="285" w:right="278"/>
      </w:pPr>
      <w:r>
        <w:rPr/>
        <w:t>очередь, АФК активируют напряжение – зависимые от Са</w:t>
      </w:r>
      <w:r>
        <w:rPr>
          <w:vertAlign w:val="superscript"/>
        </w:rPr>
        <w:t>2+</w:t>
      </w:r>
      <w:r>
        <w:rPr>
          <w:vertAlign w:val="baseline"/>
        </w:rPr>
        <w:t> каналы, вызывающие повышение уровня внутриклеточного кальция. Ca</w:t>
      </w:r>
      <w:r>
        <w:rPr>
          <w:vertAlign w:val="superscript"/>
        </w:rPr>
        <w:t>2+</w:t>
      </w:r>
      <w:r>
        <w:rPr>
          <w:vertAlign w:val="baseline"/>
        </w:rPr>
        <w:t> активирует растворимую аденилатциклазу (sAC), что приводит к образованию циклического аденозинмонофосфата (цАМФ) и активации протеинкиназы А (PKA). PKA активирует Src-киназу (Src), которая фосфорилирует рецептор эпидермального фактора роста</w:t>
      </w:r>
      <w:r>
        <w:rPr>
          <w:spacing w:val="-3"/>
          <w:vertAlign w:val="baseline"/>
        </w:rPr>
        <w:t> </w:t>
      </w:r>
      <w:r>
        <w:rPr>
          <w:vertAlign w:val="baseline"/>
        </w:rPr>
        <w:t>(EGFR) и гельсолин (белок с многофункциональными свойствами, который выполняет роли в регуляции клеточной структуры и метаболизма, участвует в процессах, таких как разрезание, кэппинг и нуклеация микротрубочек), что приводит к повышенной полимеризации и гиперактивации актина [196].</w:t>
      </w:r>
    </w:p>
    <w:p>
      <w:pPr>
        <w:pStyle w:val="BodyText"/>
        <w:spacing w:line="256" w:lineRule="auto"/>
        <w:ind w:left="286" w:right="277" w:firstLine="708"/>
      </w:pPr>
      <w:r>
        <w:rPr/>
        <w:t>Известно несколько сообщений о воздействии ЭМИ так же на акросомную реакцию сперматозоидов. Так, например, </w:t>
      </w:r>
      <w:r>
        <w:rPr>
          <w:color w:val="1C1C1C"/>
        </w:rPr>
        <w:t>Ocana-Quero </w:t>
      </w:r>
      <w:r>
        <w:rPr/>
        <w:t>и соавторы (1997) сравнили влияние светового облучения на жизнеспособность и акросомную реакцию сперматозоидов быка с использованием гелий-неонового лазера (λ = 632,8 нм, мощность = 10 мВт, плотность энергии = 2, 4,8 и 16 Дж/см2) с другими капацитирующими</w:t>
      </w:r>
      <w:r>
        <w:rPr>
          <w:spacing w:val="-2"/>
        </w:rPr>
        <w:t> </w:t>
      </w:r>
      <w:r>
        <w:rPr/>
        <w:t>агентами</w:t>
      </w:r>
      <w:r>
        <w:rPr>
          <w:spacing w:val="-2"/>
        </w:rPr>
        <w:t> </w:t>
      </w:r>
      <w:r>
        <w:rPr/>
        <w:t>(Са</w:t>
      </w:r>
      <w:r>
        <w:rPr>
          <w:vertAlign w:val="superscript"/>
        </w:rPr>
        <w:t>2+</w:t>
      </w:r>
      <w:r>
        <w:rPr>
          <w:spacing w:val="-4"/>
          <w:vertAlign w:val="baseline"/>
        </w:rPr>
        <w:t> </w:t>
      </w:r>
      <w:r>
        <w:rPr>
          <w:vertAlign w:val="baseline"/>
        </w:rPr>
        <w:t>и</w:t>
      </w:r>
      <w:r>
        <w:rPr>
          <w:spacing w:val="-2"/>
          <w:vertAlign w:val="baseline"/>
        </w:rPr>
        <w:t> </w:t>
      </w:r>
      <w:r>
        <w:rPr>
          <w:vertAlign w:val="baseline"/>
        </w:rPr>
        <w:t>гепарин).</w:t>
      </w:r>
      <w:r>
        <w:rPr>
          <w:spacing w:val="-3"/>
          <w:vertAlign w:val="baseline"/>
        </w:rPr>
        <w:t> </w:t>
      </w:r>
      <w:r>
        <w:rPr>
          <w:vertAlign w:val="baseline"/>
        </w:rPr>
        <w:t>Интересно,</w:t>
      </w:r>
      <w:r>
        <w:rPr>
          <w:spacing w:val="-3"/>
          <w:vertAlign w:val="baseline"/>
        </w:rPr>
        <w:t> </w:t>
      </w:r>
      <w:r>
        <w:rPr>
          <w:vertAlign w:val="baseline"/>
        </w:rPr>
        <w:t>что</w:t>
      </w:r>
      <w:r>
        <w:rPr>
          <w:spacing w:val="-2"/>
          <w:vertAlign w:val="baseline"/>
        </w:rPr>
        <w:t> </w:t>
      </w:r>
      <w:r>
        <w:rPr>
          <w:vertAlign w:val="baseline"/>
        </w:rPr>
        <w:t>лазерное</w:t>
      </w:r>
      <w:r>
        <w:rPr>
          <w:spacing w:val="-3"/>
          <w:vertAlign w:val="baseline"/>
        </w:rPr>
        <w:t> </w:t>
      </w:r>
      <w:r>
        <w:rPr>
          <w:vertAlign w:val="baseline"/>
        </w:rPr>
        <w:t>облучение</w:t>
      </w:r>
      <w:r>
        <w:rPr>
          <w:spacing w:val="-3"/>
          <w:vertAlign w:val="baseline"/>
        </w:rPr>
        <w:t> </w:t>
      </w:r>
      <w:r>
        <w:rPr>
          <w:vertAlign w:val="baseline"/>
        </w:rPr>
        <w:t>на протяжении 30, 60 и 90 минутне только увеличивает процент сперматозоидов с прореагировавшими акросомами, но и увеличивает долю жизнеспособных сперматозоидов по сравнению с контролем. Наилучшие результаты (самый высокий процент жизнеспособных сперматозоидов с активированной акросомой) были получены при высокой плотности энергии (8 и 16 Дж/см</w:t>
      </w:r>
      <w:r>
        <w:rPr>
          <w:vertAlign w:val="superscript"/>
        </w:rPr>
        <w:t>2</w:t>
      </w:r>
      <w:r>
        <w:rPr>
          <w:vertAlign w:val="baseline"/>
        </w:rPr>
        <w:t>), что свидетельствует о том, что экзоцитоз акросом увеличивается после световой стимуляции [200].</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80" w:firstLine="707"/>
      </w:pPr>
      <w:r>
        <w:rPr/>
        <w:t>Таким образом, мы имеем описанную в литературе доказательную базу влияния ЭМИ на капацитацию сперматозоидов - многостадийного и мультифакторного преконцептивного события.</w:t>
      </w:r>
    </w:p>
    <w:p>
      <w:pPr>
        <w:pStyle w:val="BodyText"/>
        <w:spacing w:before="17"/>
        <w:jc w:val="left"/>
      </w:pPr>
    </w:p>
    <w:p>
      <w:pPr>
        <w:pStyle w:val="Heading2"/>
        <w:numPr>
          <w:ilvl w:val="1"/>
          <w:numId w:val="4"/>
        </w:numPr>
        <w:tabs>
          <w:tab w:pos="1414" w:val="left" w:leader="none"/>
        </w:tabs>
        <w:spacing w:line="256" w:lineRule="auto" w:before="0" w:after="0"/>
        <w:ind w:left="286" w:right="277" w:firstLine="707"/>
        <w:jc w:val="both"/>
      </w:pPr>
      <w:r>
        <w:rPr/>
        <w:t>Потенциал</w:t>
      </w:r>
      <w:r>
        <w:rPr>
          <w:spacing w:val="-5"/>
        </w:rPr>
        <w:t> </w:t>
      </w:r>
      <w:r>
        <w:rPr/>
        <w:t>применения</w:t>
      </w:r>
      <w:r>
        <w:rPr>
          <w:spacing w:val="-7"/>
        </w:rPr>
        <w:t> </w:t>
      </w:r>
      <w:r>
        <w:rPr/>
        <w:t>видимого</w:t>
      </w:r>
      <w:r>
        <w:rPr>
          <w:spacing w:val="-7"/>
        </w:rPr>
        <w:t> </w:t>
      </w:r>
      <w:r>
        <w:rPr/>
        <w:t>и</w:t>
      </w:r>
      <w:r>
        <w:rPr>
          <w:spacing w:val="-7"/>
        </w:rPr>
        <w:t> </w:t>
      </w:r>
      <w:r>
        <w:rPr/>
        <w:t>инфракрасного</w:t>
      </w:r>
      <w:r>
        <w:rPr>
          <w:spacing w:val="-5"/>
        </w:rPr>
        <w:t> </w:t>
      </w:r>
      <w:r>
        <w:rPr/>
        <w:t>электромагнитных излучений в репродуктивной медицине</w:t>
      </w:r>
    </w:p>
    <w:p>
      <w:pPr>
        <w:pStyle w:val="BodyText"/>
        <w:spacing w:line="256" w:lineRule="auto"/>
        <w:ind w:left="286" w:right="278" w:firstLine="707"/>
      </w:pPr>
      <w:r>
        <w:rPr/>
        <w:t>По данным ВОЗ в мире бесплодием страдают до 15% всех пар репродуктивного возраста. При этом частота встречаемости бесплодия не имеет тенденции к уменьшению [201]. По сообщению В.Н. Локшина и соавторов (2015) в Казахстане проблема бесплодия затрагивает по разным оценкам от 12 до 15,5% супружеских пар [202]. Мужской фактор в совокупности с сочетанным бесплодием обеспечивает примерно 50% вклада в инфертильность супружеских пар [203].</w:t>
      </w:r>
    </w:p>
    <w:p>
      <w:pPr>
        <w:pStyle w:val="BodyText"/>
        <w:spacing w:line="256" w:lineRule="auto"/>
        <w:ind w:left="286" w:right="277" w:firstLine="707"/>
      </w:pPr>
      <w:r>
        <w:rPr/>
        <w:t>Описанные в предыдущих параграфах исследования указывают на то, что облучение светом сперматозоидов человека и других млекопитающих увеличивает их подвижность, способствует капацитации и улучшает оплодотворяющую способность, не вызывая повреждения ДНК. Хотя механизм полностью не изучен, и может быть задействовано более одного биохимического пути, сложилось общее представление, что фотобиомодуляция увеличивает энергию живой системы-сперматозоида, обеспечивает и ускоряет синтез АТФ в митохондриях.</w:t>
      </w:r>
    </w:p>
    <w:p>
      <w:pPr>
        <w:pStyle w:val="BodyText"/>
        <w:spacing w:line="256" w:lineRule="auto"/>
        <w:ind w:left="285" w:right="278" w:firstLine="708"/>
      </w:pPr>
      <w:r>
        <w:rPr/>
        <w:t>Отмечается способность к экстракорпоральному оплодотворению и обнадеживающие репродуктивные результаты после искусственного оплодотворения облученными сперматозоидами у животных. Известно об увеличении</w:t>
      </w:r>
      <w:r>
        <w:rPr>
          <w:spacing w:val="-4"/>
        </w:rPr>
        <w:t> </w:t>
      </w:r>
      <w:r>
        <w:rPr/>
        <w:t>оплодотворяющей</w:t>
      </w:r>
      <w:r>
        <w:rPr>
          <w:spacing w:val="-4"/>
        </w:rPr>
        <w:t> </w:t>
      </w:r>
      <w:r>
        <w:rPr/>
        <w:t>способности</w:t>
      </w:r>
      <w:r>
        <w:rPr>
          <w:spacing w:val="-4"/>
        </w:rPr>
        <w:t> </w:t>
      </w:r>
      <w:r>
        <w:rPr/>
        <w:t>облученных</w:t>
      </w:r>
      <w:r>
        <w:rPr>
          <w:spacing w:val="-4"/>
        </w:rPr>
        <w:t> </w:t>
      </w:r>
      <w:r>
        <w:rPr/>
        <w:t>сперматозоидов</w:t>
      </w:r>
      <w:r>
        <w:rPr>
          <w:spacing w:val="-5"/>
        </w:rPr>
        <w:t> </w:t>
      </w:r>
      <w:r>
        <w:rPr/>
        <w:t>как</w:t>
      </w:r>
      <w:r>
        <w:rPr>
          <w:spacing w:val="-4"/>
        </w:rPr>
        <w:t> </w:t>
      </w:r>
      <w:r>
        <w:rPr>
          <w:i/>
        </w:rPr>
        <w:t>in</w:t>
      </w:r>
      <w:r>
        <w:rPr>
          <w:i/>
          <w:spacing w:val="-4"/>
        </w:rPr>
        <w:t> </w:t>
      </w:r>
      <w:r>
        <w:rPr>
          <w:i/>
        </w:rPr>
        <w:t>vitro</w:t>
      </w:r>
      <w:r>
        <w:rPr/>
        <w:t>, так и </w:t>
      </w:r>
      <w:r>
        <w:rPr>
          <w:i/>
        </w:rPr>
        <w:t>in vivo</w:t>
      </w:r>
      <w:r>
        <w:rPr/>
        <w:t>. Cohen и соавторы (1998) облучали сперму мышей гелий-неоновым лазером с длиной волны 630 нм (мощность источника = 13 мВт) и диодным лазером при длине волны 780 нм (источник мощности = 25 мВт). Облучение при 630 нм достоверно увеличивало процент оплодотворенных ооцитов. Этот эффект был Са</w:t>
      </w:r>
      <w:r>
        <w:rPr>
          <w:vertAlign w:val="superscript"/>
        </w:rPr>
        <w:t>2+</w:t>
      </w:r>
      <w:r>
        <w:rPr>
          <w:vertAlign w:val="baseline"/>
        </w:rPr>
        <w:t>-зависимым, так как не наблюдался при использовании среды, лишенной ионов Са</w:t>
      </w:r>
      <w:r>
        <w:rPr>
          <w:vertAlign w:val="superscript"/>
        </w:rPr>
        <w:t>2+</w:t>
      </w:r>
      <w:r>
        <w:rPr>
          <w:vertAlign w:val="baseline"/>
        </w:rPr>
        <w:t>. Присутствие нифедипина - ингибитора потенциал-зависимого Са</w:t>
      </w:r>
      <w:r>
        <w:rPr>
          <w:vertAlign w:val="superscript"/>
        </w:rPr>
        <w:t>2+</w:t>
      </w:r>
      <w:r>
        <w:rPr>
          <w:vertAlign w:val="baseline"/>
        </w:rPr>
        <w:t>-канала плазматической мембраны в концентрации 1 мкМ блокировал влияние света на Са</w:t>
      </w:r>
      <w:r>
        <w:rPr>
          <w:vertAlign w:val="superscript"/>
        </w:rPr>
        <w:t>2+</w:t>
      </w:r>
      <w:r>
        <w:rPr>
          <w:vertAlign w:val="baseline"/>
        </w:rPr>
        <w:t> [164].</w:t>
      </w:r>
      <w:r>
        <w:rPr>
          <w:spacing w:val="-1"/>
          <w:vertAlign w:val="baseline"/>
        </w:rPr>
        <w:t> </w:t>
      </w:r>
      <w:r>
        <w:rPr>
          <w:vertAlign w:val="baseline"/>
        </w:rPr>
        <w:t>В</w:t>
      </w:r>
      <w:r>
        <w:rPr>
          <w:spacing w:val="-1"/>
          <w:vertAlign w:val="baseline"/>
        </w:rPr>
        <w:t> </w:t>
      </w:r>
      <w:r>
        <w:rPr>
          <w:vertAlign w:val="baseline"/>
        </w:rPr>
        <w:t>сообщении Zan-Bar и соавторов</w:t>
      </w:r>
      <w:r>
        <w:rPr>
          <w:spacing w:val="-3"/>
          <w:vertAlign w:val="baseline"/>
        </w:rPr>
        <w:t> </w:t>
      </w:r>
      <w:r>
        <w:rPr>
          <w:vertAlign w:val="baseline"/>
        </w:rPr>
        <w:t>(2005) также показано увеличение процента оплодотворенных ооцитов барана после инсеминации облученной спермой </w:t>
      </w:r>
      <w:r>
        <w:rPr>
          <w:i/>
          <w:vertAlign w:val="baseline"/>
        </w:rPr>
        <w:t>in vitro </w:t>
      </w:r>
      <w:r>
        <w:rPr>
          <w:vertAlign w:val="baseline"/>
        </w:rPr>
        <w:t>[204]. Что касается влияния световой стимуляции на репродуктивные результаты после искусственного оплодотворения, то были получены обнадеживающие результаты на свиньях. Yeste и соавторы (2016) сообщали, что облучение охлажденной спермы свиней светодиодом (λ = 620–630 нм) по прерывистой схеме (10 мин свет, 10 мин темнота, 10 минут света) увеличило число опоросов и размер помета [205].</w:t>
      </w:r>
    </w:p>
    <w:p>
      <w:pPr>
        <w:pStyle w:val="BodyText"/>
        <w:spacing w:line="303" w:lineRule="exact"/>
        <w:ind w:left="994"/>
      </w:pPr>
      <w:r>
        <w:rPr/>
        <w:t>Таким</w:t>
      </w:r>
      <w:r>
        <w:rPr>
          <w:spacing w:val="55"/>
          <w:w w:val="150"/>
        </w:rPr>
        <w:t>  </w:t>
      </w:r>
      <w:r>
        <w:rPr/>
        <w:t>образом,</w:t>
      </w:r>
      <w:r>
        <w:rPr>
          <w:spacing w:val="56"/>
          <w:w w:val="150"/>
        </w:rPr>
        <w:t>  </w:t>
      </w:r>
      <w:r>
        <w:rPr/>
        <w:t>в</w:t>
      </w:r>
      <w:r>
        <w:rPr>
          <w:spacing w:val="56"/>
          <w:w w:val="150"/>
        </w:rPr>
        <w:t>  </w:t>
      </w:r>
      <w:r>
        <w:rPr/>
        <w:t>мире</w:t>
      </w:r>
      <w:r>
        <w:rPr>
          <w:spacing w:val="56"/>
          <w:w w:val="150"/>
        </w:rPr>
        <w:t>  </w:t>
      </w:r>
      <w:r>
        <w:rPr/>
        <w:t>создан</w:t>
      </w:r>
      <w:r>
        <w:rPr>
          <w:spacing w:val="56"/>
          <w:w w:val="150"/>
        </w:rPr>
        <w:t>  </w:t>
      </w:r>
      <w:r>
        <w:rPr/>
        <w:t>научный</w:t>
      </w:r>
      <w:r>
        <w:rPr>
          <w:spacing w:val="58"/>
          <w:w w:val="150"/>
        </w:rPr>
        <w:t>  </w:t>
      </w:r>
      <w:r>
        <w:rPr/>
        <w:t>задел</w:t>
      </w:r>
      <w:r>
        <w:rPr>
          <w:spacing w:val="55"/>
          <w:w w:val="150"/>
        </w:rPr>
        <w:t>  </w:t>
      </w:r>
      <w:r>
        <w:rPr/>
        <w:t>по</w:t>
      </w:r>
      <w:r>
        <w:rPr>
          <w:spacing w:val="57"/>
          <w:w w:val="150"/>
        </w:rPr>
        <w:t>  </w:t>
      </w:r>
      <w:r>
        <w:rPr>
          <w:spacing w:val="-2"/>
        </w:rPr>
        <w:t>направлению</w:t>
      </w:r>
    </w:p>
    <w:p>
      <w:pPr>
        <w:pStyle w:val="BodyText"/>
        <w:spacing w:line="256" w:lineRule="auto" w:before="3"/>
        <w:ind w:left="286" w:right="276"/>
      </w:pPr>
      <w:r>
        <w:rPr/>
        <w:t>экспериментальной фотобиомодуляции сперматозоидов в репродукции животных. Вновь созданные отечественные протоколы облучения ЭМИ сперматозоидов могут быть</w:t>
      </w:r>
      <w:r>
        <w:rPr>
          <w:spacing w:val="40"/>
        </w:rPr>
        <w:t> </w:t>
      </w:r>
      <w:r>
        <w:rPr/>
        <w:t>востребованы в медицинских программах ВРТ. Потенциал воздействия ЭМИ на оплодотворение может быть применен в экстракорпоральном оплодотворении (ЭКО)</w:t>
      </w:r>
      <w:r>
        <w:rPr>
          <w:spacing w:val="39"/>
        </w:rPr>
        <w:t>  </w:t>
      </w:r>
      <w:r>
        <w:rPr/>
        <w:t>в</w:t>
      </w:r>
      <w:r>
        <w:rPr>
          <w:spacing w:val="40"/>
        </w:rPr>
        <w:t>  </w:t>
      </w:r>
      <w:r>
        <w:rPr/>
        <w:t>классическом</w:t>
      </w:r>
      <w:r>
        <w:rPr>
          <w:spacing w:val="41"/>
        </w:rPr>
        <w:t>  </w:t>
      </w:r>
      <w:r>
        <w:rPr/>
        <w:t>его</w:t>
      </w:r>
      <w:r>
        <w:rPr>
          <w:spacing w:val="42"/>
        </w:rPr>
        <w:t>  </w:t>
      </w:r>
      <w:r>
        <w:rPr/>
        <w:t>варианте,</w:t>
      </w:r>
      <w:r>
        <w:rPr>
          <w:spacing w:val="41"/>
        </w:rPr>
        <w:t>  </w:t>
      </w:r>
      <w:r>
        <w:rPr/>
        <w:t>где</w:t>
      </w:r>
      <w:r>
        <w:rPr>
          <w:spacing w:val="40"/>
        </w:rPr>
        <w:t>  </w:t>
      </w:r>
      <w:r>
        <w:rPr/>
        <w:t>используется</w:t>
      </w:r>
      <w:r>
        <w:rPr>
          <w:spacing w:val="42"/>
        </w:rPr>
        <w:t>  </w:t>
      </w:r>
      <w:r>
        <w:rPr/>
        <w:t>инсеминация</w:t>
      </w:r>
      <w:r>
        <w:rPr>
          <w:spacing w:val="41"/>
        </w:rPr>
        <w:t>  </w:t>
      </w:r>
      <w:r>
        <w:rPr>
          <w:spacing w:val="-2"/>
        </w:rPr>
        <w:t>ооцит-</w:t>
      </w:r>
    </w:p>
    <w:p>
      <w:pPr>
        <w:pStyle w:val="BodyText"/>
        <w:spacing w:after="0" w:line="256" w:lineRule="auto"/>
        <w:sectPr>
          <w:pgSz w:w="11910" w:h="16840"/>
          <w:pgMar w:header="0" w:footer="983" w:top="340" w:bottom="1200" w:left="566" w:right="566"/>
        </w:sectPr>
      </w:pPr>
    </w:p>
    <w:p>
      <w:pPr>
        <w:pStyle w:val="BodyText"/>
        <w:spacing w:line="256" w:lineRule="auto" w:before="69"/>
        <w:ind w:left="285" w:right="278"/>
      </w:pPr>
      <w:r>
        <w:rPr/>
        <w:t>кумулюсных комплексов (ОКК).</w:t>
      </w:r>
      <w:r>
        <w:rPr>
          <w:spacing w:val="40"/>
        </w:rPr>
        <w:t> </w:t>
      </w:r>
      <w:r>
        <w:rPr/>
        <w:t>В таком случае к полученным ОКК приливают суспензию подготовленных сперматозоидов и оставляют на сутки в инкубаторе с постоянным содержанием О</w:t>
      </w:r>
      <w:r>
        <w:rPr>
          <w:vertAlign w:val="subscript"/>
        </w:rPr>
        <w:t>2</w:t>
      </w:r>
      <w:r>
        <w:rPr>
          <w:vertAlign w:val="baseline"/>
        </w:rPr>
        <w:t>, СО</w:t>
      </w:r>
      <w:r>
        <w:rPr>
          <w:vertAlign w:val="subscript"/>
        </w:rPr>
        <w:t>2</w:t>
      </w:r>
      <w:r>
        <w:rPr>
          <w:vertAlign w:val="baseline"/>
        </w:rPr>
        <w:t> при температуре 36,6-37,0°С после чего проводят оценку оплодотвторения. При этом можно воздействовать ЭМИ как до инсеминации, так и во время инкубации сперматозоидов с ОКК. Помимо ЭКО, облученную ЭМИ сперму можно применять при ВРТ с использованием метода внутриматочной инсеминации. При этом оплодотворение будет происходить </w:t>
      </w:r>
      <w:r>
        <w:rPr>
          <w:i/>
          <w:vertAlign w:val="baseline"/>
        </w:rPr>
        <w:t>in vivo</w:t>
      </w:r>
      <w:r>
        <w:rPr>
          <w:vertAlign w:val="baseline"/>
        </w:rPr>
        <w:t>, при минимальном вмешательстве. Хотя стоит</w:t>
      </w:r>
      <w:r>
        <w:rPr>
          <w:spacing w:val="-1"/>
          <w:vertAlign w:val="baseline"/>
        </w:rPr>
        <w:t> </w:t>
      </w:r>
      <w:r>
        <w:rPr>
          <w:vertAlign w:val="baseline"/>
        </w:rPr>
        <w:t>отметить, что сам по себе такой метод ВРТ как внутриматочная инсеминация является низкоэффективным [206].</w:t>
      </w:r>
    </w:p>
    <w:p>
      <w:pPr>
        <w:pStyle w:val="BodyText"/>
        <w:spacing w:after="0" w:line="256" w:lineRule="auto"/>
        <w:sectPr>
          <w:pgSz w:w="11910" w:h="16840"/>
          <w:pgMar w:header="0" w:footer="983" w:top="340" w:bottom="1200" w:left="566" w:right="566"/>
        </w:sectPr>
      </w:pPr>
    </w:p>
    <w:p>
      <w:pPr>
        <w:pStyle w:val="Heading1"/>
        <w:numPr>
          <w:ilvl w:val="0"/>
          <w:numId w:val="4"/>
        </w:numPr>
        <w:tabs>
          <w:tab w:pos="2466" w:val="left" w:leader="none"/>
        </w:tabs>
        <w:spacing w:line="240" w:lineRule="auto" w:before="69" w:after="0"/>
        <w:ind w:left="2466" w:right="0" w:hanging="280"/>
        <w:jc w:val="left"/>
      </w:pPr>
      <w:r>
        <w:rPr/>
        <w:t>МАТЕРИАЛЫ</w:t>
      </w:r>
      <w:r>
        <w:rPr>
          <w:spacing w:val="-5"/>
        </w:rPr>
        <w:t> </w:t>
      </w:r>
      <w:r>
        <w:rPr/>
        <w:t>И</w:t>
      </w:r>
      <w:r>
        <w:rPr>
          <w:spacing w:val="-5"/>
        </w:rPr>
        <w:t> </w:t>
      </w:r>
      <w:r>
        <w:rPr/>
        <w:t>МЕТОДЫ</w:t>
      </w:r>
      <w:r>
        <w:rPr>
          <w:spacing w:val="-5"/>
        </w:rPr>
        <w:t> </w:t>
      </w:r>
      <w:r>
        <w:rPr>
          <w:spacing w:val="-2"/>
        </w:rPr>
        <w:t>ИССЛЕДОВАНИЯ</w:t>
      </w:r>
    </w:p>
    <w:p>
      <w:pPr>
        <w:pStyle w:val="BodyText"/>
        <w:spacing w:before="42"/>
        <w:jc w:val="left"/>
        <w:rPr>
          <w:b/>
        </w:rPr>
      </w:pPr>
    </w:p>
    <w:p>
      <w:pPr>
        <w:pStyle w:val="Heading2"/>
        <w:numPr>
          <w:ilvl w:val="1"/>
          <w:numId w:val="4"/>
        </w:numPr>
        <w:tabs>
          <w:tab w:pos="1414" w:val="left" w:leader="none"/>
        </w:tabs>
        <w:spacing w:line="240" w:lineRule="auto" w:before="0" w:after="0"/>
        <w:ind w:left="1414" w:right="0" w:hanging="421"/>
        <w:jc w:val="both"/>
      </w:pPr>
      <w:r>
        <w:rPr/>
        <w:t>Объект</w:t>
      </w:r>
      <w:r>
        <w:rPr>
          <w:spacing w:val="-5"/>
        </w:rPr>
        <w:t> </w:t>
      </w:r>
      <w:r>
        <w:rPr/>
        <w:t>и</w:t>
      </w:r>
      <w:r>
        <w:rPr>
          <w:spacing w:val="-5"/>
        </w:rPr>
        <w:t> </w:t>
      </w:r>
      <w:r>
        <w:rPr/>
        <w:t>предмет</w:t>
      </w:r>
      <w:r>
        <w:rPr>
          <w:spacing w:val="-4"/>
        </w:rPr>
        <w:t> </w:t>
      </w:r>
      <w:r>
        <w:rPr>
          <w:spacing w:val="-2"/>
        </w:rPr>
        <w:t>исследований</w:t>
      </w:r>
    </w:p>
    <w:p>
      <w:pPr>
        <w:pStyle w:val="BodyText"/>
        <w:spacing w:line="256" w:lineRule="auto" w:before="21"/>
        <w:ind w:left="285" w:right="278" w:firstLine="707"/>
      </w:pPr>
      <w:r>
        <w:rPr/>
        <w:t>Объектом исследования выбраны сперматозоиды бесплодных мужчин с астенозооспермией, поскольку результаты фундаментального исследования по поиску режима ЭМИ, увеливающих подвижность сперматозоидов </w:t>
      </w:r>
      <w:r>
        <w:rPr>
          <w:i/>
        </w:rPr>
        <w:t>in vitro </w:t>
      </w:r>
      <w:r>
        <w:rPr/>
        <w:t>могут</w:t>
      </w:r>
      <w:r>
        <w:rPr>
          <w:spacing w:val="40"/>
        </w:rPr>
        <w:t> </w:t>
      </w:r>
      <w:r>
        <w:rPr/>
        <w:t>быть в дальнейшем применены при управлении социально значимой проблемой-мужским бесплодием с применением ВРТ. Предмет данного исследования - изменение ультраструктурной организации, подвижности, индекса фрагментации ДНК и активности митохондрий сперматозоидов человека под воздействием ЭМИ. Поскольку ЭМИ обладает потенциалом для модулирования биологических процессов в живых нефотосинтезирующих клетках, предпринята попытка его изучения на сперматозоидах со сниженной подвижностью.</w:t>
      </w:r>
    </w:p>
    <w:p>
      <w:pPr>
        <w:pStyle w:val="BodyText"/>
        <w:spacing w:line="256" w:lineRule="auto"/>
        <w:ind w:left="286" w:right="278" w:firstLine="707"/>
      </w:pPr>
      <w:r>
        <w:rPr/>
        <w:t>Выбор предмета исследования обусловлен самой природой оплодотворения: доставкой к ооциту наследственной информации подвижным сперматозоидом, содержащим ДНК отцовской особи. Соответственно, чем активнее движение сперматозоидов, тем эффективнее процесс оплодотворения.</w:t>
      </w:r>
    </w:p>
    <w:p>
      <w:pPr>
        <w:pStyle w:val="BodyText"/>
        <w:spacing w:before="4"/>
        <w:jc w:val="left"/>
      </w:pPr>
    </w:p>
    <w:p>
      <w:pPr>
        <w:pStyle w:val="Heading2"/>
        <w:numPr>
          <w:ilvl w:val="1"/>
          <w:numId w:val="4"/>
        </w:numPr>
        <w:tabs>
          <w:tab w:pos="1470" w:val="left" w:leader="none"/>
        </w:tabs>
        <w:spacing w:line="256" w:lineRule="auto" w:before="1" w:after="0"/>
        <w:ind w:left="286" w:right="276" w:firstLine="707"/>
        <w:jc w:val="both"/>
      </w:pPr>
      <w:r>
        <w:rPr/>
        <w:t>Подбор целевых групп пациентов с бесплодием и методы рутинной диагностики мужской фертильности</w:t>
      </w:r>
    </w:p>
    <w:p>
      <w:pPr>
        <w:pStyle w:val="BodyText"/>
        <w:spacing w:line="256" w:lineRule="auto"/>
        <w:ind w:left="285" w:right="278" w:firstLine="708"/>
      </w:pPr>
      <w:r>
        <w:rPr/>
        <w:t>Подбор целевых групп пациентов для экспериментальных работ в период с 2019 по 2021 год осуществили на базе Городского центра репродукции человека г. Алматы. Проведена лабораторная диагностика эякулята мужчин с бесплодием. Применены методы диагностики эякулята, такие как спермограмма, морфограмма, смешанная антиглобулиновая реакция (см. параграфы 2.2.1-2.2.3). Все работы выполняли в строгом соответствии с руководством ВОЗ по исследованию и обработке эякулята человека [18]. В работе не использованы потенциально незащищенные слои населения от использования их в качестве испытуемых (студенты, военнослужащие и т.п.).</w:t>
      </w:r>
    </w:p>
    <w:p>
      <w:pPr>
        <w:pStyle w:val="BodyText"/>
        <w:spacing w:before="8"/>
        <w:jc w:val="left"/>
      </w:pPr>
    </w:p>
    <w:p>
      <w:pPr>
        <w:pStyle w:val="Heading2"/>
        <w:numPr>
          <w:ilvl w:val="2"/>
          <w:numId w:val="4"/>
        </w:numPr>
        <w:tabs>
          <w:tab w:pos="1622" w:val="left" w:leader="none"/>
        </w:tabs>
        <w:spacing w:line="240" w:lineRule="auto" w:before="0" w:after="0"/>
        <w:ind w:left="1622" w:right="0" w:hanging="629"/>
        <w:jc w:val="both"/>
      </w:pPr>
      <w:r>
        <w:rPr/>
        <w:t>Спермограмма</w:t>
      </w:r>
      <w:r>
        <w:rPr>
          <w:spacing w:val="-7"/>
        </w:rPr>
        <w:t> </w:t>
      </w:r>
      <w:r>
        <w:rPr/>
        <w:t>-</w:t>
      </w:r>
      <w:r>
        <w:rPr>
          <w:spacing w:val="-7"/>
        </w:rPr>
        <w:t> </w:t>
      </w:r>
      <w:r>
        <w:rPr/>
        <w:t>определение</w:t>
      </w:r>
      <w:r>
        <w:rPr>
          <w:spacing w:val="-7"/>
        </w:rPr>
        <w:t> </w:t>
      </w:r>
      <w:r>
        <w:rPr/>
        <w:t>основных</w:t>
      </w:r>
      <w:r>
        <w:rPr>
          <w:spacing w:val="-6"/>
        </w:rPr>
        <w:t> </w:t>
      </w:r>
      <w:r>
        <w:rPr/>
        <w:t>параметров</w:t>
      </w:r>
      <w:r>
        <w:rPr>
          <w:spacing w:val="-9"/>
        </w:rPr>
        <w:t> </w:t>
      </w:r>
      <w:r>
        <w:rPr>
          <w:spacing w:val="-2"/>
        </w:rPr>
        <w:t>эякулята</w:t>
      </w:r>
    </w:p>
    <w:p>
      <w:pPr>
        <w:pStyle w:val="BodyText"/>
        <w:spacing w:line="256" w:lineRule="auto" w:before="24"/>
        <w:ind w:left="285" w:right="279" w:firstLine="707"/>
      </w:pPr>
      <w:r>
        <w:rPr/>
        <w:t>Макроскопическую оценку эякулята начинали с простого осмотра разжиженного эякулята через 30-60 минут после его получения пациентами в специально оборудованной для этого комнате путем мастурбации. Для стандартизации результатов эякулят получали от мужчин, соблюдавших половую абстиненцию в течение 3-7 дней. Измеряли объем эякулята градуированной серологической пипеткой (Biologix, Китай), оценивали длину формирующейся нити для определения вязкости спермы, измеряли pH при помощи индикаторов на бумажном носителе (Fluka analytical, Германия). Референтные значения устанавливали в соответствии c 5ой редакцией руководства ВОЗ по исследованию и обработке эякулята человека. Все работы выполнены в соответствии с принципами GLP. Подсчет концентрации, определение процента подвижных сперматозоидов, лейкоцитов в эякуляте проводили с помощью камеры Маклера (SpermProcessor, Индия).</w:t>
      </w:r>
      <w:r>
        <w:rPr>
          <w:spacing w:val="14"/>
        </w:rPr>
        <w:t> </w:t>
      </w:r>
      <w:r>
        <w:rPr/>
        <w:t>Камера</w:t>
      </w:r>
      <w:r>
        <w:rPr>
          <w:spacing w:val="18"/>
        </w:rPr>
        <w:t> </w:t>
      </w:r>
      <w:r>
        <w:rPr/>
        <w:t>Маклера</w:t>
      </w:r>
      <w:r>
        <w:rPr>
          <w:spacing w:val="18"/>
        </w:rPr>
        <w:t> </w:t>
      </w:r>
      <w:r>
        <w:rPr/>
        <w:t>состоит</w:t>
      </w:r>
      <w:r>
        <w:rPr>
          <w:spacing w:val="17"/>
        </w:rPr>
        <w:t> </w:t>
      </w:r>
      <w:r>
        <w:rPr/>
        <w:t>из</w:t>
      </w:r>
      <w:r>
        <w:rPr>
          <w:spacing w:val="17"/>
        </w:rPr>
        <w:t> </w:t>
      </w:r>
      <w:r>
        <w:rPr/>
        <w:t>двух</w:t>
      </w:r>
      <w:r>
        <w:rPr>
          <w:spacing w:val="18"/>
        </w:rPr>
        <w:t> </w:t>
      </w:r>
      <w:r>
        <w:rPr/>
        <w:t>частей:</w:t>
      </w:r>
      <w:r>
        <w:rPr>
          <w:spacing w:val="19"/>
        </w:rPr>
        <w:t> </w:t>
      </w:r>
      <w:r>
        <w:rPr/>
        <w:t>верхней</w:t>
      </w:r>
      <w:r>
        <w:rPr>
          <w:spacing w:val="16"/>
        </w:rPr>
        <w:t> </w:t>
      </w:r>
      <w:r>
        <w:rPr/>
        <w:t>и</w:t>
      </w:r>
      <w:r>
        <w:rPr>
          <w:spacing w:val="19"/>
        </w:rPr>
        <w:t> </w:t>
      </w:r>
      <w:r>
        <w:rPr/>
        <w:t>нижней.</w:t>
      </w:r>
      <w:r>
        <w:rPr>
          <w:spacing w:val="17"/>
        </w:rPr>
        <w:t> </w:t>
      </w:r>
      <w:r>
        <w:rPr/>
        <w:t>Верхняя</w:t>
      </w:r>
      <w:r>
        <w:rPr>
          <w:spacing w:val="16"/>
        </w:rPr>
        <w:t> </w:t>
      </w:r>
      <w:r>
        <w:rPr>
          <w:spacing w:val="-2"/>
        </w:rPr>
        <w:t>часть</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78"/>
      </w:pPr>
      <w:r>
        <w:rPr/>
        <w:t>служит в качестве покровного стекла, на которое нанесена счетная сетка со 100 квадратами размером 0,1 мм х 0,1 мм. Нижняя часть состоит из кварцевого стекла, заключенного в корпус из анодированного алюминия. Для проведения анализа дожидались разжижения эякулята при комнатной температуре в течение 30-60 минут. Если эякулят не разжижался за это время, его экструдировали через канюлю шприца 5 мл, (Bioject, Китай) несколько раз, после чего проводили анализ. После тщательного перемешивания эякулята с помощью пипетки Пастера (Aptaca,</w:t>
      </w:r>
      <w:r>
        <w:rPr>
          <w:spacing w:val="40"/>
        </w:rPr>
        <w:t> </w:t>
      </w:r>
      <w:r>
        <w:rPr/>
        <w:t>Италия), брали аликвоту спермы 5мкл, помещали в центр камеры, накрывали покровным стеклом. Избегали формирования пузырей воздуха. Подсчитывали концентрацию интактных сперматозоидов в 10 квадратах счетной сетки, количество сперматозоидов при этом соответствовало числу подсчитанных сперматозоидов, умноженному на 1 млн/мл. При низкой концентрации или при иной необходимости проводили подсчет в 100 квадратах счетной сетки, с соответствующей концентрацией 0,1 млн/мл, микроскопическую оценку проводили при двухсоткратном увеличении (Olympus BX53, Япония). Категории подвижности определяли по следующим критериям: PR (progressive motility) - сперматозоиды поступательно движущиеся линейно или по кругу большого диаметра, при этом скорость движения не играет существенную роль; NP (non-progressive motility) - все виды движений сперматозоидов, не приводящие к их прогрессивному движению, например, движение по кругу небольшого диаметра, незначительные смещения головки или простое биение жгутика; IM (immotility) -неподвижные сперматозоиды [18, 24]. Анализировали подвижность, как минимум, 200 сперматозоидов для минимизации ошибок выборки.</w:t>
      </w:r>
    </w:p>
    <w:p>
      <w:pPr>
        <w:pStyle w:val="Heading2"/>
        <w:numPr>
          <w:ilvl w:val="2"/>
          <w:numId w:val="4"/>
        </w:numPr>
        <w:tabs>
          <w:tab w:pos="1692" w:val="left" w:leader="none"/>
        </w:tabs>
        <w:spacing w:line="240" w:lineRule="auto" w:before="316" w:after="0"/>
        <w:ind w:left="1692" w:right="0" w:hanging="699"/>
        <w:jc w:val="both"/>
      </w:pPr>
      <w:r>
        <w:rPr/>
        <w:t>Морфологическое</w:t>
      </w:r>
      <w:r>
        <w:rPr>
          <w:spacing w:val="-12"/>
        </w:rPr>
        <w:t> </w:t>
      </w:r>
      <w:r>
        <w:rPr/>
        <w:t>исследование</w:t>
      </w:r>
      <w:r>
        <w:rPr>
          <w:spacing w:val="-12"/>
        </w:rPr>
        <w:t> </w:t>
      </w:r>
      <w:r>
        <w:rPr/>
        <w:t>сперматозоидов</w:t>
      </w:r>
      <w:r>
        <w:rPr>
          <w:spacing w:val="-9"/>
        </w:rPr>
        <w:t> </w:t>
      </w:r>
      <w:r>
        <w:rPr>
          <w:spacing w:val="-2"/>
        </w:rPr>
        <w:t>человека</w:t>
      </w:r>
    </w:p>
    <w:p>
      <w:pPr>
        <w:pStyle w:val="BodyText"/>
        <w:spacing w:line="256" w:lineRule="auto" w:before="21"/>
        <w:ind w:left="286" w:right="278" w:firstLine="707"/>
      </w:pPr>
      <w:r>
        <w:rPr/>
        <w:t>Морфологию сперматозоидов изучали на окрашенных препаратах спермы методом окраски на стеклах (Cell-VU, США) с предварительно иммобилизованным красителем и фиксатором (рисунок 11).</w:t>
      </w:r>
    </w:p>
    <w:p>
      <w:pPr>
        <w:pStyle w:val="BodyText"/>
        <w:spacing w:before="88"/>
        <w:jc w:val="left"/>
        <w:rPr>
          <w:sz w:val="20"/>
        </w:rPr>
      </w:pPr>
      <w:r>
        <w:rPr>
          <w:sz w:val="20"/>
        </w:rPr>
        <w:drawing>
          <wp:anchor distT="0" distB="0" distL="0" distR="0" allowOverlap="1" layoutInCell="1" locked="0" behindDoc="1" simplePos="0" relativeHeight="487595008">
            <wp:simplePos x="0" y="0"/>
            <wp:positionH relativeFrom="page">
              <wp:posOffset>2262822</wp:posOffset>
            </wp:positionH>
            <wp:positionV relativeFrom="paragraph">
              <wp:posOffset>217192</wp:posOffset>
            </wp:positionV>
            <wp:extent cx="3013709" cy="2090927"/>
            <wp:effectExtent l="0" t="0" r="0" b="0"/>
            <wp:wrapTopAndBottom/>
            <wp:docPr id="22" name="Image 22" descr=""/>
            <wp:cNvGraphicFramePr>
              <a:graphicFrameLocks/>
            </wp:cNvGraphicFramePr>
            <a:graphic>
              <a:graphicData uri="http://schemas.openxmlformats.org/drawingml/2006/picture">
                <pic:pic>
                  <pic:nvPicPr>
                    <pic:cNvPr id="22" name="Image 22" descr=""/>
                    <pic:cNvPicPr/>
                  </pic:nvPicPr>
                  <pic:blipFill>
                    <a:blip r:embed="rId22" cstate="print"/>
                    <a:stretch>
                      <a:fillRect/>
                    </a:stretch>
                  </pic:blipFill>
                  <pic:spPr>
                    <a:xfrm>
                      <a:off x="0" y="0"/>
                      <a:ext cx="3013709" cy="2090927"/>
                    </a:xfrm>
                    <a:prstGeom prst="rect">
                      <a:avLst/>
                    </a:prstGeom>
                  </pic:spPr>
                </pic:pic>
              </a:graphicData>
            </a:graphic>
          </wp:anchor>
        </w:drawing>
      </w:r>
    </w:p>
    <w:p>
      <w:pPr>
        <w:pStyle w:val="BodyText"/>
        <w:spacing w:line="256" w:lineRule="auto" w:before="71"/>
        <w:ind w:left="1351" w:right="206" w:hanging="701"/>
        <w:jc w:val="left"/>
      </w:pPr>
      <w:r>
        <w:rPr/>
        <w:t>Рисунок</w:t>
      </w:r>
      <w:r>
        <w:rPr>
          <w:spacing w:val="-5"/>
        </w:rPr>
        <w:t> </w:t>
      </w:r>
      <w:r>
        <w:rPr/>
        <w:t>11</w:t>
      </w:r>
      <w:r>
        <w:rPr>
          <w:spacing w:val="-4"/>
        </w:rPr>
        <w:t> </w:t>
      </w:r>
      <w:r>
        <w:rPr>
          <w:rFonts w:ascii="Arial MT" w:hAnsi="Arial MT"/>
          <w:color w:val="454545"/>
          <w:sz w:val="21"/>
        </w:rPr>
        <w:t>—</w:t>
      </w:r>
      <w:r>
        <w:rPr>
          <w:rFonts w:ascii="Arial MT" w:hAnsi="Arial MT"/>
          <w:color w:val="454545"/>
          <w:spacing w:val="-3"/>
          <w:sz w:val="21"/>
        </w:rPr>
        <w:t> </w:t>
      </w:r>
      <w:r>
        <w:rPr/>
        <w:t>Окраска</w:t>
      </w:r>
      <w:r>
        <w:rPr>
          <w:spacing w:val="-3"/>
        </w:rPr>
        <w:t> </w:t>
      </w:r>
      <w:r>
        <w:rPr/>
        <w:t>эякулята</w:t>
      </w:r>
      <w:r>
        <w:rPr>
          <w:spacing w:val="-3"/>
        </w:rPr>
        <w:t> </w:t>
      </w:r>
      <w:r>
        <w:rPr/>
        <w:t>методом</w:t>
      </w:r>
      <w:r>
        <w:rPr>
          <w:spacing w:val="-3"/>
        </w:rPr>
        <w:t> </w:t>
      </w:r>
      <w:r>
        <w:rPr/>
        <w:t>фиксации</w:t>
      </w:r>
      <w:r>
        <w:rPr>
          <w:spacing w:val="-4"/>
        </w:rPr>
        <w:t> </w:t>
      </w:r>
      <w:r>
        <w:rPr/>
        <w:t>и</w:t>
      </w:r>
      <w:r>
        <w:rPr>
          <w:spacing w:val="-2"/>
        </w:rPr>
        <w:t> </w:t>
      </w:r>
      <w:r>
        <w:rPr/>
        <w:t>окраски</w:t>
      </w:r>
      <w:r>
        <w:rPr>
          <w:spacing w:val="-2"/>
        </w:rPr>
        <w:t> </w:t>
      </w:r>
      <w:r>
        <w:rPr/>
        <w:t>на</w:t>
      </w:r>
      <w:r>
        <w:rPr>
          <w:spacing w:val="-5"/>
        </w:rPr>
        <w:t> </w:t>
      </w:r>
      <w:r>
        <w:rPr/>
        <w:t>коммерческих слайдах, красители: крезиловый фиолетовый и метиленовый синий</w:t>
      </w:r>
    </w:p>
    <w:p>
      <w:pPr>
        <w:pStyle w:val="BodyText"/>
        <w:spacing w:before="18"/>
        <w:jc w:val="left"/>
      </w:pPr>
    </w:p>
    <w:p>
      <w:pPr>
        <w:pStyle w:val="BodyText"/>
        <w:spacing w:line="256" w:lineRule="auto" w:before="1"/>
        <w:ind w:left="286" w:right="278" w:firstLine="707"/>
      </w:pPr>
      <w:r>
        <w:rPr/>
        <w:t>Процедуру проводили при комнатной температуре путём нанесения капли разжиженного</w:t>
      </w:r>
      <w:r>
        <w:rPr>
          <w:spacing w:val="33"/>
        </w:rPr>
        <w:t>  </w:t>
      </w:r>
      <w:r>
        <w:rPr/>
        <w:t>эякулята</w:t>
      </w:r>
      <w:r>
        <w:rPr>
          <w:spacing w:val="35"/>
        </w:rPr>
        <w:t>  </w:t>
      </w:r>
      <w:r>
        <w:rPr/>
        <w:t>на</w:t>
      </w:r>
      <w:r>
        <w:rPr>
          <w:spacing w:val="35"/>
        </w:rPr>
        <w:t>  </w:t>
      </w:r>
      <w:r>
        <w:rPr/>
        <w:t>специальное</w:t>
      </w:r>
      <w:r>
        <w:rPr>
          <w:spacing w:val="34"/>
        </w:rPr>
        <w:t>  </w:t>
      </w:r>
      <w:r>
        <w:rPr/>
        <w:t>предметное</w:t>
      </w:r>
      <w:r>
        <w:rPr>
          <w:spacing w:val="35"/>
        </w:rPr>
        <w:t>  </w:t>
      </w:r>
      <w:r>
        <w:rPr/>
        <w:t>стекло</w:t>
      </w:r>
      <w:r>
        <w:rPr>
          <w:spacing w:val="35"/>
        </w:rPr>
        <w:t>  </w:t>
      </w:r>
      <w:r>
        <w:rPr/>
        <w:t>(Cell-VU,</w:t>
      </w:r>
      <w:r>
        <w:rPr>
          <w:spacing w:val="35"/>
        </w:rPr>
        <w:t>  </w:t>
      </w:r>
      <w:r>
        <w:rPr>
          <w:spacing w:val="-2"/>
        </w:rPr>
        <w:t>США),</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80"/>
      </w:pPr>
      <w:r>
        <w:rPr/>
        <w:t>накрывали покровным стеклом 24х24 мм (Levenhuk, США), выдерживали в течение 10-20 минут, микроскопировали последовательно при х100, х200, х1000 – увеличении (Olympus BX53, Япония). Оценивали наличие и степень агглютинации, агрегации, анализировали морфологию головки, шейки и хвоста сперматозоидов по Крюгеру [20].</w:t>
      </w:r>
    </w:p>
    <w:p>
      <w:pPr>
        <w:pStyle w:val="BodyText"/>
        <w:spacing w:before="14"/>
        <w:jc w:val="left"/>
      </w:pPr>
    </w:p>
    <w:p>
      <w:pPr>
        <w:pStyle w:val="Heading2"/>
        <w:numPr>
          <w:ilvl w:val="2"/>
          <w:numId w:val="4"/>
        </w:numPr>
        <w:tabs>
          <w:tab w:pos="1623" w:val="left" w:leader="none"/>
        </w:tabs>
        <w:spacing w:line="240" w:lineRule="auto" w:before="0" w:after="0"/>
        <w:ind w:left="1623" w:right="0" w:hanging="629"/>
        <w:jc w:val="both"/>
      </w:pPr>
      <w:r>
        <w:rPr/>
        <w:t>Смешанная</w:t>
      </w:r>
      <w:r>
        <w:rPr>
          <w:spacing w:val="-12"/>
        </w:rPr>
        <w:t> </w:t>
      </w:r>
      <w:r>
        <w:rPr/>
        <w:t>антиглобулиновая</w:t>
      </w:r>
      <w:r>
        <w:rPr>
          <w:spacing w:val="-9"/>
        </w:rPr>
        <w:t> </w:t>
      </w:r>
      <w:r>
        <w:rPr>
          <w:spacing w:val="-2"/>
        </w:rPr>
        <w:t>реакция</w:t>
      </w:r>
    </w:p>
    <w:p>
      <w:pPr>
        <w:pStyle w:val="BodyText"/>
        <w:spacing w:line="256" w:lineRule="auto" w:before="21"/>
        <w:ind w:left="286" w:right="279" w:firstLine="707"/>
      </w:pPr>
      <w:r>
        <w:rPr/>
        <w:t>При</w:t>
      </w:r>
      <w:r>
        <w:rPr>
          <w:spacing w:val="-2"/>
        </w:rPr>
        <w:t> </w:t>
      </w:r>
      <w:r>
        <w:rPr/>
        <w:t>проведении антиглобулиновой</w:t>
      </w:r>
      <w:r>
        <w:rPr>
          <w:spacing w:val="-2"/>
        </w:rPr>
        <w:t> </w:t>
      </w:r>
      <w:r>
        <w:rPr/>
        <w:t>реакции к</w:t>
      </w:r>
      <w:r>
        <w:rPr>
          <w:spacing w:val="-1"/>
        </w:rPr>
        <w:t> </w:t>
      </w:r>
      <w:r>
        <w:rPr/>
        <w:t>IgG</w:t>
      </w:r>
      <w:r>
        <w:rPr>
          <w:spacing w:val="-1"/>
        </w:rPr>
        <w:t> </w:t>
      </w:r>
      <w:r>
        <w:rPr/>
        <w:t>использовали разжиженную сперму и при необходимости концентрировали сперматозоиды путем центрифугирования. Реагенты для проведения теста поставляются в комплекте (Sperm Processor, Индия). Хорошо перемешивали образец спермы, капали в камеру Маклера 5 мкл эякулята, приливали 5 мкл реагента из латексных шариков, после чего приливали 5 мкл раствора из антисыворотки человека к IgG, тщательно перемешивали эти три компонента и накрывали покровным стеклом. Инкубировали</w:t>
      </w:r>
    </w:p>
    <w:p>
      <w:pPr>
        <w:pStyle w:val="BodyText"/>
        <w:spacing w:line="256" w:lineRule="auto"/>
        <w:ind w:left="286" w:right="277"/>
      </w:pPr>
      <w:r>
        <w:rPr/>
        <w:t>3 минуты, затем исследовали препарат под увеличением х200, подсчитывали процент связанных с шариками подвижных сперматозоидов в счетной сетке при достаточной концентрации или в полях зрения при низкой концентрации сперматозоидов. Спустя 10 минут с начала запуска реакции проводили повторную оценку препарата. Результат записывали в процентах связывания подвижных сперматозоидов после 3 и 10 минут соответственно. Заключение MAR(-) выносили, если доля связанных с латексными шариками подвижных сперматозоидов не достигала 50%, и MAR(+) при 50% связанных и более [207-208].</w:t>
      </w:r>
    </w:p>
    <w:p>
      <w:pPr>
        <w:pStyle w:val="BodyText"/>
        <w:spacing w:before="6"/>
        <w:jc w:val="left"/>
      </w:pPr>
    </w:p>
    <w:p>
      <w:pPr>
        <w:pStyle w:val="Heading2"/>
        <w:numPr>
          <w:ilvl w:val="1"/>
          <w:numId w:val="4"/>
        </w:numPr>
        <w:tabs>
          <w:tab w:pos="1534" w:val="left" w:leader="none"/>
        </w:tabs>
        <w:spacing w:line="256" w:lineRule="auto" w:before="0" w:after="0"/>
        <w:ind w:left="286" w:right="278" w:firstLine="707"/>
        <w:jc w:val="both"/>
      </w:pPr>
      <w:r>
        <w:rPr/>
        <w:t>Экспериментальная обработка сперматозоидов электромагнитным </w:t>
      </w:r>
      <w:r>
        <w:rPr>
          <w:spacing w:val="-2"/>
        </w:rPr>
        <w:t>излучением</w:t>
      </w:r>
    </w:p>
    <w:p>
      <w:pPr>
        <w:pStyle w:val="BodyText"/>
        <w:spacing w:line="256" w:lineRule="auto"/>
        <w:ind w:left="286" w:right="278" w:firstLine="707"/>
      </w:pPr>
      <w:r>
        <w:rPr/>
        <w:t>Эякулят получали в условиях диагностического центра «Пастер» (г. Москва, Российская Федерация) в маркированный контейнер для сдачи анализов по методике, описанной в п. 2.2.1. Для определения влияния ЭМИ на подвижность сперматозоидов</w:t>
      </w:r>
      <w:r>
        <w:rPr>
          <w:spacing w:val="-6"/>
        </w:rPr>
        <w:t> </w:t>
      </w:r>
      <w:r>
        <w:rPr/>
        <w:t>использовали</w:t>
      </w:r>
      <w:r>
        <w:rPr>
          <w:spacing w:val="-3"/>
        </w:rPr>
        <w:t> </w:t>
      </w:r>
      <w:r>
        <w:rPr/>
        <w:t>сперму,</w:t>
      </w:r>
      <w:r>
        <w:rPr>
          <w:spacing w:val="-3"/>
        </w:rPr>
        <w:t> </w:t>
      </w:r>
      <w:r>
        <w:rPr/>
        <w:t>полученную</w:t>
      </w:r>
      <w:r>
        <w:rPr>
          <w:spacing w:val="-5"/>
        </w:rPr>
        <w:t> </w:t>
      </w:r>
      <w:r>
        <w:rPr/>
        <w:t>от</w:t>
      </w:r>
      <w:r>
        <w:rPr>
          <w:spacing w:val="-4"/>
        </w:rPr>
        <w:t> </w:t>
      </w:r>
      <w:r>
        <w:rPr/>
        <w:t>48</w:t>
      </w:r>
      <w:r>
        <w:rPr>
          <w:spacing w:val="-2"/>
        </w:rPr>
        <w:t> </w:t>
      </w:r>
      <w:r>
        <w:rPr/>
        <w:t>мужчин</w:t>
      </w:r>
      <w:r>
        <w:rPr>
          <w:spacing w:val="-3"/>
        </w:rPr>
        <w:t> </w:t>
      </w:r>
      <w:r>
        <w:rPr/>
        <w:t>в</w:t>
      </w:r>
      <w:r>
        <w:rPr>
          <w:spacing w:val="-4"/>
        </w:rPr>
        <w:t> </w:t>
      </w:r>
      <w:r>
        <w:rPr/>
        <w:t>возрасте</w:t>
      </w:r>
      <w:r>
        <w:rPr>
          <w:spacing w:val="-3"/>
        </w:rPr>
        <w:t> </w:t>
      </w:r>
      <w:r>
        <w:rPr/>
        <w:t>от</w:t>
      </w:r>
      <w:r>
        <w:rPr>
          <w:spacing w:val="-7"/>
        </w:rPr>
        <w:t> </w:t>
      </w:r>
      <w:r>
        <w:rPr/>
        <w:t>22</w:t>
      </w:r>
      <w:r>
        <w:rPr>
          <w:spacing w:val="-2"/>
        </w:rPr>
        <w:t> </w:t>
      </w:r>
      <w:r>
        <w:rPr>
          <w:spacing w:val="-5"/>
        </w:rPr>
        <w:t>до</w:t>
      </w:r>
    </w:p>
    <w:p>
      <w:pPr>
        <w:pStyle w:val="BodyText"/>
        <w:spacing w:line="256" w:lineRule="auto"/>
        <w:ind w:left="286" w:right="277"/>
      </w:pPr>
      <w:r>
        <w:rPr/>
        <w:t>61 лет, имеющих отклонение в эякуляте – астенозооспермию. Обработка сперматозоидов человека осуществлялась при помощи различных длин волн монохроматического ЭМИ, лазерного и инфракрасного излучений на базе Медико-биологического центра «Пастер» (г. Москва, Российская Федерация). В качестве излучателя использовали прибор собственной сборки (см. параграф 2.3.1). Длину и энергетические характеристики ЭМИ измеряли на базе кафедры общей физики и волновых процессов МГУ им. М.В. Ломоносова (г. Москва, Российская Федерация) (см. параграф 2.3.2).</w:t>
      </w:r>
    </w:p>
    <w:p>
      <w:pPr>
        <w:pStyle w:val="BodyText"/>
        <w:spacing w:before="4"/>
        <w:jc w:val="left"/>
      </w:pPr>
    </w:p>
    <w:p>
      <w:pPr>
        <w:pStyle w:val="Heading2"/>
        <w:numPr>
          <w:ilvl w:val="2"/>
          <w:numId w:val="4"/>
        </w:numPr>
        <w:tabs>
          <w:tab w:pos="1711" w:val="left" w:leader="none"/>
        </w:tabs>
        <w:spacing w:line="256" w:lineRule="auto" w:before="0" w:after="0"/>
        <w:ind w:left="286" w:right="281" w:firstLine="707"/>
        <w:jc w:val="both"/>
      </w:pPr>
      <w:r>
        <w:rPr/>
        <w:t>Конструкция и параметры опытного прибора-электромагнитного </w:t>
      </w:r>
      <w:r>
        <w:rPr>
          <w:spacing w:val="-2"/>
        </w:rPr>
        <w:t>излучателя</w:t>
      </w:r>
    </w:p>
    <w:p>
      <w:pPr>
        <w:pStyle w:val="BodyText"/>
        <w:spacing w:line="256" w:lineRule="auto"/>
        <w:ind w:left="286" w:right="277" w:firstLine="708"/>
      </w:pPr>
      <w:r>
        <w:rPr/>
        <w:t>Прибор собственной сборки для фотостимуляции биологических объектов состоит из источников ЭМИ, заключенных в алюминиевый корпус с крышкой, двух блоков питания, электронной платы, акриловых перегородок, выключателей.</w:t>
      </w:r>
      <w:r>
        <w:rPr>
          <w:spacing w:val="40"/>
        </w:rPr>
        <w:t> </w:t>
      </w:r>
      <w:r>
        <w:rPr/>
        <w:t>Прибор</w:t>
      </w:r>
      <w:r>
        <w:rPr>
          <w:spacing w:val="59"/>
        </w:rPr>
        <w:t> </w:t>
      </w:r>
      <w:r>
        <w:rPr/>
        <w:t>содержит</w:t>
      </w:r>
      <w:r>
        <w:rPr>
          <w:spacing w:val="57"/>
        </w:rPr>
        <w:t> </w:t>
      </w:r>
      <w:r>
        <w:rPr/>
        <w:t>три</w:t>
      </w:r>
      <w:r>
        <w:rPr>
          <w:spacing w:val="58"/>
        </w:rPr>
        <w:t> </w:t>
      </w:r>
      <w:r>
        <w:rPr/>
        <w:t>камеры,</w:t>
      </w:r>
      <w:r>
        <w:rPr>
          <w:spacing w:val="58"/>
        </w:rPr>
        <w:t> </w:t>
      </w:r>
      <w:r>
        <w:rPr/>
        <w:t>в</w:t>
      </w:r>
      <w:r>
        <w:rPr>
          <w:spacing w:val="57"/>
        </w:rPr>
        <w:t> </w:t>
      </w:r>
      <w:r>
        <w:rPr/>
        <w:t>двух</w:t>
      </w:r>
      <w:r>
        <w:rPr>
          <w:spacing w:val="56"/>
        </w:rPr>
        <w:t> </w:t>
      </w:r>
      <w:r>
        <w:rPr/>
        <w:t>из</w:t>
      </w:r>
      <w:r>
        <w:rPr>
          <w:spacing w:val="58"/>
        </w:rPr>
        <w:t> </w:t>
      </w:r>
      <w:r>
        <w:rPr/>
        <w:t>которых</w:t>
      </w:r>
      <w:r>
        <w:rPr>
          <w:spacing w:val="59"/>
        </w:rPr>
        <w:t> </w:t>
      </w:r>
      <w:r>
        <w:rPr/>
        <w:t>установлены</w:t>
      </w:r>
      <w:r>
        <w:rPr>
          <w:spacing w:val="58"/>
        </w:rPr>
        <w:t> </w:t>
      </w:r>
      <w:r>
        <w:rPr/>
        <w:t>источники</w:t>
      </w:r>
      <w:r>
        <w:rPr>
          <w:spacing w:val="57"/>
        </w:rPr>
        <w:t> </w:t>
      </w:r>
      <w:r>
        <w:rPr>
          <w:spacing w:val="-4"/>
        </w:rPr>
        <w:t>ЭМИ,</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80"/>
      </w:pPr>
      <w:r>
        <w:rPr/>
        <w:t>третья камера является темновой (контрольная). Внутренняя часть прибора, а именно его дно и перегородки камер выполнены из светозащитного акрилового стекла (см. рисунок 12).</w:t>
      </w:r>
    </w:p>
    <w:p>
      <w:pPr>
        <w:spacing w:line="240" w:lineRule="auto"/>
        <w:ind w:left="2368" w:right="0" w:firstLine="0"/>
        <w:rPr>
          <w:sz w:val="20"/>
        </w:rPr>
      </w:pPr>
      <w:r>
        <w:rPr>
          <w:sz w:val="20"/>
        </w:rPr>
        <w:drawing>
          <wp:inline distT="0" distB="0" distL="0" distR="0">
            <wp:extent cx="3871696" cy="3046856"/>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3" cstate="print"/>
                    <a:stretch>
                      <a:fillRect/>
                    </a:stretch>
                  </pic:blipFill>
                  <pic:spPr>
                    <a:xfrm>
                      <a:off x="0" y="0"/>
                      <a:ext cx="3871696" cy="3046856"/>
                    </a:xfrm>
                    <a:prstGeom prst="rect">
                      <a:avLst/>
                    </a:prstGeom>
                  </pic:spPr>
                </pic:pic>
              </a:graphicData>
            </a:graphic>
          </wp:inline>
        </w:drawing>
      </w:r>
      <w:r>
        <w:rPr>
          <w:sz w:val="20"/>
        </w:rPr>
      </w:r>
    </w:p>
    <w:p>
      <w:pPr>
        <w:pStyle w:val="BodyText"/>
        <w:spacing w:line="256" w:lineRule="auto"/>
        <w:ind w:left="2712" w:right="206" w:hanging="1937"/>
        <w:jc w:val="left"/>
      </w:pPr>
      <w:r>
        <w:rPr/>
        <w:t>Рисунок</w:t>
      </w:r>
      <w:r>
        <w:rPr>
          <w:spacing w:val="-6"/>
        </w:rPr>
        <w:t> </w:t>
      </w:r>
      <w:r>
        <w:rPr/>
        <w:t>12</w:t>
      </w:r>
      <w:r>
        <w:rPr>
          <w:spacing w:val="-5"/>
        </w:rPr>
        <w:t> </w:t>
      </w:r>
      <w:r>
        <w:rPr>
          <w:rFonts w:ascii="Arial MT" w:hAnsi="Arial MT"/>
          <w:color w:val="454545"/>
          <w:sz w:val="21"/>
        </w:rPr>
        <w:t>—</w:t>
      </w:r>
      <w:r>
        <w:rPr>
          <w:rFonts w:ascii="Arial MT" w:hAnsi="Arial MT"/>
          <w:color w:val="454545"/>
          <w:spacing w:val="-4"/>
          <w:sz w:val="21"/>
        </w:rPr>
        <w:t> </w:t>
      </w:r>
      <w:r>
        <w:rPr/>
        <w:t>Лабораторный</w:t>
      </w:r>
      <w:r>
        <w:rPr>
          <w:spacing w:val="-5"/>
        </w:rPr>
        <w:t> </w:t>
      </w:r>
      <w:r>
        <w:rPr/>
        <w:t>прототип</w:t>
      </w:r>
      <w:r>
        <w:rPr>
          <w:spacing w:val="-3"/>
        </w:rPr>
        <w:t> </w:t>
      </w:r>
      <w:r>
        <w:rPr/>
        <w:t>прибора</w:t>
      </w:r>
      <w:r>
        <w:rPr>
          <w:spacing w:val="-3"/>
        </w:rPr>
        <w:t> </w:t>
      </w:r>
      <w:r>
        <w:rPr/>
        <w:t>авторского</w:t>
      </w:r>
      <w:r>
        <w:rPr>
          <w:spacing w:val="-3"/>
        </w:rPr>
        <w:t> </w:t>
      </w:r>
      <w:r>
        <w:rPr/>
        <w:t>производства</w:t>
      </w:r>
      <w:r>
        <w:rPr>
          <w:spacing w:val="-6"/>
        </w:rPr>
        <w:t> </w:t>
      </w:r>
      <w:r>
        <w:rPr/>
        <w:t>для фотобиомодуляции биологических объектов</w:t>
      </w:r>
    </w:p>
    <w:p>
      <w:pPr>
        <w:pStyle w:val="BodyText"/>
        <w:spacing w:line="256" w:lineRule="auto" w:before="316"/>
        <w:ind w:left="286" w:right="279" w:firstLine="707"/>
      </w:pPr>
      <w:r>
        <w:rPr/>
        <w:t>Излучатели ЭМИ представлены диодным лазером (λ=651 нм, P =0,6 мВт), красным (λ= 630 нм, P ˂ 0,08 мВт), жёлтым (λ= 589 нм, P ˂ 0,08 мВт), зелёным (λ=573 нм, P ˂ 0,08 мВт), белым (λ=400-750 нм, P</w:t>
      </w:r>
      <w:r>
        <w:rPr>
          <w:spacing w:val="-1"/>
        </w:rPr>
        <w:t> </w:t>
      </w:r>
      <w:r>
        <w:rPr/>
        <w:t>= 0,11 мВт), синими светодиодами (λ= 466 нм, P = 0,08 мВт) и инфракрасным диодом (λ = 933 нм, P =3,43 мВт).</w:t>
      </w:r>
    </w:p>
    <w:p>
      <w:pPr>
        <w:pStyle w:val="BodyText"/>
        <w:spacing w:before="18"/>
        <w:jc w:val="left"/>
      </w:pPr>
    </w:p>
    <w:p>
      <w:pPr>
        <w:pStyle w:val="Heading2"/>
        <w:numPr>
          <w:ilvl w:val="2"/>
          <w:numId w:val="4"/>
        </w:numPr>
        <w:tabs>
          <w:tab w:pos="1623" w:val="left" w:leader="none"/>
        </w:tabs>
        <w:spacing w:line="240" w:lineRule="auto" w:before="0" w:after="0"/>
        <w:ind w:left="1623" w:right="0" w:hanging="629"/>
        <w:jc w:val="both"/>
      </w:pPr>
      <w:r>
        <w:rPr/>
        <w:t>Определение</w:t>
      </w:r>
      <w:r>
        <w:rPr>
          <w:spacing w:val="-7"/>
        </w:rPr>
        <w:t> </w:t>
      </w:r>
      <w:r>
        <w:rPr/>
        <w:t>длин</w:t>
      </w:r>
      <w:r>
        <w:rPr>
          <w:spacing w:val="-8"/>
        </w:rPr>
        <w:t> </w:t>
      </w:r>
      <w:r>
        <w:rPr/>
        <w:t>и</w:t>
      </w:r>
      <w:r>
        <w:rPr>
          <w:spacing w:val="-7"/>
        </w:rPr>
        <w:t> </w:t>
      </w:r>
      <w:r>
        <w:rPr/>
        <w:t>энергетических</w:t>
      </w:r>
      <w:r>
        <w:rPr>
          <w:spacing w:val="-6"/>
        </w:rPr>
        <w:t> </w:t>
      </w:r>
      <w:r>
        <w:rPr/>
        <w:t>параметров</w:t>
      </w:r>
      <w:r>
        <w:rPr>
          <w:spacing w:val="-7"/>
        </w:rPr>
        <w:t> </w:t>
      </w:r>
      <w:r>
        <w:rPr/>
        <w:t>излучаемых</w:t>
      </w:r>
      <w:r>
        <w:rPr>
          <w:spacing w:val="-5"/>
        </w:rPr>
        <w:t> </w:t>
      </w:r>
      <w:r>
        <w:rPr>
          <w:spacing w:val="-4"/>
        </w:rPr>
        <w:t>волн</w:t>
      </w:r>
    </w:p>
    <w:p>
      <w:pPr>
        <w:pStyle w:val="BodyText"/>
        <w:spacing w:line="256" w:lineRule="auto" w:before="21"/>
        <w:ind w:left="286" w:right="275" w:firstLine="707"/>
      </w:pPr>
      <w:r>
        <w:rPr/>
        <w:t>Волны, испускаемые источниками ЭМИ, измеряли при нормальных условиях на базе кафедры общей физики и волновых процессов МГУ им. М.В. Ломоносова с помощью высокочувствительного оптоволоконного спектрофотометра AvaSpec-2048 (Avantes, Нидерланды). Вышеупомянутый прибор экспертного уровня используется как спектрофотометр, фотоколориметр, радиометр, нефелометр, флуориметр, флюороскан или люминометр для аналитических исследований с высокой фотометрической чувствительностью в спектральном диапазоне 200-1100 нм и оптическим разрешением от 0,04 нм. Прибор подключали при помощи USB-соединения к персональному компьютеру (HP, США). Для измерения длины волны датчик устройства помещали напротив источника ЭМИ, данные о длине волны выводятся в виде отчета на монитор.</w:t>
      </w:r>
    </w:p>
    <w:p>
      <w:pPr>
        <w:pStyle w:val="BodyText"/>
        <w:spacing w:line="256" w:lineRule="auto"/>
        <w:ind w:left="286" w:right="278" w:firstLine="709"/>
      </w:pPr>
      <w:r>
        <w:rPr/>
        <w:t>Измерение мощности излучения осуществляли при помощи детектора мощности EODeluxe Power Meter (Edmund optics, США). Для измерения мощности излучения датчик устройства помещали напротив источника ЭМИ, данные о мощности (мВт) заносили в таблицу 8. Плотность мощности излучения (мВт/см</w:t>
      </w:r>
      <w:r>
        <w:rPr>
          <w:vertAlign w:val="superscript"/>
        </w:rPr>
        <w:t>2</w:t>
      </w:r>
      <w:r>
        <w:rPr>
          <w:vertAlign w:val="baseline"/>
        </w:rPr>
        <w:t>) рассчитывали путём деления мощности источника излучения на площадь поверхности чашки Петри. Количество сообщаемой эякуляту энергии (Дж) рассчитывали</w:t>
      </w:r>
      <w:r>
        <w:rPr>
          <w:spacing w:val="40"/>
          <w:vertAlign w:val="baseline"/>
        </w:rPr>
        <w:t> </w:t>
      </w:r>
      <w:r>
        <w:rPr>
          <w:vertAlign w:val="baseline"/>
        </w:rPr>
        <w:t>путём</w:t>
      </w:r>
      <w:r>
        <w:rPr>
          <w:spacing w:val="40"/>
          <w:vertAlign w:val="baseline"/>
        </w:rPr>
        <w:t> </w:t>
      </w:r>
      <w:r>
        <w:rPr>
          <w:vertAlign w:val="baseline"/>
        </w:rPr>
        <w:t>умножения</w:t>
      </w:r>
      <w:r>
        <w:rPr>
          <w:spacing w:val="40"/>
          <w:vertAlign w:val="baseline"/>
        </w:rPr>
        <w:t> </w:t>
      </w:r>
      <w:r>
        <w:rPr>
          <w:vertAlign w:val="baseline"/>
        </w:rPr>
        <w:t>мощности</w:t>
      </w:r>
      <w:r>
        <w:rPr>
          <w:spacing w:val="40"/>
          <w:vertAlign w:val="baseline"/>
        </w:rPr>
        <w:t> </w:t>
      </w:r>
      <w:r>
        <w:rPr>
          <w:vertAlign w:val="baseline"/>
        </w:rPr>
        <w:t>источников</w:t>
      </w:r>
      <w:r>
        <w:rPr>
          <w:spacing w:val="40"/>
          <w:vertAlign w:val="baseline"/>
        </w:rPr>
        <w:t> </w:t>
      </w:r>
      <w:r>
        <w:rPr>
          <w:vertAlign w:val="baseline"/>
        </w:rPr>
        <w:t>(мВт)</w:t>
      </w:r>
      <w:r>
        <w:rPr>
          <w:spacing w:val="40"/>
          <w:vertAlign w:val="baseline"/>
        </w:rPr>
        <w:t> </w:t>
      </w:r>
      <w:r>
        <w:rPr>
          <w:vertAlign w:val="baseline"/>
        </w:rPr>
        <w:t>излучения</w:t>
      </w:r>
      <w:r>
        <w:rPr>
          <w:spacing w:val="40"/>
          <w:vertAlign w:val="baseline"/>
        </w:rPr>
        <w:t> </w:t>
      </w:r>
      <w:r>
        <w:rPr>
          <w:vertAlign w:val="baseline"/>
        </w:rPr>
        <w:t>на</w:t>
      </w:r>
      <w:r>
        <w:rPr>
          <w:spacing w:val="40"/>
          <w:vertAlign w:val="baseline"/>
        </w:rPr>
        <w:t> </w:t>
      </w:r>
      <w:r>
        <w:rPr>
          <w:vertAlign w:val="baseline"/>
        </w:rPr>
        <w:t>время</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06"/>
        <w:jc w:val="left"/>
      </w:pPr>
      <w:r>
        <w:rPr/>
        <w:t>экспозиции</w:t>
      </w:r>
      <w:r>
        <w:rPr>
          <w:spacing w:val="40"/>
        </w:rPr>
        <w:t> </w:t>
      </w:r>
      <w:r>
        <w:rPr/>
        <w:t>(секунд).</w:t>
      </w:r>
      <w:r>
        <w:rPr>
          <w:spacing w:val="40"/>
        </w:rPr>
        <w:t> </w:t>
      </w:r>
      <w:r>
        <w:rPr/>
        <w:t>Измерение</w:t>
      </w:r>
      <w:r>
        <w:rPr>
          <w:spacing w:val="40"/>
        </w:rPr>
        <w:t> </w:t>
      </w:r>
      <w:r>
        <w:rPr/>
        <w:t>проводили</w:t>
      </w:r>
      <w:r>
        <w:rPr>
          <w:spacing w:val="40"/>
        </w:rPr>
        <w:t> </w:t>
      </w:r>
      <w:r>
        <w:rPr/>
        <w:t>пятикратно,</w:t>
      </w:r>
      <w:r>
        <w:rPr>
          <w:spacing w:val="40"/>
        </w:rPr>
        <w:t> </w:t>
      </w:r>
      <w:r>
        <w:rPr/>
        <w:t>ввиду</w:t>
      </w:r>
      <w:r>
        <w:rPr>
          <w:spacing w:val="40"/>
        </w:rPr>
        <w:t> </w:t>
      </w:r>
      <w:r>
        <w:rPr/>
        <w:t>высокой</w:t>
      </w:r>
      <w:r>
        <w:rPr>
          <w:spacing w:val="40"/>
        </w:rPr>
        <w:t> </w:t>
      </w:r>
      <w:r>
        <w:rPr/>
        <w:t>точности используемой техники различия в повторностях не обнаружены.</w:t>
      </w:r>
    </w:p>
    <w:p>
      <w:pPr>
        <w:pStyle w:val="BodyText"/>
        <w:spacing w:before="86"/>
        <w:jc w:val="left"/>
        <w:rPr>
          <w:sz w:val="20"/>
        </w:rPr>
      </w:pPr>
      <w:r>
        <w:rPr>
          <w:sz w:val="20"/>
        </w:rPr>
        <w:drawing>
          <wp:anchor distT="0" distB="0" distL="0" distR="0" allowOverlap="1" layoutInCell="1" locked="0" behindDoc="1" simplePos="0" relativeHeight="487595520">
            <wp:simplePos x="0" y="0"/>
            <wp:positionH relativeFrom="page">
              <wp:posOffset>1999297</wp:posOffset>
            </wp:positionH>
            <wp:positionV relativeFrom="paragraph">
              <wp:posOffset>216140</wp:posOffset>
            </wp:positionV>
            <wp:extent cx="3555356" cy="2657475"/>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4" cstate="print"/>
                    <a:stretch>
                      <a:fillRect/>
                    </a:stretch>
                  </pic:blipFill>
                  <pic:spPr>
                    <a:xfrm>
                      <a:off x="0" y="0"/>
                      <a:ext cx="3555356" cy="2657475"/>
                    </a:xfrm>
                    <a:prstGeom prst="rect">
                      <a:avLst/>
                    </a:prstGeom>
                  </pic:spPr>
                </pic:pic>
              </a:graphicData>
            </a:graphic>
          </wp:anchor>
        </w:drawing>
      </w:r>
    </w:p>
    <w:p>
      <w:pPr>
        <w:pStyle w:val="BodyText"/>
        <w:spacing w:line="256" w:lineRule="auto" w:before="20"/>
        <w:ind w:left="1051" w:right="1047" w:firstLine="1"/>
        <w:jc w:val="center"/>
      </w:pPr>
      <w:r>
        <w:rPr/>
        <w:t>Рисунок 13 </w:t>
      </w:r>
      <w:r>
        <w:rPr>
          <w:rFonts w:ascii="Arial MT" w:hAnsi="Arial MT"/>
          <w:color w:val="454545"/>
          <w:sz w:val="21"/>
        </w:rPr>
        <w:t>— </w:t>
      </w:r>
      <w:r>
        <w:rPr/>
        <w:t>Определение длин волн и мощности излучения прибора А-лабораторный</w:t>
      </w:r>
      <w:r>
        <w:rPr>
          <w:spacing w:val="-6"/>
        </w:rPr>
        <w:t> </w:t>
      </w:r>
      <w:r>
        <w:rPr/>
        <w:t>прототип</w:t>
      </w:r>
      <w:r>
        <w:rPr>
          <w:spacing w:val="-6"/>
        </w:rPr>
        <w:t> </w:t>
      </w:r>
      <w:r>
        <w:rPr/>
        <w:t>прибора;</w:t>
      </w:r>
      <w:r>
        <w:rPr>
          <w:spacing w:val="-4"/>
        </w:rPr>
        <w:t> </w:t>
      </w:r>
      <w:r>
        <w:rPr/>
        <w:t>Б-</w:t>
      </w:r>
      <w:r>
        <w:rPr>
          <w:spacing w:val="-7"/>
        </w:rPr>
        <w:t> </w:t>
      </w:r>
      <w:r>
        <w:rPr/>
        <w:t>детектор</w:t>
      </w:r>
      <w:r>
        <w:rPr>
          <w:spacing w:val="-4"/>
        </w:rPr>
        <w:t> </w:t>
      </w:r>
      <w:r>
        <w:rPr/>
        <w:t>волновой</w:t>
      </w:r>
      <w:r>
        <w:rPr>
          <w:spacing w:val="-6"/>
        </w:rPr>
        <w:t> </w:t>
      </w:r>
      <w:r>
        <w:rPr/>
        <w:t>мощности;</w:t>
      </w:r>
      <w:r>
        <w:rPr>
          <w:spacing w:val="-4"/>
        </w:rPr>
        <w:t> </w:t>
      </w:r>
      <w:r>
        <w:rPr/>
        <w:t>В-персональный компьютер с программным обеспечением.</w:t>
      </w:r>
    </w:p>
    <w:p>
      <w:pPr>
        <w:pStyle w:val="BodyText"/>
        <w:spacing w:before="17"/>
        <w:jc w:val="left"/>
      </w:pPr>
    </w:p>
    <w:p>
      <w:pPr>
        <w:pStyle w:val="BodyText"/>
        <w:spacing w:line="256" w:lineRule="auto"/>
        <w:ind w:left="285" w:right="281" w:firstLine="707"/>
      </w:pPr>
      <w:r>
        <w:rPr/>
        <w:t>На основании результатов измерений с помощью высокочувствительного оптоволоконного спектрофотометра строили графики длины и интенсивности ЭМИ (см. рисунок 14).</w:t>
      </w:r>
    </w:p>
    <w:p>
      <w:pPr>
        <w:pStyle w:val="BodyText"/>
        <w:jc w:val="left"/>
        <w:rPr>
          <w:sz w:val="20"/>
        </w:rPr>
      </w:pPr>
    </w:p>
    <w:p>
      <w:pPr>
        <w:pStyle w:val="BodyText"/>
        <w:spacing w:before="206"/>
        <w:jc w:val="left"/>
        <w:rPr>
          <w:sz w:val="20"/>
        </w:rPr>
      </w:pPr>
      <w:r>
        <w:rPr>
          <w:sz w:val="20"/>
        </w:rPr>
        <w:drawing>
          <wp:anchor distT="0" distB="0" distL="0" distR="0" allowOverlap="1" layoutInCell="1" locked="0" behindDoc="1" simplePos="0" relativeHeight="487596032">
            <wp:simplePos x="0" y="0"/>
            <wp:positionH relativeFrom="page">
              <wp:posOffset>1935157</wp:posOffset>
            </wp:positionH>
            <wp:positionV relativeFrom="paragraph">
              <wp:posOffset>292683</wp:posOffset>
            </wp:positionV>
            <wp:extent cx="4160715" cy="3133725"/>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5" cstate="print"/>
                    <a:stretch>
                      <a:fillRect/>
                    </a:stretch>
                  </pic:blipFill>
                  <pic:spPr>
                    <a:xfrm>
                      <a:off x="0" y="0"/>
                      <a:ext cx="4160715" cy="3133725"/>
                    </a:xfrm>
                    <a:prstGeom prst="rect">
                      <a:avLst/>
                    </a:prstGeom>
                  </pic:spPr>
                </pic:pic>
              </a:graphicData>
            </a:graphic>
          </wp:anchor>
        </w:drawing>
      </w:r>
    </w:p>
    <w:p>
      <w:pPr>
        <w:pStyle w:val="BodyText"/>
        <w:spacing w:before="12"/>
        <w:jc w:val="left"/>
      </w:pPr>
    </w:p>
    <w:p>
      <w:pPr>
        <w:pStyle w:val="BodyText"/>
        <w:spacing w:line="256" w:lineRule="auto"/>
        <w:ind w:left="1174" w:right="464" w:firstLine="1"/>
        <w:jc w:val="center"/>
      </w:pPr>
      <w:r>
        <w:rPr/>
        <w:t>Рисунок 14 </w:t>
      </w:r>
      <w:r>
        <w:rPr>
          <w:rFonts w:ascii="Arial MT" w:hAnsi="Arial MT"/>
          <w:color w:val="454545"/>
          <w:sz w:val="21"/>
        </w:rPr>
        <w:t>— </w:t>
      </w:r>
      <w:r>
        <w:rPr/>
        <w:t>Интенсивность и длина излучения источников ЭМИ Результаты</w:t>
      </w:r>
      <w:r>
        <w:rPr>
          <w:spacing w:val="-6"/>
        </w:rPr>
        <w:t> </w:t>
      </w:r>
      <w:r>
        <w:rPr/>
        <w:t>измерений</w:t>
      </w:r>
      <w:r>
        <w:rPr>
          <w:spacing w:val="-6"/>
        </w:rPr>
        <w:t> </w:t>
      </w:r>
      <w:r>
        <w:rPr/>
        <w:t>отражены</w:t>
      </w:r>
      <w:r>
        <w:rPr>
          <w:spacing w:val="-4"/>
        </w:rPr>
        <w:t> </w:t>
      </w:r>
      <w:r>
        <w:rPr/>
        <w:t>в</w:t>
      </w:r>
      <w:r>
        <w:rPr>
          <w:spacing w:val="-5"/>
        </w:rPr>
        <w:t> </w:t>
      </w:r>
      <w:r>
        <w:rPr/>
        <w:t>параграфе</w:t>
      </w:r>
      <w:r>
        <w:rPr>
          <w:spacing w:val="-5"/>
        </w:rPr>
        <w:t> </w:t>
      </w:r>
      <w:r>
        <w:rPr/>
        <w:t>3.2.1</w:t>
      </w:r>
      <w:r>
        <w:rPr>
          <w:spacing w:val="-6"/>
        </w:rPr>
        <w:t> </w:t>
      </w:r>
      <w:r>
        <w:rPr/>
        <w:t>«Оптико-энергетические</w:t>
      </w:r>
    </w:p>
    <w:p>
      <w:pPr>
        <w:pStyle w:val="BodyText"/>
        <w:spacing w:line="319" w:lineRule="exact"/>
        <w:ind w:left="3"/>
        <w:jc w:val="center"/>
      </w:pPr>
      <w:r>
        <w:rPr/>
        <w:t>характеристики</w:t>
      </w:r>
      <w:r>
        <w:rPr>
          <w:spacing w:val="-13"/>
        </w:rPr>
        <w:t> </w:t>
      </w:r>
      <w:r>
        <w:rPr/>
        <w:t>применяемого</w:t>
      </w:r>
      <w:r>
        <w:rPr>
          <w:spacing w:val="-12"/>
        </w:rPr>
        <w:t> </w:t>
      </w:r>
      <w:r>
        <w:rPr>
          <w:spacing w:val="-2"/>
        </w:rPr>
        <w:t>излучения»</w:t>
      </w:r>
    </w:p>
    <w:p>
      <w:pPr>
        <w:pStyle w:val="BodyText"/>
        <w:spacing w:after="0" w:line="319" w:lineRule="exact"/>
        <w:jc w:val="center"/>
        <w:sectPr>
          <w:pgSz w:w="11910" w:h="16840"/>
          <w:pgMar w:header="0" w:footer="983" w:top="340" w:bottom="1200" w:left="566" w:right="566"/>
        </w:sectPr>
      </w:pPr>
    </w:p>
    <w:p>
      <w:pPr>
        <w:pStyle w:val="Heading2"/>
        <w:numPr>
          <w:ilvl w:val="2"/>
          <w:numId w:val="4"/>
        </w:numPr>
        <w:tabs>
          <w:tab w:pos="1704" w:val="left" w:leader="none"/>
        </w:tabs>
        <w:spacing w:line="256" w:lineRule="auto" w:before="69" w:after="0"/>
        <w:ind w:left="286" w:right="276" w:firstLine="707"/>
        <w:jc w:val="both"/>
      </w:pPr>
      <w:r>
        <w:rPr/>
        <w:t>Экспозиция сперматозоидов при монохроматическом, лазерном и инфракрасном электромагнитных излучениях</w:t>
      </w:r>
    </w:p>
    <w:p>
      <w:pPr>
        <w:pStyle w:val="BodyText"/>
        <w:spacing w:line="256" w:lineRule="auto"/>
        <w:ind w:left="286" w:right="278" w:firstLine="707"/>
      </w:pPr>
      <w:r>
        <w:rPr/>
        <w:t>После получения эякулята и его разжижения при комнатной температуре проводили анализ подвижности сперматозоидов при помощи тринокулярного светового микроскопа (Olimpus, Япония) под увеличением</w:t>
      </w:r>
      <w:r>
        <w:rPr>
          <w:spacing w:val="-1"/>
        </w:rPr>
        <w:t> </w:t>
      </w:r>
      <w:r>
        <w:rPr/>
        <w:t>х200,</w:t>
      </w:r>
      <w:r>
        <w:rPr>
          <w:spacing w:val="-1"/>
        </w:rPr>
        <w:t> </w:t>
      </w:r>
      <w:r>
        <w:rPr/>
        <w:t>используя при</w:t>
      </w:r>
      <w:r>
        <w:rPr>
          <w:spacing w:val="-2"/>
        </w:rPr>
        <w:t> </w:t>
      </w:r>
      <w:r>
        <w:rPr/>
        <w:t>этом CASA-анализатор (Argus-CASA, Российская Федерация). Разжиженный образец спермы</w:t>
      </w:r>
      <w:r>
        <w:rPr>
          <w:spacing w:val="-3"/>
        </w:rPr>
        <w:t> </w:t>
      </w:r>
      <w:r>
        <w:rPr/>
        <w:t>помещали</w:t>
      </w:r>
      <w:r>
        <w:rPr>
          <w:spacing w:val="-1"/>
        </w:rPr>
        <w:t> </w:t>
      </w:r>
      <w:r>
        <w:rPr/>
        <w:t>в</w:t>
      </w:r>
      <w:r>
        <w:rPr>
          <w:spacing w:val="-4"/>
        </w:rPr>
        <w:t> </w:t>
      </w:r>
      <w:r>
        <w:rPr/>
        <w:t>гемоцитометр,</w:t>
      </w:r>
      <w:r>
        <w:rPr>
          <w:spacing w:val="-4"/>
        </w:rPr>
        <w:t> </w:t>
      </w:r>
      <w:r>
        <w:rPr/>
        <w:t>после</w:t>
      </w:r>
      <w:r>
        <w:rPr>
          <w:spacing w:val="-1"/>
        </w:rPr>
        <w:t> </w:t>
      </w:r>
      <w:r>
        <w:rPr/>
        <w:t>чего</w:t>
      </w:r>
      <w:r>
        <w:rPr>
          <w:spacing w:val="-3"/>
        </w:rPr>
        <w:t> </w:t>
      </w:r>
      <w:r>
        <w:rPr/>
        <w:t>проводили</w:t>
      </w:r>
      <w:r>
        <w:rPr>
          <w:spacing w:val="-3"/>
        </w:rPr>
        <w:t> </w:t>
      </w:r>
      <w:r>
        <w:rPr/>
        <w:t>серию</w:t>
      </w:r>
      <w:r>
        <w:rPr>
          <w:spacing w:val="-2"/>
        </w:rPr>
        <w:t> </w:t>
      </w:r>
      <w:r>
        <w:rPr/>
        <w:t>видеозаписей</w:t>
      </w:r>
      <w:r>
        <w:rPr>
          <w:spacing w:val="-1"/>
        </w:rPr>
        <w:t> </w:t>
      </w:r>
      <w:r>
        <w:rPr/>
        <w:t>полей зрения с автоматическим подсчетом не менее 200 сперматозоидов (подробнее см в п 2.4.1).</w:t>
      </w:r>
      <w:r>
        <w:rPr>
          <w:spacing w:val="40"/>
        </w:rPr>
        <w:t> </w:t>
      </w:r>
      <w:r>
        <w:rPr/>
        <w:t>В том случае, если подвижность сперматозоидов соответствовала астенозооспермии, образец подвергали экспозиции под монохроматическим, лазерным или инфракрасным излучением в зависимости от выбранного режима в течение 5, 10, 15, 20, 25, 30 минут. Для этого</w:t>
      </w:r>
      <w:r>
        <w:rPr>
          <w:spacing w:val="-1"/>
        </w:rPr>
        <w:t> </w:t>
      </w:r>
      <w:r>
        <w:rPr/>
        <w:t>общий объем спермы доводили до</w:t>
      </w:r>
      <w:r>
        <w:rPr>
          <w:spacing w:val="-1"/>
        </w:rPr>
        <w:t> </w:t>
      </w:r>
      <w:r>
        <w:rPr/>
        <w:t>6 мл раствором для инфузий 0,9% NaCl с осмолярностью 308 мОсм/л (Мосфарм, Россия), разливали по 3 мл в чашки Петри d = 40мм (Nunk, Дания), избегали формирования пузырей воздуха, крышками не накрывали. Одну чашку помещали в экспериментальную камеру, оснащенную источниками ЭМИ, вторую чашку помещали в контрольную, темновую камеру прибора. Экспозицию проводили при длинах волн от 400 до 750 нм для монохроматического светодиодного, при 651-652 нм для лазерного, 933 нм для инфракрасного излучений с возможностью их </w:t>
      </w:r>
      <w:r>
        <w:rPr>
          <w:spacing w:val="-2"/>
        </w:rPr>
        <w:t>сочетания.</w:t>
      </w:r>
    </w:p>
    <w:p>
      <w:pPr>
        <w:pStyle w:val="BodyText"/>
        <w:spacing w:line="256" w:lineRule="auto" w:before="5"/>
        <w:ind w:left="286" w:right="278" w:firstLine="707"/>
      </w:pPr>
      <w:r>
        <w:rPr/>
        <w:t>Все манипуляции проводили при комнатной температуре. Время контролировали при помощи встроенного в смартфон таймера (Oppo, Китай). По прошествии выбранного времени экспозиции, начиная с контрольной чашки, проводили CASA-анализ спермы по описанной в пункте 2.4.1 методике. При увеличении подвижности сперматозоидов в эксперименте, заданный режим повторяли еще 14 раз на других образцах спермы. Результаты заносили в таблицу </w:t>
      </w:r>
      <w:r>
        <w:rPr>
          <w:spacing w:val="-2"/>
        </w:rPr>
        <w:t>Excel.</w:t>
      </w:r>
    </w:p>
    <w:p>
      <w:pPr>
        <w:spacing w:line="240" w:lineRule="auto"/>
        <w:ind w:left="2536" w:right="0" w:firstLine="0"/>
        <w:rPr>
          <w:sz w:val="20"/>
        </w:rPr>
      </w:pPr>
      <w:r>
        <w:rPr>
          <w:sz w:val="20"/>
        </w:rPr>
        <w:drawing>
          <wp:inline distT="0" distB="0" distL="0" distR="0">
            <wp:extent cx="3628293" cy="2718816"/>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6" cstate="print"/>
                    <a:stretch>
                      <a:fillRect/>
                    </a:stretch>
                  </pic:blipFill>
                  <pic:spPr>
                    <a:xfrm>
                      <a:off x="0" y="0"/>
                      <a:ext cx="3628293" cy="2718816"/>
                    </a:xfrm>
                    <a:prstGeom prst="rect">
                      <a:avLst/>
                    </a:prstGeom>
                  </pic:spPr>
                </pic:pic>
              </a:graphicData>
            </a:graphic>
          </wp:inline>
        </w:drawing>
      </w:r>
      <w:r>
        <w:rPr>
          <w:sz w:val="20"/>
        </w:rPr>
      </w:r>
    </w:p>
    <w:p>
      <w:pPr>
        <w:pStyle w:val="BodyText"/>
        <w:spacing w:line="256" w:lineRule="auto" w:before="21"/>
        <w:ind w:left="744" w:right="741"/>
        <w:jc w:val="center"/>
      </w:pPr>
      <w:r>
        <w:rPr/>
        <w:t>Рисунок</w:t>
      </w:r>
      <w:r>
        <w:rPr>
          <w:spacing w:val="-6"/>
        </w:rPr>
        <w:t> </w:t>
      </w:r>
      <w:r>
        <w:rPr/>
        <w:t>15</w:t>
      </w:r>
      <w:r>
        <w:rPr>
          <w:spacing w:val="-5"/>
        </w:rPr>
        <w:t> </w:t>
      </w:r>
      <w:r>
        <w:rPr>
          <w:rFonts w:ascii="Arial MT" w:hAnsi="Arial MT"/>
          <w:color w:val="454545"/>
          <w:sz w:val="21"/>
        </w:rPr>
        <w:t>—</w:t>
      </w:r>
      <w:r>
        <w:rPr>
          <w:rFonts w:ascii="Arial MT" w:hAnsi="Arial MT"/>
          <w:color w:val="454545"/>
          <w:spacing w:val="-4"/>
          <w:sz w:val="21"/>
        </w:rPr>
        <w:t> </w:t>
      </w:r>
      <w:r>
        <w:rPr/>
        <w:t>Процесс</w:t>
      </w:r>
      <w:r>
        <w:rPr>
          <w:spacing w:val="-4"/>
        </w:rPr>
        <w:t> </w:t>
      </w:r>
      <w:r>
        <w:rPr/>
        <w:t>облучения</w:t>
      </w:r>
      <w:r>
        <w:rPr>
          <w:spacing w:val="-3"/>
        </w:rPr>
        <w:t> </w:t>
      </w:r>
      <w:r>
        <w:rPr/>
        <w:t>сперматозоидов</w:t>
      </w:r>
      <w:r>
        <w:rPr>
          <w:spacing w:val="-4"/>
        </w:rPr>
        <w:t> </w:t>
      </w:r>
      <w:r>
        <w:rPr/>
        <w:t>человека</w:t>
      </w:r>
      <w:r>
        <w:rPr>
          <w:spacing w:val="-6"/>
        </w:rPr>
        <w:t> </w:t>
      </w:r>
      <w:r>
        <w:rPr/>
        <w:t>сочетанием</w:t>
      </w:r>
      <w:r>
        <w:rPr>
          <w:spacing w:val="-4"/>
        </w:rPr>
        <w:t> </w:t>
      </w:r>
      <w:r>
        <w:rPr/>
        <w:t>ЭМИ А-камера для облучения биологических объектов ЭМИ; Б - чашка Петри с эякулятом; В- темная камера, не пропускающая свет (служит для контроля).</w:t>
      </w:r>
    </w:p>
    <w:p>
      <w:pPr>
        <w:pStyle w:val="BodyText"/>
        <w:spacing w:after="0" w:line="256" w:lineRule="auto"/>
        <w:jc w:val="center"/>
        <w:sectPr>
          <w:pgSz w:w="11910" w:h="16840"/>
          <w:pgMar w:header="0" w:footer="983" w:top="340" w:bottom="1200" w:left="566" w:right="566"/>
        </w:sectPr>
      </w:pPr>
    </w:p>
    <w:p>
      <w:pPr>
        <w:pStyle w:val="Heading2"/>
        <w:numPr>
          <w:ilvl w:val="1"/>
          <w:numId w:val="4"/>
        </w:numPr>
        <w:tabs>
          <w:tab w:pos="1443" w:val="left" w:leader="none"/>
        </w:tabs>
        <w:spacing w:line="256" w:lineRule="auto" w:before="69" w:after="0"/>
        <w:ind w:left="286" w:right="276" w:firstLine="707"/>
        <w:jc w:val="both"/>
      </w:pPr>
      <w:r>
        <w:rPr/>
        <w:t>Оценка воздействия электромагнитных излучений на сперматозоиды </w:t>
      </w:r>
      <w:r>
        <w:rPr>
          <w:spacing w:val="-2"/>
        </w:rPr>
        <w:t>человека</w:t>
      </w:r>
    </w:p>
    <w:p>
      <w:pPr>
        <w:pStyle w:val="BodyText"/>
        <w:tabs>
          <w:tab w:pos="2316" w:val="left" w:leader="none"/>
          <w:tab w:pos="4109" w:val="left" w:leader="none"/>
          <w:tab w:pos="5870" w:val="left" w:leader="none"/>
          <w:tab w:pos="8016" w:val="left" w:leader="none"/>
          <w:tab w:pos="9367" w:val="left" w:leader="none"/>
        </w:tabs>
        <w:spacing w:line="256" w:lineRule="auto"/>
        <w:ind w:left="286" w:right="277" w:firstLine="707"/>
      </w:pPr>
      <w:r>
        <w:rPr/>
        <w:t>Для оценки подвижности сперматозоидов в эксперименте и контроле использовали компьютерные технологии - CASA-анализатор спермы (Argus-CASA, Россия) на базе Медико-биологического центра «Пастер»). Анализатор позволяет определить скорость и траекторию движения сперматозоидов, автоматически ранжируя</w:t>
      </w:r>
      <w:r>
        <w:rPr>
          <w:spacing w:val="-2"/>
        </w:rPr>
        <w:t> </w:t>
      </w:r>
      <w:r>
        <w:rPr/>
        <w:t>их</w:t>
      </w:r>
      <w:r>
        <w:rPr>
          <w:spacing w:val="-2"/>
        </w:rPr>
        <w:t> </w:t>
      </w:r>
      <w:r>
        <w:rPr/>
        <w:t>на</w:t>
      </w:r>
      <w:r>
        <w:rPr>
          <w:spacing w:val="-5"/>
        </w:rPr>
        <w:t> </w:t>
      </w:r>
      <w:r>
        <w:rPr/>
        <w:t>3</w:t>
      </w:r>
      <w:r>
        <w:rPr>
          <w:spacing w:val="-2"/>
        </w:rPr>
        <w:t> </w:t>
      </w:r>
      <w:r>
        <w:rPr/>
        <w:t>категории</w:t>
      </w:r>
      <w:r>
        <w:rPr>
          <w:spacing w:val="-2"/>
        </w:rPr>
        <w:t> </w:t>
      </w:r>
      <w:r>
        <w:rPr/>
        <w:t>подвижности:</w:t>
      </w:r>
      <w:r>
        <w:rPr>
          <w:spacing w:val="-1"/>
        </w:rPr>
        <w:t> </w:t>
      </w:r>
      <w:r>
        <w:rPr/>
        <w:t>PR,</w:t>
      </w:r>
      <w:r>
        <w:rPr>
          <w:spacing w:val="-3"/>
        </w:rPr>
        <w:t> </w:t>
      </w:r>
      <w:r>
        <w:rPr/>
        <w:t>NP,</w:t>
      </w:r>
      <w:r>
        <w:rPr>
          <w:spacing w:val="-3"/>
        </w:rPr>
        <w:t> </w:t>
      </w:r>
      <w:r>
        <w:rPr/>
        <w:t>IM,</w:t>
      </w:r>
      <w:r>
        <w:rPr>
          <w:spacing w:val="-3"/>
        </w:rPr>
        <w:t> </w:t>
      </w:r>
      <w:r>
        <w:rPr/>
        <w:t>согласно</w:t>
      </w:r>
      <w:r>
        <w:rPr>
          <w:spacing w:val="-4"/>
        </w:rPr>
        <w:t> </w:t>
      </w:r>
      <w:r>
        <w:rPr/>
        <w:t>руководству</w:t>
      </w:r>
      <w:r>
        <w:rPr>
          <w:spacing w:val="-2"/>
        </w:rPr>
        <w:t> </w:t>
      </w:r>
      <w:r>
        <w:rPr/>
        <w:t>ВОЗ</w:t>
      </w:r>
      <w:r>
        <w:rPr>
          <w:spacing w:val="-2"/>
        </w:rPr>
        <w:t> </w:t>
      </w:r>
      <w:r>
        <w:rPr/>
        <w:t>по исследованию и обработке эякулята человека (см. п. 2.4.1). Конфокальную микроскопию сперматозоидов человека и определение митохондриального электронного потенциала проводили на конфокальном лазерном сканирующем микроскопе Fluoview FV10i (Olympus, Япония) на базе кафедры эмбриологии МГУ им. М.В. Ломоносова (см. п. 2.4.2). Электронно-микроскопическое исследование сперматозоидов (ЭМИС) осуществляли на базе НИИ ФХБ им. А.Н. Белозерского, оценивали ультраструктуры головки, шейки и хвоста сперматозоидов в эксперименте и контроле. Использовали электронный микроскоп JEM-1011 (JEOL, Akishima, Япония), снабженном камерой Orius SC1000 W (Gatan Inc., Pleasanton CA, США) (Hitachi, Япония) (подробнее в п 2.4.3).</w:t>
      </w:r>
      <w:r>
        <w:rPr>
          <w:spacing w:val="40"/>
        </w:rPr>
        <w:t> </w:t>
      </w:r>
      <w:r>
        <w:rPr/>
        <w:t>Фрагментацию ДНК сперматозоидов </w:t>
      </w:r>
      <w:r>
        <w:rPr>
          <w:spacing w:val="-2"/>
        </w:rPr>
        <w:t>оценивали</w:t>
      </w:r>
      <w:r>
        <w:rPr/>
        <w:tab/>
      </w:r>
      <w:r>
        <w:rPr>
          <w:spacing w:val="-2"/>
        </w:rPr>
        <w:t>методом</w:t>
      </w:r>
      <w:r>
        <w:rPr/>
        <w:tab/>
      </w:r>
      <w:r>
        <w:rPr>
          <w:spacing w:val="-2"/>
        </w:rPr>
        <w:t>мечения</w:t>
      </w:r>
      <w:r>
        <w:rPr/>
        <w:tab/>
      </w:r>
      <w:r>
        <w:rPr>
          <w:spacing w:val="-2"/>
        </w:rPr>
        <w:t>ник-концов</w:t>
      </w:r>
      <w:r>
        <w:rPr/>
        <w:tab/>
      </w:r>
      <w:r>
        <w:rPr>
          <w:spacing w:val="-4"/>
        </w:rPr>
        <w:t>ДНК</w:t>
      </w:r>
      <w:r>
        <w:rPr/>
        <w:tab/>
      </w:r>
      <w:r>
        <w:rPr>
          <w:spacing w:val="-2"/>
        </w:rPr>
        <w:t>концевой </w:t>
      </w:r>
      <w:r>
        <w:rPr/>
        <w:t>дезоксинуклеотидилтрансферазой dUTP (TUNEL) на базах МГНЦ им. Н.П. Бочкова и НИИ ФХБ им. А.Н. Белозерского.</w:t>
      </w:r>
    </w:p>
    <w:p>
      <w:pPr>
        <w:pStyle w:val="Heading2"/>
        <w:numPr>
          <w:ilvl w:val="2"/>
          <w:numId w:val="4"/>
        </w:numPr>
        <w:tabs>
          <w:tab w:pos="1965" w:val="left" w:leader="none"/>
        </w:tabs>
        <w:spacing w:line="256" w:lineRule="auto" w:before="320" w:after="0"/>
        <w:ind w:left="286" w:right="275" w:firstLine="707"/>
        <w:jc w:val="both"/>
      </w:pPr>
      <w:r>
        <w:rPr/>
        <w:t>Определение подвижности сперматозоидов при помощи компьютерных технологий</w:t>
      </w:r>
    </w:p>
    <w:p>
      <w:pPr>
        <w:pStyle w:val="BodyText"/>
        <w:spacing w:line="256" w:lineRule="auto"/>
        <w:ind w:left="286" w:right="278" w:firstLine="707"/>
      </w:pPr>
      <w:r>
        <w:rPr/>
        <w:t>Подвижность сперматозоидов определяли при помощи CASA-анализатора (Argus-CASA,</w:t>
      </w:r>
      <w:r>
        <w:rPr>
          <w:spacing w:val="-3"/>
        </w:rPr>
        <w:t> </w:t>
      </w:r>
      <w:r>
        <w:rPr/>
        <w:t>Россия).</w:t>
      </w:r>
      <w:r>
        <w:rPr>
          <w:spacing w:val="-3"/>
        </w:rPr>
        <w:t> </w:t>
      </w:r>
      <w:r>
        <w:rPr/>
        <w:t>Для</w:t>
      </w:r>
      <w:r>
        <w:rPr>
          <w:spacing w:val="-2"/>
        </w:rPr>
        <w:t> </w:t>
      </w:r>
      <w:r>
        <w:rPr/>
        <w:t>этого</w:t>
      </w:r>
      <w:r>
        <w:rPr>
          <w:spacing w:val="-4"/>
        </w:rPr>
        <w:t> </w:t>
      </w:r>
      <w:r>
        <w:rPr/>
        <w:t>брали</w:t>
      </w:r>
      <w:r>
        <w:rPr>
          <w:spacing w:val="-4"/>
        </w:rPr>
        <w:t> </w:t>
      </w:r>
      <w:r>
        <w:rPr/>
        <w:t>аликвоты</w:t>
      </w:r>
      <w:r>
        <w:rPr>
          <w:spacing w:val="-2"/>
        </w:rPr>
        <w:t> </w:t>
      </w:r>
      <w:r>
        <w:rPr/>
        <w:t>по</w:t>
      </w:r>
      <w:r>
        <w:rPr>
          <w:spacing w:val="-2"/>
        </w:rPr>
        <w:t> </w:t>
      </w:r>
      <w:r>
        <w:rPr/>
        <w:t>10</w:t>
      </w:r>
      <w:r>
        <w:rPr>
          <w:spacing w:val="-2"/>
        </w:rPr>
        <w:t> </w:t>
      </w:r>
      <w:r>
        <w:rPr/>
        <w:t>мкл</w:t>
      </w:r>
      <w:r>
        <w:rPr>
          <w:spacing w:val="-4"/>
        </w:rPr>
        <w:t> </w:t>
      </w:r>
      <w:r>
        <w:rPr/>
        <w:t>спермы</w:t>
      </w:r>
      <w:r>
        <w:rPr>
          <w:spacing w:val="-4"/>
        </w:rPr>
        <w:t> </w:t>
      </w:r>
      <w:r>
        <w:rPr/>
        <w:t>из</w:t>
      </w:r>
      <w:r>
        <w:rPr>
          <w:spacing w:val="-3"/>
        </w:rPr>
        <w:t> </w:t>
      </w:r>
      <w:r>
        <w:rPr/>
        <w:t>эксперимента и контроля, приливали в гемоцитометр (Минимед, Россия), настраивали револьвер микроскопа (Ломо, Россия) на увеличение х200, фокусировались на счетной</w:t>
      </w:r>
      <w:r>
        <w:rPr>
          <w:spacing w:val="40"/>
        </w:rPr>
        <w:t> </w:t>
      </w:r>
      <w:r>
        <w:rPr/>
        <w:t>решетке гемоцитометра. Производили серию видеозаписей с автоматическим компьютерным подсчетом числа сперматозоидов и определением их подвижности (рисунок 16).</w:t>
      </w:r>
    </w:p>
    <w:p>
      <w:pPr>
        <w:pStyle w:val="BodyText"/>
        <w:spacing w:before="81"/>
        <w:jc w:val="left"/>
        <w:rPr>
          <w:sz w:val="20"/>
        </w:rPr>
      </w:pPr>
      <w:r>
        <w:rPr>
          <w:sz w:val="20"/>
        </w:rPr>
        <w:drawing>
          <wp:anchor distT="0" distB="0" distL="0" distR="0" allowOverlap="1" layoutInCell="1" locked="0" behindDoc="1" simplePos="0" relativeHeight="487596544">
            <wp:simplePos x="0" y="0"/>
            <wp:positionH relativeFrom="page">
              <wp:posOffset>1853247</wp:posOffset>
            </wp:positionH>
            <wp:positionV relativeFrom="paragraph">
              <wp:posOffset>212971</wp:posOffset>
            </wp:positionV>
            <wp:extent cx="3835134" cy="2141220"/>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27" cstate="print"/>
                    <a:stretch>
                      <a:fillRect/>
                    </a:stretch>
                  </pic:blipFill>
                  <pic:spPr>
                    <a:xfrm>
                      <a:off x="0" y="0"/>
                      <a:ext cx="3835134" cy="2141220"/>
                    </a:xfrm>
                    <a:prstGeom prst="rect">
                      <a:avLst/>
                    </a:prstGeom>
                  </pic:spPr>
                </pic:pic>
              </a:graphicData>
            </a:graphic>
          </wp:anchor>
        </w:drawing>
      </w:r>
    </w:p>
    <w:p>
      <w:pPr>
        <w:pStyle w:val="BodyText"/>
        <w:spacing w:before="38"/>
        <w:ind w:left="1"/>
        <w:jc w:val="center"/>
      </w:pPr>
      <w:r>
        <w:rPr/>
        <w:t>Рисунок</w:t>
      </w:r>
      <w:r>
        <w:rPr>
          <w:spacing w:val="-9"/>
        </w:rPr>
        <w:t> </w:t>
      </w:r>
      <w:r>
        <w:rPr/>
        <w:t>16</w:t>
      </w:r>
      <w:r>
        <w:rPr>
          <w:spacing w:val="-6"/>
        </w:rPr>
        <w:t> </w:t>
      </w:r>
      <w:r>
        <w:rPr>
          <w:rFonts w:ascii="Arial MT" w:hAnsi="Arial MT"/>
          <w:color w:val="454545"/>
          <w:sz w:val="21"/>
        </w:rPr>
        <w:t>—</w:t>
      </w:r>
      <w:r>
        <w:rPr>
          <w:rFonts w:ascii="Arial MT" w:hAnsi="Arial MT"/>
          <w:color w:val="454545"/>
          <w:spacing w:val="7"/>
          <w:sz w:val="21"/>
        </w:rPr>
        <w:t> </w:t>
      </w:r>
      <w:r>
        <w:rPr/>
        <w:t>Комплект</w:t>
      </w:r>
      <w:r>
        <w:rPr>
          <w:spacing w:val="-5"/>
        </w:rPr>
        <w:t> </w:t>
      </w:r>
      <w:r>
        <w:rPr/>
        <w:t>для</w:t>
      </w:r>
      <w:r>
        <w:rPr>
          <w:spacing w:val="-4"/>
        </w:rPr>
        <w:t> </w:t>
      </w:r>
      <w:r>
        <w:rPr/>
        <w:t>компьютерного</w:t>
      </w:r>
      <w:r>
        <w:rPr>
          <w:spacing w:val="-4"/>
        </w:rPr>
        <w:t> </w:t>
      </w:r>
      <w:r>
        <w:rPr/>
        <w:t>анализа</w:t>
      </w:r>
      <w:r>
        <w:rPr>
          <w:spacing w:val="-4"/>
        </w:rPr>
        <w:t> </w:t>
      </w:r>
      <w:r>
        <w:rPr>
          <w:spacing w:val="-2"/>
        </w:rPr>
        <w:t>спермы</w:t>
      </w:r>
    </w:p>
    <w:p>
      <w:pPr>
        <w:pStyle w:val="BodyText"/>
        <w:spacing w:line="256" w:lineRule="auto" w:before="22"/>
        <w:ind w:left="326" w:right="325"/>
        <w:jc w:val="center"/>
      </w:pPr>
      <w:r>
        <w:rPr/>
        <w:t>А-</w:t>
      </w:r>
      <w:r>
        <w:rPr>
          <w:spacing w:val="-4"/>
        </w:rPr>
        <w:t> </w:t>
      </w:r>
      <w:r>
        <w:rPr/>
        <w:t>Персональный</w:t>
      </w:r>
      <w:r>
        <w:rPr>
          <w:spacing w:val="-3"/>
        </w:rPr>
        <w:t> </w:t>
      </w:r>
      <w:r>
        <w:rPr/>
        <w:t>компьютер</w:t>
      </w:r>
      <w:r>
        <w:rPr>
          <w:spacing w:val="-3"/>
        </w:rPr>
        <w:t> </w:t>
      </w:r>
      <w:r>
        <w:rPr/>
        <w:t>с</w:t>
      </w:r>
      <w:r>
        <w:rPr>
          <w:spacing w:val="-4"/>
        </w:rPr>
        <w:t> </w:t>
      </w:r>
      <w:r>
        <w:rPr/>
        <w:t>программным</w:t>
      </w:r>
      <w:r>
        <w:rPr>
          <w:spacing w:val="-4"/>
        </w:rPr>
        <w:t> </w:t>
      </w:r>
      <w:r>
        <w:rPr/>
        <w:t>обеспечением;</w:t>
      </w:r>
      <w:r>
        <w:rPr>
          <w:spacing w:val="-3"/>
        </w:rPr>
        <w:t> </w:t>
      </w:r>
      <w:r>
        <w:rPr/>
        <w:t>Б-</w:t>
      </w:r>
      <w:r>
        <w:rPr>
          <w:spacing w:val="-4"/>
        </w:rPr>
        <w:t> </w:t>
      </w:r>
      <w:r>
        <w:rPr/>
        <w:t>Камера;</w:t>
      </w:r>
      <w:r>
        <w:rPr>
          <w:spacing w:val="-3"/>
        </w:rPr>
        <w:t> </w:t>
      </w:r>
      <w:r>
        <w:rPr/>
        <w:t>В-</w:t>
      </w:r>
      <w:r>
        <w:rPr>
          <w:spacing w:val="-4"/>
        </w:rPr>
        <w:t> </w:t>
      </w:r>
      <w:r>
        <w:rPr/>
        <w:t>световой </w:t>
      </w:r>
      <w:r>
        <w:rPr>
          <w:spacing w:val="-2"/>
        </w:rPr>
        <w:t>микроскоп.</w:t>
      </w:r>
    </w:p>
    <w:p>
      <w:pPr>
        <w:pStyle w:val="BodyText"/>
        <w:spacing w:after="0" w:line="256" w:lineRule="auto"/>
        <w:jc w:val="center"/>
        <w:sectPr>
          <w:pgSz w:w="11910" w:h="16840"/>
          <w:pgMar w:header="0" w:footer="983" w:top="340" w:bottom="1200" w:left="566" w:right="566"/>
        </w:sectPr>
      </w:pPr>
    </w:p>
    <w:p>
      <w:pPr>
        <w:pStyle w:val="BodyText"/>
        <w:spacing w:line="256" w:lineRule="auto" w:before="72"/>
        <w:ind w:left="285" w:right="278" w:firstLine="707"/>
      </w:pPr>
      <w:r>
        <w:rPr/>
        <w:t>По достижении 200 изученных сперматозоидов исследование считали состоявшимся.</w:t>
      </w:r>
      <w:r>
        <w:rPr>
          <w:spacing w:val="40"/>
        </w:rPr>
        <w:t> </w:t>
      </w:r>
      <w:r>
        <w:rPr/>
        <w:t>Подвижность сперматозоидов CASA-анализатор ранжировал на 3 категории, а именно: прогрессивно-подвижные (PR), малоподвижные (NP) и неподвижные (IM) (см. рисунок 17). При увеличении подвижности сперматозоидов протокол «эксперимент-контроль» повторяли ещё 14 раз. Результаты заносили в таблицу (см. приложение</w:t>
      </w:r>
      <w:r>
        <w:rPr>
          <w:spacing w:val="40"/>
        </w:rPr>
        <w:t> </w:t>
      </w:r>
      <w:r>
        <w:rPr/>
        <w:t>В).</w:t>
      </w:r>
    </w:p>
    <w:p>
      <w:pPr>
        <w:pStyle w:val="BodyText"/>
        <w:spacing w:before="82"/>
        <w:jc w:val="left"/>
        <w:rPr>
          <w:sz w:val="20"/>
        </w:rPr>
      </w:pPr>
      <w:r>
        <w:rPr>
          <w:sz w:val="20"/>
        </w:rPr>
        <w:drawing>
          <wp:anchor distT="0" distB="0" distL="0" distR="0" allowOverlap="1" layoutInCell="1" locked="0" behindDoc="1" simplePos="0" relativeHeight="487597056">
            <wp:simplePos x="0" y="0"/>
            <wp:positionH relativeFrom="page">
              <wp:posOffset>1517968</wp:posOffset>
            </wp:positionH>
            <wp:positionV relativeFrom="paragraph">
              <wp:posOffset>213384</wp:posOffset>
            </wp:positionV>
            <wp:extent cx="4500560" cy="3387090"/>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28" cstate="print"/>
                    <a:stretch>
                      <a:fillRect/>
                    </a:stretch>
                  </pic:blipFill>
                  <pic:spPr>
                    <a:xfrm>
                      <a:off x="0" y="0"/>
                      <a:ext cx="4500560" cy="3387090"/>
                    </a:xfrm>
                    <a:prstGeom prst="rect">
                      <a:avLst/>
                    </a:prstGeom>
                  </pic:spPr>
                </pic:pic>
              </a:graphicData>
            </a:graphic>
          </wp:anchor>
        </w:drawing>
      </w:r>
    </w:p>
    <w:p>
      <w:pPr>
        <w:pStyle w:val="BodyText"/>
        <w:spacing w:before="58"/>
        <w:ind w:left="5"/>
        <w:jc w:val="center"/>
      </w:pPr>
      <w:r>
        <w:rPr/>
        <w:t>Рисунок</w:t>
      </w:r>
      <w:r>
        <w:rPr>
          <w:spacing w:val="-9"/>
        </w:rPr>
        <w:t> </w:t>
      </w:r>
      <w:r>
        <w:rPr/>
        <w:t>17</w:t>
      </w:r>
      <w:r>
        <w:rPr>
          <w:spacing w:val="-5"/>
        </w:rPr>
        <w:t> </w:t>
      </w:r>
      <w:r>
        <w:rPr>
          <w:rFonts w:ascii="Arial MT" w:hAnsi="Arial MT"/>
          <w:color w:val="454545"/>
          <w:sz w:val="21"/>
        </w:rPr>
        <w:t>—</w:t>
      </w:r>
      <w:r>
        <w:rPr>
          <w:rFonts w:ascii="Arial MT" w:hAnsi="Arial MT"/>
          <w:color w:val="454545"/>
          <w:spacing w:val="-4"/>
          <w:sz w:val="21"/>
        </w:rPr>
        <w:t> </w:t>
      </w:r>
      <w:r>
        <w:rPr/>
        <w:t>Обработаное</w:t>
      </w:r>
      <w:r>
        <w:rPr>
          <w:spacing w:val="-4"/>
        </w:rPr>
        <w:t> </w:t>
      </w:r>
      <w:r>
        <w:rPr/>
        <w:t>CASA</w:t>
      </w:r>
      <w:r>
        <w:rPr>
          <w:spacing w:val="-4"/>
        </w:rPr>
        <w:t> </w:t>
      </w:r>
      <w:r>
        <w:rPr/>
        <w:t>–</w:t>
      </w:r>
      <w:r>
        <w:rPr>
          <w:spacing w:val="-5"/>
        </w:rPr>
        <w:t> </w:t>
      </w:r>
      <w:r>
        <w:rPr/>
        <w:t>изображение</w:t>
      </w:r>
      <w:r>
        <w:rPr>
          <w:spacing w:val="-4"/>
        </w:rPr>
        <w:t> </w:t>
      </w:r>
      <w:r>
        <w:rPr>
          <w:spacing w:val="-2"/>
        </w:rPr>
        <w:t>сперматозоидов.</w:t>
      </w:r>
    </w:p>
    <w:p>
      <w:pPr>
        <w:pStyle w:val="BodyText"/>
        <w:spacing w:line="256" w:lineRule="auto" w:before="21"/>
        <w:ind w:left="597" w:right="593"/>
        <w:jc w:val="center"/>
      </w:pPr>
      <w:r>
        <w:rPr/>
        <w:t>Зеленым</w:t>
      </w:r>
      <w:r>
        <w:rPr>
          <w:spacing w:val="-9"/>
        </w:rPr>
        <w:t> </w:t>
      </w:r>
      <w:r>
        <w:rPr/>
        <w:t>цветом</w:t>
      </w:r>
      <w:r>
        <w:rPr>
          <w:spacing w:val="-9"/>
        </w:rPr>
        <w:t> </w:t>
      </w:r>
      <w:r>
        <w:rPr/>
        <w:t>выделены-прогрессивно-подвижные</w:t>
      </w:r>
      <w:r>
        <w:rPr>
          <w:spacing w:val="-9"/>
        </w:rPr>
        <w:t> </w:t>
      </w:r>
      <w:r>
        <w:rPr/>
        <w:t>сперматозоиды,</w:t>
      </w:r>
      <w:r>
        <w:rPr>
          <w:spacing w:val="-9"/>
        </w:rPr>
        <w:t> </w:t>
      </w:r>
      <w:r>
        <w:rPr/>
        <w:t>красным-малоподвижные, фиолетовым- неподвижные</w:t>
      </w:r>
    </w:p>
    <w:p>
      <w:pPr>
        <w:pStyle w:val="BodyText"/>
        <w:spacing w:before="18"/>
        <w:jc w:val="left"/>
      </w:pPr>
    </w:p>
    <w:p>
      <w:pPr>
        <w:pStyle w:val="Heading2"/>
        <w:numPr>
          <w:ilvl w:val="2"/>
          <w:numId w:val="4"/>
        </w:numPr>
        <w:tabs>
          <w:tab w:pos="1625" w:val="left" w:leader="none"/>
        </w:tabs>
        <w:spacing w:line="256" w:lineRule="auto" w:before="1" w:after="0"/>
        <w:ind w:left="286" w:right="275" w:firstLine="707"/>
        <w:jc w:val="both"/>
      </w:pPr>
      <w:r>
        <w:rPr/>
        <w:t>Потенциалзависимое</w:t>
      </w:r>
      <w:r>
        <w:rPr>
          <w:spacing w:val="-7"/>
        </w:rPr>
        <w:t> </w:t>
      </w:r>
      <w:r>
        <w:rPr/>
        <w:t>флуоресцентное</w:t>
      </w:r>
      <w:r>
        <w:rPr>
          <w:spacing w:val="-7"/>
        </w:rPr>
        <w:t> </w:t>
      </w:r>
      <w:r>
        <w:rPr/>
        <w:t>окрашивание</w:t>
      </w:r>
      <w:r>
        <w:rPr>
          <w:spacing w:val="-7"/>
        </w:rPr>
        <w:t> </w:t>
      </w:r>
      <w:r>
        <w:rPr/>
        <w:t>митохондриона</w:t>
      </w:r>
      <w:r>
        <w:rPr>
          <w:spacing w:val="-3"/>
        </w:rPr>
        <w:t> </w:t>
      </w:r>
      <w:r>
        <w:rPr/>
        <w:t>с последующей конфокальной лазерной сканирующей микроскопией сперматозоидов человека</w:t>
      </w:r>
    </w:p>
    <w:p>
      <w:pPr>
        <w:pStyle w:val="BodyText"/>
        <w:spacing w:line="276" w:lineRule="auto"/>
        <w:ind w:left="285" w:right="278" w:firstLine="708"/>
      </w:pPr>
      <w:r>
        <w:rPr/>
        <w:t>Сканирующую конфокальную микроскопию проводили на микроскопе Fluoview FV 10i (Olympus, Япония). Эякулят был получен в медицинском учреждении и транспортирован в исследовательскую лабораторию в течение часа. Для окраски облученные и контрольные аликвоты спермы по 10 мкл помещали в раствор LumiTracker Green FM (Lumiprobe, Россия) и инкубировали 15 минут при комнатной температуре. LumiTracker Green — зеленый флуоресцентный краситель, используемый для </w:t>
      </w:r>
      <w:r>
        <w:rPr>
          <w:i/>
        </w:rPr>
        <w:t>vitalis </w:t>
      </w:r>
      <w:r>
        <w:rPr/>
        <w:t>мониторинга поляризации мембран избирательно накапливающийся в митохондриальном матриксе. LumiTracker Green FM</w:t>
      </w:r>
      <w:r>
        <w:rPr>
          <w:spacing w:val="40"/>
        </w:rPr>
        <w:t> </w:t>
      </w:r>
      <w:r>
        <w:rPr/>
        <w:t>ковалентно связывает митохондриальные белки, реагируя со свободным меркаптаном остатков цистеина, позволяя окрашивать митохондрии независимо от мембранного потенциала. Длина волны возбуждения/излучения 490/523 нм [209]. Исходный</w:t>
      </w:r>
      <w:r>
        <w:rPr>
          <w:spacing w:val="2"/>
        </w:rPr>
        <w:t> </w:t>
      </w:r>
      <w:r>
        <w:rPr/>
        <w:t>раствор</w:t>
      </w:r>
      <w:r>
        <w:rPr>
          <w:spacing w:val="2"/>
        </w:rPr>
        <w:t> </w:t>
      </w:r>
      <w:r>
        <w:rPr/>
        <w:t>красителя</w:t>
      </w:r>
      <w:r>
        <w:rPr>
          <w:spacing w:val="5"/>
        </w:rPr>
        <w:t> </w:t>
      </w:r>
      <w:r>
        <w:rPr/>
        <w:t>готовили</w:t>
      </w:r>
      <w:r>
        <w:rPr>
          <w:spacing w:val="2"/>
        </w:rPr>
        <w:t> </w:t>
      </w:r>
      <w:r>
        <w:rPr/>
        <w:t>путём</w:t>
      </w:r>
      <w:r>
        <w:rPr>
          <w:spacing w:val="1"/>
        </w:rPr>
        <w:t> </w:t>
      </w:r>
      <w:r>
        <w:rPr/>
        <w:t>растворения</w:t>
      </w:r>
      <w:r>
        <w:rPr>
          <w:spacing w:val="3"/>
        </w:rPr>
        <w:t> </w:t>
      </w:r>
      <w:r>
        <w:rPr/>
        <w:t>50</w:t>
      </w:r>
      <w:r>
        <w:rPr>
          <w:spacing w:val="5"/>
        </w:rPr>
        <w:t> </w:t>
      </w:r>
      <w:r>
        <w:rPr/>
        <w:t>мкг</w:t>
      </w:r>
      <w:r>
        <w:rPr>
          <w:spacing w:val="5"/>
        </w:rPr>
        <w:t> </w:t>
      </w:r>
      <w:r>
        <w:rPr/>
        <w:t>LumiTracker</w:t>
      </w:r>
      <w:r>
        <w:rPr>
          <w:spacing w:val="2"/>
        </w:rPr>
        <w:t> </w:t>
      </w:r>
      <w:r>
        <w:rPr>
          <w:spacing w:val="-2"/>
        </w:rPr>
        <w:t>Green</w:t>
      </w:r>
    </w:p>
    <w:p>
      <w:pPr>
        <w:pStyle w:val="BodyText"/>
        <w:spacing w:after="0" w:line="276" w:lineRule="auto"/>
        <w:sectPr>
          <w:pgSz w:w="11910" w:h="16840"/>
          <w:pgMar w:header="0" w:footer="983" w:top="680" w:bottom="1200" w:left="566" w:right="566"/>
        </w:sectPr>
      </w:pPr>
    </w:p>
    <w:p>
      <w:pPr>
        <w:pStyle w:val="BodyText"/>
        <w:spacing w:line="276" w:lineRule="auto" w:before="69"/>
        <w:ind w:left="286" w:right="278"/>
      </w:pPr>
      <w:r>
        <w:rPr/>
        <w:t>FM в 74,4 мкл ДМСО, получая 1 мМ исходного раствора. Исходный раствор хранили при температуре -20°C в защищенном от света месте, исключая повторяющиеся циклы замораживания-оттаивания. Рабочий раствор готовили, растворяя исходный раствор в PBS в соотношении 1:5000, чтобы получить 20 нМ раствор LumiTracker Green FM. Наряду с зеленым, нами выбрано зондирование с помощью LumiTracker Mito Red CMXRos — катионного красного флуоресцентного красителя, также окрашивающего митохондрии в живых клетках. CMXRos представляет собой гидрофобное соединение, которое пассивно диффундирует</w:t>
      </w:r>
      <w:r>
        <w:rPr>
          <w:spacing w:val="40"/>
        </w:rPr>
        <w:t> </w:t>
      </w:r>
      <w:r>
        <w:rPr/>
        <w:t>через плазматическую мембрану и избирательно накапливается в активных митохондриях в зависимости от мембранного потенциала в них.</w:t>
      </w:r>
    </w:p>
    <w:p>
      <w:pPr>
        <w:pStyle w:val="BodyText"/>
        <w:spacing w:line="276" w:lineRule="auto"/>
        <w:ind w:left="285" w:right="278" w:firstLine="1416"/>
      </w:pPr>
      <w:r>
        <w:rPr/>
        <w:t>После инкубирования с красителем аликвоты по 10 мкл помещали на предметное стекло 75х25мм, толщиной 1,0–1,2 мм (Levenhuk, США) после чего приливали 10 мкл культуральной среды</w:t>
      </w:r>
      <w:r>
        <w:rPr>
          <w:spacing w:val="-1"/>
        </w:rPr>
        <w:t> </w:t>
      </w:r>
      <w:r>
        <w:rPr/>
        <w:t>для сперматозоидов с 7% PVP (Sage,</w:t>
      </w:r>
      <w:r>
        <w:rPr>
          <w:spacing w:val="-2"/>
        </w:rPr>
        <w:t> </w:t>
      </w:r>
      <w:r>
        <w:rPr/>
        <w:t>Дания) в состав которой входят поливинилпирролидон, CaCl</w:t>
      </w:r>
      <w:r>
        <w:rPr>
          <w:vertAlign w:val="subscript"/>
        </w:rPr>
        <w:t>2</w:t>
      </w:r>
      <w:r>
        <w:rPr>
          <w:vertAlign w:val="baseline"/>
        </w:rPr>
        <w:t>, гентамицина сульфат, глюкоза, HEPES, раствор человеческого сывороточного альбумина, MgSO</w:t>
      </w:r>
      <w:r>
        <w:rPr>
          <w:vertAlign w:val="subscript"/>
        </w:rPr>
        <w:t>4</w:t>
      </w:r>
      <w:r>
        <w:rPr>
          <w:vertAlign w:val="baseline"/>
        </w:rPr>
        <w:t> и вода. Покрывали покровным стеклом (Полтавмедстекло, СССР). Флуоресценцию возбуждали встроенным в конфокальный микроскоп лазером, схема получения изображения указана на рисунке 18. Максимум возбуждения/поглощения = 511 нм. Длина волны флуоресценции 531 нм (см. таблицу 5). Квантовый выход флуоресценции: 0,98 [210]. Лазер зелёный</w:t>
      </w:r>
      <w:r>
        <w:rPr>
          <w:spacing w:val="40"/>
          <w:vertAlign w:val="baseline"/>
        </w:rPr>
        <w:t> </w:t>
      </w:r>
      <w:r>
        <w:rPr>
          <w:vertAlign w:val="baseline"/>
        </w:rPr>
        <w:t>интенсивность 45, чувствительность 53. Красный лазер 32/41. Проводили цифровую фотофиксацию изображений полученных образцов.</w:t>
      </w:r>
    </w:p>
    <w:p>
      <w:pPr>
        <w:pStyle w:val="BodyText"/>
        <w:spacing w:before="115"/>
        <w:jc w:val="left"/>
        <w:rPr>
          <w:sz w:val="20"/>
        </w:rPr>
      </w:pPr>
      <w:r>
        <w:rPr>
          <w:sz w:val="20"/>
        </w:rPr>
        <w:drawing>
          <wp:anchor distT="0" distB="0" distL="0" distR="0" allowOverlap="1" layoutInCell="1" locked="0" behindDoc="1" simplePos="0" relativeHeight="487597568">
            <wp:simplePos x="0" y="0"/>
            <wp:positionH relativeFrom="page">
              <wp:posOffset>1510030</wp:posOffset>
            </wp:positionH>
            <wp:positionV relativeFrom="paragraph">
              <wp:posOffset>234360</wp:posOffset>
            </wp:positionV>
            <wp:extent cx="5012373" cy="3735228"/>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29" cstate="print"/>
                    <a:stretch>
                      <a:fillRect/>
                    </a:stretch>
                  </pic:blipFill>
                  <pic:spPr>
                    <a:xfrm>
                      <a:off x="0" y="0"/>
                      <a:ext cx="5012373" cy="3735228"/>
                    </a:xfrm>
                    <a:prstGeom prst="rect">
                      <a:avLst/>
                    </a:prstGeom>
                  </pic:spPr>
                </pic:pic>
              </a:graphicData>
            </a:graphic>
          </wp:anchor>
        </w:drawing>
      </w:r>
    </w:p>
    <w:p>
      <w:pPr>
        <w:pStyle w:val="BodyText"/>
        <w:spacing w:before="82"/>
        <w:ind w:left="706"/>
        <w:jc w:val="center"/>
      </w:pPr>
      <w:r>
        <w:rPr/>
        <w:t>Рисунок</w:t>
      </w:r>
      <w:r>
        <w:rPr>
          <w:spacing w:val="-9"/>
        </w:rPr>
        <w:t> </w:t>
      </w:r>
      <w:r>
        <w:rPr/>
        <w:t>18</w:t>
      </w:r>
      <w:r>
        <w:rPr>
          <w:spacing w:val="-5"/>
        </w:rPr>
        <w:t> </w:t>
      </w:r>
      <w:r>
        <w:rPr>
          <w:rFonts w:ascii="Arial MT" w:hAnsi="Arial MT"/>
          <w:color w:val="454545"/>
          <w:sz w:val="21"/>
        </w:rPr>
        <w:t>—</w:t>
      </w:r>
      <w:r>
        <w:rPr>
          <w:rFonts w:ascii="Arial MT" w:hAnsi="Arial MT"/>
          <w:color w:val="454545"/>
          <w:spacing w:val="-4"/>
          <w:sz w:val="21"/>
        </w:rPr>
        <w:t> </w:t>
      </w:r>
      <w:r>
        <w:rPr/>
        <w:t>Схема</w:t>
      </w:r>
      <w:r>
        <w:rPr>
          <w:spacing w:val="-7"/>
        </w:rPr>
        <w:t> </w:t>
      </w:r>
      <w:r>
        <w:rPr/>
        <w:t>получения</w:t>
      </w:r>
      <w:r>
        <w:rPr>
          <w:spacing w:val="-6"/>
        </w:rPr>
        <w:t> </w:t>
      </w:r>
      <w:r>
        <w:rPr/>
        <w:t>цифрового</w:t>
      </w:r>
      <w:r>
        <w:rPr>
          <w:spacing w:val="-3"/>
        </w:rPr>
        <w:t> </w:t>
      </w:r>
      <w:r>
        <w:rPr/>
        <w:t>изображения</w:t>
      </w:r>
      <w:r>
        <w:rPr>
          <w:spacing w:val="-4"/>
        </w:rPr>
        <w:t> </w:t>
      </w:r>
      <w:r>
        <w:rPr/>
        <w:t>в</w:t>
      </w:r>
      <w:r>
        <w:rPr>
          <w:spacing w:val="-4"/>
        </w:rPr>
        <w:t> </w:t>
      </w:r>
      <w:r>
        <w:rPr>
          <w:spacing w:val="-2"/>
        </w:rPr>
        <w:t>конфокальной</w:t>
      </w:r>
    </w:p>
    <w:p>
      <w:pPr>
        <w:pStyle w:val="BodyText"/>
        <w:spacing w:before="21"/>
        <w:ind w:left="4"/>
        <w:jc w:val="center"/>
      </w:pPr>
      <w:r>
        <w:rPr/>
        <w:t>микроскопии</w:t>
      </w:r>
      <w:r>
        <w:rPr>
          <w:spacing w:val="-11"/>
        </w:rPr>
        <w:t> </w:t>
      </w:r>
      <w:hyperlink r:id="rId30">
        <w:r>
          <w:rPr>
            <w:spacing w:val="-4"/>
          </w:rPr>
          <w:t>[211</w:t>
        </w:r>
      </w:hyperlink>
      <w:r>
        <w:rPr>
          <w:spacing w:val="-4"/>
        </w:rPr>
        <w:t>]</w:t>
      </w:r>
    </w:p>
    <w:p>
      <w:pPr>
        <w:pStyle w:val="BodyText"/>
        <w:spacing w:after="0"/>
        <w:jc w:val="center"/>
        <w:sectPr>
          <w:pgSz w:w="11910" w:h="16840"/>
          <w:pgMar w:header="0" w:footer="983" w:top="340" w:bottom="1180" w:left="566" w:right="566"/>
        </w:sectPr>
      </w:pPr>
    </w:p>
    <w:p>
      <w:pPr>
        <w:pStyle w:val="BodyText"/>
        <w:spacing w:before="72"/>
        <w:ind w:left="2"/>
        <w:jc w:val="center"/>
      </w:pPr>
      <w:r>
        <w:rPr/>
        <w:t>Таблица</w:t>
      </w:r>
      <w:r>
        <w:rPr>
          <w:spacing w:val="-7"/>
        </w:rPr>
        <w:t> </w:t>
      </w:r>
      <w:r>
        <w:rPr/>
        <w:t>5</w:t>
      </w:r>
      <w:r>
        <w:rPr>
          <w:spacing w:val="-7"/>
        </w:rPr>
        <w:t> </w:t>
      </w:r>
      <w:r>
        <w:rPr>
          <w:rFonts w:ascii="Arial MT" w:hAnsi="Arial MT"/>
          <w:color w:val="454545"/>
          <w:sz w:val="21"/>
        </w:rPr>
        <w:t>—</w:t>
      </w:r>
      <w:r>
        <w:rPr>
          <w:rFonts w:ascii="Arial MT" w:hAnsi="Arial MT"/>
          <w:color w:val="454545"/>
          <w:spacing w:val="-5"/>
          <w:sz w:val="21"/>
        </w:rPr>
        <w:t> </w:t>
      </w:r>
      <w:r>
        <w:rPr/>
        <w:t>Спектры</w:t>
      </w:r>
      <w:r>
        <w:rPr>
          <w:spacing w:val="-5"/>
        </w:rPr>
        <w:t> </w:t>
      </w:r>
      <w:r>
        <w:rPr/>
        <w:t>поглощения</w:t>
      </w:r>
      <w:r>
        <w:rPr>
          <w:spacing w:val="-5"/>
        </w:rPr>
        <w:t> </w:t>
      </w:r>
      <w:r>
        <w:rPr/>
        <w:t>и</w:t>
      </w:r>
      <w:r>
        <w:rPr>
          <w:spacing w:val="-5"/>
        </w:rPr>
        <w:t> </w:t>
      </w:r>
      <w:r>
        <w:rPr/>
        <w:t>эмиссии</w:t>
      </w:r>
      <w:r>
        <w:rPr>
          <w:spacing w:val="-5"/>
        </w:rPr>
        <w:t> </w:t>
      </w:r>
      <w:r>
        <w:rPr/>
        <w:t>флуоресцентных</w:t>
      </w:r>
      <w:r>
        <w:rPr>
          <w:spacing w:val="-5"/>
        </w:rPr>
        <w:t> </w:t>
      </w:r>
      <w:r>
        <w:rPr/>
        <w:t>митотрекеров</w:t>
      </w:r>
      <w:r>
        <w:rPr>
          <w:spacing w:val="-6"/>
        </w:rPr>
        <w:t> </w:t>
      </w:r>
      <w:r>
        <w:rPr>
          <w:spacing w:val="-2"/>
        </w:rPr>
        <w:t>[210]</w:t>
      </w:r>
    </w:p>
    <w:p>
      <w:pPr>
        <w:pStyle w:val="BodyText"/>
        <w:spacing w:before="126"/>
        <w:jc w:val="left"/>
        <w:rPr>
          <w:sz w:val="20"/>
        </w:rPr>
      </w:pPr>
      <w:r>
        <w:rPr>
          <w:sz w:val="20"/>
        </w:rPr>
        <w:drawing>
          <wp:anchor distT="0" distB="0" distL="0" distR="0" allowOverlap="1" layoutInCell="1" locked="0" behindDoc="1" simplePos="0" relativeHeight="487598080">
            <wp:simplePos x="0" y="0"/>
            <wp:positionH relativeFrom="page">
              <wp:posOffset>1564322</wp:posOffset>
            </wp:positionH>
            <wp:positionV relativeFrom="paragraph">
              <wp:posOffset>241789</wp:posOffset>
            </wp:positionV>
            <wp:extent cx="4849086" cy="2689002"/>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31" cstate="print"/>
                    <a:stretch>
                      <a:fillRect/>
                    </a:stretch>
                  </pic:blipFill>
                  <pic:spPr>
                    <a:xfrm>
                      <a:off x="0" y="0"/>
                      <a:ext cx="4849086" cy="2689002"/>
                    </a:xfrm>
                    <a:prstGeom prst="rect">
                      <a:avLst/>
                    </a:prstGeom>
                  </pic:spPr>
                </pic:pic>
              </a:graphicData>
            </a:graphic>
          </wp:anchor>
        </w:drawing>
      </w:r>
    </w:p>
    <w:p>
      <w:pPr>
        <w:pStyle w:val="BodyText"/>
        <w:spacing w:before="37"/>
        <w:jc w:val="left"/>
      </w:pPr>
    </w:p>
    <w:p>
      <w:pPr>
        <w:pStyle w:val="Heading2"/>
        <w:numPr>
          <w:ilvl w:val="2"/>
          <w:numId w:val="4"/>
        </w:numPr>
        <w:tabs>
          <w:tab w:pos="1951" w:val="left" w:leader="none"/>
        </w:tabs>
        <w:spacing w:line="256" w:lineRule="auto" w:before="0" w:after="0"/>
        <w:ind w:left="285" w:right="275" w:firstLine="708"/>
        <w:jc w:val="both"/>
      </w:pPr>
      <w:r>
        <w:rPr/>
        <w:t>Электронно-микроскопическое исследование сперматозоидов </w:t>
      </w:r>
      <w:r>
        <w:rPr>
          <w:spacing w:val="-2"/>
        </w:rPr>
        <w:t>человека</w:t>
      </w:r>
    </w:p>
    <w:p>
      <w:pPr>
        <w:pStyle w:val="BodyText"/>
        <w:spacing w:line="256" w:lineRule="auto"/>
        <w:ind w:left="285" w:right="277" w:firstLine="707"/>
      </w:pPr>
      <w:r>
        <w:rPr/>
        <w:t>Для проведения трансмиссионной электронной микроскопии нативную</w:t>
      </w:r>
      <w:r>
        <w:rPr>
          <w:spacing w:val="40"/>
        </w:rPr>
        <w:t> </w:t>
      </w:r>
      <w:r>
        <w:rPr/>
        <w:t>сперму разводили изотоническим раствором NaCl (Мосфарм, Россия) в</w:t>
      </w:r>
      <w:r>
        <w:rPr>
          <w:spacing w:val="40"/>
        </w:rPr>
        <w:t> </w:t>
      </w:r>
      <w:r>
        <w:rPr/>
        <w:t>соотношении 1:10, добавляли 0,1 мл фиксатора – 2,5% раствор глутарового альдегида</w:t>
      </w:r>
      <w:r>
        <w:rPr>
          <w:spacing w:val="-3"/>
        </w:rPr>
        <w:t> </w:t>
      </w:r>
      <w:r>
        <w:rPr/>
        <w:t>(Ted</w:t>
      </w:r>
      <w:r>
        <w:rPr>
          <w:spacing w:val="-2"/>
        </w:rPr>
        <w:t> </w:t>
      </w:r>
      <w:r>
        <w:rPr/>
        <w:t>Pella</w:t>
      </w:r>
      <w:r>
        <w:rPr>
          <w:spacing w:val="-5"/>
        </w:rPr>
        <w:t> </w:t>
      </w:r>
      <w:r>
        <w:rPr/>
        <w:t>Inc.,</w:t>
      </w:r>
      <w:r>
        <w:rPr>
          <w:spacing w:val="-3"/>
        </w:rPr>
        <w:t> </w:t>
      </w:r>
      <w:r>
        <w:rPr/>
        <w:t>США),</w:t>
      </w:r>
      <w:r>
        <w:rPr>
          <w:spacing w:val="-3"/>
        </w:rPr>
        <w:t> </w:t>
      </w:r>
      <w:r>
        <w:rPr/>
        <w:t>приготовленного</w:t>
      </w:r>
      <w:r>
        <w:rPr>
          <w:spacing w:val="-2"/>
        </w:rPr>
        <w:t> </w:t>
      </w:r>
      <w:r>
        <w:rPr/>
        <w:t>на</w:t>
      </w:r>
      <w:r>
        <w:rPr>
          <w:spacing w:val="-3"/>
        </w:rPr>
        <w:t> </w:t>
      </w:r>
      <w:r>
        <w:rPr/>
        <w:t>0,1М</w:t>
      </w:r>
      <w:r>
        <w:rPr>
          <w:spacing w:val="-3"/>
        </w:rPr>
        <w:t> </w:t>
      </w:r>
      <w:r>
        <w:rPr/>
        <w:t>какодилатном</w:t>
      </w:r>
      <w:r>
        <w:rPr>
          <w:spacing w:val="-3"/>
        </w:rPr>
        <w:t> </w:t>
      </w:r>
      <w:r>
        <w:rPr/>
        <w:t>буфере</w:t>
      </w:r>
      <w:r>
        <w:rPr>
          <w:spacing w:val="-3"/>
        </w:rPr>
        <w:t> </w:t>
      </w:r>
      <w:r>
        <w:rPr/>
        <w:t>(pH 7,2) (Sigma, США), центрифугировали при 1500 об/мин (Elmi, Латвия) 15 мин, удаляли надосадочную жидкость, осадок фиксировали тем же фиксатором, дофиксировали 1% раствором осмиевой кислоты (Serva, Германия) и заливали в эпоксидную смолу – эпон (Fluka, Германия). Ультратонкие срезы получали на микротоме UltraCut III (Reichert Jung Optische Werke AG, Австрия), докрашивали водным раствором уранилацетата и цитратом свинца (Serva, Германия) и просматривали в электронном микроскопе JEM-1011 (JEOL, Akishima, Japan), снабженном камерой Orius SC1000 W (Gatan Inc., Pleasanton, CA, USA) [212-213].</w:t>
      </w:r>
    </w:p>
    <w:p>
      <w:pPr>
        <w:spacing w:line="240" w:lineRule="auto"/>
        <w:ind w:left="3812" w:right="0" w:firstLine="0"/>
        <w:rPr>
          <w:sz w:val="20"/>
        </w:rPr>
      </w:pPr>
      <w:r>
        <w:rPr>
          <w:sz w:val="20"/>
        </w:rPr>
        <w:drawing>
          <wp:inline distT="0" distB="0" distL="0" distR="0">
            <wp:extent cx="1977505" cy="2628900"/>
            <wp:effectExtent l="0" t="0" r="0" b="0"/>
            <wp:docPr id="31" name="Image 31" descr=""/>
            <wp:cNvGraphicFramePr>
              <a:graphicFrameLocks/>
            </wp:cNvGraphicFramePr>
            <a:graphic>
              <a:graphicData uri="http://schemas.openxmlformats.org/drawingml/2006/picture">
                <pic:pic>
                  <pic:nvPicPr>
                    <pic:cNvPr id="31" name="Image 31" descr=""/>
                    <pic:cNvPicPr/>
                  </pic:nvPicPr>
                  <pic:blipFill>
                    <a:blip r:embed="rId32" cstate="print"/>
                    <a:stretch>
                      <a:fillRect/>
                    </a:stretch>
                  </pic:blipFill>
                  <pic:spPr>
                    <a:xfrm>
                      <a:off x="0" y="0"/>
                      <a:ext cx="1977505" cy="2628900"/>
                    </a:xfrm>
                    <a:prstGeom prst="rect">
                      <a:avLst/>
                    </a:prstGeom>
                  </pic:spPr>
                </pic:pic>
              </a:graphicData>
            </a:graphic>
          </wp:inline>
        </w:drawing>
      </w:r>
      <w:r>
        <w:rPr>
          <w:sz w:val="20"/>
        </w:rPr>
      </w:r>
    </w:p>
    <w:p>
      <w:pPr>
        <w:pStyle w:val="BodyText"/>
        <w:spacing w:before="52"/>
        <w:jc w:val="center"/>
      </w:pPr>
      <w:r>
        <w:rPr/>
        <w:t>Рисунок</w:t>
      </w:r>
      <w:r>
        <w:rPr>
          <w:spacing w:val="-8"/>
        </w:rPr>
        <w:t> </w:t>
      </w:r>
      <w:r>
        <w:rPr/>
        <w:t>19</w:t>
      </w:r>
      <w:r>
        <w:rPr>
          <w:spacing w:val="-8"/>
        </w:rPr>
        <w:t> </w:t>
      </w:r>
      <w:r>
        <w:rPr>
          <w:rFonts w:ascii="Arial MT" w:hAnsi="Arial MT"/>
          <w:color w:val="454545"/>
          <w:sz w:val="21"/>
        </w:rPr>
        <w:t>—</w:t>
      </w:r>
      <w:r>
        <w:rPr>
          <w:rFonts w:ascii="Arial MT" w:hAnsi="Arial MT"/>
          <w:color w:val="454545"/>
          <w:spacing w:val="48"/>
          <w:sz w:val="21"/>
        </w:rPr>
        <w:t> </w:t>
      </w:r>
      <w:r>
        <w:rPr/>
        <w:t>Электронный</w:t>
      </w:r>
      <w:r>
        <w:rPr>
          <w:spacing w:val="-5"/>
        </w:rPr>
        <w:t> </w:t>
      </w:r>
      <w:r>
        <w:rPr/>
        <w:t>трансмисионный</w:t>
      </w:r>
      <w:r>
        <w:rPr>
          <w:spacing w:val="-5"/>
        </w:rPr>
        <w:t> </w:t>
      </w:r>
      <w:r>
        <w:rPr/>
        <w:t>микроскоп</w:t>
      </w:r>
      <w:r>
        <w:rPr>
          <w:spacing w:val="-6"/>
        </w:rPr>
        <w:t> </w:t>
      </w:r>
      <w:r>
        <w:rPr/>
        <w:t>JEM-</w:t>
      </w:r>
      <w:r>
        <w:rPr>
          <w:spacing w:val="-4"/>
        </w:rPr>
        <w:t>1011</w:t>
      </w:r>
    </w:p>
    <w:p>
      <w:pPr>
        <w:pStyle w:val="BodyText"/>
        <w:spacing w:after="0"/>
        <w:jc w:val="center"/>
        <w:sectPr>
          <w:pgSz w:w="11910" w:h="16840"/>
          <w:pgMar w:header="0" w:footer="983" w:top="680" w:bottom="1200" w:left="566" w:right="566"/>
        </w:sectPr>
      </w:pPr>
    </w:p>
    <w:p>
      <w:pPr>
        <w:pStyle w:val="BodyText"/>
        <w:spacing w:line="256" w:lineRule="auto" w:before="69"/>
        <w:ind w:left="285" w:right="278" w:firstLine="708"/>
      </w:pPr>
      <w:r>
        <w:rPr/>
        <w:t>Общий вид сперматозоидов изучали при увеличении х5000, акросомы, хроматин ядра и митохондрии — при х16000-18000, аномалии аксонемы на поперечных срезах жгутиков — при х6000-25000.</w:t>
      </w:r>
      <w:r>
        <w:rPr>
          <w:spacing w:val="-2"/>
        </w:rPr>
        <w:t> </w:t>
      </w:r>
      <w:r>
        <w:rPr/>
        <w:t>Процесс</w:t>
      </w:r>
      <w:r>
        <w:rPr>
          <w:spacing w:val="-1"/>
        </w:rPr>
        <w:t> </w:t>
      </w:r>
      <w:r>
        <w:rPr/>
        <w:t>исследования препаратов изображен на рисунке 19. В каждом образце анализировали не менее 100 сперматозоидов [213-215].</w:t>
      </w:r>
    </w:p>
    <w:p>
      <w:pPr>
        <w:pStyle w:val="BodyText"/>
        <w:spacing w:before="14"/>
        <w:jc w:val="left"/>
      </w:pPr>
    </w:p>
    <w:p>
      <w:pPr>
        <w:pStyle w:val="Heading2"/>
        <w:numPr>
          <w:ilvl w:val="2"/>
          <w:numId w:val="4"/>
        </w:numPr>
        <w:tabs>
          <w:tab w:pos="2522" w:val="left" w:leader="none"/>
          <w:tab w:pos="4608" w:val="left" w:leader="none"/>
          <w:tab w:pos="7071" w:val="left" w:leader="none"/>
          <w:tab w:pos="8653" w:val="left" w:leader="none"/>
        </w:tabs>
        <w:spacing w:line="256" w:lineRule="auto" w:before="0" w:after="0"/>
        <w:ind w:left="285" w:right="277" w:firstLine="708"/>
        <w:jc w:val="both"/>
      </w:pPr>
      <w:r>
        <w:rPr>
          <w:spacing w:val="-2"/>
        </w:rPr>
        <w:t>Мечение</w:t>
      </w:r>
      <w:r>
        <w:rPr/>
        <w:tab/>
      </w:r>
      <w:r>
        <w:rPr>
          <w:spacing w:val="-2"/>
        </w:rPr>
        <w:t>ник-концов</w:t>
      </w:r>
      <w:r>
        <w:rPr/>
        <w:tab/>
      </w:r>
      <w:r>
        <w:rPr>
          <w:spacing w:val="-4"/>
        </w:rPr>
        <w:t>ДНК</w:t>
      </w:r>
      <w:r>
        <w:rPr/>
        <w:tab/>
      </w:r>
      <w:r>
        <w:rPr>
          <w:spacing w:val="-2"/>
        </w:rPr>
        <w:t>терминальной </w:t>
      </w:r>
      <w:r>
        <w:rPr/>
        <w:t>дезоксинуклеотидилтрансферазой dUTP</w:t>
      </w:r>
    </w:p>
    <w:p>
      <w:pPr>
        <w:pStyle w:val="BodyText"/>
        <w:spacing w:line="256" w:lineRule="auto"/>
        <w:ind w:left="286" w:right="278" w:firstLine="707"/>
      </w:pPr>
      <w:r>
        <w:rPr/>
        <w:t>Для проведения исследования эякулят разводили в 10 раз изотоническим раствором NaCl (Мосфарм, Россия), центрифугировали 15 мин при 1500 об/мин (Elmi, Латвия). Из ресуспендированного в 0,2 мл NaСl осадка сперматозоидов</w:t>
      </w:r>
      <w:r>
        <w:rPr>
          <w:spacing w:val="40"/>
        </w:rPr>
        <w:t> </w:t>
      </w:r>
      <w:r>
        <w:rPr/>
        <w:t>делали мазок на адгезивных стеклах HistoBond (Marienfeld, Германия). Высушенные мазки хранили при –20 °С. Перед исследованием мазки фиксировали 15 мин при комнатной температуре 4% раствором формальдегида на PBS. Пермеабилизировали клетки 0,2 % раствором Triton X – 100 на PBS 5 мин при комнатной температуре, раствором протеиназы К (20 мкг/мл) на PBS 10 мин при комнатной температуре, промывали в PBS и дополнительно фиксировали формальдегидом. Для выявления разрывов ДНК использовали набор DeadEnd Fluorimetric TUNEL system (Promega, США) согласно инструкции производителя. После завершения ферментативной реакции образцы докрашивали пропидием иодидом (Sigma, США) (1 мкг/мл) и заключали</w:t>
      </w:r>
      <w:r>
        <w:rPr>
          <w:spacing w:val="-1"/>
        </w:rPr>
        <w:t> </w:t>
      </w:r>
      <w:r>
        <w:rPr/>
        <w:t>образцы</w:t>
      </w:r>
      <w:r>
        <w:rPr>
          <w:spacing w:val="-1"/>
        </w:rPr>
        <w:t> </w:t>
      </w:r>
      <w:r>
        <w:rPr/>
        <w:t>в</w:t>
      </w:r>
      <w:r>
        <w:rPr>
          <w:spacing w:val="-2"/>
        </w:rPr>
        <w:t> </w:t>
      </w:r>
      <w:r>
        <w:rPr/>
        <w:t>Moviol (Сalbiochem,</w:t>
      </w:r>
      <w:r>
        <w:rPr>
          <w:spacing w:val="-2"/>
        </w:rPr>
        <w:t> </w:t>
      </w:r>
      <w:r>
        <w:rPr/>
        <w:t>Великобритания).</w:t>
      </w:r>
      <w:r>
        <w:rPr>
          <w:spacing w:val="-2"/>
        </w:rPr>
        <w:t> </w:t>
      </w:r>
      <w:r>
        <w:rPr/>
        <w:t>Для</w:t>
      </w:r>
      <w:r>
        <w:rPr>
          <w:spacing w:val="-1"/>
        </w:rPr>
        <w:t> </w:t>
      </w:r>
      <w:r>
        <w:rPr/>
        <w:t>анализа</w:t>
      </w:r>
      <w:r>
        <w:rPr>
          <w:spacing w:val="-1"/>
        </w:rPr>
        <w:t> </w:t>
      </w:r>
      <w:r>
        <w:rPr/>
        <w:t>препаратов и регистрации изображения использовали микроскоп Axiovert 200M (Zeiss, Германия), оснащенный флуоресцентной приставкой и камерой Orca-II ERG – 2 (Hamamatsu, Япония) (размер пикселя 6,45 × 6,45 мкм), управляемым программным комплексом AxioVision v4.3. Зоны фрагментации ДНК визуализировались в виде зеленой флуоресценции. Подсчитывали 1000 сперматозоидов в каждом образце [216]. Схему проведения анализа методом TUNEL смотрите на рисунке 20.</w:t>
      </w:r>
    </w:p>
    <w:p>
      <w:pPr>
        <w:pStyle w:val="BodyText"/>
        <w:spacing w:before="67"/>
        <w:jc w:val="left"/>
        <w:rPr>
          <w:sz w:val="20"/>
        </w:rPr>
      </w:pPr>
      <w:r>
        <w:rPr>
          <w:sz w:val="20"/>
        </w:rPr>
        <w:drawing>
          <wp:anchor distT="0" distB="0" distL="0" distR="0" allowOverlap="1" layoutInCell="1" locked="0" behindDoc="1" simplePos="0" relativeHeight="487598592">
            <wp:simplePos x="0" y="0"/>
            <wp:positionH relativeFrom="page">
              <wp:posOffset>2689225</wp:posOffset>
            </wp:positionH>
            <wp:positionV relativeFrom="paragraph">
              <wp:posOffset>204214</wp:posOffset>
            </wp:positionV>
            <wp:extent cx="2608928" cy="3068764"/>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33" cstate="print"/>
                    <a:stretch>
                      <a:fillRect/>
                    </a:stretch>
                  </pic:blipFill>
                  <pic:spPr>
                    <a:xfrm>
                      <a:off x="0" y="0"/>
                      <a:ext cx="2608928" cy="3068764"/>
                    </a:xfrm>
                    <a:prstGeom prst="rect">
                      <a:avLst/>
                    </a:prstGeom>
                  </pic:spPr>
                </pic:pic>
              </a:graphicData>
            </a:graphic>
          </wp:anchor>
        </w:drawing>
      </w:r>
    </w:p>
    <w:p>
      <w:pPr>
        <w:pStyle w:val="BodyText"/>
        <w:spacing w:before="3"/>
        <w:ind w:left="1080"/>
        <w:jc w:val="left"/>
      </w:pPr>
      <w:r>
        <w:rPr/>
        <w:t>Рисунок</w:t>
      </w:r>
      <w:r>
        <w:rPr>
          <w:spacing w:val="-9"/>
        </w:rPr>
        <w:t> </w:t>
      </w:r>
      <w:r>
        <w:rPr/>
        <w:t>20</w:t>
      </w:r>
      <w:r>
        <w:rPr>
          <w:spacing w:val="-6"/>
        </w:rPr>
        <w:t> </w:t>
      </w:r>
      <w:r>
        <w:rPr>
          <w:rFonts w:ascii="Arial MT" w:hAnsi="Arial MT"/>
          <w:color w:val="454545"/>
          <w:sz w:val="21"/>
        </w:rPr>
        <w:t>—</w:t>
      </w:r>
      <w:r>
        <w:rPr>
          <w:rFonts w:ascii="Arial MT" w:hAnsi="Arial MT"/>
          <w:color w:val="454545"/>
          <w:spacing w:val="-5"/>
          <w:sz w:val="21"/>
        </w:rPr>
        <w:t> </w:t>
      </w:r>
      <w:r>
        <w:rPr/>
        <w:t>Схема</w:t>
      </w:r>
      <w:r>
        <w:rPr>
          <w:spacing w:val="-7"/>
        </w:rPr>
        <w:t> </w:t>
      </w:r>
      <w:r>
        <w:rPr/>
        <w:t>исследования</w:t>
      </w:r>
      <w:r>
        <w:rPr>
          <w:spacing w:val="-5"/>
        </w:rPr>
        <w:t> </w:t>
      </w:r>
      <w:r>
        <w:rPr/>
        <w:t>фрагментации</w:t>
      </w:r>
      <w:r>
        <w:rPr>
          <w:spacing w:val="-4"/>
        </w:rPr>
        <w:t> </w:t>
      </w:r>
      <w:r>
        <w:rPr/>
        <w:t>ДНК</w:t>
      </w:r>
      <w:r>
        <w:rPr>
          <w:spacing w:val="-5"/>
        </w:rPr>
        <w:t> </w:t>
      </w:r>
      <w:r>
        <w:rPr/>
        <w:t>методом</w:t>
      </w:r>
      <w:r>
        <w:rPr>
          <w:spacing w:val="-6"/>
        </w:rPr>
        <w:t> </w:t>
      </w:r>
      <w:r>
        <w:rPr/>
        <w:t>TUNEL</w:t>
      </w:r>
      <w:r>
        <w:rPr>
          <w:spacing w:val="-4"/>
        </w:rPr>
        <w:t> </w:t>
      </w:r>
      <w:r>
        <w:rPr>
          <w:spacing w:val="-2"/>
        </w:rPr>
        <w:t>[217]</w:t>
      </w:r>
    </w:p>
    <w:p>
      <w:pPr>
        <w:pStyle w:val="BodyText"/>
        <w:spacing w:after="0"/>
        <w:jc w:val="left"/>
        <w:sectPr>
          <w:pgSz w:w="11910" w:h="16840"/>
          <w:pgMar w:header="0" w:footer="983" w:top="340" w:bottom="1200" w:left="566" w:right="566"/>
        </w:sectPr>
      </w:pPr>
    </w:p>
    <w:p>
      <w:pPr>
        <w:pStyle w:val="Heading2"/>
        <w:numPr>
          <w:ilvl w:val="1"/>
          <w:numId w:val="4"/>
        </w:numPr>
        <w:tabs>
          <w:tab w:pos="1413" w:val="left" w:leader="none"/>
        </w:tabs>
        <w:spacing w:line="240" w:lineRule="auto" w:before="69" w:after="0"/>
        <w:ind w:left="1413" w:right="0" w:hanging="419"/>
        <w:jc w:val="both"/>
      </w:pPr>
      <w:r>
        <w:rPr/>
        <w:t>Статистическая</w:t>
      </w:r>
      <w:r>
        <w:rPr>
          <w:spacing w:val="-12"/>
        </w:rPr>
        <w:t> </w:t>
      </w:r>
      <w:r>
        <w:rPr/>
        <w:t>обработка</w:t>
      </w:r>
      <w:r>
        <w:rPr>
          <w:spacing w:val="-8"/>
        </w:rPr>
        <w:t> </w:t>
      </w:r>
      <w:r>
        <w:rPr/>
        <w:t>полученных</w:t>
      </w:r>
      <w:r>
        <w:rPr>
          <w:spacing w:val="-8"/>
        </w:rPr>
        <w:t> </w:t>
      </w:r>
      <w:r>
        <w:rPr>
          <w:spacing w:val="-2"/>
        </w:rPr>
        <w:t>результатов</w:t>
      </w:r>
    </w:p>
    <w:p>
      <w:pPr>
        <w:pStyle w:val="BodyText"/>
        <w:spacing w:line="256" w:lineRule="auto" w:before="21"/>
        <w:ind w:left="286" w:right="278" w:firstLine="707"/>
      </w:pPr>
      <w:r>
        <w:rPr/>
        <w:t>Для статистической обработки полученных результатов спермограмм пациентов с бесплодием использовали программу R (R Foundation for Statistical Computing, Австрия), позволяющую применить метод биостатистики «ящик с усами» (boxplot, диаграмма размаха). Метод позволяет наглядно сравнить распределения данных между группами. Определяли и визуализировали: медиану (толстая линия в ящике) - середина выборки, 25-й и 75-й процентили (нижняя и верхняя границы ящика) - интерквартильный размах (IQR),"усы" - обычно доходят до минимального и максимального значения, не выходящего за пределы 1,5 × IQR, выбросы (outliers) — точки за пределами "усов", показывали отдельно точками.</w:t>
      </w:r>
    </w:p>
    <w:p>
      <w:pPr>
        <w:pStyle w:val="BodyText"/>
        <w:spacing w:line="256" w:lineRule="auto"/>
        <w:ind w:left="286" w:right="277" w:firstLine="707"/>
      </w:pPr>
      <w:r>
        <w:rPr/>
        <w:drawing>
          <wp:anchor distT="0" distB="0" distL="0" distR="0" allowOverlap="1" layoutInCell="1" locked="0" behindDoc="0" simplePos="0" relativeHeight="15739904">
            <wp:simplePos x="0" y="0"/>
            <wp:positionH relativeFrom="page">
              <wp:posOffset>3021542</wp:posOffset>
            </wp:positionH>
            <wp:positionV relativeFrom="paragraph">
              <wp:posOffset>6355584</wp:posOffset>
            </wp:positionV>
            <wp:extent cx="993033" cy="435974"/>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34" cstate="print"/>
                    <a:stretch>
                      <a:fillRect/>
                    </a:stretch>
                  </pic:blipFill>
                  <pic:spPr>
                    <a:xfrm>
                      <a:off x="0" y="0"/>
                      <a:ext cx="993033" cy="435974"/>
                    </a:xfrm>
                    <a:prstGeom prst="rect">
                      <a:avLst/>
                    </a:prstGeom>
                  </pic:spPr>
                </pic:pic>
              </a:graphicData>
            </a:graphic>
          </wp:anchor>
        </w:drawing>
      </w:r>
      <w:r>
        <w:rPr/>
        <w:t>Для сравнения средних значений эмпирического и отрицательного контроля при экспериментальном воздействии ЭМИ на эякулят после проведения CASA-анализа, TUNEL-анализа, оценки активности митохондрий сперматозоидов после воздействия ЭМИ и в контроле применен парный t-тест Стьюдента (Medstatistica.ru, Российская Федерация). Программа автоматически сравнивала полученные данные</w:t>
      </w:r>
      <w:r>
        <w:rPr>
          <w:spacing w:val="80"/>
        </w:rPr>
        <w:t> </w:t>
      </w:r>
      <w:r>
        <w:rPr/>
        <w:t>с критическим</w:t>
      </w:r>
      <w:r>
        <w:rPr>
          <w:spacing w:val="-1"/>
        </w:rPr>
        <w:t> </w:t>
      </w:r>
      <w:r>
        <w:rPr/>
        <w:t>значением</w:t>
      </w:r>
      <w:r>
        <w:rPr>
          <w:spacing w:val="-1"/>
        </w:rPr>
        <w:t> </w:t>
      </w:r>
      <w:r>
        <w:rPr/>
        <w:t>t согласно таблице критических</w:t>
      </w:r>
      <w:r>
        <w:rPr>
          <w:spacing w:val="-2"/>
        </w:rPr>
        <w:t> </w:t>
      </w:r>
      <w:r>
        <w:rPr/>
        <w:t>значений t</w:t>
      </w:r>
      <w:r>
        <w:rPr>
          <w:spacing w:val="-2"/>
        </w:rPr>
        <w:t> </w:t>
      </w:r>
      <w:r>
        <w:rPr/>
        <w:t>и если модуль</w:t>
      </w:r>
      <w:r>
        <w:rPr>
          <w:spacing w:val="-2"/>
        </w:rPr>
        <w:t> </w:t>
      </w:r>
      <w:r>
        <w:rPr/>
        <w:t>t больше t критического, то нулевая гипотеза об отсутствии влияния эффекта отвергалась, а равно, что различие статистически значимое. Метод помогает понять, есть ли статистически значимые различия между группами по количественным признакам. Данный вид статистического анализа (парный t-критерий Стьюдента) был выбран ввиду того, что дизайн исследования предопределил 2 группы</w:t>
      </w:r>
      <w:r>
        <w:rPr>
          <w:spacing w:val="40"/>
        </w:rPr>
        <w:t> </w:t>
      </w:r>
      <w:r>
        <w:rPr/>
        <w:t>сравнения (облученный эякулят и эякулят, не подвергавшийся облучению ЭМИ). В случае с CASA-анализом определяли различия эмпирического и контроля по 3 признакам: PR, NP, IM, в случае с определением фрагментации ДНК методом TUNEL оценивали различия по наличию зеленых меток флуоресцеина в эмпирической и контрольной группе, после экспериментов, где была оценена активность митохондрий сперматозоидов в опытах и контролях, зарегистрированных с помощью конфокальной лазерной сканирующей</w:t>
      </w:r>
      <w:r>
        <w:rPr>
          <w:spacing w:val="40"/>
        </w:rPr>
        <w:t> </w:t>
      </w:r>
      <w:r>
        <w:rPr/>
        <w:t>микроскопии оценивали число сперматозоидов, имеющих зелёное (LumiTracker Green FM) или красное свечение (LumiTracker Mito Red CMXRos). Для экспериментов с малой выборкой и связанными данными применен тест Уилкоксона. Для определения влияния ЭМИ на ультраструктурную организацию сперматозоидов применяли статистический метод анализа - точный критерий Фишера с поправкой Бенджамини–Хохберга. Поправка Бенджамини-Хохберга используется для контроля доли ложных отклонений (FDR) при множественных сравнениях, она не имеет одной простой формулы, а представляет собой процедуру, где необходимо: упорядочить p-значения по возрастанию, затем последовательно их корректировать, чтобы найти максимальное </w:t>
      </w:r>
      <w:r>
        <w:rPr>
          <w:i/>
        </w:rPr>
        <w:t>k</w:t>
      </w:r>
      <w:r>
        <w:rPr/>
        <w:t>, при котором, по формуле (1):</w:t>
      </w:r>
    </w:p>
    <w:p>
      <w:pPr>
        <w:pStyle w:val="BodyText"/>
        <w:jc w:val="left"/>
      </w:pPr>
    </w:p>
    <w:p>
      <w:pPr>
        <w:pStyle w:val="BodyText"/>
        <w:spacing w:before="205"/>
        <w:jc w:val="left"/>
      </w:pPr>
    </w:p>
    <w:p>
      <w:pPr>
        <w:pStyle w:val="BodyText"/>
        <w:tabs>
          <w:tab w:pos="9826" w:val="left" w:leader="none"/>
        </w:tabs>
        <w:ind w:left="5785"/>
        <w:jc w:val="left"/>
      </w:pPr>
      <w:r>
        <w:rPr>
          <w:spacing w:val="-10"/>
        </w:rPr>
        <w:t>,</w:t>
      </w:r>
      <w:r>
        <w:rPr/>
        <w:tab/>
      </w:r>
      <w:r>
        <w:rPr>
          <w:spacing w:val="-5"/>
        </w:rPr>
        <w:t>(1)</w:t>
      </w:r>
    </w:p>
    <w:p>
      <w:pPr>
        <w:pStyle w:val="BodyText"/>
        <w:spacing w:line="256" w:lineRule="auto" w:before="24"/>
        <w:ind w:left="286" w:right="281" w:firstLine="707"/>
      </w:pPr>
      <w:r>
        <w:rPr/>
        <w:t>где p</w:t>
      </w:r>
      <w:r>
        <w:rPr>
          <w:vertAlign w:val="subscript"/>
        </w:rPr>
        <w:t>(</w:t>
      </w:r>
      <w:r>
        <w:rPr>
          <w:i/>
          <w:vertAlign w:val="subscript"/>
        </w:rPr>
        <w:t>k</w:t>
      </w:r>
      <w:r>
        <w:rPr>
          <w:vertAlign w:val="subscript"/>
        </w:rPr>
        <w:t>)</w:t>
      </w:r>
      <w:r>
        <w:rPr>
          <w:vertAlign w:val="baseline"/>
        </w:rPr>
        <w:t> - </w:t>
      </w:r>
      <w:r>
        <w:rPr>
          <w:i/>
          <w:vertAlign w:val="baseline"/>
        </w:rPr>
        <w:t>k</w:t>
      </w:r>
      <w:r>
        <w:rPr>
          <w:vertAlign w:val="baseline"/>
        </w:rPr>
        <w:t>-e p-значение, m-общее число гипотез, α- целевой уровень FDR (0,05), после чего отвергаются все гипотезы от 1 до </w:t>
      </w:r>
      <w:r>
        <w:rPr>
          <w:i/>
          <w:vertAlign w:val="baseline"/>
        </w:rPr>
        <w:t>k</w:t>
      </w:r>
      <w:r>
        <w:rPr>
          <w:vertAlign w:val="baseline"/>
        </w:rPr>
        <w:t>.</w:t>
      </w:r>
    </w:p>
    <w:p>
      <w:pPr>
        <w:pStyle w:val="BodyText"/>
        <w:spacing w:after="0" w:line="256" w:lineRule="auto"/>
        <w:sectPr>
          <w:pgSz w:w="11910" w:h="16840"/>
          <w:pgMar w:header="0" w:footer="983" w:top="340" w:bottom="1200" w:left="566" w:right="566"/>
        </w:sectPr>
      </w:pPr>
    </w:p>
    <w:p>
      <w:pPr>
        <w:pStyle w:val="BodyText"/>
        <w:spacing w:line="256" w:lineRule="auto" w:before="69"/>
        <w:ind w:left="285" w:right="206" w:firstLine="708"/>
        <w:jc w:val="left"/>
      </w:pPr>
      <w:r>
        <w:rPr/>
        <w:drawing>
          <wp:anchor distT="0" distB="0" distL="0" distR="0" allowOverlap="1" layoutInCell="1" locked="0" behindDoc="0" simplePos="0" relativeHeight="15740416">
            <wp:simplePos x="0" y="0"/>
            <wp:positionH relativeFrom="page">
              <wp:posOffset>2835978</wp:posOffset>
            </wp:positionH>
            <wp:positionV relativeFrom="paragraph">
              <wp:posOffset>536451</wp:posOffset>
            </wp:positionV>
            <wp:extent cx="1545449" cy="436233"/>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35" cstate="print"/>
                    <a:stretch>
                      <a:fillRect/>
                    </a:stretch>
                  </pic:blipFill>
                  <pic:spPr>
                    <a:xfrm>
                      <a:off x="0" y="0"/>
                      <a:ext cx="1545449" cy="436233"/>
                    </a:xfrm>
                    <a:prstGeom prst="rect">
                      <a:avLst/>
                    </a:prstGeom>
                  </pic:spPr>
                </pic:pic>
              </a:graphicData>
            </a:graphic>
          </wp:anchor>
        </w:drawing>
      </w:r>
      <w:r>
        <w:rPr/>
        <w:t>Поиск максимального </w:t>
      </w:r>
      <w:r>
        <w:rPr>
          <w:i/>
        </w:rPr>
        <w:t>k</w:t>
      </w:r>
      <w:r>
        <w:rPr/>
        <w:t>: для этого следует найти самое большое число </w:t>
      </w:r>
      <w:r>
        <w:rPr>
          <w:i/>
        </w:rPr>
        <w:t>k </w:t>
      </w:r>
      <w:r>
        <w:rPr/>
        <w:t>(от 1 до m), для которого выполняется условие, согласно формуле (2):</w:t>
      </w:r>
    </w:p>
    <w:p>
      <w:pPr>
        <w:pStyle w:val="BodyText"/>
        <w:spacing w:before="265"/>
        <w:jc w:val="left"/>
      </w:pPr>
    </w:p>
    <w:p>
      <w:pPr>
        <w:pStyle w:val="BodyText"/>
        <w:tabs>
          <w:tab w:pos="9906" w:val="left" w:leader="none"/>
        </w:tabs>
        <w:ind w:left="6405"/>
        <w:jc w:val="left"/>
      </w:pPr>
      <w:r>
        <w:rPr>
          <w:spacing w:val="-10"/>
        </w:rPr>
        <w:t>,</w:t>
      </w:r>
      <w:r>
        <w:rPr/>
        <w:tab/>
      </w:r>
      <w:r>
        <w:rPr>
          <w:spacing w:val="-5"/>
        </w:rPr>
        <w:t>(2)</w:t>
      </w:r>
    </w:p>
    <w:p>
      <w:pPr>
        <w:pStyle w:val="BodyText"/>
        <w:spacing w:line="256" w:lineRule="auto" w:before="22"/>
        <w:ind w:left="285" w:right="206" w:firstLine="707"/>
        <w:jc w:val="left"/>
      </w:pPr>
      <w:r>
        <w:rPr/>
        <w:t>где</w:t>
      </w:r>
      <w:r>
        <w:rPr>
          <w:spacing w:val="80"/>
        </w:rPr>
        <w:t> </w:t>
      </w:r>
      <w:r>
        <w:rPr/>
        <w:t>p</w:t>
      </w:r>
      <w:r>
        <w:rPr>
          <w:vertAlign w:val="subscript"/>
        </w:rPr>
        <w:t>(</w:t>
      </w:r>
      <w:r>
        <w:rPr>
          <w:i/>
          <w:vertAlign w:val="subscript"/>
        </w:rPr>
        <w:t>k</w:t>
      </w:r>
      <w:r>
        <w:rPr>
          <w:vertAlign w:val="subscript"/>
        </w:rPr>
        <w:t>)</w:t>
      </w:r>
      <w:r>
        <w:rPr>
          <w:spacing w:val="40"/>
          <w:vertAlign w:val="baseline"/>
        </w:rPr>
        <w:t> </w:t>
      </w:r>
      <w:r>
        <w:rPr>
          <w:vertAlign w:val="baseline"/>
        </w:rPr>
        <w:t>-</w:t>
      </w:r>
      <w:r>
        <w:rPr>
          <w:spacing w:val="80"/>
          <w:vertAlign w:val="baseline"/>
        </w:rPr>
        <w:t> </w:t>
      </w:r>
      <w:r>
        <w:rPr>
          <w:i/>
          <w:vertAlign w:val="baseline"/>
        </w:rPr>
        <w:t>k</w:t>
      </w:r>
      <w:r>
        <w:rPr>
          <w:vertAlign w:val="baseline"/>
        </w:rPr>
        <w:t>-e</w:t>
      </w:r>
      <w:r>
        <w:rPr>
          <w:spacing w:val="80"/>
          <w:vertAlign w:val="baseline"/>
        </w:rPr>
        <w:t> </w:t>
      </w:r>
      <w:r>
        <w:rPr>
          <w:vertAlign w:val="baseline"/>
        </w:rPr>
        <w:t>p-значение,</w:t>
      </w:r>
      <w:r>
        <w:rPr>
          <w:spacing w:val="80"/>
          <w:vertAlign w:val="baseline"/>
        </w:rPr>
        <w:t> </w:t>
      </w:r>
      <w:r>
        <w:rPr>
          <w:vertAlign w:val="baseline"/>
        </w:rPr>
        <w:t>m-общее</w:t>
      </w:r>
      <w:r>
        <w:rPr>
          <w:spacing w:val="80"/>
          <w:vertAlign w:val="baseline"/>
        </w:rPr>
        <w:t> </w:t>
      </w:r>
      <w:r>
        <w:rPr>
          <w:vertAlign w:val="baseline"/>
        </w:rPr>
        <w:t>число</w:t>
      </w:r>
      <w:r>
        <w:rPr>
          <w:spacing w:val="80"/>
          <w:vertAlign w:val="baseline"/>
        </w:rPr>
        <w:t> </w:t>
      </w:r>
      <w:r>
        <w:rPr>
          <w:vertAlign w:val="baseline"/>
        </w:rPr>
        <w:t>гипотез,</w:t>
      </w:r>
      <w:r>
        <w:rPr>
          <w:spacing w:val="80"/>
          <w:vertAlign w:val="baseline"/>
        </w:rPr>
        <w:t> </w:t>
      </w:r>
      <w:r>
        <w:rPr>
          <w:vertAlign w:val="baseline"/>
        </w:rPr>
        <w:t>FDR</w:t>
      </w:r>
      <w:r>
        <w:rPr>
          <w:spacing w:val="80"/>
          <w:vertAlign w:val="baseline"/>
        </w:rPr>
        <w:t> </w:t>
      </w:r>
      <w:r>
        <w:rPr>
          <w:vertAlign w:val="baseline"/>
        </w:rPr>
        <w:t>–</w:t>
      </w:r>
      <w:r>
        <w:rPr>
          <w:spacing w:val="80"/>
          <w:vertAlign w:val="baseline"/>
        </w:rPr>
        <w:t> </w:t>
      </w:r>
      <w:r>
        <w:rPr>
          <w:vertAlign w:val="baseline"/>
        </w:rPr>
        <w:t>ожидаемая</w:t>
      </w:r>
      <w:r>
        <w:rPr>
          <w:spacing w:val="80"/>
          <w:vertAlign w:val="baseline"/>
        </w:rPr>
        <w:t> </w:t>
      </w:r>
      <w:r>
        <w:rPr>
          <w:vertAlign w:val="baseline"/>
        </w:rPr>
        <w:t>доля ложных отклонений.</w:t>
      </w:r>
    </w:p>
    <w:p>
      <w:pPr>
        <w:pStyle w:val="BodyText"/>
        <w:spacing w:before="18"/>
        <w:jc w:val="left"/>
      </w:pPr>
    </w:p>
    <w:p>
      <w:pPr>
        <w:pStyle w:val="BodyText"/>
        <w:spacing w:line="256" w:lineRule="auto"/>
        <w:ind w:left="285" w:right="278"/>
      </w:pPr>
      <w:r>
        <w:rPr/>
        <w:t>После этого проводится отклонение гипотез: отклоняются все (</w:t>
      </w:r>
      <w:r>
        <w:rPr>
          <w:i/>
        </w:rPr>
        <w:t>k</w:t>
      </w:r>
      <w:r>
        <w:rPr/>
        <w:t>) гипотез, начиная с первой (с наименьшим p-значением) до </w:t>
      </w:r>
      <w:r>
        <w:rPr>
          <w:i/>
        </w:rPr>
        <w:t>k</w:t>
      </w:r>
      <w:r>
        <w:rPr/>
        <w:t>-ой [218].</w:t>
      </w:r>
      <w:r>
        <w:rPr>
          <w:spacing w:val="40"/>
        </w:rPr>
        <w:t> </w:t>
      </w:r>
      <w:r>
        <w:rPr/>
        <w:t>Для данных расчётов был применен скрипт (Phyton). Для проверки достоверности примененного метода см. приложение Г.</w:t>
      </w:r>
    </w:p>
    <w:p>
      <w:pPr>
        <w:pStyle w:val="BodyText"/>
        <w:spacing w:after="0" w:line="256" w:lineRule="auto"/>
        <w:sectPr>
          <w:pgSz w:w="11910" w:h="16840"/>
          <w:pgMar w:header="0" w:footer="983" w:top="340" w:bottom="1200" w:left="566" w:right="566"/>
        </w:sectPr>
      </w:pPr>
    </w:p>
    <w:p>
      <w:pPr>
        <w:pStyle w:val="Heading1"/>
        <w:numPr>
          <w:ilvl w:val="0"/>
          <w:numId w:val="4"/>
        </w:numPr>
        <w:tabs>
          <w:tab w:pos="3325" w:val="left" w:leader="none"/>
        </w:tabs>
        <w:spacing w:line="240" w:lineRule="auto" w:before="72" w:after="0"/>
        <w:ind w:left="3325" w:right="0" w:hanging="280"/>
        <w:jc w:val="left"/>
      </w:pPr>
      <w:r>
        <w:rPr/>
        <w:t>РЕЗУЛЬТАТЫ</w:t>
      </w:r>
      <w:r>
        <w:rPr>
          <w:spacing w:val="-6"/>
        </w:rPr>
        <w:t> </w:t>
      </w:r>
      <w:r>
        <w:rPr/>
        <w:t>И</w:t>
      </w:r>
      <w:r>
        <w:rPr>
          <w:spacing w:val="-4"/>
        </w:rPr>
        <w:t> </w:t>
      </w:r>
      <w:r>
        <w:rPr>
          <w:spacing w:val="-2"/>
        </w:rPr>
        <w:t>ОБСУЖДЕНИЕ</w:t>
      </w:r>
    </w:p>
    <w:p>
      <w:pPr>
        <w:pStyle w:val="BodyText"/>
        <w:spacing w:before="42"/>
        <w:jc w:val="left"/>
        <w:rPr>
          <w:b/>
        </w:rPr>
      </w:pPr>
    </w:p>
    <w:p>
      <w:pPr>
        <w:pStyle w:val="Heading2"/>
        <w:numPr>
          <w:ilvl w:val="1"/>
          <w:numId w:val="4"/>
        </w:numPr>
        <w:tabs>
          <w:tab w:pos="1488" w:val="left" w:leader="none"/>
        </w:tabs>
        <w:spacing w:line="256" w:lineRule="auto" w:before="0" w:after="0"/>
        <w:ind w:left="285" w:right="278" w:firstLine="707"/>
        <w:jc w:val="both"/>
      </w:pPr>
      <w:r>
        <w:rPr/>
        <w:t>Показатели фертильности эякулята бесплодных мужчин - жителей Центральной Азии</w:t>
      </w:r>
    </w:p>
    <w:p>
      <w:pPr>
        <w:pStyle w:val="BodyText"/>
        <w:spacing w:line="256" w:lineRule="auto"/>
        <w:ind w:left="286" w:right="278" w:firstLine="707"/>
      </w:pPr>
      <w:r>
        <w:rPr/>
        <w:t>В период с 2019 по 2021 года среди мужского населения Казахстана и Узбекистана в возрасте от 18 (2002 г.р.) до 64 (1956 г.р.) лет был собран и исследован эякулят 957 мужчин, беременность партнерш которых не наступала на протяжении, как минимум, 12 месяцев после завершения применения всех видов контрацепции. В Казахстане за помощью обратились жители: Актау, Алматы, Алматинской области, Атырау, Караганды, Тараза, Талдыкоргана, Уральска, Семипалатинска и Шымкента. В Узбекистане: Ташкента, Чирчика, Намангана, Бухары, Джизака, Андижана, Самарканда и Ферганы.</w:t>
      </w:r>
    </w:p>
    <w:p>
      <w:pPr>
        <w:pStyle w:val="BodyText"/>
        <w:spacing w:line="256" w:lineRule="auto"/>
        <w:ind w:left="286" w:right="278" w:firstLine="707"/>
      </w:pPr>
      <w:r>
        <w:rPr/>
        <w:t>Исследовались такие показатели фертильности эякулята как: концентрация, подвижность и морфология сперматозоидов, наличие лейкоцитов, эритроцитов, агрегация и агглютинация сперматозоидов,</w:t>
      </w:r>
      <w:r>
        <w:rPr>
          <w:spacing w:val="-1"/>
        </w:rPr>
        <w:t> </w:t>
      </w:r>
      <w:r>
        <w:rPr/>
        <w:t>объем</w:t>
      </w:r>
      <w:r>
        <w:rPr>
          <w:spacing w:val="-1"/>
        </w:rPr>
        <w:t> </w:t>
      </w:r>
      <w:r>
        <w:rPr/>
        <w:t>семенной</w:t>
      </w:r>
      <w:r>
        <w:rPr>
          <w:spacing w:val="-2"/>
        </w:rPr>
        <w:t> </w:t>
      </w:r>
      <w:r>
        <w:rPr/>
        <w:t>жидкости,</w:t>
      </w:r>
      <w:r>
        <w:rPr>
          <w:spacing w:val="-1"/>
        </w:rPr>
        <w:t> </w:t>
      </w:r>
      <w:r>
        <w:rPr/>
        <w:t>её вязкость,</w:t>
      </w:r>
      <w:r>
        <w:rPr>
          <w:spacing w:val="-1"/>
        </w:rPr>
        <w:t> </w:t>
      </w:r>
      <w:r>
        <w:rPr/>
        <w:t>а также наличие антиспермальных антител IgG (см. п. 3.1.1). Выявлены основные типы отклонений эякулята и частота их встречаемости (п. 3.1.2). Отдельно выделена иммунологическая компонента причин мужского бесплодия, роль которой в фертильности до конца еще не изучена (п. 3.1.3). Показана связь между возрастом мужчин</w:t>
      </w:r>
      <w:r>
        <w:rPr>
          <w:spacing w:val="-3"/>
        </w:rPr>
        <w:t> </w:t>
      </w:r>
      <w:r>
        <w:rPr/>
        <w:t>и</w:t>
      </w:r>
      <w:r>
        <w:rPr>
          <w:spacing w:val="-1"/>
        </w:rPr>
        <w:t> </w:t>
      </w:r>
      <w:r>
        <w:rPr/>
        <w:t>параметрами</w:t>
      </w:r>
      <w:r>
        <w:rPr>
          <w:spacing w:val="-3"/>
        </w:rPr>
        <w:t> </w:t>
      </w:r>
      <w:r>
        <w:rPr/>
        <w:t>их</w:t>
      </w:r>
      <w:r>
        <w:rPr>
          <w:spacing w:val="-3"/>
        </w:rPr>
        <w:t> </w:t>
      </w:r>
      <w:r>
        <w:rPr/>
        <w:t>эякулята,</w:t>
      </w:r>
      <w:r>
        <w:rPr>
          <w:spacing w:val="-4"/>
        </w:rPr>
        <w:t> </w:t>
      </w:r>
      <w:r>
        <w:rPr/>
        <w:t>такими</w:t>
      </w:r>
      <w:r>
        <w:rPr>
          <w:spacing w:val="-3"/>
        </w:rPr>
        <w:t> </w:t>
      </w:r>
      <w:r>
        <w:rPr/>
        <w:t>как:</w:t>
      </w:r>
      <w:r>
        <w:rPr>
          <w:spacing w:val="-3"/>
        </w:rPr>
        <w:t> </w:t>
      </w:r>
      <w:r>
        <w:rPr/>
        <w:t>концентрация,</w:t>
      </w:r>
      <w:r>
        <w:rPr>
          <w:spacing w:val="-4"/>
        </w:rPr>
        <w:t> </w:t>
      </w:r>
      <w:r>
        <w:rPr/>
        <w:t>подвижность,</w:t>
      </w:r>
      <w:r>
        <w:rPr>
          <w:spacing w:val="-2"/>
        </w:rPr>
        <w:t> </w:t>
      </w:r>
      <w:r>
        <w:rPr/>
        <w:t>объем, вязкость и морфология сперматозоидов (п. 3.1.4).</w:t>
      </w:r>
    </w:p>
    <w:p>
      <w:pPr>
        <w:pStyle w:val="BodyText"/>
        <w:jc w:val="left"/>
      </w:pPr>
    </w:p>
    <w:p>
      <w:pPr>
        <w:pStyle w:val="Heading2"/>
        <w:numPr>
          <w:ilvl w:val="2"/>
          <w:numId w:val="4"/>
        </w:numPr>
        <w:tabs>
          <w:tab w:pos="1623" w:val="left" w:leader="none"/>
        </w:tabs>
        <w:spacing w:line="240" w:lineRule="auto" w:before="0" w:after="0"/>
        <w:ind w:left="1623" w:right="0" w:hanging="629"/>
        <w:jc w:val="both"/>
      </w:pPr>
      <w:r>
        <w:rPr/>
        <w:t>Ключевые</w:t>
      </w:r>
      <w:r>
        <w:rPr>
          <w:spacing w:val="-11"/>
        </w:rPr>
        <w:t> </w:t>
      </w:r>
      <w:r>
        <w:rPr/>
        <w:t>параметры</w:t>
      </w:r>
      <w:r>
        <w:rPr>
          <w:spacing w:val="-10"/>
        </w:rPr>
        <w:t> </w:t>
      </w:r>
      <w:r>
        <w:rPr/>
        <w:t>фертильности</w:t>
      </w:r>
      <w:r>
        <w:rPr>
          <w:spacing w:val="-10"/>
        </w:rPr>
        <w:t> </w:t>
      </w:r>
      <w:r>
        <w:rPr/>
        <w:t>эякулята</w:t>
      </w:r>
      <w:r>
        <w:rPr>
          <w:spacing w:val="-8"/>
        </w:rPr>
        <w:t> </w:t>
      </w:r>
      <w:r>
        <w:rPr/>
        <w:t>бесплодных</w:t>
      </w:r>
      <w:r>
        <w:rPr>
          <w:spacing w:val="-8"/>
        </w:rPr>
        <w:t> </w:t>
      </w:r>
      <w:r>
        <w:rPr>
          <w:spacing w:val="-2"/>
        </w:rPr>
        <w:t>мужчин</w:t>
      </w:r>
    </w:p>
    <w:p>
      <w:pPr>
        <w:pStyle w:val="BodyText"/>
        <w:spacing w:line="256" w:lineRule="auto" w:before="21"/>
        <w:ind w:left="286" w:right="279" w:firstLine="707"/>
      </w:pPr>
      <w:r>
        <w:rPr/>
        <w:t>Отклонения эякулята часто носят сочетанный характер.</w:t>
      </w:r>
      <w:r>
        <w:rPr>
          <w:spacing w:val="40"/>
        </w:rPr>
        <w:t> </w:t>
      </w:r>
      <w:r>
        <w:rPr/>
        <w:t>На рисунке 21 представлены проценты встречаемости того или иного признака так, если бы мы наблюдали эти признаки в изолированной форме, N=957 пациентов.</w:t>
      </w:r>
    </w:p>
    <w:p>
      <w:pPr>
        <w:spacing w:line="240" w:lineRule="auto"/>
        <w:ind w:left="871" w:right="0" w:firstLine="0"/>
        <w:rPr>
          <w:sz w:val="20"/>
        </w:rPr>
      </w:pPr>
      <w:r>
        <w:rPr>
          <w:sz w:val="20"/>
        </w:rPr>
        <w:drawing>
          <wp:inline distT="0" distB="0" distL="0" distR="0">
            <wp:extent cx="5708134" cy="3400425"/>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36" cstate="print"/>
                    <a:stretch>
                      <a:fillRect/>
                    </a:stretch>
                  </pic:blipFill>
                  <pic:spPr>
                    <a:xfrm>
                      <a:off x="0" y="0"/>
                      <a:ext cx="5708134" cy="3400425"/>
                    </a:xfrm>
                    <a:prstGeom prst="rect">
                      <a:avLst/>
                    </a:prstGeom>
                  </pic:spPr>
                </pic:pic>
              </a:graphicData>
            </a:graphic>
          </wp:inline>
        </w:drawing>
      </w:r>
      <w:r>
        <w:rPr>
          <w:sz w:val="20"/>
        </w:rPr>
      </w:r>
    </w:p>
    <w:p>
      <w:pPr>
        <w:pStyle w:val="BodyText"/>
        <w:spacing w:before="64"/>
        <w:ind w:left="857"/>
        <w:jc w:val="left"/>
      </w:pPr>
      <w:r>
        <w:rPr/>
        <w:t>Рисунок</w:t>
      </w:r>
      <w:r>
        <w:rPr>
          <w:spacing w:val="-8"/>
        </w:rPr>
        <w:t> </w:t>
      </w:r>
      <w:r>
        <w:rPr/>
        <w:t>21</w:t>
      </w:r>
      <w:r>
        <w:rPr>
          <w:spacing w:val="-7"/>
        </w:rPr>
        <w:t> </w:t>
      </w:r>
      <w:r>
        <w:rPr>
          <w:rFonts w:ascii="Arial MT" w:hAnsi="Arial MT"/>
          <w:color w:val="454545"/>
          <w:sz w:val="21"/>
        </w:rPr>
        <w:t>—</w:t>
      </w:r>
      <w:r>
        <w:rPr>
          <w:rFonts w:ascii="Arial MT" w:hAnsi="Arial MT"/>
          <w:color w:val="454545"/>
          <w:spacing w:val="-5"/>
          <w:sz w:val="21"/>
        </w:rPr>
        <w:t> </w:t>
      </w:r>
      <w:r>
        <w:rPr/>
        <w:t>Распределение</w:t>
      </w:r>
      <w:r>
        <w:rPr>
          <w:spacing w:val="-8"/>
        </w:rPr>
        <w:t> </w:t>
      </w:r>
      <w:r>
        <w:rPr/>
        <w:t>пациентов</w:t>
      </w:r>
      <w:r>
        <w:rPr>
          <w:spacing w:val="-6"/>
        </w:rPr>
        <w:t> </w:t>
      </w:r>
      <w:r>
        <w:rPr/>
        <w:t>по</w:t>
      </w:r>
      <w:r>
        <w:rPr>
          <w:spacing w:val="-5"/>
        </w:rPr>
        <w:t> </w:t>
      </w:r>
      <w:r>
        <w:rPr/>
        <w:t>показателям</w:t>
      </w:r>
      <w:r>
        <w:rPr>
          <w:spacing w:val="-6"/>
        </w:rPr>
        <w:t> </w:t>
      </w:r>
      <w:r>
        <w:rPr/>
        <w:t>спермограммы</w:t>
      </w:r>
      <w:r>
        <w:rPr>
          <w:spacing w:val="-4"/>
        </w:rPr>
        <w:t> [15]</w:t>
      </w:r>
    </w:p>
    <w:p>
      <w:pPr>
        <w:pStyle w:val="BodyText"/>
        <w:spacing w:after="0"/>
        <w:jc w:val="left"/>
        <w:sectPr>
          <w:pgSz w:w="11910" w:h="16840"/>
          <w:pgMar w:header="0" w:footer="983" w:top="680" w:bottom="1200" w:left="566" w:right="566"/>
        </w:sectPr>
      </w:pPr>
    </w:p>
    <w:p>
      <w:pPr>
        <w:pStyle w:val="BodyText"/>
        <w:spacing w:line="256" w:lineRule="auto" w:before="72"/>
        <w:ind w:left="285" w:right="279" w:firstLine="708"/>
      </w:pPr>
      <w:r>
        <w:rPr/>
        <w:t>Минимальное количество человек с нарушением было по параметру присутствия эритроцитов в семенной жидкости – 26 человек (2,72%).</w:t>
      </w:r>
      <w:r>
        <w:rPr>
          <w:spacing w:val="40"/>
        </w:rPr>
        <w:t> </w:t>
      </w:r>
      <w:r>
        <w:rPr/>
        <w:t>Присутствие эритроцитов в сперме указывает</w:t>
      </w:r>
      <w:r>
        <w:rPr>
          <w:spacing w:val="-2"/>
        </w:rPr>
        <w:t> </w:t>
      </w:r>
      <w:r>
        <w:rPr/>
        <w:t>на воспалительные</w:t>
      </w:r>
      <w:r>
        <w:rPr>
          <w:spacing w:val="-1"/>
        </w:rPr>
        <w:t> </w:t>
      </w:r>
      <w:r>
        <w:rPr/>
        <w:t>процессы в мочеполовом тракте мужчины.</w:t>
      </w:r>
      <w:r>
        <w:rPr>
          <w:spacing w:val="40"/>
        </w:rPr>
        <w:t> </w:t>
      </w:r>
      <w:r>
        <w:rPr/>
        <w:t>Объем эякулята был снижен у 69 человек (7,21%). Известно, что достаточный объем эякулята необходим для оплодотвторения. Наибольшее количество человек с нарушением было по показателю прогрессивно-подвижных сперматозоидов (PR) – 369 человек или 38,56%. Снижение доли PR – состояние, именуемое астенозооспермией, приводящее к уменьшению вероятности</w:t>
      </w:r>
      <w:r>
        <w:rPr>
          <w:spacing w:val="40"/>
        </w:rPr>
        <w:t> </w:t>
      </w:r>
      <w:r>
        <w:rPr/>
        <w:t>наступления беременности [18]. Общая подвижность (PR+NP) была снижена у 123 мужчин (12,85%). Сниженную концентрацию сперматозоидов (менее 15 млн/мл) имели 194 мужчины или 20,27% от всех исследованных. Общее число сперматозоидов в эякуляте, полученное путем умножения концентрации сперматозоидов на объем эякулята было снижено у 160 пациентов или 16,72%. Снижение морфологически нормальных сперматозоидов наблюдали у 148 мужчин (15,46%). При этом нижней границей нормы принимали 4% морфологически нормальных по Крюгеру сперматозоидов [19-20].</w:t>
      </w:r>
      <w:r>
        <w:rPr>
          <w:spacing w:val="40"/>
        </w:rPr>
        <w:t> </w:t>
      </w:r>
      <w:r>
        <w:rPr/>
        <w:t>Вязкость эякулята свыше 2 см была зафиксирована у 187 человек, 19,54%. Такой параметр эякулята как вязкость имеет клиническое значение, поскольку миграция сперматозоидов из эякулята в репродуктивный тракт женщины затрудняется при повышении вязкости спермы [18].</w:t>
      </w:r>
      <w:r>
        <w:rPr>
          <w:spacing w:val="40"/>
        </w:rPr>
        <w:t> </w:t>
      </w:r>
      <w:r>
        <w:rPr/>
        <w:t>Лейкоцитоспермия была выявлена у 115 мужчин (12,02%), что косвенно указывало на наличие у пациентов воспалительного процесса в половом тракте. Агрегация зафиксирована у 142 мужчин (14,84%), а агглютинация сперматозоидов встречалась у 77 человек (8,05%). В таблице 6 представлены средние значения параметров спермограммы для всех пациентов в целом, пациентов с патологическими показателями и показателями в норме (N=957).</w:t>
      </w:r>
    </w:p>
    <w:p>
      <w:pPr>
        <w:pStyle w:val="BodyText"/>
        <w:spacing w:before="315"/>
        <w:ind w:left="1"/>
        <w:jc w:val="center"/>
      </w:pPr>
      <w:r>
        <w:rPr/>
        <w:t>Таблица</w:t>
      </w:r>
      <w:r>
        <w:rPr>
          <w:spacing w:val="-8"/>
        </w:rPr>
        <w:t> </w:t>
      </w:r>
      <w:r>
        <w:rPr/>
        <w:t>6</w:t>
      </w:r>
      <w:r>
        <w:rPr>
          <w:spacing w:val="-6"/>
        </w:rPr>
        <w:t> </w:t>
      </w:r>
      <w:r>
        <w:rPr>
          <w:rFonts w:ascii="Arial MT" w:hAnsi="Arial MT"/>
          <w:color w:val="454545"/>
          <w:sz w:val="21"/>
        </w:rPr>
        <w:t>—</w:t>
      </w:r>
      <w:r>
        <w:rPr>
          <w:rFonts w:ascii="Arial MT" w:hAnsi="Arial MT"/>
          <w:color w:val="454545"/>
          <w:spacing w:val="-4"/>
          <w:sz w:val="21"/>
        </w:rPr>
        <w:t> </w:t>
      </w:r>
      <w:r>
        <w:rPr/>
        <w:t>Сравнение</w:t>
      </w:r>
      <w:r>
        <w:rPr>
          <w:spacing w:val="-5"/>
        </w:rPr>
        <w:t> </w:t>
      </w:r>
      <w:r>
        <w:rPr/>
        <w:t>средних</w:t>
      </w:r>
      <w:r>
        <w:rPr>
          <w:spacing w:val="-4"/>
        </w:rPr>
        <w:t> </w:t>
      </w:r>
      <w:r>
        <w:rPr/>
        <w:t>значений</w:t>
      </w:r>
      <w:r>
        <w:rPr>
          <w:spacing w:val="-6"/>
        </w:rPr>
        <w:t> </w:t>
      </w:r>
      <w:r>
        <w:rPr/>
        <w:t>параметров</w:t>
      </w:r>
      <w:r>
        <w:rPr>
          <w:spacing w:val="-5"/>
        </w:rPr>
        <w:t> </w:t>
      </w:r>
      <w:r>
        <w:rPr>
          <w:spacing w:val="-2"/>
        </w:rPr>
        <w:t>эякулята</w:t>
      </w:r>
    </w:p>
    <w:p>
      <w:pPr>
        <w:pStyle w:val="BodyText"/>
        <w:spacing w:before="91"/>
        <w:jc w:val="left"/>
        <w:rPr>
          <w:sz w:val="20"/>
        </w:rPr>
      </w:pPr>
    </w:p>
    <w:tbl>
      <w:tblPr>
        <w:tblW w:w="0" w:type="auto"/>
        <w:jc w:val="left"/>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4"/>
        <w:gridCol w:w="1666"/>
        <w:gridCol w:w="1932"/>
        <w:gridCol w:w="2510"/>
        <w:gridCol w:w="1910"/>
      </w:tblGrid>
      <w:tr>
        <w:trPr>
          <w:trHeight w:val="1288" w:hRule="atLeast"/>
        </w:trPr>
        <w:tc>
          <w:tcPr>
            <w:tcW w:w="2734" w:type="dxa"/>
            <w:tcBorders>
              <w:bottom w:val="single" w:sz="8" w:space="0" w:color="000000"/>
            </w:tcBorders>
          </w:tcPr>
          <w:p>
            <w:pPr>
              <w:pStyle w:val="TableParagraph"/>
              <w:spacing w:before="162"/>
              <w:rPr>
                <w:sz w:val="28"/>
              </w:rPr>
            </w:pPr>
          </w:p>
          <w:p>
            <w:pPr>
              <w:pStyle w:val="TableParagraph"/>
              <w:spacing w:before="1"/>
              <w:ind w:left="105"/>
              <w:rPr>
                <w:sz w:val="28"/>
              </w:rPr>
            </w:pPr>
            <w:r>
              <w:rPr>
                <w:sz w:val="28"/>
              </w:rPr>
              <w:t>Параметр</w:t>
            </w:r>
            <w:r>
              <w:rPr>
                <w:spacing w:val="-5"/>
                <w:sz w:val="28"/>
              </w:rPr>
              <w:t> </w:t>
            </w:r>
            <w:r>
              <w:rPr>
                <w:spacing w:val="-2"/>
                <w:sz w:val="28"/>
              </w:rPr>
              <w:t>эякулята</w:t>
            </w:r>
          </w:p>
        </w:tc>
        <w:tc>
          <w:tcPr>
            <w:tcW w:w="1666" w:type="dxa"/>
          </w:tcPr>
          <w:p>
            <w:pPr>
              <w:pStyle w:val="TableParagraph"/>
              <w:spacing w:before="2"/>
              <w:rPr>
                <w:sz w:val="28"/>
              </w:rPr>
            </w:pPr>
          </w:p>
          <w:p>
            <w:pPr>
              <w:pStyle w:val="TableParagraph"/>
              <w:ind w:left="11" w:right="1"/>
              <w:jc w:val="center"/>
              <w:rPr>
                <w:sz w:val="28"/>
              </w:rPr>
            </w:pPr>
            <w:r>
              <w:rPr>
                <w:spacing w:val="-2"/>
                <w:sz w:val="28"/>
              </w:rPr>
              <w:t>Референс</w:t>
            </w:r>
          </w:p>
        </w:tc>
        <w:tc>
          <w:tcPr>
            <w:tcW w:w="1932" w:type="dxa"/>
          </w:tcPr>
          <w:p>
            <w:pPr>
              <w:pStyle w:val="TableParagraph"/>
              <w:spacing w:before="2"/>
              <w:rPr>
                <w:sz w:val="28"/>
              </w:rPr>
            </w:pPr>
          </w:p>
          <w:p>
            <w:pPr>
              <w:pStyle w:val="TableParagraph"/>
              <w:spacing w:line="322" w:lineRule="exact"/>
              <w:ind w:left="433"/>
              <w:rPr>
                <w:sz w:val="28"/>
              </w:rPr>
            </w:pPr>
            <w:r>
              <w:rPr>
                <w:spacing w:val="-2"/>
                <w:sz w:val="28"/>
              </w:rPr>
              <w:t>Среднее,</w:t>
            </w:r>
          </w:p>
          <w:p>
            <w:pPr>
              <w:pStyle w:val="TableParagraph"/>
              <w:spacing w:line="322" w:lineRule="exact"/>
              <w:ind w:left="574"/>
              <w:rPr>
                <w:sz w:val="28"/>
              </w:rPr>
            </w:pPr>
            <w:r>
              <w:rPr>
                <w:spacing w:val="-2"/>
                <w:sz w:val="28"/>
              </w:rPr>
              <w:t>N=957</w:t>
            </w:r>
          </w:p>
        </w:tc>
        <w:tc>
          <w:tcPr>
            <w:tcW w:w="2510" w:type="dxa"/>
          </w:tcPr>
          <w:p>
            <w:pPr>
              <w:pStyle w:val="TableParagraph"/>
              <w:spacing w:before="163"/>
              <w:ind w:left="174" w:right="169" w:hanging="2"/>
              <w:jc w:val="center"/>
              <w:rPr>
                <w:sz w:val="28"/>
              </w:rPr>
            </w:pPr>
            <w:r>
              <w:rPr>
                <w:spacing w:val="-4"/>
                <w:sz w:val="28"/>
              </w:rPr>
              <w:t>При </w:t>
            </w:r>
            <w:r>
              <w:rPr>
                <w:spacing w:val="-2"/>
                <w:sz w:val="28"/>
              </w:rPr>
              <w:t>нормозооспермии N=451</w:t>
            </w:r>
          </w:p>
        </w:tc>
        <w:tc>
          <w:tcPr>
            <w:tcW w:w="1910" w:type="dxa"/>
            <w:tcBorders>
              <w:bottom w:val="single" w:sz="8" w:space="0" w:color="000000"/>
            </w:tcBorders>
          </w:tcPr>
          <w:p>
            <w:pPr>
              <w:pStyle w:val="TableParagraph"/>
              <w:spacing w:line="322" w:lineRule="exact"/>
              <w:ind w:left="337" w:right="326" w:hanging="2"/>
              <w:jc w:val="center"/>
              <w:rPr>
                <w:sz w:val="28"/>
              </w:rPr>
            </w:pPr>
            <w:r>
              <w:rPr>
                <w:spacing w:val="-4"/>
                <w:sz w:val="28"/>
              </w:rPr>
              <w:t>При </w:t>
            </w:r>
            <w:r>
              <w:rPr>
                <w:spacing w:val="-2"/>
                <w:sz w:val="28"/>
              </w:rPr>
              <w:t>патологии эякулята N=506</w:t>
            </w:r>
          </w:p>
        </w:tc>
      </w:tr>
      <w:tr>
        <w:trPr>
          <w:trHeight w:val="323" w:hRule="atLeast"/>
        </w:trPr>
        <w:tc>
          <w:tcPr>
            <w:tcW w:w="2734" w:type="dxa"/>
            <w:tcBorders>
              <w:top w:val="single" w:sz="8" w:space="0" w:color="000000"/>
            </w:tcBorders>
          </w:tcPr>
          <w:p>
            <w:pPr>
              <w:pStyle w:val="TableParagraph"/>
              <w:spacing w:line="301" w:lineRule="exact" w:before="2"/>
              <w:ind w:left="105"/>
              <w:rPr>
                <w:sz w:val="28"/>
              </w:rPr>
            </w:pPr>
            <w:r>
              <w:rPr>
                <w:sz w:val="28"/>
              </w:rPr>
              <w:t>Объем</w:t>
            </w:r>
            <w:r>
              <w:rPr>
                <w:spacing w:val="-1"/>
                <w:sz w:val="28"/>
              </w:rPr>
              <w:t> </w:t>
            </w:r>
            <w:r>
              <w:rPr>
                <w:spacing w:val="-2"/>
                <w:sz w:val="28"/>
              </w:rPr>
              <w:t>эякулята</w:t>
            </w:r>
          </w:p>
        </w:tc>
        <w:tc>
          <w:tcPr>
            <w:tcW w:w="1666" w:type="dxa"/>
          </w:tcPr>
          <w:p>
            <w:pPr>
              <w:pStyle w:val="TableParagraph"/>
              <w:spacing w:line="301" w:lineRule="exact" w:before="2"/>
              <w:ind w:left="11"/>
              <w:jc w:val="center"/>
              <w:rPr>
                <w:sz w:val="28"/>
              </w:rPr>
            </w:pPr>
            <w:r>
              <w:rPr>
                <w:sz w:val="28"/>
              </w:rPr>
              <w:t>≥</w:t>
            </w:r>
            <w:r>
              <w:rPr>
                <w:spacing w:val="-1"/>
                <w:sz w:val="28"/>
              </w:rPr>
              <w:t> </w:t>
            </w:r>
            <w:r>
              <w:rPr>
                <w:sz w:val="28"/>
              </w:rPr>
              <w:t>1,5 </w:t>
            </w:r>
            <w:r>
              <w:rPr>
                <w:spacing w:val="-5"/>
                <w:sz w:val="28"/>
              </w:rPr>
              <w:t>мл</w:t>
            </w:r>
          </w:p>
        </w:tc>
        <w:tc>
          <w:tcPr>
            <w:tcW w:w="1932" w:type="dxa"/>
          </w:tcPr>
          <w:p>
            <w:pPr>
              <w:pStyle w:val="TableParagraph"/>
              <w:spacing w:line="301" w:lineRule="exact" w:before="2"/>
              <w:ind w:left="10" w:right="5"/>
              <w:jc w:val="center"/>
              <w:rPr>
                <w:sz w:val="28"/>
              </w:rPr>
            </w:pPr>
            <w:r>
              <w:rPr>
                <w:spacing w:val="-4"/>
                <w:sz w:val="28"/>
              </w:rPr>
              <w:t>3,50</w:t>
            </w:r>
          </w:p>
        </w:tc>
        <w:tc>
          <w:tcPr>
            <w:tcW w:w="2510" w:type="dxa"/>
          </w:tcPr>
          <w:p>
            <w:pPr>
              <w:pStyle w:val="TableParagraph"/>
              <w:spacing w:line="301" w:lineRule="exact" w:before="2"/>
              <w:ind w:left="8" w:right="4"/>
              <w:jc w:val="center"/>
              <w:rPr>
                <w:sz w:val="28"/>
              </w:rPr>
            </w:pPr>
            <w:r>
              <w:rPr>
                <w:spacing w:val="-5"/>
                <w:sz w:val="28"/>
              </w:rPr>
              <w:t>3,7</w:t>
            </w:r>
          </w:p>
        </w:tc>
        <w:tc>
          <w:tcPr>
            <w:tcW w:w="1910" w:type="dxa"/>
            <w:tcBorders>
              <w:top w:val="single" w:sz="8" w:space="0" w:color="000000"/>
            </w:tcBorders>
          </w:tcPr>
          <w:p>
            <w:pPr>
              <w:pStyle w:val="TableParagraph"/>
              <w:spacing w:line="301" w:lineRule="exact" w:before="2"/>
              <w:ind w:left="9"/>
              <w:jc w:val="center"/>
              <w:rPr>
                <w:sz w:val="28"/>
              </w:rPr>
            </w:pPr>
            <w:r>
              <w:rPr>
                <w:spacing w:val="-4"/>
                <w:sz w:val="28"/>
              </w:rPr>
              <w:t>1,03</w:t>
            </w:r>
          </w:p>
        </w:tc>
      </w:tr>
      <w:tr>
        <w:trPr>
          <w:trHeight w:val="321" w:hRule="atLeast"/>
        </w:trPr>
        <w:tc>
          <w:tcPr>
            <w:tcW w:w="2734" w:type="dxa"/>
          </w:tcPr>
          <w:p>
            <w:pPr>
              <w:pStyle w:val="TableParagraph"/>
              <w:spacing w:line="301" w:lineRule="exact"/>
              <w:ind w:left="105"/>
              <w:rPr>
                <w:sz w:val="28"/>
              </w:rPr>
            </w:pPr>
            <w:r>
              <w:rPr>
                <w:spacing w:val="-2"/>
                <w:sz w:val="28"/>
              </w:rPr>
              <w:t>Концентрация</w:t>
            </w:r>
          </w:p>
        </w:tc>
        <w:tc>
          <w:tcPr>
            <w:tcW w:w="1666" w:type="dxa"/>
          </w:tcPr>
          <w:p>
            <w:pPr>
              <w:pStyle w:val="TableParagraph"/>
              <w:spacing w:line="301" w:lineRule="exact"/>
              <w:ind w:left="11"/>
              <w:jc w:val="center"/>
              <w:rPr>
                <w:sz w:val="28"/>
              </w:rPr>
            </w:pPr>
            <w:r>
              <w:rPr>
                <w:sz w:val="28"/>
              </w:rPr>
              <w:t>≥</w:t>
            </w:r>
            <w:r>
              <w:rPr>
                <w:spacing w:val="-3"/>
                <w:sz w:val="28"/>
              </w:rPr>
              <w:t> </w:t>
            </w:r>
            <w:r>
              <w:rPr>
                <w:sz w:val="28"/>
              </w:rPr>
              <w:t>15</w:t>
            </w:r>
            <w:r>
              <w:rPr>
                <w:spacing w:val="1"/>
                <w:sz w:val="28"/>
              </w:rPr>
              <w:t> </w:t>
            </w:r>
            <w:r>
              <w:rPr>
                <w:spacing w:val="-2"/>
                <w:sz w:val="28"/>
              </w:rPr>
              <w:t>млн/мл</w:t>
            </w:r>
          </w:p>
        </w:tc>
        <w:tc>
          <w:tcPr>
            <w:tcW w:w="1932" w:type="dxa"/>
          </w:tcPr>
          <w:p>
            <w:pPr>
              <w:pStyle w:val="TableParagraph"/>
              <w:spacing w:line="301" w:lineRule="exact"/>
              <w:ind w:left="10"/>
              <w:jc w:val="center"/>
              <w:rPr>
                <w:sz w:val="28"/>
              </w:rPr>
            </w:pPr>
            <w:r>
              <w:rPr>
                <w:spacing w:val="-2"/>
                <w:sz w:val="28"/>
              </w:rPr>
              <w:t>65,93</w:t>
            </w:r>
          </w:p>
        </w:tc>
        <w:tc>
          <w:tcPr>
            <w:tcW w:w="2510" w:type="dxa"/>
          </w:tcPr>
          <w:p>
            <w:pPr>
              <w:pStyle w:val="TableParagraph"/>
              <w:spacing w:line="301" w:lineRule="exact"/>
              <w:ind w:left="8"/>
              <w:jc w:val="center"/>
              <w:rPr>
                <w:sz w:val="28"/>
              </w:rPr>
            </w:pPr>
            <w:r>
              <w:rPr>
                <w:spacing w:val="-2"/>
                <w:sz w:val="28"/>
              </w:rPr>
              <w:t>78,83</w:t>
            </w:r>
          </w:p>
        </w:tc>
        <w:tc>
          <w:tcPr>
            <w:tcW w:w="1910" w:type="dxa"/>
          </w:tcPr>
          <w:p>
            <w:pPr>
              <w:pStyle w:val="TableParagraph"/>
              <w:spacing w:line="301" w:lineRule="exact"/>
              <w:ind w:left="9"/>
              <w:jc w:val="center"/>
              <w:rPr>
                <w:sz w:val="28"/>
              </w:rPr>
            </w:pPr>
            <w:r>
              <w:rPr>
                <w:spacing w:val="-4"/>
                <w:sz w:val="28"/>
              </w:rPr>
              <w:t>7,25</w:t>
            </w:r>
          </w:p>
        </w:tc>
      </w:tr>
      <w:tr>
        <w:trPr>
          <w:trHeight w:val="645" w:hRule="atLeast"/>
        </w:trPr>
        <w:tc>
          <w:tcPr>
            <w:tcW w:w="2734" w:type="dxa"/>
          </w:tcPr>
          <w:p>
            <w:pPr>
              <w:pStyle w:val="TableParagraph"/>
              <w:spacing w:line="322" w:lineRule="exact"/>
              <w:ind w:left="105"/>
              <w:rPr>
                <w:sz w:val="28"/>
              </w:rPr>
            </w:pPr>
            <w:r>
              <w:rPr>
                <w:sz w:val="28"/>
              </w:rPr>
              <w:t>Общее</w:t>
            </w:r>
            <w:r>
              <w:rPr>
                <w:spacing w:val="-18"/>
                <w:sz w:val="28"/>
              </w:rPr>
              <w:t> </w:t>
            </w:r>
            <w:r>
              <w:rPr>
                <w:sz w:val="28"/>
              </w:rPr>
              <w:t>кол-во</w:t>
            </w:r>
            <w:r>
              <w:rPr>
                <w:spacing w:val="-17"/>
                <w:sz w:val="28"/>
              </w:rPr>
              <w:t> </w:t>
            </w:r>
            <w:r>
              <w:rPr>
                <w:sz w:val="28"/>
              </w:rPr>
              <w:t>в </w:t>
            </w:r>
            <w:r>
              <w:rPr>
                <w:spacing w:val="-2"/>
                <w:sz w:val="28"/>
              </w:rPr>
              <w:t>эякуляте</w:t>
            </w:r>
          </w:p>
        </w:tc>
        <w:tc>
          <w:tcPr>
            <w:tcW w:w="1666" w:type="dxa"/>
          </w:tcPr>
          <w:p>
            <w:pPr>
              <w:pStyle w:val="TableParagraph"/>
              <w:spacing w:line="322" w:lineRule="exact"/>
              <w:ind w:left="373" w:hanging="202"/>
              <w:rPr>
                <w:sz w:val="28"/>
              </w:rPr>
            </w:pPr>
            <w:r>
              <w:rPr>
                <w:sz w:val="28"/>
              </w:rPr>
              <w:t>≥39</w:t>
            </w:r>
            <w:r>
              <w:rPr>
                <w:spacing w:val="-17"/>
                <w:sz w:val="28"/>
              </w:rPr>
              <w:t> </w:t>
            </w:r>
            <w:r>
              <w:rPr>
                <w:sz w:val="28"/>
              </w:rPr>
              <w:t>млн</w:t>
            </w:r>
            <w:r>
              <w:rPr>
                <w:spacing w:val="-17"/>
                <w:sz w:val="28"/>
              </w:rPr>
              <w:t> </w:t>
            </w:r>
            <w:r>
              <w:rPr>
                <w:sz w:val="28"/>
              </w:rPr>
              <w:t>на </w:t>
            </w:r>
            <w:r>
              <w:rPr>
                <w:spacing w:val="-2"/>
                <w:sz w:val="28"/>
              </w:rPr>
              <w:t>эякулят</w:t>
            </w:r>
          </w:p>
        </w:tc>
        <w:tc>
          <w:tcPr>
            <w:tcW w:w="1932" w:type="dxa"/>
          </w:tcPr>
          <w:p>
            <w:pPr>
              <w:pStyle w:val="TableParagraph"/>
              <w:spacing w:before="160"/>
              <w:ind w:left="10" w:right="2"/>
              <w:jc w:val="center"/>
              <w:rPr>
                <w:sz w:val="28"/>
              </w:rPr>
            </w:pPr>
            <w:r>
              <w:rPr>
                <w:spacing w:val="-2"/>
                <w:sz w:val="28"/>
              </w:rPr>
              <w:t>218,31</w:t>
            </w:r>
          </w:p>
        </w:tc>
        <w:tc>
          <w:tcPr>
            <w:tcW w:w="2510" w:type="dxa"/>
          </w:tcPr>
          <w:p>
            <w:pPr>
              <w:pStyle w:val="TableParagraph"/>
              <w:spacing w:before="160"/>
              <w:ind w:left="8" w:right="1"/>
              <w:jc w:val="center"/>
              <w:rPr>
                <w:sz w:val="28"/>
              </w:rPr>
            </w:pPr>
            <w:r>
              <w:rPr>
                <w:spacing w:val="-2"/>
                <w:sz w:val="28"/>
              </w:rPr>
              <w:t>252,9</w:t>
            </w:r>
          </w:p>
        </w:tc>
        <w:tc>
          <w:tcPr>
            <w:tcW w:w="1910" w:type="dxa"/>
          </w:tcPr>
          <w:p>
            <w:pPr>
              <w:pStyle w:val="TableParagraph"/>
              <w:spacing w:before="160"/>
              <w:ind w:left="9"/>
              <w:jc w:val="center"/>
              <w:rPr>
                <w:sz w:val="28"/>
              </w:rPr>
            </w:pPr>
            <w:r>
              <w:rPr>
                <w:spacing w:val="-2"/>
                <w:sz w:val="28"/>
              </w:rPr>
              <w:t>12,39</w:t>
            </w:r>
          </w:p>
        </w:tc>
      </w:tr>
      <w:tr>
        <w:trPr>
          <w:trHeight w:val="642" w:hRule="atLeast"/>
        </w:trPr>
        <w:tc>
          <w:tcPr>
            <w:tcW w:w="2734" w:type="dxa"/>
          </w:tcPr>
          <w:p>
            <w:pPr>
              <w:pStyle w:val="TableParagraph"/>
              <w:spacing w:line="322" w:lineRule="exact"/>
              <w:ind w:left="105"/>
              <w:rPr>
                <w:sz w:val="28"/>
              </w:rPr>
            </w:pPr>
            <w:r>
              <w:rPr>
                <w:sz w:val="28"/>
              </w:rPr>
              <w:t>Общая</w:t>
            </w:r>
            <w:r>
              <w:rPr>
                <w:spacing w:val="-2"/>
                <w:sz w:val="28"/>
              </w:rPr>
              <w:t> подвижность</w:t>
            </w:r>
          </w:p>
          <w:p>
            <w:pPr>
              <w:pStyle w:val="TableParagraph"/>
              <w:spacing w:line="301" w:lineRule="exact"/>
              <w:ind w:left="105"/>
              <w:rPr>
                <w:sz w:val="28"/>
              </w:rPr>
            </w:pPr>
            <w:r>
              <w:rPr>
                <w:spacing w:val="-2"/>
                <w:sz w:val="28"/>
              </w:rPr>
              <w:t>(PR+NP)</w:t>
            </w:r>
          </w:p>
        </w:tc>
        <w:tc>
          <w:tcPr>
            <w:tcW w:w="1666" w:type="dxa"/>
          </w:tcPr>
          <w:p>
            <w:pPr>
              <w:pStyle w:val="TableParagraph"/>
              <w:ind w:left="11" w:right="4"/>
              <w:jc w:val="center"/>
              <w:rPr>
                <w:sz w:val="28"/>
              </w:rPr>
            </w:pPr>
            <w:r>
              <w:rPr>
                <w:sz w:val="28"/>
              </w:rPr>
              <w:t>≥</w:t>
            </w:r>
            <w:r>
              <w:rPr>
                <w:spacing w:val="-1"/>
                <w:sz w:val="28"/>
              </w:rPr>
              <w:t> </w:t>
            </w:r>
            <w:r>
              <w:rPr>
                <w:spacing w:val="-5"/>
                <w:sz w:val="28"/>
              </w:rPr>
              <w:t>40%</w:t>
            </w:r>
          </w:p>
        </w:tc>
        <w:tc>
          <w:tcPr>
            <w:tcW w:w="1932" w:type="dxa"/>
          </w:tcPr>
          <w:p>
            <w:pPr>
              <w:pStyle w:val="TableParagraph"/>
              <w:spacing w:before="160"/>
              <w:ind w:left="10"/>
              <w:jc w:val="center"/>
              <w:rPr>
                <w:sz w:val="28"/>
              </w:rPr>
            </w:pPr>
            <w:r>
              <w:rPr>
                <w:spacing w:val="-2"/>
                <w:sz w:val="28"/>
              </w:rPr>
              <w:t>62,94</w:t>
            </w:r>
          </w:p>
        </w:tc>
        <w:tc>
          <w:tcPr>
            <w:tcW w:w="2510" w:type="dxa"/>
          </w:tcPr>
          <w:p>
            <w:pPr>
              <w:pStyle w:val="TableParagraph"/>
              <w:spacing w:before="160"/>
              <w:ind w:left="8"/>
              <w:jc w:val="center"/>
              <w:rPr>
                <w:sz w:val="28"/>
              </w:rPr>
            </w:pPr>
            <w:r>
              <w:rPr>
                <w:spacing w:val="-2"/>
                <w:sz w:val="28"/>
              </w:rPr>
              <w:t>65,74</w:t>
            </w:r>
          </w:p>
        </w:tc>
        <w:tc>
          <w:tcPr>
            <w:tcW w:w="1910" w:type="dxa"/>
          </w:tcPr>
          <w:p>
            <w:pPr>
              <w:pStyle w:val="TableParagraph"/>
              <w:spacing w:before="160"/>
              <w:ind w:left="9"/>
              <w:jc w:val="center"/>
              <w:rPr>
                <w:sz w:val="28"/>
              </w:rPr>
            </w:pPr>
            <w:r>
              <w:rPr>
                <w:spacing w:val="-2"/>
                <w:sz w:val="28"/>
              </w:rPr>
              <w:t>14,66</w:t>
            </w:r>
          </w:p>
        </w:tc>
      </w:tr>
      <w:tr>
        <w:trPr>
          <w:trHeight w:val="645" w:hRule="atLeast"/>
        </w:trPr>
        <w:tc>
          <w:tcPr>
            <w:tcW w:w="2734" w:type="dxa"/>
          </w:tcPr>
          <w:p>
            <w:pPr>
              <w:pStyle w:val="TableParagraph"/>
              <w:spacing w:line="322" w:lineRule="exact"/>
              <w:ind w:left="105" w:right="646"/>
              <w:rPr>
                <w:sz w:val="28"/>
              </w:rPr>
            </w:pPr>
            <w:r>
              <w:rPr>
                <w:sz w:val="28"/>
              </w:rPr>
              <w:t>Прогрессивно-подвижные</w:t>
            </w:r>
            <w:r>
              <w:rPr>
                <w:spacing w:val="-18"/>
                <w:sz w:val="28"/>
              </w:rPr>
              <w:t> </w:t>
            </w:r>
            <w:r>
              <w:rPr>
                <w:sz w:val="28"/>
              </w:rPr>
              <w:t>(PR)</w:t>
            </w:r>
          </w:p>
        </w:tc>
        <w:tc>
          <w:tcPr>
            <w:tcW w:w="1666" w:type="dxa"/>
          </w:tcPr>
          <w:p>
            <w:pPr>
              <w:pStyle w:val="TableParagraph"/>
              <w:ind w:left="11" w:right="4"/>
              <w:jc w:val="center"/>
              <w:rPr>
                <w:sz w:val="28"/>
              </w:rPr>
            </w:pPr>
            <w:r>
              <w:rPr>
                <w:sz w:val="28"/>
              </w:rPr>
              <w:t>≥</w:t>
            </w:r>
            <w:r>
              <w:rPr>
                <w:spacing w:val="-1"/>
                <w:sz w:val="28"/>
              </w:rPr>
              <w:t> </w:t>
            </w:r>
            <w:r>
              <w:rPr>
                <w:spacing w:val="-5"/>
                <w:sz w:val="28"/>
              </w:rPr>
              <w:t>32%</w:t>
            </w:r>
          </w:p>
        </w:tc>
        <w:tc>
          <w:tcPr>
            <w:tcW w:w="1932" w:type="dxa"/>
          </w:tcPr>
          <w:p>
            <w:pPr>
              <w:pStyle w:val="TableParagraph"/>
              <w:spacing w:before="161"/>
              <w:ind w:left="10"/>
              <w:jc w:val="center"/>
              <w:rPr>
                <w:sz w:val="28"/>
              </w:rPr>
            </w:pPr>
            <w:r>
              <w:rPr>
                <w:spacing w:val="-2"/>
                <w:sz w:val="28"/>
              </w:rPr>
              <w:t>34,78</w:t>
            </w:r>
          </w:p>
        </w:tc>
        <w:tc>
          <w:tcPr>
            <w:tcW w:w="2510" w:type="dxa"/>
          </w:tcPr>
          <w:p>
            <w:pPr>
              <w:pStyle w:val="TableParagraph"/>
              <w:spacing w:before="161"/>
              <w:ind w:left="8"/>
              <w:jc w:val="center"/>
              <w:rPr>
                <w:sz w:val="28"/>
              </w:rPr>
            </w:pPr>
            <w:r>
              <w:rPr>
                <w:spacing w:val="-2"/>
                <w:sz w:val="28"/>
              </w:rPr>
              <w:t>42,06</w:t>
            </w:r>
          </w:p>
        </w:tc>
        <w:tc>
          <w:tcPr>
            <w:tcW w:w="1910" w:type="dxa"/>
          </w:tcPr>
          <w:p>
            <w:pPr>
              <w:pStyle w:val="TableParagraph"/>
              <w:spacing w:before="161"/>
              <w:ind w:left="9"/>
              <w:jc w:val="center"/>
              <w:rPr>
                <w:sz w:val="28"/>
              </w:rPr>
            </w:pPr>
            <w:r>
              <w:rPr>
                <w:spacing w:val="-2"/>
                <w:sz w:val="28"/>
              </w:rPr>
              <w:t>17,87</w:t>
            </w:r>
          </w:p>
        </w:tc>
      </w:tr>
      <w:tr>
        <w:trPr>
          <w:trHeight w:val="321" w:hRule="atLeast"/>
        </w:trPr>
        <w:tc>
          <w:tcPr>
            <w:tcW w:w="2734" w:type="dxa"/>
          </w:tcPr>
          <w:p>
            <w:pPr>
              <w:pStyle w:val="TableParagraph"/>
              <w:spacing w:line="301" w:lineRule="exact"/>
              <w:ind w:left="105"/>
              <w:rPr>
                <w:sz w:val="28"/>
              </w:rPr>
            </w:pPr>
            <w:r>
              <w:rPr>
                <w:sz w:val="28"/>
              </w:rPr>
              <w:t>Нормальные</w:t>
            </w:r>
            <w:r>
              <w:rPr>
                <w:spacing w:val="-11"/>
                <w:sz w:val="28"/>
              </w:rPr>
              <w:t> </w:t>
            </w:r>
            <w:r>
              <w:rPr>
                <w:spacing w:val="-4"/>
                <w:sz w:val="28"/>
              </w:rPr>
              <w:t>формы</w:t>
            </w:r>
          </w:p>
        </w:tc>
        <w:tc>
          <w:tcPr>
            <w:tcW w:w="1666" w:type="dxa"/>
          </w:tcPr>
          <w:p>
            <w:pPr>
              <w:pStyle w:val="TableParagraph"/>
              <w:spacing w:line="301" w:lineRule="exact"/>
              <w:ind w:left="11" w:right="4"/>
              <w:jc w:val="center"/>
              <w:rPr>
                <w:sz w:val="28"/>
              </w:rPr>
            </w:pPr>
            <w:r>
              <w:rPr>
                <w:sz w:val="28"/>
              </w:rPr>
              <w:t>≥</w:t>
            </w:r>
            <w:r>
              <w:rPr>
                <w:spacing w:val="-3"/>
                <w:sz w:val="28"/>
              </w:rPr>
              <w:t> </w:t>
            </w:r>
            <w:r>
              <w:rPr>
                <w:spacing w:val="-7"/>
                <w:sz w:val="28"/>
              </w:rPr>
              <w:t>4%</w:t>
            </w:r>
          </w:p>
        </w:tc>
        <w:tc>
          <w:tcPr>
            <w:tcW w:w="1932" w:type="dxa"/>
          </w:tcPr>
          <w:p>
            <w:pPr>
              <w:pStyle w:val="TableParagraph"/>
              <w:spacing w:line="301" w:lineRule="exact"/>
              <w:ind w:left="10" w:right="5"/>
              <w:jc w:val="center"/>
              <w:rPr>
                <w:sz w:val="28"/>
              </w:rPr>
            </w:pPr>
            <w:r>
              <w:rPr>
                <w:spacing w:val="-4"/>
                <w:sz w:val="28"/>
              </w:rPr>
              <w:t>6,67</w:t>
            </w:r>
          </w:p>
        </w:tc>
        <w:tc>
          <w:tcPr>
            <w:tcW w:w="2510" w:type="dxa"/>
          </w:tcPr>
          <w:p>
            <w:pPr>
              <w:pStyle w:val="TableParagraph"/>
              <w:spacing w:line="301" w:lineRule="exact"/>
              <w:ind w:left="8" w:right="5"/>
              <w:jc w:val="center"/>
              <w:rPr>
                <w:sz w:val="28"/>
              </w:rPr>
            </w:pPr>
            <w:r>
              <w:rPr>
                <w:spacing w:val="-4"/>
                <w:sz w:val="28"/>
              </w:rPr>
              <w:t>7,26</w:t>
            </w:r>
          </w:p>
        </w:tc>
        <w:tc>
          <w:tcPr>
            <w:tcW w:w="1910" w:type="dxa"/>
          </w:tcPr>
          <w:p>
            <w:pPr>
              <w:pStyle w:val="TableParagraph"/>
              <w:spacing w:line="301" w:lineRule="exact"/>
              <w:ind w:left="9"/>
              <w:jc w:val="center"/>
              <w:rPr>
                <w:sz w:val="28"/>
              </w:rPr>
            </w:pPr>
            <w:r>
              <w:rPr>
                <w:spacing w:val="-4"/>
                <w:sz w:val="28"/>
              </w:rPr>
              <w:t>1,68</w:t>
            </w:r>
          </w:p>
        </w:tc>
      </w:tr>
      <w:tr>
        <w:trPr>
          <w:trHeight w:val="321" w:hRule="atLeast"/>
        </w:trPr>
        <w:tc>
          <w:tcPr>
            <w:tcW w:w="2734" w:type="dxa"/>
          </w:tcPr>
          <w:p>
            <w:pPr>
              <w:pStyle w:val="TableParagraph"/>
              <w:spacing w:line="301" w:lineRule="exact"/>
              <w:ind w:left="105"/>
              <w:rPr>
                <w:sz w:val="28"/>
              </w:rPr>
            </w:pPr>
            <w:r>
              <w:rPr>
                <w:sz w:val="28"/>
              </w:rPr>
              <w:t>Вязкость</w:t>
            </w:r>
            <w:r>
              <w:rPr>
                <w:spacing w:val="-7"/>
                <w:sz w:val="28"/>
              </w:rPr>
              <w:t> </w:t>
            </w:r>
            <w:r>
              <w:rPr>
                <w:spacing w:val="-2"/>
                <w:sz w:val="28"/>
              </w:rPr>
              <w:t>эякулята</w:t>
            </w:r>
          </w:p>
        </w:tc>
        <w:tc>
          <w:tcPr>
            <w:tcW w:w="1666" w:type="dxa"/>
          </w:tcPr>
          <w:p>
            <w:pPr>
              <w:pStyle w:val="TableParagraph"/>
              <w:spacing w:line="301" w:lineRule="exact"/>
              <w:ind w:left="11" w:right="1"/>
              <w:jc w:val="center"/>
              <w:rPr>
                <w:sz w:val="28"/>
              </w:rPr>
            </w:pPr>
            <w:r>
              <w:rPr>
                <w:sz w:val="28"/>
              </w:rPr>
              <w:t>≤</w:t>
            </w:r>
            <w:r>
              <w:rPr>
                <w:spacing w:val="-1"/>
                <w:sz w:val="28"/>
              </w:rPr>
              <w:t> </w:t>
            </w:r>
            <w:r>
              <w:rPr>
                <w:sz w:val="28"/>
              </w:rPr>
              <w:t>2 </w:t>
            </w:r>
            <w:r>
              <w:rPr>
                <w:spacing w:val="-5"/>
                <w:sz w:val="28"/>
              </w:rPr>
              <w:t>см</w:t>
            </w:r>
          </w:p>
        </w:tc>
        <w:tc>
          <w:tcPr>
            <w:tcW w:w="1932" w:type="dxa"/>
          </w:tcPr>
          <w:p>
            <w:pPr>
              <w:pStyle w:val="TableParagraph"/>
              <w:spacing w:line="301" w:lineRule="exact"/>
              <w:ind w:left="10" w:right="5"/>
              <w:jc w:val="center"/>
              <w:rPr>
                <w:sz w:val="28"/>
              </w:rPr>
            </w:pPr>
            <w:r>
              <w:rPr>
                <w:spacing w:val="-4"/>
                <w:sz w:val="28"/>
              </w:rPr>
              <w:t>1,47</w:t>
            </w:r>
          </w:p>
        </w:tc>
        <w:tc>
          <w:tcPr>
            <w:tcW w:w="2510" w:type="dxa"/>
          </w:tcPr>
          <w:p>
            <w:pPr>
              <w:pStyle w:val="TableParagraph"/>
              <w:spacing w:line="301" w:lineRule="exact"/>
              <w:ind w:left="8" w:right="5"/>
              <w:jc w:val="center"/>
              <w:rPr>
                <w:sz w:val="28"/>
              </w:rPr>
            </w:pPr>
            <w:r>
              <w:rPr>
                <w:spacing w:val="-4"/>
                <w:sz w:val="28"/>
              </w:rPr>
              <w:t>0,63</w:t>
            </w:r>
          </w:p>
        </w:tc>
        <w:tc>
          <w:tcPr>
            <w:tcW w:w="1910" w:type="dxa"/>
          </w:tcPr>
          <w:p>
            <w:pPr>
              <w:pStyle w:val="TableParagraph"/>
              <w:spacing w:line="301" w:lineRule="exact"/>
              <w:ind w:left="9"/>
              <w:jc w:val="center"/>
              <w:rPr>
                <w:sz w:val="28"/>
              </w:rPr>
            </w:pPr>
            <w:r>
              <w:rPr>
                <w:spacing w:val="-4"/>
                <w:sz w:val="28"/>
              </w:rPr>
              <w:t>4,93</w:t>
            </w:r>
          </w:p>
        </w:tc>
      </w:tr>
      <w:tr>
        <w:trPr>
          <w:trHeight w:val="323" w:hRule="atLeast"/>
        </w:trPr>
        <w:tc>
          <w:tcPr>
            <w:tcW w:w="2734" w:type="dxa"/>
          </w:tcPr>
          <w:p>
            <w:pPr>
              <w:pStyle w:val="TableParagraph"/>
              <w:spacing w:line="304" w:lineRule="exact"/>
              <w:ind w:left="105"/>
              <w:rPr>
                <w:sz w:val="28"/>
              </w:rPr>
            </w:pPr>
            <w:r>
              <w:rPr>
                <w:spacing w:val="-2"/>
                <w:sz w:val="28"/>
              </w:rPr>
              <w:t>Лейкоциты</w:t>
            </w:r>
          </w:p>
        </w:tc>
        <w:tc>
          <w:tcPr>
            <w:tcW w:w="1666" w:type="dxa"/>
          </w:tcPr>
          <w:p>
            <w:pPr>
              <w:pStyle w:val="TableParagraph"/>
              <w:spacing w:line="304" w:lineRule="exact"/>
              <w:ind w:left="11" w:right="2"/>
              <w:jc w:val="center"/>
              <w:rPr>
                <w:sz w:val="28"/>
              </w:rPr>
            </w:pPr>
            <w:r>
              <w:rPr>
                <w:sz w:val="28"/>
              </w:rPr>
              <w:t>≤</w:t>
            </w:r>
            <w:r>
              <w:rPr>
                <w:spacing w:val="-1"/>
                <w:sz w:val="28"/>
              </w:rPr>
              <w:t> </w:t>
            </w:r>
            <w:r>
              <w:rPr>
                <w:sz w:val="28"/>
              </w:rPr>
              <w:t>1 </w:t>
            </w:r>
            <w:r>
              <w:rPr>
                <w:spacing w:val="-2"/>
                <w:sz w:val="28"/>
              </w:rPr>
              <w:t>млн/мл</w:t>
            </w:r>
          </w:p>
        </w:tc>
        <w:tc>
          <w:tcPr>
            <w:tcW w:w="1932" w:type="dxa"/>
          </w:tcPr>
          <w:p>
            <w:pPr>
              <w:pStyle w:val="TableParagraph"/>
              <w:spacing w:line="304" w:lineRule="exact"/>
              <w:ind w:left="10" w:right="5"/>
              <w:jc w:val="center"/>
              <w:rPr>
                <w:sz w:val="28"/>
              </w:rPr>
            </w:pPr>
            <w:r>
              <w:rPr>
                <w:spacing w:val="-4"/>
                <w:sz w:val="28"/>
              </w:rPr>
              <w:t>0,71</w:t>
            </w:r>
          </w:p>
        </w:tc>
        <w:tc>
          <w:tcPr>
            <w:tcW w:w="2510" w:type="dxa"/>
          </w:tcPr>
          <w:p>
            <w:pPr>
              <w:pStyle w:val="TableParagraph"/>
              <w:spacing w:line="304" w:lineRule="exact"/>
              <w:ind w:left="8" w:right="5"/>
              <w:jc w:val="center"/>
              <w:rPr>
                <w:sz w:val="28"/>
              </w:rPr>
            </w:pPr>
            <w:r>
              <w:rPr>
                <w:spacing w:val="-4"/>
                <w:sz w:val="28"/>
              </w:rPr>
              <w:t>0,36</w:t>
            </w:r>
          </w:p>
        </w:tc>
        <w:tc>
          <w:tcPr>
            <w:tcW w:w="1910" w:type="dxa"/>
          </w:tcPr>
          <w:p>
            <w:pPr>
              <w:pStyle w:val="TableParagraph"/>
              <w:spacing w:line="304" w:lineRule="exact"/>
              <w:ind w:left="9"/>
              <w:jc w:val="center"/>
              <w:rPr>
                <w:sz w:val="28"/>
              </w:rPr>
            </w:pPr>
            <w:r>
              <w:rPr>
                <w:spacing w:val="-5"/>
                <w:sz w:val="28"/>
              </w:rPr>
              <w:t>3,1</w:t>
            </w:r>
          </w:p>
        </w:tc>
      </w:tr>
    </w:tbl>
    <w:p>
      <w:pPr>
        <w:pStyle w:val="TableParagraph"/>
        <w:spacing w:after="0" w:line="304" w:lineRule="exact"/>
        <w:jc w:val="center"/>
        <w:rPr>
          <w:sz w:val="28"/>
        </w:rPr>
        <w:sectPr>
          <w:pgSz w:w="11910" w:h="16840"/>
          <w:pgMar w:header="0" w:footer="983" w:top="680" w:bottom="1200" w:left="566" w:right="566"/>
        </w:sectPr>
      </w:pPr>
    </w:p>
    <w:p>
      <w:pPr>
        <w:pStyle w:val="BodyText"/>
        <w:spacing w:before="69"/>
        <w:ind w:left="286" w:right="279" w:firstLine="566"/>
      </w:pPr>
      <w:r>
        <w:rPr/>
        <w:t>У пациентов с патологическим эякулятом, среднее значение объема спермы (1,03 мл) было почти в 1,5 раза меньше нормы (1,5 мл); средняя концентрация сперматозоидов (7,25 млн/мл) была ниже в 2,1 раза; общее количество сперматозоидов в эякуляте было в 3,1 раза ниже референса. Общая подвижность сперматозоидов ниже в 2,7 раз (14,66% против 40%). Прогрессивно-подвижных сперматозоидов было в 1,8 раз меньше (17,87% против 32%). Морфологически нормальных форм было в 2,4 раза меньше нормы (1,68% против 4% в норме); вязкость в 2,5 раза выше нормы (4,93 см против 2 см в норме), а количество лейкоцитов превысило норму в 3,1 раза (3,1 млн/мл лейкоцитов против 1 млн/мл в </w:t>
      </w:r>
      <w:r>
        <w:rPr>
          <w:spacing w:val="-2"/>
        </w:rPr>
        <w:t>норме).</w:t>
      </w:r>
    </w:p>
    <w:p>
      <w:pPr>
        <w:pStyle w:val="BodyText"/>
        <w:ind w:left="285" w:right="278" w:firstLine="566"/>
      </w:pPr>
      <w:r>
        <w:rPr/>
        <w:t>В средних величинах группы пациентов с нормозооспермией разница между полученными результатами по сравнению с референсом имеет значительно иное отношение. И составляет по объему спермы 2,5 раза (3,7 мл против минимального референса в 1,5 мл); концентрации сперматозоидов 5,3 раза (78,83 млн/мл против минимального</w:t>
      </w:r>
      <w:r>
        <w:rPr>
          <w:spacing w:val="-3"/>
        </w:rPr>
        <w:t> </w:t>
      </w:r>
      <w:r>
        <w:rPr/>
        <w:t>референса</w:t>
      </w:r>
      <w:r>
        <w:rPr>
          <w:spacing w:val="-1"/>
        </w:rPr>
        <w:t> </w:t>
      </w:r>
      <w:r>
        <w:rPr/>
        <w:t>в</w:t>
      </w:r>
      <w:r>
        <w:rPr>
          <w:spacing w:val="-4"/>
        </w:rPr>
        <w:t> </w:t>
      </w:r>
      <w:r>
        <w:rPr/>
        <w:t>15 млн/мл);</w:t>
      </w:r>
      <w:r>
        <w:rPr>
          <w:spacing w:val="-3"/>
        </w:rPr>
        <w:t> </w:t>
      </w:r>
      <w:r>
        <w:rPr/>
        <w:t>общему</w:t>
      </w:r>
      <w:r>
        <w:rPr>
          <w:spacing w:val="-3"/>
        </w:rPr>
        <w:t> </w:t>
      </w:r>
      <w:r>
        <w:rPr/>
        <w:t>числу</w:t>
      </w:r>
      <w:r>
        <w:rPr>
          <w:spacing w:val="-2"/>
        </w:rPr>
        <w:t> </w:t>
      </w:r>
      <w:r>
        <w:rPr/>
        <w:t>сперматозоидов</w:t>
      </w:r>
      <w:r>
        <w:rPr>
          <w:spacing w:val="-4"/>
        </w:rPr>
        <w:t> </w:t>
      </w:r>
      <w:r>
        <w:rPr/>
        <w:t>в</w:t>
      </w:r>
      <w:r>
        <w:rPr>
          <w:spacing w:val="-2"/>
        </w:rPr>
        <w:t> </w:t>
      </w:r>
      <w:r>
        <w:rPr/>
        <w:t>эякуляте</w:t>
      </w:r>
      <w:r>
        <w:rPr>
          <w:spacing w:val="-1"/>
        </w:rPr>
        <w:t> </w:t>
      </w:r>
      <w:r>
        <w:rPr/>
        <w:t>6,5 раз (252,9 млн против минимальной нормы в 39 млн). Средняя общая подвижность выше референса в 1,6 раз (65,74% против минимального значения в 40%). Показатель PR выше референса на 10% (42,06% против минимального 32%); процент нормальных форм сперматозоидов выше в 1,8 раз (7,26% против 4% в референсе). Средняя вязкость эякулята ниже в 3,2 раза (0,63 см против максимального значения нормы в 2 см); содержание лейкоцитов ниже в 2,8 раз в группе пациентов с нормозооспермией по сравнению с референсными значениями ВОЗ (0,36 млн/мл против 1 млн/мл в референсе).</w:t>
      </w:r>
    </w:p>
    <w:p>
      <w:pPr>
        <w:pStyle w:val="BodyText"/>
        <w:ind w:left="286" w:right="279" w:firstLine="566"/>
      </w:pPr>
      <w:r>
        <w:rPr/>
        <w:t>Анализ средних показателей в группе пациентов с аномалиями эякулята однозначно подтверждает их низкий фертильный потенциал, поскольку ключевые показатели фертильности, приведенные в таблице 6 в несколько раз ниже минимальных референсных значений, предложенных ВОЗ. И, напротив, средние значения основных параметров фертильности среднеазиатских мужчин с нормозооспермией значительно (в несколько раз) отличаются от минимальных референсных значений, которые рекомендует ВОЗ. Это значит, что средневзвешенный репродуктивный потенциал среднеазиатских мужчин с нормозооспермией высокий и преимущественный вклад в бесплодный брак стоит диагностировать в поле женских факторов инфертильности.</w:t>
      </w:r>
    </w:p>
    <w:p>
      <w:pPr>
        <w:pStyle w:val="Heading2"/>
        <w:numPr>
          <w:ilvl w:val="2"/>
          <w:numId w:val="4"/>
        </w:numPr>
        <w:tabs>
          <w:tab w:pos="1821" w:val="left" w:leader="none"/>
        </w:tabs>
        <w:spacing w:line="256" w:lineRule="auto" w:before="319" w:after="0"/>
        <w:ind w:left="286" w:right="277" w:firstLine="707"/>
        <w:jc w:val="both"/>
      </w:pPr>
      <w:r>
        <w:rPr/>
        <w:t>Нормальные и патологические спермограммы у мужчин в бесплодном браке</w:t>
      </w:r>
    </w:p>
    <w:p>
      <w:pPr>
        <w:pStyle w:val="BodyText"/>
        <w:spacing w:line="256" w:lineRule="auto"/>
        <w:ind w:left="286" w:right="278" w:firstLine="707"/>
      </w:pPr>
      <w:r>
        <w:rPr/>
        <w:t>В таблице 7 представлено распределение основных типов патологий и соответствующее ему параметры спермограмм. Заключение устанавливалось на основе протоколов анализов в соответствии с референсными значениями ВОЗ.</w:t>
      </w:r>
      <w:r>
        <w:rPr>
          <w:spacing w:val="40"/>
        </w:rPr>
        <w:t> </w:t>
      </w:r>
      <w:r>
        <w:rPr/>
        <w:t>Среди всех исследованных было выявлено 36 типов разных нарушений показателей спермограмм (представлено 11).</w:t>
      </w:r>
      <w:r>
        <w:rPr>
          <w:spacing w:val="80"/>
        </w:rPr>
        <w:t> </w:t>
      </w:r>
      <w:r>
        <w:rPr/>
        <w:t>Наиболее распространенным оказалось</w:t>
      </w:r>
      <w:r>
        <w:rPr>
          <w:spacing w:val="40"/>
        </w:rPr>
        <w:t> </w:t>
      </w:r>
      <w:r>
        <w:rPr/>
        <w:t>заключение о нормозооспермии, установленное у 451 человек, что составляет 47,1% от всех исследованных. На втором месте стоит изолированная форма астенозооспермии, выявленная у 153 мужчин или 16% от всех исследованных. Третье место заняла лейкоцитоспермия, выявленная у 44 пациентов (4,6%). По уменьшению</w:t>
      </w:r>
      <w:r>
        <w:rPr>
          <w:spacing w:val="64"/>
        </w:rPr>
        <w:t> </w:t>
      </w:r>
      <w:r>
        <w:rPr/>
        <w:t>встречаемости</w:t>
      </w:r>
      <w:r>
        <w:rPr>
          <w:spacing w:val="66"/>
        </w:rPr>
        <w:t> </w:t>
      </w:r>
      <w:r>
        <w:rPr/>
        <w:t>следуют</w:t>
      </w:r>
      <w:r>
        <w:rPr>
          <w:spacing w:val="64"/>
        </w:rPr>
        <w:t> </w:t>
      </w:r>
      <w:r>
        <w:rPr/>
        <w:t>олигозооспермия</w:t>
      </w:r>
      <w:r>
        <w:rPr>
          <w:spacing w:val="68"/>
        </w:rPr>
        <w:t> </w:t>
      </w:r>
      <w:r>
        <w:rPr/>
        <w:t>-</w:t>
      </w:r>
      <w:r>
        <w:rPr>
          <w:spacing w:val="66"/>
        </w:rPr>
        <w:t> </w:t>
      </w:r>
      <w:r>
        <w:rPr/>
        <w:t>у</w:t>
      </w:r>
      <w:r>
        <w:rPr>
          <w:spacing w:val="66"/>
        </w:rPr>
        <w:t> </w:t>
      </w:r>
      <w:r>
        <w:rPr/>
        <w:t>37</w:t>
      </w:r>
      <w:r>
        <w:rPr>
          <w:spacing w:val="66"/>
        </w:rPr>
        <w:t> </w:t>
      </w:r>
      <w:r>
        <w:rPr/>
        <w:t>человек</w:t>
      </w:r>
      <w:r>
        <w:rPr>
          <w:spacing w:val="65"/>
        </w:rPr>
        <w:t> </w:t>
      </w:r>
      <w:r>
        <w:rPr/>
        <w:t>или</w:t>
      </w:r>
      <w:r>
        <w:rPr>
          <w:spacing w:val="67"/>
        </w:rPr>
        <w:t> </w:t>
      </w:r>
      <w:r>
        <w:rPr>
          <w:spacing w:val="-2"/>
        </w:rPr>
        <w:t>3,9%;</w:t>
      </w:r>
    </w:p>
    <w:p>
      <w:pPr>
        <w:pStyle w:val="BodyText"/>
        <w:spacing w:after="0" w:line="256" w:lineRule="auto"/>
        <w:sectPr>
          <w:pgSz w:w="11910" w:h="16840"/>
          <w:pgMar w:header="0" w:footer="983" w:top="340" w:bottom="1200" w:left="566" w:right="566"/>
        </w:sectPr>
      </w:pPr>
    </w:p>
    <w:p>
      <w:pPr>
        <w:pStyle w:val="BodyText"/>
        <w:spacing w:before="69"/>
        <w:ind w:left="286"/>
      </w:pPr>
      <w:r>
        <w:rPr/>
        <w:t>олигоастенотератозооспермия</w:t>
      </w:r>
      <w:r>
        <w:rPr>
          <w:spacing w:val="27"/>
        </w:rPr>
        <w:t> </w:t>
      </w:r>
      <w:r>
        <w:rPr/>
        <w:t>-</w:t>
      </w:r>
      <w:r>
        <w:rPr>
          <w:spacing w:val="26"/>
        </w:rPr>
        <w:t> </w:t>
      </w:r>
      <w:r>
        <w:rPr/>
        <w:t>у</w:t>
      </w:r>
      <w:r>
        <w:rPr>
          <w:spacing w:val="25"/>
        </w:rPr>
        <w:t> </w:t>
      </w:r>
      <w:r>
        <w:rPr/>
        <w:t>34</w:t>
      </w:r>
      <w:r>
        <w:rPr>
          <w:spacing w:val="29"/>
        </w:rPr>
        <w:t> </w:t>
      </w:r>
      <w:r>
        <w:rPr/>
        <w:t>мужчин</w:t>
      </w:r>
      <w:r>
        <w:rPr>
          <w:spacing w:val="25"/>
        </w:rPr>
        <w:t> </w:t>
      </w:r>
      <w:r>
        <w:rPr/>
        <w:t>или</w:t>
      </w:r>
      <w:r>
        <w:rPr>
          <w:spacing w:val="29"/>
        </w:rPr>
        <w:t> </w:t>
      </w:r>
      <w:r>
        <w:rPr/>
        <w:t>3,6%;</w:t>
      </w:r>
      <w:r>
        <w:rPr>
          <w:spacing w:val="25"/>
        </w:rPr>
        <w:t> </w:t>
      </w:r>
      <w:r>
        <w:rPr/>
        <w:t>олигоастенозооспермия</w:t>
      </w:r>
      <w:r>
        <w:rPr>
          <w:spacing w:val="29"/>
        </w:rPr>
        <w:t> </w:t>
      </w:r>
      <w:r>
        <w:rPr/>
        <w:t>-</w:t>
      </w:r>
      <w:r>
        <w:rPr>
          <w:spacing w:val="23"/>
        </w:rPr>
        <w:t> </w:t>
      </w:r>
      <w:r>
        <w:rPr>
          <w:spacing w:val="-10"/>
        </w:rPr>
        <w:t>у</w:t>
      </w:r>
    </w:p>
    <w:p>
      <w:pPr>
        <w:pStyle w:val="BodyText"/>
        <w:spacing w:before="21"/>
        <w:ind w:left="286"/>
      </w:pPr>
      <w:r>
        <w:rPr/>
        <w:t>31</w:t>
      </w:r>
      <w:r>
        <w:rPr>
          <w:spacing w:val="61"/>
          <w:w w:val="150"/>
        </w:rPr>
        <w:t> </w:t>
      </w:r>
      <w:r>
        <w:rPr/>
        <w:t>или</w:t>
      </w:r>
      <w:r>
        <w:rPr>
          <w:spacing w:val="66"/>
          <w:w w:val="150"/>
        </w:rPr>
        <w:t> </w:t>
      </w:r>
      <w:r>
        <w:rPr/>
        <w:t>3,2%;</w:t>
      </w:r>
      <w:r>
        <w:rPr>
          <w:spacing w:val="64"/>
          <w:w w:val="150"/>
        </w:rPr>
        <w:t> </w:t>
      </w:r>
      <w:r>
        <w:rPr/>
        <w:t>олигоспермия</w:t>
      </w:r>
      <w:r>
        <w:rPr>
          <w:spacing w:val="64"/>
          <w:w w:val="150"/>
        </w:rPr>
        <w:t> </w:t>
      </w:r>
      <w:r>
        <w:rPr/>
        <w:t>-</w:t>
      </w:r>
      <w:r>
        <w:rPr>
          <w:spacing w:val="62"/>
          <w:w w:val="150"/>
        </w:rPr>
        <w:t> </w:t>
      </w:r>
      <w:r>
        <w:rPr/>
        <w:t>у</w:t>
      </w:r>
      <w:r>
        <w:rPr>
          <w:spacing w:val="64"/>
          <w:w w:val="150"/>
        </w:rPr>
        <w:t> </w:t>
      </w:r>
      <w:r>
        <w:rPr/>
        <w:t>31</w:t>
      </w:r>
      <w:r>
        <w:rPr>
          <w:spacing w:val="62"/>
          <w:w w:val="150"/>
        </w:rPr>
        <w:t> </w:t>
      </w:r>
      <w:r>
        <w:rPr/>
        <w:t>или</w:t>
      </w:r>
      <w:r>
        <w:rPr>
          <w:spacing w:val="64"/>
          <w:w w:val="150"/>
        </w:rPr>
        <w:t> </w:t>
      </w:r>
      <w:r>
        <w:rPr/>
        <w:t>3,2%;</w:t>
      </w:r>
      <w:r>
        <w:rPr>
          <w:spacing w:val="66"/>
          <w:w w:val="150"/>
        </w:rPr>
        <w:t> </w:t>
      </w:r>
      <w:r>
        <w:rPr/>
        <w:t>азооспермия</w:t>
      </w:r>
      <w:r>
        <w:rPr>
          <w:spacing w:val="65"/>
          <w:w w:val="150"/>
        </w:rPr>
        <w:t> </w:t>
      </w:r>
      <w:r>
        <w:rPr/>
        <w:t>-</w:t>
      </w:r>
      <w:r>
        <w:rPr>
          <w:spacing w:val="63"/>
          <w:w w:val="150"/>
        </w:rPr>
        <w:t> </w:t>
      </w:r>
      <w:r>
        <w:rPr/>
        <w:t>у</w:t>
      </w:r>
      <w:r>
        <w:rPr>
          <w:spacing w:val="64"/>
          <w:w w:val="150"/>
        </w:rPr>
        <w:t> </w:t>
      </w:r>
      <w:r>
        <w:rPr/>
        <w:t>28</w:t>
      </w:r>
      <w:r>
        <w:rPr>
          <w:spacing w:val="64"/>
          <w:w w:val="150"/>
        </w:rPr>
        <w:t> </w:t>
      </w:r>
      <w:r>
        <w:rPr/>
        <w:t>или</w:t>
      </w:r>
      <w:r>
        <w:rPr>
          <w:spacing w:val="64"/>
          <w:w w:val="150"/>
        </w:rPr>
        <w:t> </w:t>
      </w:r>
      <w:r>
        <w:rPr>
          <w:spacing w:val="-2"/>
        </w:rPr>
        <w:t>2,9%;</w:t>
      </w:r>
    </w:p>
    <w:p>
      <w:pPr>
        <w:pStyle w:val="BodyText"/>
        <w:spacing w:line="256" w:lineRule="auto" w:before="21"/>
        <w:ind w:left="285" w:right="279"/>
      </w:pPr>
      <w:r>
        <w:rPr/>
        <w:t>криптозооспермия -</w:t>
      </w:r>
      <w:r>
        <w:rPr>
          <w:spacing w:val="-3"/>
        </w:rPr>
        <w:t> </w:t>
      </w:r>
      <w:r>
        <w:rPr/>
        <w:t>у 24 человек</w:t>
      </w:r>
      <w:r>
        <w:rPr>
          <w:spacing w:val="-3"/>
        </w:rPr>
        <w:t> </w:t>
      </w:r>
      <w:r>
        <w:rPr/>
        <w:t>или 2,5%; астенотератозооспермия - у</w:t>
      </w:r>
      <w:r>
        <w:rPr>
          <w:spacing w:val="-2"/>
        </w:rPr>
        <w:t> </w:t>
      </w:r>
      <w:r>
        <w:rPr/>
        <w:t>22</w:t>
      </w:r>
      <w:r>
        <w:rPr>
          <w:spacing w:val="-2"/>
        </w:rPr>
        <w:t> </w:t>
      </w:r>
      <w:r>
        <w:rPr/>
        <w:t>или</w:t>
      </w:r>
      <w:r>
        <w:rPr>
          <w:spacing w:val="-2"/>
        </w:rPr>
        <w:t> </w:t>
      </w:r>
      <w:r>
        <w:rPr/>
        <w:t>2,3%; сочетание астенозооспермии и лейкоцитоспермии - у 17 мужчин или 1,8% (см. табл. 7). Каждое из остальных типов нарушений составило меньше 1% от всех исследованных. В сумме 25 типов нарушений покрывает 8,8% (85 человек) всех исследованных и представлены эритроцитоспермией, а также различными сочетаниями нарушений, которые в таблицу 7 не включены (см. приложение Б).</w:t>
      </w:r>
    </w:p>
    <w:p>
      <w:pPr>
        <w:pStyle w:val="BodyText"/>
        <w:spacing w:before="13"/>
        <w:jc w:val="left"/>
      </w:pPr>
    </w:p>
    <w:p>
      <w:pPr>
        <w:pStyle w:val="BodyText"/>
        <w:spacing w:line="256" w:lineRule="auto" w:before="1"/>
        <w:ind w:left="3617" w:right="206" w:hanging="3125"/>
        <w:jc w:val="left"/>
      </w:pPr>
      <w:r>
        <w:rPr/>
        <w:t>Таблица</w:t>
      </w:r>
      <w:r>
        <w:rPr>
          <w:spacing w:val="-5"/>
        </w:rPr>
        <w:t> </w:t>
      </w:r>
      <w:r>
        <w:rPr/>
        <w:t>7</w:t>
      </w:r>
      <w:r>
        <w:rPr>
          <w:spacing w:val="-6"/>
        </w:rPr>
        <w:t> </w:t>
      </w:r>
      <w:r>
        <w:rPr>
          <w:rFonts w:ascii="Arial MT" w:hAnsi="Arial MT"/>
          <w:color w:val="454545"/>
          <w:sz w:val="21"/>
        </w:rPr>
        <w:t>—</w:t>
      </w:r>
      <w:r>
        <w:rPr>
          <w:rFonts w:ascii="Arial MT" w:hAnsi="Arial MT"/>
          <w:color w:val="454545"/>
          <w:spacing w:val="-4"/>
          <w:sz w:val="21"/>
        </w:rPr>
        <w:t> </w:t>
      </w:r>
      <w:r>
        <w:rPr/>
        <w:t>Распределение</w:t>
      </w:r>
      <w:r>
        <w:rPr>
          <w:spacing w:val="-7"/>
        </w:rPr>
        <w:t> </w:t>
      </w:r>
      <w:r>
        <w:rPr/>
        <w:t>основных</w:t>
      </w:r>
      <w:r>
        <w:rPr>
          <w:spacing w:val="-4"/>
        </w:rPr>
        <w:t> </w:t>
      </w:r>
      <w:r>
        <w:rPr/>
        <w:t>типов</w:t>
      </w:r>
      <w:r>
        <w:rPr>
          <w:spacing w:val="-5"/>
        </w:rPr>
        <w:t> </w:t>
      </w:r>
      <w:r>
        <w:rPr/>
        <w:t>состояний</w:t>
      </w:r>
      <w:r>
        <w:rPr>
          <w:spacing w:val="-4"/>
        </w:rPr>
        <w:t> </w:t>
      </w:r>
      <w:r>
        <w:rPr/>
        <w:t>эякулята</w:t>
      </w:r>
      <w:r>
        <w:rPr>
          <w:spacing w:val="-4"/>
        </w:rPr>
        <w:t> </w:t>
      </w:r>
      <w:r>
        <w:rPr/>
        <w:t>среднеазиатских мужчин в бесплодных браках</w:t>
      </w:r>
    </w:p>
    <w:p>
      <w:pPr>
        <w:pStyle w:val="BodyText"/>
        <w:spacing w:before="112"/>
        <w:jc w:val="left"/>
        <w:rPr>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4"/>
        <w:gridCol w:w="802"/>
        <w:gridCol w:w="665"/>
        <w:gridCol w:w="799"/>
        <w:gridCol w:w="801"/>
        <w:gridCol w:w="796"/>
        <w:gridCol w:w="666"/>
        <w:gridCol w:w="798"/>
        <w:gridCol w:w="798"/>
        <w:gridCol w:w="666"/>
        <w:gridCol w:w="930"/>
        <w:gridCol w:w="625"/>
      </w:tblGrid>
      <w:tr>
        <w:trPr>
          <w:trHeight w:val="1681" w:hRule="atLeast"/>
        </w:trPr>
        <w:tc>
          <w:tcPr>
            <w:tcW w:w="2134" w:type="dxa"/>
          </w:tcPr>
          <w:p>
            <w:pPr>
              <w:pStyle w:val="TableParagraph"/>
              <w:rPr>
                <w:sz w:val="20"/>
              </w:rPr>
            </w:pPr>
          </w:p>
          <w:p>
            <w:pPr>
              <w:pStyle w:val="TableParagraph"/>
              <w:rPr>
                <w:sz w:val="20"/>
              </w:rPr>
            </w:pPr>
          </w:p>
          <w:p>
            <w:pPr>
              <w:pStyle w:val="TableParagraph"/>
              <w:spacing w:before="35"/>
              <w:rPr>
                <w:sz w:val="20"/>
              </w:rPr>
            </w:pPr>
          </w:p>
          <w:p>
            <w:pPr>
              <w:pStyle w:val="TableParagraph"/>
              <w:ind w:left="551"/>
              <w:rPr>
                <w:sz w:val="20"/>
              </w:rPr>
            </w:pPr>
            <w:r>
              <w:rPr>
                <w:spacing w:val="-2"/>
                <w:sz w:val="20"/>
              </w:rPr>
              <w:t>Заключение</w:t>
            </w:r>
          </w:p>
        </w:tc>
        <w:tc>
          <w:tcPr>
            <w:tcW w:w="802" w:type="dxa"/>
          </w:tcPr>
          <w:p>
            <w:pPr>
              <w:pStyle w:val="TableParagraph"/>
              <w:spacing w:before="149"/>
              <w:rPr>
                <w:sz w:val="20"/>
              </w:rPr>
            </w:pPr>
          </w:p>
          <w:p>
            <w:pPr>
              <w:pStyle w:val="TableParagraph"/>
              <w:ind w:left="112" w:right="106" w:hanging="1"/>
              <w:jc w:val="center"/>
              <w:rPr>
                <w:sz w:val="20"/>
              </w:rPr>
            </w:pPr>
            <w:r>
              <w:rPr>
                <w:sz w:val="20"/>
              </w:rPr>
              <w:t>Кол-</w:t>
            </w:r>
            <w:r>
              <w:rPr>
                <w:spacing w:val="-6"/>
                <w:sz w:val="20"/>
              </w:rPr>
              <w:t>во </w:t>
            </w:r>
            <w:r>
              <w:rPr>
                <w:spacing w:val="-2"/>
                <w:sz w:val="20"/>
              </w:rPr>
              <w:t>челове </w:t>
            </w:r>
            <w:r>
              <w:rPr>
                <w:spacing w:val="-10"/>
                <w:sz w:val="20"/>
              </w:rPr>
              <w:t>к</w:t>
            </w:r>
          </w:p>
        </w:tc>
        <w:tc>
          <w:tcPr>
            <w:tcW w:w="665" w:type="dxa"/>
          </w:tcPr>
          <w:p>
            <w:pPr>
              <w:pStyle w:val="TableParagraph"/>
              <w:spacing w:before="36"/>
              <w:rPr>
                <w:sz w:val="20"/>
              </w:rPr>
            </w:pPr>
          </w:p>
          <w:p>
            <w:pPr>
              <w:pStyle w:val="TableParagraph"/>
              <w:spacing w:before="1"/>
              <w:ind w:left="128" w:right="126"/>
              <w:jc w:val="center"/>
              <w:rPr>
                <w:sz w:val="20"/>
              </w:rPr>
            </w:pPr>
            <w:r>
              <w:rPr>
                <w:sz w:val="20"/>
              </w:rPr>
              <w:t>Кол-</w:t>
            </w:r>
            <w:r>
              <w:rPr>
                <w:spacing w:val="-6"/>
                <w:sz w:val="20"/>
              </w:rPr>
              <w:t>во </w:t>
            </w:r>
            <w:r>
              <w:rPr>
                <w:spacing w:val="-4"/>
                <w:sz w:val="20"/>
              </w:rPr>
              <w:t>чело век,</w:t>
            </w:r>
          </w:p>
          <w:p>
            <w:pPr>
              <w:pStyle w:val="TableParagraph"/>
              <w:spacing w:line="230" w:lineRule="exact"/>
              <w:ind w:left="8" w:right="5"/>
              <w:jc w:val="center"/>
              <w:rPr>
                <w:sz w:val="20"/>
              </w:rPr>
            </w:pPr>
            <w:r>
              <w:rPr>
                <w:spacing w:val="-10"/>
                <w:sz w:val="20"/>
              </w:rPr>
              <w:t>%</w:t>
            </w:r>
          </w:p>
        </w:tc>
        <w:tc>
          <w:tcPr>
            <w:tcW w:w="799" w:type="dxa"/>
          </w:tcPr>
          <w:p>
            <w:pPr>
              <w:pStyle w:val="TableParagraph"/>
              <w:rPr>
                <w:sz w:val="20"/>
              </w:rPr>
            </w:pPr>
          </w:p>
          <w:p>
            <w:pPr>
              <w:pStyle w:val="TableParagraph"/>
              <w:spacing w:before="35"/>
              <w:rPr>
                <w:sz w:val="20"/>
              </w:rPr>
            </w:pPr>
          </w:p>
          <w:p>
            <w:pPr>
              <w:pStyle w:val="TableParagraph"/>
              <w:ind w:left="114" w:right="107" w:firstLine="2"/>
              <w:jc w:val="both"/>
              <w:rPr>
                <w:sz w:val="20"/>
              </w:rPr>
            </w:pPr>
            <w:r>
              <w:rPr>
                <w:spacing w:val="-2"/>
                <w:sz w:val="20"/>
              </w:rPr>
              <w:t>Объем эякуля </w:t>
            </w:r>
            <w:r>
              <w:rPr>
                <w:sz w:val="20"/>
              </w:rPr>
              <w:t>та, мл</w:t>
            </w:r>
          </w:p>
        </w:tc>
        <w:tc>
          <w:tcPr>
            <w:tcW w:w="801" w:type="dxa"/>
          </w:tcPr>
          <w:p>
            <w:pPr>
              <w:pStyle w:val="TableParagraph"/>
              <w:spacing w:before="152"/>
              <w:ind w:left="109" w:right="102" w:hanging="5"/>
              <w:jc w:val="center"/>
              <w:rPr>
                <w:sz w:val="20"/>
              </w:rPr>
            </w:pPr>
            <w:r>
              <w:rPr>
                <w:sz w:val="20"/>
              </w:rPr>
              <w:t>Конц-</w:t>
            </w:r>
            <w:r>
              <w:rPr>
                <w:spacing w:val="-4"/>
                <w:sz w:val="20"/>
              </w:rPr>
              <w:t>ция </w:t>
            </w:r>
            <w:r>
              <w:rPr>
                <w:sz w:val="20"/>
              </w:rPr>
              <w:t>сперм-</w:t>
            </w:r>
            <w:r>
              <w:rPr>
                <w:spacing w:val="-4"/>
                <w:sz w:val="20"/>
              </w:rPr>
              <w:t>дов, </w:t>
            </w:r>
            <w:r>
              <w:rPr>
                <w:spacing w:val="-2"/>
                <w:sz w:val="20"/>
              </w:rPr>
              <w:t>млн/м </w:t>
            </w:r>
            <w:r>
              <w:rPr>
                <w:spacing w:val="-10"/>
                <w:sz w:val="20"/>
              </w:rPr>
              <w:t>л</w:t>
            </w:r>
          </w:p>
        </w:tc>
        <w:tc>
          <w:tcPr>
            <w:tcW w:w="796" w:type="dxa"/>
          </w:tcPr>
          <w:p>
            <w:pPr>
              <w:pStyle w:val="TableParagraph"/>
              <w:spacing w:before="152"/>
              <w:ind w:left="107" w:right="99" w:hanging="2"/>
              <w:jc w:val="center"/>
              <w:rPr>
                <w:sz w:val="20"/>
              </w:rPr>
            </w:pPr>
            <w:r>
              <w:rPr>
                <w:spacing w:val="-4"/>
                <w:sz w:val="20"/>
              </w:rPr>
              <w:t>Общ </w:t>
            </w:r>
            <w:r>
              <w:rPr>
                <w:spacing w:val="-2"/>
                <w:sz w:val="20"/>
              </w:rPr>
              <w:t>кол-во </w:t>
            </w:r>
            <w:r>
              <w:rPr>
                <w:sz w:val="20"/>
              </w:rPr>
              <w:t>сперм-дов в </w:t>
            </w:r>
            <w:r>
              <w:rPr>
                <w:spacing w:val="-4"/>
                <w:sz w:val="20"/>
              </w:rPr>
              <w:t>эяк, млн</w:t>
            </w:r>
          </w:p>
        </w:tc>
        <w:tc>
          <w:tcPr>
            <w:tcW w:w="666" w:type="dxa"/>
          </w:tcPr>
          <w:p>
            <w:pPr>
              <w:pStyle w:val="TableParagraph"/>
              <w:spacing w:before="38"/>
              <w:rPr>
                <w:sz w:val="20"/>
              </w:rPr>
            </w:pPr>
          </w:p>
          <w:p>
            <w:pPr>
              <w:pStyle w:val="TableParagraph"/>
              <w:ind w:left="124" w:right="111" w:firstLine="9"/>
              <w:jc w:val="both"/>
              <w:rPr>
                <w:sz w:val="20"/>
              </w:rPr>
            </w:pPr>
            <w:r>
              <w:rPr>
                <w:spacing w:val="-4"/>
                <w:sz w:val="20"/>
              </w:rPr>
              <w:t>Общ подв ижн </w:t>
            </w:r>
            <w:r>
              <w:rPr>
                <w:spacing w:val="-2"/>
                <w:sz w:val="20"/>
              </w:rPr>
              <w:t>ость,</w:t>
            </w:r>
          </w:p>
          <w:p>
            <w:pPr>
              <w:pStyle w:val="TableParagraph"/>
              <w:spacing w:line="230" w:lineRule="exact"/>
              <w:ind w:left="9"/>
              <w:jc w:val="center"/>
              <w:rPr>
                <w:sz w:val="20"/>
              </w:rPr>
            </w:pPr>
            <w:r>
              <w:rPr>
                <w:spacing w:val="-10"/>
                <w:sz w:val="20"/>
              </w:rPr>
              <w:t>%</w:t>
            </w:r>
          </w:p>
        </w:tc>
        <w:tc>
          <w:tcPr>
            <w:tcW w:w="798" w:type="dxa"/>
          </w:tcPr>
          <w:p>
            <w:pPr>
              <w:pStyle w:val="TableParagraph"/>
              <w:spacing w:before="38"/>
              <w:rPr>
                <w:sz w:val="20"/>
              </w:rPr>
            </w:pPr>
          </w:p>
          <w:p>
            <w:pPr>
              <w:pStyle w:val="TableParagraph"/>
              <w:ind w:left="109" w:right="102" w:firstLine="5"/>
              <w:jc w:val="center"/>
              <w:rPr>
                <w:sz w:val="20"/>
              </w:rPr>
            </w:pPr>
            <w:r>
              <w:rPr>
                <w:spacing w:val="-2"/>
                <w:sz w:val="20"/>
              </w:rPr>
              <w:t>Прогр ессивн </w:t>
            </w:r>
            <w:r>
              <w:rPr>
                <w:sz w:val="20"/>
              </w:rPr>
              <w:t>о-</w:t>
            </w:r>
            <w:r>
              <w:rPr>
                <w:spacing w:val="-2"/>
                <w:sz w:val="20"/>
              </w:rPr>
              <w:t>подви </w:t>
            </w:r>
            <w:r>
              <w:rPr>
                <w:sz w:val="20"/>
              </w:rPr>
              <w:t>ж, %</w:t>
            </w:r>
          </w:p>
        </w:tc>
        <w:tc>
          <w:tcPr>
            <w:tcW w:w="798" w:type="dxa"/>
          </w:tcPr>
          <w:p>
            <w:pPr>
              <w:pStyle w:val="TableParagraph"/>
              <w:spacing w:before="38"/>
              <w:rPr>
                <w:sz w:val="20"/>
              </w:rPr>
            </w:pPr>
          </w:p>
          <w:p>
            <w:pPr>
              <w:pStyle w:val="TableParagraph"/>
              <w:spacing w:before="1"/>
              <w:ind w:left="122" w:right="107" w:hanging="3"/>
              <w:jc w:val="center"/>
              <w:rPr>
                <w:sz w:val="20"/>
              </w:rPr>
            </w:pPr>
            <w:r>
              <w:rPr>
                <w:spacing w:val="-2"/>
                <w:sz w:val="20"/>
              </w:rPr>
              <w:t>Непро гресси </w:t>
            </w:r>
            <w:r>
              <w:rPr>
                <w:sz w:val="20"/>
              </w:rPr>
              <w:t>вно-</w:t>
            </w:r>
            <w:r>
              <w:rPr>
                <w:spacing w:val="-2"/>
                <w:sz w:val="20"/>
              </w:rPr>
              <w:t>подви </w:t>
            </w:r>
            <w:r>
              <w:rPr>
                <w:sz w:val="20"/>
              </w:rPr>
              <w:t>ж, %</w:t>
            </w:r>
          </w:p>
        </w:tc>
        <w:tc>
          <w:tcPr>
            <w:tcW w:w="666" w:type="dxa"/>
          </w:tcPr>
          <w:p>
            <w:pPr>
              <w:pStyle w:val="TableParagraph"/>
              <w:spacing w:before="152"/>
              <w:rPr>
                <w:sz w:val="20"/>
              </w:rPr>
            </w:pPr>
          </w:p>
          <w:p>
            <w:pPr>
              <w:pStyle w:val="TableParagraph"/>
              <w:ind w:left="116" w:right="97"/>
              <w:jc w:val="both"/>
              <w:rPr>
                <w:sz w:val="20"/>
              </w:rPr>
            </w:pPr>
            <w:r>
              <w:rPr>
                <w:spacing w:val="-4"/>
                <w:sz w:val="20"/>
              </w:rPr>
              <w:t>Непо движ ные,</w:t>
            </w:r>
          </w:p>
          <w:p>
            <w:pPr>
              <w:pStyle w:val="TableParagraph"/>
              <w:spacing w:before="1"/>
              <w:ind w:left="16"/>
              <w:jc w:val="center"/>
              <w:rPr>
                <w:sz w:val="20"/>
              </w:rPr>
            </w:pPr>
            <w:r>
              <w:rPr>
                <w:spacing w:val="-10"/>
                <w:sz w:val="20"/>
              </w:rPr>
              <w:t>%</w:t>
            </w:r>
          </w:p>
        </w:tc>
        <w:tc>
          <w:tcPr>
            <w:tcW w:w="930" w:type="dxa"/>
          </w:tcPr>
          <w:p>
            <w:pPr>
              <w:pStyle w:val="TableParagraph"/>
              <w:spacing w:before="152"/>
              <w:rPr>
                <w:sz w:val="20"/>
              </w:rPr>
            </w:pPr>
          </w:p>
          <w:p>
            <w:pPr>
              <w:pStyle w:val="TableParagraph"/>
              <w:ind w:left="139" w:right="117"/>
              <w:jc w:val="center"/>
              <w:rPr>
                <w:sz w:val="20"/>
              </w:rPr>
            </w:pPr>
            <w:r>
              <w:rPr>
                <w:spacing w:val="-2"/>
                <w:sz w:val="20"/>
              </w:rPr>
              <w:t>Нормал </w:t>
            </w:r>
            <w:r>
              <w:rPr>
                <w:spacing w:val="-4"/>
                <w:sz w:val="20"/>
              </w:rPr>
              <w:t>ьные </w:t>
            </w:r>
            <w:r>
              <w:rPr>
                <w:spacing w:val="-2"/>
                <w:sz w:val="20"/>
              </w:rPr>
              <w:t>формы,</w:t>
            </w:r>
          </w:p>
          <w:p>
            <w:pPr>
              <w:pStyle w:val="TableParagraph"/>
              <w:spacing w:before="1"/>
              <w:ind w:left="19"/>
              <w:jc w:val="center"/>
              <w:rPr>
                <w:sz w:val="20"/>
              </w:rPr>
            </w:pPr>
            <w:r>
              <w:rPr>
                <w:spacing w:val="-10"/>
                <w:sz w:val="20"/>
              </w:rPr>
              <w:t>%</w:t>
            </w:r>
          </w:p>
        </w:tc>
        <w:tc>
          <w:tcPr>
            <w:tcW w:w="625" w:type="dxa"/>
          </w:tcPr>
          <w:p>
            <w:pPr>
              <w:pStyle w:val="TableParagraph"/>
              <w:spacing w:before="39"/>
              <w:rPr>
                <w:sz w:val="20"/>
              </w:rPr>
            </w:pPr>
          </w:p>
          <w:p>
            <w:pPr>
              <w:pStyle w:val="TableParagraph"/>
              <w:ind w:left="123" w:right="103" w:firstLine="28"/>
              <w:jc w:val="both"/>
              <w:rPr>
                <w:sz w:val="20"/>
              </w:rPr>
            </w:pPr>
            <w:r>
              <w:rPr>
                <w:spacing w:val="-4"/>
                <w:sz w:val="20"/>
              </w:rPr>
              <w:t>Лей коц иты, млн/ </w:t>
            </w:r>
            <w:r>
              <w:rPr>
                <w:spacing w:val="-6"/>
                <w:sz w:val="20"/>
              </w:rPr>
              <w:t>мл</w:t>
            </w:r>
          </w:p>
        </w:tc>
      </w:tr>
      <w:tr>
        <w:trPr>
          <w:trHeight w:val="381" w:hRule="atLeast"/>
        </w:trPr>
        <w:tc>
          <w:tcPr>
            <w:tcW w:w="2134" w:type="dxa"/>
          </w:tcPr>
          <w:p>
            <w:pPr>
              <w:pStyle w:val="TableParagraph"/>
              <w:spacing w:line="236" w:lineRule="exact" w:before="125"/>
              <w:ind w:left="105"/>
              <w:rPr>
                <w:sz w:val="22"/>
              </w:rPr>
            </w:pPr>
            <w:r>
              <w:rPr>
                <w:spacing w:val="-2"/>
                <w:sz w:val="22"/>
              </w:rPr>
              <w:t>Нормозооспермия</w:t>
            </w:r>
          </w:p>
        </w:tc>
        <w:tc>
          <w:tcPr>
            <w:tcW w:w="802" w:type="dxa"/>
          </w:tcPr>
          <w:p>
            <w:pPr>
              <w:pStyle w:val="TableParagraph"/>
              <w:spacing w:before="63"/>
              <w:ind w:left="3"/>
              <w:jc w:val="center"/>
              <w:rPr>
                <w:sz w:val="22"/>
              </w:rPr>
            </w:pPr>
            <w:r>
              <w:rPr>
                <w:spacing w:val="-5"/>
                <w:sz w:val="22"/>
              </w:rPr>
              <w:t>451</w:t>
            </w:r>
          </w:p>
        </w:tc>
        <w:tc>
          <w:tcPr>
            <w:tcW w:w="665" w:type="dxa"/>
          </w:tcPr>
          <w:p>
            <w:pPr>
              <w:pStyle w:val="TableParagraph"/>
              <w:spacing w:before="63"/>
              <w:ind w:left="8"/>
              <w:jc w:val="center"/>
              <w:rPr>
                <w:sz w:val="22"/>
              </w:rPr>
            </w:pPr>
            <w:r>
              <w:rPr>
                <w:spacing w:val="-4"/>
                <w:sz w:val="22"/>
              </w:rPr>
              <w:t>47,1</w:t>
            </w:r>
          </w:p>
        </w:tc>
        <w:tc>
          <w:tcPr>
            <w:tcW w:w="799" w:type="dxa"/>
          </w:tcPr>
          <w:p>
            <w:pPr>
              <w:pStyle w:val="TableParagraph"/>
              <w:spacing w:before="63"/>
              <w:ind w:left="7"/>
              <w:jc w:val="center"/>
              <w:rPr>
                <w:sz w:val="22"/>
              </w:rPr>
            </w:pPr>
            <w:r>
              <w:rPr>
                <w:spacing w:val="-5"/>
                <w:sz w:val="22"/>
              </w:rPr>
              <w:t>3,7</w:t>
            </w:r>
          </w:p>
        </w:tc>
        <w:tc>
          <w:tcPr>
            <w:tcW w:w="801" w:type="dxa"/>
          </w:tcPr>
          <w:p>
            <w:pPr>
              <w:pStyle w:val="TableParagraph"/>
              <w:spacing w:before="63"/>
              <w:ind w:left="6"/>
              <w:jc w:val="center"/>
              <w:rPr>
                <w:sz w:val="22"/>
              </w:rPr>
            </w:pPr>
            <w:r>
              <w:rPr>
                <w:spacing w:val="-4"/>
                <w:sz w:val="22"/>
              </w:rPr>
              <w:t>87,8</w:t>
            </w:r>
          </w:p>
        </w:tc>
        <w:tc>
          <w:tcPr>
            <w:tcW w:w="796" w:type="dxa"/>
          </w:tcPr>
          <w:p>
            <w:pPr>
              <w:pStyle w:val="TableParagraph"/>
              <w:spacing w:before="63"/>
              <w:ind w:left="8" w:right="1"/>
              <w:jc w:val="center"/>
              <w:rPr>
                <w:sz w:val="22"/>
              </w:rPr>
            </w:pPr>
            <w:r>
              <w:rPr>
                <w:spacing w:val="-2"/>
                <w:sz w:val="22"/>
              </w:rPr>
              <w:t>313,8</w:t>
            </w:r>
          </w:p>
        </w:tc>
        <w:tc>
          <w:tcPr>
            <w:tcW w:w="666" w:type="dxa"/>
          </w:tcPr>
          <w:p>
            <w:pPr>
              <w:pStyle w:val="TableParagraph"/>
              <w:spacing w:before="63"/>
              <w:ind w:left="14"/>
              <w:jc w:val="center"/>
              <w:rPr>
                <w:sz w:val="22"/>
              </w:rPr>
            </w:pPr>
            <w:r>
              <w:rPr>
                <w:spacing w:val="-4"/>
                <w:sz w:val="22"/>
              </w:rPr>
              <w:t>69,1</w:t>
            </w:r>
          </w:p>
        </w:tc>
        <w:tc>
          <w:tcPr>
            <w:tcW w:w="798" w:type="dxa"/>
          </w:tcPr>
          <w:p>
            <w:pPr>
              <w:pStyle w:val="TableParagraph"/>
              <w:spacing w:before="63"/>
              <w:ind w:left="9"/>
              <w:jc w:val="center"/>
              <w:rPr>
                <w:sz w:val="22"/>
              </w:rPr>
            </w:pPr>
            <w:r>
              <w:rPr>
                <w:spacing w:val="-4"/>
                <w:sz w:val="22"/>
              </w:rPr>
              <w:t>42,5</w:t>
            </w:r>
          </w:p>
        </w:tc>
        <w:tc>
          <w:tcPr>
            <w:tcW w:w="798" w:type="dxa"/>
          </w:tcPr>
          <w:p>
            <w:pPr>
              <w:pStyle w:val="TableParagraph"/>
              <w:spacing w:before="63"/>
              <w:ind w:left="11"/>
              <w:jc w:val="center"/>
              <w:rPr>
                <w:sz w:val="22"/>
              </w:rPr>
            </w:pPr>
            <w:r>
              <w:rPr>
                <w:spacing w:val="-4"/>
                <w:sz w:val="22"/>
              </w:rPr>
              <w:t>26,5</w:t>
            </w:r>
          </w:p>
        </w:tc>
        <w:tc>
          <w:tcPr>
            <w:tcW w:w="666" w:type="dxa"/>
          </w:tcPr>
          <w:p>
            <w:pPr>
              <w:pStyle w:val="TableParagraph"/>
              <w:spacing w:before="63"/>
              <w:ind w:left="21"/>
              <w:jc w:val="center"/>
              <w:rPr>
                <w:sz w:val="22"/>
              </w:rPr>
            </w:pPr>
            <w:r>
              <w:rPr>
                <w:spacing w:val="-4"/>
                <w:sz w:val="22"/>
              </w:rPr>
              <w:t>30,9</w:t>
            </w:r>
          </w:p>
        </w:tc>
        <w:tc>
          <w:tcPr>
            <w:tcW w:w="930" w:type="dxa"/>
          </w:tcPr>
          <w:p>
            <w:pPr>
              <w:pStyle w:val="TableParagraph"/>
              <w:spacing w:before="63"/>
              <w:ind w:left="18"/>
              <w:jc w:val="center"/>
              <w:rPr>
                <w:sz w:val="22"/>
              </w:rPr>
            </w:pPr>
            <w:r>
              <w:rPr>
                <w:spacing w:val="-5"/>
                <w:sz w:val="22"/>
              </w:rPr>
              <w:t>8,1</w:t>
            </w:r>
          </w:p>
        </w:tc>
        <w:tc>
          <w:tcPr>
            <w:tcW w:w="625" w:type="dxa"/>
          </w:tcPr>
          <w:p>
            <w:pPr>
              <w:pStyle w:val="TableParagraph"/>
              <w:spacing w:before="63"/>
              <w:ind w:left="24"/>
              <w:jc w:val="center"/>
              <w:rPr>
                <w:sz w:val="22"/>
              </w:rPr>
            </w:pPr>
            <w:r>
              <w:rPr>
                <w:spacing w:val="-5"/>
                <w:sz w:val="22"/>
              </w:rPr>
              <w:t>0,3</w:t>
            </w:r>
          </w:p>
        </w:tc>
      </w:tr>
      <w:tr>
        <w:trPr>
          <w:trHeight w:val="381" w:hRule="atLeast"/>
        </w:trPr>
        <w:tc>
          <w:tcPr>
            <w:tcW w:w="2134" w:type="dxa"/>
          </w:tcPr>
          <w:p>
            <w:pPr>
              <w:pStyle w:val="TableParagraph"/>
              <w:spacing w:line="236" w:lineRule="exact" w:before="125"/>
              <w:ind w:left="105"/>
              <w:rPr>
                <w:sz w:val="22"/>
              </w:rPr>
            </w:pPr>
            <w:r>
              <w:rPr>
                <w:spacing w:val="-2"/>
                <w:sz w:val="22"/>
              </w:rPr>
              <w:t>Астенозооспермия</w:t>
            </w:r>
          </w:p>
        </w:tc>
        <w:tc>
          <w:tcPr>
            <w:tcW w:w="802" w:type="dxa"/>
          </w:tcPr>
          <w:p>
            <w:pPr>
              <w:pStyle w:val="TableParagraph"/>
              <w:spacing w:before="61"/>
              <w:ind w:left="3"/>
              <w:jc w:val="center"/>
              <w:rPr>
                <w:sz w:val="22"/>
              </w:rPr>
            </w:pPr>
            <w:r>
              <w:rPr>
                <w:spacing w:val="-5"/>
                <w:sz w:val="22"/>
              </w:rPr>
              <w:t>153</w:t>
            </w:r>
          </w:p>
        </w:tc>
        <w:tc>
          <w:tcPr>
            <w:tcW w:w="665" w:type="dxa"/>
          </w:tcPr>
          <w:p>
            <w:pPr>
              <w:pStyle w:val="TableParagraph"/>
              <w:spacing w:before="61"/>
              <w:ind w:left="8"/>
              <w:jc w:val="center"/>
              <w:rPr>
                <w:sz w:val="22"/>
              </w:rPr>
            </w:pPr>
            <w:r>
              <w:rPr>
                <w:spacing w:val="-4"/>
                <w:sz w:val="22"/>
              </w:rPr>
              <w:t>16,0</w:t>
            </w:r>
          </w:p>
        </w:tc>
        <w:tc>
          <w:tcPr>
            <w:tcW w:w="799" w:type="dxa"/>
          </w:tcPr>
          <w:p>
            <w:pPr>
              <w:pStyle w:val="TableParagraph"/>
              <w:spacing w:before="61"/>
              <w:ind w:left="7"/>
              <w:jc w:val="center"/>
              <w:rPr>
                <w:sz w:val="22"/>
              </w:rPr>
            </w:pPr>
            <w:r>
              <w:rPr>
                <w:spacing w:val="-5"/>
                <w:sz w:val="22"/>
              </w:rPr>
              <w:t>3,4</w:t>
            </w:r>
          </w:p>
        </w:tc>
        <w:tc>
          <w:tcPr>
            <w:tcW w:w="801" w:type="dxa"/>
          </w:tcPr>
          <w:p>
            <w:pPr>
              <w:pStyle w:val="TableParagraph"/>
              <w:spacing w:before="61"/>
              <w:ind w:left="6"/>
              <w:jc w:val="center"/>
              <w:rPr>
                <w:sz w:val="22"/>
              </w:rPr>
            </w:pPr>
            <w:r>
              <w:rPr>
                <w:spacing w:val="-4"/>
                <w:sz w:val="22"/>
              </w:rPr>
              <w:t>58,6</w:t>
            </w:r>
          </w:p>
        </w:tc>
        <w:tc>
          <w:tcPr>
            <w:tcW w:w="796" w:type="dxa"/>
          </w:tcPr>
          <w:p>
            <w:pPr>
              <w:pStyle w:val="TableParagraph"/>
              <w:spacing w:before="61"/>
              <w:ind w:left="8" w:right="1"/>
              <w:jc w:val="center"/>
              <w:rPr>
                <w:sz w:val="22"/>
              </w:rPr>
            </w:pPr>
            <w:r>
              <w:rPr>
                <w:spacing w:val="-2"/>
                <w:sz w:val="22"/>
              </w:rPr>
              <w:t>194,3</w:t>
            </w:r>
          </w:p>
        </w:tc>
        <w:tc>
          <w:tcPr>
            <w:tcW w:w="666" w:type="dxa"/>
          </w:tcPr>
          <w:p>
            <w:pPr>
              <w:pStyle w:val="TableParagraph"/>
              <w:spacing w:before="61"/>
              <w:ind w:left="14"/>
              <w:jc w:val="center"/>
              <w:rPr>
                <w:sz w:val="22"/>
              </w:rPr>
            </w:pPr>
            <w:r>
              <w:rPr>
                <w:spacing w:val="-4"/>
                <w:sz w:val="22"/>
              </w:rPr>
              <w:t>55,4</w:t>
            </w:r>
          </w:p>
        </w:tc>
        <w:tc>
          <w:tcPr>
            <w:tcW w:w="798" w:type="dxa"/>
          </w:tcPr>
          <w:p>
            <w:pPr>
              <w:pStyle w:val="TableParagraph"/>
              <w:spacing w:before="61"/>
              <w:ind w:left="9"/>
              <w:jc w:val="center"/>
              <w:rPr>
                <w:sz w:val="22"/>
              </w:rPr>
            </w:pPr>
            <w:r>
              <w:rPr>
                <w:spacing w:val="-4"/>
                <w:sz w:val="22"/>
              </w:rPr>
              <w:t>23,2</w:t>
            </w:r>
          </w:p>
        </w:tc>
        <w:tc>
          <w:tcPr>
            <w:tcW w:w="798" w:type="dxa"/>
          </w:tcPr>
          <w:p>
            <w:pPr>
              <w:pStyle w:val="TableParagraph"/>
              <w:spacing w:before="61"/>
              <w:ind w:left="11"/>
              <w:jc w:val="center"/>
              <w:rPr>
                <w:sz w:val="22"/>
              </w:rPr>
            </w:pPr>
            <w:r>
              <w:rPr>
                <w:spacing w:val="-4"/>
                <w:sz w:val="22"/>
              </w:rPr>
              <w:t>32,3</w:t>
            </w:r>
          </w:p>
        </w:tc>
        <w:tc>
          <w:tcPr>
            <w:tcW w:w="666" w:type="dxa"/>
          </w:tcPr>
          <w:p>
            <w:pPr>
              <w:pStyle w:val="TableParagraph"/>
              <w:spacing w:before="61"/>
              <w:ind w:left="21"/>
              <w:jc w:val="center"/>
              <w:rPr>
                <w:sz w:val="22"/>
              </w:rPr>
            </w:pPr>
            <w:r>
              <w:rPr>
                <w:spacing w:val="-4"/>
                <w:sz w:val="22"/>
              </w:rPr>
              <w:t>44,6</w:t>
            </w:r>
          </w:p>
        </w:tc>
        <w:tc>
          <w:tcPr>
            <w:tcW w:w="930" w:type="dxa"/>
          </w:tcPr>
          <w:p>
            <w:pPr>
              <w:pStyle w:val="TableParagraph"/>
              <w:spacing w:before="61"/>
              <w:ind w:left="16"/>
              <w:jc w:val="center"/>
              <w:rPr>
                <w:sz w:val="22"/>
              </w:rPr>
            </w:pPr>
            <w:r>
              <w:rPr>
                <w:spacing w:val="-10"/>
                <w:sz w:val="22"/>
              </w:rPr>
              <w:t>5</w:t>
            </w:r>
          </w:p>
        </w:tc>
        <w:tc>
          <w:tcPr>
            <w:tcW w:w="625" w:type="dxa"/>
          </w:tcPr>
          <w:p>
            <w:pPr>
              <w:pStyle w:val="TableParagraph"/>
              <w:spacing w:before="61"/>
              <w:ind w:left="24" w:right="1"/>
              <w:jc w:val="center"/>
              <w:rPr>
                <w:sz w:val="22"/>
              </w:rPr>
            </w:pPr>
            <w:r>
              <w:rPr>
                <w:spacing w:val="-5"/>
                <w:sz w:val="22"/>
              </w:rPr>
              <w:t>0,4</w:t>
            </w:r>
          </w:p>
        </w:tc>
      </w:tr>
      <w:tr>
        <w:trPr>
          <w:trHeight w:val="378" w:hRule="atLeast"/>
        </w:trPr>
        <w:tc>
          <w:tcPr>
            <w:tcW w:w="2134" w:type="dxa"/>
          </w:tcPr>
          <w:p>
            <w:pPr>
              <w:pStyle w:val="TableParagraph"/>
              <w:spacing w:line="233" w:lineRule="exact" w:before="125"/>
              <w:ind w:left="105"/>
              <w:rPr>
                <w:sz w:val="22"/>
              </w:rPr>
            </w:pPr>
            <w:r>
              <w:rPr>
                <w:spacing w:val="-2"/>
                <w:sz w:val="22"/>
              </w:rPr>
              <w:t>Лейкоцитоспермия</w:t>
            </w:r>
          </w:p>
        </w:tc>
        <w:tc>
          <w:tcPr>
            <w:tcW w:w="802" w:type="dxa"/>
          </w:tcPr>
          <w:p>
            <w:pPr>
              <w:pStyle w:val="TableParagraph"/>
              <w:spacing w:before="61"/>
              <w:ind w:left="3"/>
              <w:jc w:val="center"/>
              <w:rPr>
                <w:sz w:val="22"/>
              </w:rPr>
            </w:pPr>
            <w:r>
              <w:rPr>
                <w:spacing w:val="-5"/>
                <w:sz w:val="22"/>
              </w:rPr>
              <w:t>44</w:t>
            </w:r>
          </w:p>
        </w:tc>
        <w:tc>
          <w:tcPr>
            <w:tcW w:w="665" w:type="dxa"/>
          </w:tcPr>
          <w:p>
            <w:pPr>
              <w:pStyle w:val="TableParagraph"/>
              <w:spacing w:before="61"/>
              <w:ind w:left="8" w:right="5"/>
              <w:jc w:val="center"/>
              <w:rPr>
                <w:sz w:val="22"/>
              </w:rPr>
            </w:pPr>
            <w:r>
              <w:rPr>
                <w:spacing w:val="-5"/>
                <w:sz w:val="22"/>
              </w:rPr>
              <w:t>4,6</w:t>
            </w:r>
          </w:p>
        </w:tc>
        <w:tc>
          <w:tcPr>
            <w:tcW w:w="799" w:type="dxa"/>
          </w:tcPr>
          <w:p>
            <w:pPr>
              <w:pStyle w:val="TableParagraph"/>
              <w:spacing w:before="61"/>
              <w:ind w:left="7"/>
              <w:jc w:val="center"/>
              <w:rPr>
                <w:sz w:val="22"/>
              </w:rPr>
            </w:pPr>
            <w:r>
              <w:rPr>
                <w:spacing w:val="-5"/>
                <w:sz w:val="22"/>
              </w:rPr>
              <w:t>3,2</w:t>
            </w:r>
          </w:p>
        </w:tc>
        <w:tc>
          <w:tcPr>
            <w:tcW w:w="801" w:type="dxa"/>
          </w:tcPr>
          <w:p>
            <w:pPr>
              <w:pStyle w:val="TableParagraph"/>
              <w:spacing w:before="61"/>
              <w:ind w:left="6"/>
              <w:jc w:val="center"/>
              <w:rPr>
                <w:sz w:val="22"/>
              </w:rPr>
            </w:pPr>
            <w:r>
              <w:rPr>
                <w:spacing w:val="-4"/>
                <w:sz w:val="22"/>
              </w:rPr>
              <w:t>81,1</w:t>
            </w:r>
          </w:p>
        </w:tc>
        <w:tc>
          <w:tcPr>
            <w:tcW w:w="796" w:type="dxa"/>
          </w:tcPr>
          <w:p>
            <w:pPr>
              <w:pStyle w:val="TableParagraph"/>
              <w:spacing w:before="61"/>
              <w:ind w:left="8" w:right="1"/>
              <w:jc w:val="center"/>
              <w:rPr>
                <w:sz w:val="22"/>
              </w:rPr>
            </w:pPr>
            <w:r>
              <w:rPr>
                <w:spacing w:val="-2"/>
                <w:sz w:val="22"/>
              </w:rPr>
              <w:t>255,4</w:t>
            </w:r>
          </w:p>
        </w:tc>
        <w:tc>
          <w:tcPr>
            <w:tcW w:w="666" w:type="dxa"/>
          </w:tcPr>
          <w:p>
            <w:pPr>
              <w:pStyle w:val="TableParagraph"/>
              <w:spacing w:before="61"/>
              <w:ind w:left="12"/>
              <w:jc w:val="center"/>
              <w:rPr>
                <w:sz w:val="22"/>
              </w:rPr>
            </w:pPr>
            <w:r>
              <w:rPr>
                <w:spacing w:val="-5"/>
                <w:sz w:val="22"/>
              </w:rPr>
              <w:t>68</w:t>
            </w:r>
          </w:p>
        </w:tc>
        <w:tc>
          <w:tcPr>
            <w:tcW w:w="798" w:type="dxa"/>
          </w:tcPr>
          <w:p>
            <w:pPr>
              <w:pStyle w:val="TableParagraph"/>
              <w:spacing w:before="61"/>
              <w:ind w:left="9"/>
              <w:jc w:val="center"/>
              <w:rPr>
                <w:sz w:val="22"/>
              </w:rPr>
            </w:pPr>
            <w:r>
              <w:rPr>
                <w:spacing w:val="-4"/>
                <w:sz w:val="22"/>
              </w:rPr>
              <w:t>40,6</w:t>
            </w:r>
          </w:p>
        </w:tc>
        <w:tc>
          <w:tcPr>
            <w:tcW w:w="798" w:type="dxa"/>
          </w:tcPr>
          <w:p>
            <w:pPr>
              <w:pStyle w:val="TableParagraph"/>
              <w:spacing w:before="61"/>
              <w:ind w:left="12"/>
              <w:jc w:val="center"/>
              <w:rPr>
                <w:sz w:val="22"/>
              </w:rPr>
            </w:pPr>
            <w:r>
              <w:rPr>
                <w:spacing w:val="-4"/>
                <w:sz w:val="22"/>
              </w:rPr>
              <w:t>27,4</w:t>
            </w:r>
          </w:p>
        </w:tc>
        <w:tc>
          <w:tcPr>
            <w:tcW w:w="666" w:type="dxa"/>
          </w:tcPr>
          <w:p>
            <w:pPr>
              <w:pStyle w:val="TableParagraph"/>
              <w:spacing w:before="61"/>
              <w:ind w:left="19"/>
              <w:jc w:val="center"/>
              <w:rPr>
                <w:sz w:val="22"/>
              </w:rPr>
            </w:pPr>
            <w:r>
              <w:rPr>
                <w:spacing w:val="-5"/>
                <w:sz w:val="22"/>
              </w:rPr>
              <w:t>32</w:t>
            </w:r>
          </w:p>
        </w:tc>
        <w:tc>
          <w:tcPr>
            <w:tcW w:w="930" w:type="dxa"/>
          </w:tcPr>
          <w:p>
            <w:pPr>
              <w:pStyle w:val="TableParagraph"/>
              <w:spacing w:before="61"/>
              <w:ind w:left="18"/>
              <w:jc w:val="center"/>
              <w:rPr>
                <w:sz w:val="22"/>
              </w:rPr>
            </w:pPr>
            <w:r>
              <w:rPr>
                <w:spacing w:val="-5"/>
                <w:sz w:val="22"/>
              </w:rPr>
              <w:t>7,6</w:t>
            </w:r>
          </w:p>
        </w:tc>
        <w:tc>
          <w:tcPr>
            <w:tcW w:w="625" w:type="dxa"/>
          </w:tcPr>
          <w:p>
            <w:pPr>
              <w:pStyle w:val="TableParagraph"/>
              <w:spacing w:before="61"/>
              <w:ind w:left="24"/>
              <w:jc w:val="center"/>
              <w:rPr>
                <w:sz w:val="22"/>
              </w:rPr>
            </w:pPr>
            <w:r>
              <w:rPr>
                <w:spacing w:val="-5"/>
                <w:sz w:val="22"/>
              </w:rPr>
              <w:t>4,4</w:t>
            </w:r>
          </w:p>
        </w:tc>
      </w:tr>
      <w:tr>
        <w:trPr>
          <w:trHeight w:val="381" w:hRule="atLeast"/>
        </w:trPr>
        <w:tc>
          <w:tcPr>
            <w:tcW w:w="2134" w:type="dxa"/>
          </w:tcPr>
          <w:p>
            <w:pPr>
              <w:pStyle w:val="TableParagraph"/>
              <w:spacing w:line="233" w:lineRule="exact" w:before="128"/>
              <w:ind w:left="105"/>
              <w:rPr>
                <w:sz w:val="22"/>
              </w:rPr>
            </w:pPr>
            <w:r>
              <w:rPr>
                <w:spacing w:val="-2"/>
                <w:sz w:val="22"/>
              </w:rPr>
              <w:t>Олигозооспермия</w:t>
            </w:r>
          </w:p>
        </w:tc>
        <w:tc>
          <w:tcPr>
            <w:tcW w:w="802" w:type="dxa"/>
          </w:tcPr>
          <w:p>
            <w:pPr>
              <w:pStyle w:val="TableParagraph"/>
              <w:spacing w:before="63"/>
              <w:ind w:left="3"/>
              <w:jc w:val="center"/>
              <w:rPr>
                <w:sz w:val="22"/>
              </w:rPr>
            </w:pPr>
            <w:r>
              <w:rPr>
                <w:spacing w:val="-5"/>
                <w:sz w:val="22"/>
              </w:rPr>
              <w:t>37</w:t>
            </w:r>
          </w:p>
        </w:tc>
        <w:tc>
          <w:tcPr>
            <w:tcW w:w="665" w:type="dxa"/>
          </w:tcPr>
          <w:p>
            <w:pPr>
              <w:pStyle w:val="TableParagraph"/>
              <w:spacing w:before="63"/>
              <w:ind w:left="8" w:right="5"/>
              <w:jc w:val="center"/>
              <w:rPr>
                <w:sz w:val="22"/>
              </w:rPr>
            </w:pPr>
            <w:r>
              <w:rPr>
                <w:spacing w:val="-5"/>
                <w:sz w:val="22"/>
              </w:rPr>
              <w:t>3,9</w:t>
            </w:r>
          </w:p>
        </w:tc>
        <w:tc>
          <w:tcPr>
            <w:tcW w:w="799" w:type="dxa"/>
          </w:tcPr>
          <w:p>
            <w:pPr>
              <w:pStyle w:val="TableParagraph"/>
              <w:spacing w:before="63"/>
              <w:ind w:left="7"/>
              <w:jc w:val="center"/>
              <w:rPr>
                <w:sz w:val="22"/>
              </w:rPr>
            </w:pPr>
            <w:r>
              <w:rPr>
                <w:spacing w:val="-5"/>
                <w:sz w:val="22"/>
              </w:rPr>
              <w:t>3,6</w:t>
            </w:r>
          </w:p>
        </w:tc>
        <w:tc>
          <w:tcPr>
            <w:tcW w:w="801" w:type="dxa"/>
          </w:tcPr>
          <w:p>
            <w:pPr>
              <w:pStyle w:val="TableParagraph"/>
              <w:spacing w:before="63"/>
              <w:ind w:left="6"/>
              <w:jc w:val="center"/>
              <w:rPr>
                <w:sz w:val="22"/>
              </w:rPr>
            </w:pPr>
            <w:r>
              <w:rPr>
                <w:spacing w:val="-5"/>
                <w:sz w:val="22"/>
              </w:rPr>
              <w:t>9,2</w:t>
            </w:r>
          </w:p>
        </w:tc>
        <w:tc>
          <w:tcPr>
            <w:tcW w:w="796" w:type="dxa"/>
          </w:tcPr>
          <w:p>
            <w:pPr>
              <w:pStyle w:val="TableParagraph"/>
              <w:spacing w:before="63"/>
              <w:ind w:left="8"/>
              <w:jc w:val="center"/>
              <w:rPr>
                <w:sz w:val="22"/>
              </w:rPr>
            </w:pPr>
            <w:r>
              <w:rPr>
                <w:spacing w:val="-4"/>
                <w:sz w:val="22"/>
              </w:rPr>
              <w:t>34,7</w:t>
            </w:r>
          </w:p>
        </w:tc>
        <w:tc>
          <w:tcPr>
            <w:tcW w:w="666" w:type="dxa"/>
          </w:tcPr>
          <w:p>
            <w:pPr>
              <w:pStyle w:val="TableParagraph"/>
              <w:spacing w:before="63"/>
              <w:ind w:left="14"/>
              <w:jc w:val="center"/>
              <w:rPr>
                <w:sz w:val="22"/>
              </w:rPr>
            </w:pPr>
            <w:r>
              <w:rPr>
                <w:spacing w:val="-4"/>
                <w:sz w:val="22"/>
              </w:rPr>
              <w:t>71,1</w:t>
            </w:r>
          </w:p>
        </w:tc>
        <w:tc>
          <w:tcPr>
            <w:tcW w:w="798" w:type="dxa"/>
          </w:tcPr>
          <w:p>
            <w:pPr>
              <w:pStyle w:val="TableParagraph"/>
              <w:spacing w:before="63"/>
              <w:ind w:left="9"/>
              <w:jc w:val="center"/>
              <w:rPr>
                <w:sz w:val="22"/>
              </w:rPr>
            </w:pPr>
            <w:r>
              <w:rPr>
                <w:spacing w:val="-4"/>
                <w:sz w:val="22"/>
              </w:rPr>
              <w:t>41,2</w:t>
            </w:r>
          </w:p>
        </w:tc>
        <w:tc>
          <w:tcPr>
            <w:tcW w:w="798" w:type="dxa"/>
          </w:tcPr>
          <w:p>
            <w:pPr>
              <w:pStyle w:val="TableParagraph"/>
              <w:spacing w:before="63"/>
              <w:ind w:left="12"/>
              <w:jc w:val="center"/>
              <w:rPr>
                <w:sz w:val="22"/>
              </w:rPr>
            </w:pPr>
            <w:r>
              <w:rPr>
                <w:spacing w:val="-4"/>
                <w:sz w:val="22"/>
              </w:rPr>
              <w:t>29,8</w:t>
            </w:r>
          </w:p>
        </w:tc>
        <w:tc>
          <w:tcPr>
            <w:tcW w:w="666" w:type="dxa"/>
          </w:tcPr>
          <w:p>
            <w:pPr>
              <w:pStyle w:val="TableParagraph"/>
              <w:spacing w:before="63"/>
              <w:ind w:left="21"/>
              <w:jc w:val="center"/>
              <w:rPr>
                <w:sz w:val="22"/>
              </w:rPr>
            </w:pPr>
            <w:r>
              <w:rPr>
                <w:spacing w:val="-4"/>
                <w:sz w:val="22"/>
              </w:rPr>
              <w:t>28,9</w:t>
            </w:r>
          </w:p>
        </w:tc>
        <w:tc>
          <w:tcPr>
            <w:tcW w:w="930" w:type="dxa"/>
          </w:tcPr>
          <w:p>
            <w:pPr>
              <w:pStyle w:val="TableParagraph"/>
              <w:spacing w:before="63"/>
              <w:ind w:left="19"/>
              <w:jc w:val="center"/>
              <w:rPr>
                <w:sz w:val="22"/>
              </w:rPr>
            </w:pPr>
            <w:r>
              <w:rPr>
                <w:spacing w:val="-5"/>
                <w:sz w:val="22"/>
              </w:rPr>
              <w:t>5,6</w:t>
            </w:r>
          </w:p>
        </w:tc>
        <w:tc>
          <w:tcPr>
            <w:tcW w:w="625" w:type="dxa"/>
          </w:tcPr>
          <w:p>
            <w:pPr>
              <w:pStyle w:val="TableParagraph"/>
              <w:spacing w:before="63"/>
              <w:ind w:left="24"/>
              <w:jc w:val="center"/>
              <w:rPr>
                <w:sz w:val="22"/>
              </w:rPr>
            </w:pPr>
            <w:r>
              <w:rPr>
                <w:spacing w:val="-5"/>
                <w:sz w:val="22"/>
              </w:rPr>
              <w:t>0,3</w:t>
            </w:r>
          </w:p>
        </w:tc>
      </w:tr>
      <w:tr>
        <w:trPr>
          <w:trHeight w:val="506" w:hRule="atLeast"/>
        </w:trPr>
        <w:tc>
          <w:tcPr>
            <w:tcW w:w="2134" w:type="dxa"/>
          </w:tcPr>
          <w:p>
            <w:pPr>
              <w:pStyle w:val="TableParagraph"/>
              <w:spacing w:line="252" w:lineRule="exact"/>
              <w:ind w:left="105"/>
              <w:rPr>
                <w:sz w:val="22"/>
              </w:rPr>
            </w:pPr>
            <w:r>
              <w:rPr>
                <w:spacing w:val="-2"/>
                <w:sz w:val="22"/>
              </w:rPr>
              <w:t>Олигоастенотератоз ооспермия</w:t>
            </w:r>
          </w:p>
        </w:tc>
        <w:tc>
          <w:tcPr>
            <w:tcW w:w="802" w:type="dxa"/>
          </w:tcPr>
          <w:p>
            <w:pPr>
              <w:pStyle w:val="TableParagraph"/>
              <w:spacing w:before="125"/>
              <w:ind w:left="3"/>
              <w:jc w:val="center"/>
              <w:rPr>
                <w:sz w:val="22"/>
              </w:rPr>
            </w:pPr>
            <w:r>
              <w:rPr>
                <w:spacing w:val="-5"/>
                <w:sz w:val="22"/>
              </w:rPr>
              <w:t>33</w:t>
            </w:r>
          </w:p>
        </w:tc>
        <w:tc>
          <w:tcPr>
            <w:tcW w:w="665" w:type="dxa"/>
          </w:tcPr>
          <w:p>
            <w:pPr>
              <w:pStyle w:val="TableParagraph"/>
              <w:spacing w:before="125"/>
              <w:ind w:left="8" w:right="5"/>
              <w:jc w:val="center"/>
              <w:rPr>
                <w:sz w:val="22"/>
              </w:rPr>
            </w:pPr>
            <w:r>
              <w:rPr>
                <w:spacing w:val="-5"/>
                <w:sz w:val="22"/>
              </w:rPr>
              <w:t>3,4</w:t>
            </w:r>
          </w:p>
        </w:tc>
        <w:tc>
          <w:tcPr>
            <w:tcW w:w="799" w:type="dxa"/>
          </w:tcPr>
          <w:p>
            <w:pPr>
              <w:pStyle w:val="TableParagraph"/>
              <w:spacing w:before="125"/>
              <w:ind w:left="7"/>
              <w:jc w:val="center"/>
              <w:rPr>
                <w:sz w:val="22"/>
              </w:rPr>
            </w:pPr>
            <w:r>
              <w:rPr>
                <w:spacing w:val="-5"/>
                <w:sz w:val="22"/>
              </w:rPr>
              <w:t>4,1</w:t>
            </w:r>
          </w:p>
        </w:tc>
        <w:tc>
          <w:tcPr>
            <w:tcW w:w="801" w:type="dxa"/>
          </w:tcPr>
          <w:p>
            <w:pPr>
              <w:pStyle w:val="TableParagraph"/>
              <w:spacing w:before="125"/>
              <w:ind w:left="6"/>
              <w:jc w:val="center"/>
              <w:rPr>
                <w:sz w:val="22"/>
              </w:rPr>
            </w:pPr>
            <w:r>
              <w:rPr>
                <w:spacing w:val="-5"/>
                <w:sz w:val="22"/>
              </w:rPr>
              <w:t>8,2</w:t>
            </w:r>
          </w:p>
        </w:tc>
        <w:tc>
          <w:tcPr>
            <w:tcW w:w="796" w:type="dxa"/>
          </w:tcPr>
          <w:p>
            <w:pPr>
              <w:pStyle w:val="TableParagraph"/>
              <w:spacing w:before="125"/>
              <w:ind w:left="8"/>
              <w:jc w:val="center"/>
              <w:rPr>
                <w:sz w:val="22"/>
              </w:rPr>
            </w:pPr>
            <w:r>
              <w:rPr>
                <w:spacing w:val="-4"/>
                <w:sz w:val="22"/>
              </w:rPr>
              <w:t>36,5</w:t>
            </w:r>
          </w:p>
        </w:tc>
        <w:tc>
          <w:tcPr>
            <w:tcW w:w="666" w:type="dxa"/>
          </w:tcPr>
          <w:p>
            <w:pPr>
              <w:pStyle w:val="TableParagraph"/>
              <w:spacing w:before="125"/>
              <w:ind w:left="14"/>
              <w:jc w:val="center"/>
              <w:rPr>
                <w:sz w:val="22"/>
              </w:rPr>
            </w:pPr>
            <w:r>
              <w:rPr>
                <w:spacing w:val="-4"/>
                <w:sz w:val="22"/>
              </w:rPr>
              <w:t>43,5</w:t>
            </w:r>
          </w:p>
        </w:tc>
        <w:tc>
          <w:tcPr>
            <w:tcW w:w="798" w:type="dxa"/>
          </w:tcPr>
          <w:p>
            <w:pPr>
              <w:pStyle w:val="TableParagraph"/>
              <w:spacing w:before="125"/>
              <w:ind w:left="9"/>
              <w:jc w:val="center"/>
              <w:rPr>
                <w:sz w:val="22"/>
              </w:rPr>
            </w:pPr>
            <w:r>
              <w:rPr>
                <w:spacing w:val="-4"/>
                <w:sz w:val="22"/>
              </w:rPr>
              <w:t>16,6</w:t>
            </w:r>
          </w:p>
        </w:tc>
        <w:tc>
          <w:tcPr>
            <w:tcW w:w="798" w:type="dxa"/>
          </w:tcPr>
          <w:p>
            <w:pPr>
              <w:pStyle w:val="TableParagraph"/>
              <w:spacing w:before="125"/>
              <w:ind w:left="12"/>
              <w:jc w:val="center"/>
              <w:rPr>
                <w:sz w:val="22"/>
              </w:rPr>
            </w:pPr>
            <w:r>
              <w:rPr>
                <w:spacing w:val="-4"/>
                <w:sz w:val="22"/>
              </w:rPr>
              <w:t>26,8</w:t>
            </w:r>
          </w:p>
        </w:tc>
        <w:tc>
          <w:tcPr>
            <w:tcW w:w="666" w:type="dxa"/>
          </w:tcPr>
          <w:p>
            <w:pPr>
              <w:pStyle w:val="TableParagraph"/>
              <w:spacing w:before="125"/>
              <w:ind w:left="21"/>
              <w:jc w:val="center"/>
              <w:rPr>
                <w:sz w:val="22"/>
              </w:rPr>
            </w:pPr>
            <w:r>
              <w:rPr>
                <w:spacing w:val="-4"/>
                <w:sz w:val="22"/>
              </w:rPr>
              <w:t>56,5</w:t>
            </w:r>
          </w:p>
        </w:tc>
        <w:tc>
          <w:tcPr>
            <w:tcW w:w="930" w:type="dxa"/>
          </w:tcPr>
          <w:p>
            <w:pPr>
              <w:pStyle w:val="TableParagraph"/>
              <w:spacing w:before="125"/>
              <w:ind w:left="19"/>
              <w:jc w:val="center"/>
              <w:rPr>
                <w:sz w:val="22"/>
              </w:rPr>
            </w:pPr>
            <w:r>
              <w:rPr>
                <w:spacing w:val="-5"/>
                <w:sz w:val="22"/>
              </w:rPr>
              <w:t>2,7</w:t>
            </w:r>
          </w:p>
        </w:tc>
        <w:tc>
          <w:tcPr>
            <w:tcW w:w="625" w:type="dxa"/>
          </w:tcPr>
          <w:p>
            <w:pPr>
              <w:pStyle w:val="TableParagraph"/>
              <w:spacing w:before="125"/>
              <w:ind w:left="24"/>
              <w:jc w:val="center"/>
              <w:rPr>
                <w:sz w:val="22"/>
              </w:rPr>
            </w:pPr>
            <w:r>
              <w:rPr>
                <w:spacing w:val="-5"/>
                <w:sz w:val="22"/>
              </w:rPr>
              <w:t>0,4</w:t>
            </w:r>
          </w:p>
        </w:tc>
      </w:tr>
      <w:tr>
        <w:trPr>
          <w:trHeight w:val="381" w:hRule="atLeast"/>
        </w:trPr>
        <w:tc>
          <w:tcPr>
            <w:tcW w:w="2134" w:type="dxa"/>
          </w:tcPr>
          <w:p>
            <w:pPr>
              <w:pStyle w:val="TableParagraph"/>
              <w:spacing w:line="233" w:lineRule="exact" w:before="128"/>
              <w:ind w:left="105"/>
              <w:rPr>
                <w:sz w:val="22"/>
              </w:rPr>
            </w:pPr>
            <w:r>
              <w:rPr>
                <w:spacing w:val="-2"/>
                <w:sz w:val="22"/>
              </w:rPr>
              <w:t>Олигоспермия</w:t>
            </w:r>
          </w:p>
        </w:tc>
        <w:tc>
          <w:tcPr>
            <w:tcW w:w="802" w:type="dxa"/>
          </w:tcPr>
          <w:p>
            <w:pPr>
              <w:pStyle w:val="TableParagraph"/>
              <w:spacing w:before="63"/>
              <w:ind w:left="3"/>
              <w:jc w:val="center"/>
              <w:rPr>
                <w:sz w:val="22"/>
              </w:rPr>
            </w:pPr>
            <w:r>
              <w:rPr>
                <w:spacing w:val="-5"/>
                <w:sz w:val="22"/>
              </w:rPr>
              <w:t>31</w:t>
            </w:r>
          </w:p>
        </w:tc>
        <w:tc>
          <w:tcPr>
            <w:tcW w:w="665" w:type="dxa"/>
          </w:tcPr>
          <w:p>
            <w:pPr>
              <w:pStyle w:val="TableParagraph"/>
              <w:spacing w:before="63"/>
              <w:ind w:left="8" w:right="5"/>
              <w:jc w:val="center"/>
              <w:rPr>
                <w:sz w:val="22"/>
              </w:rPr>
            </w:pPr>
            <w:r>
              <w:rPr>
                <w:spacing w:val="-5"/>
                <w:sz w:val="22"/>
              </w:rPr>
              <w:t>3,2</w:t>
            </w:r>
          </w:p>
        </w:tc>
        <w:tc>
          <w:tcPr>
            <w:tcW w:w="799" w:type="dxa"/>
          </w:tcPr>
          <w:p>
            <w:pPr>
              <w:pStyle w:val="TableParagraph"/>
              <w:spacing w:before="63"/>
              <w:ind w:left="7"/>
              <w:jc w:val="center"/>
              <w:rPr>
                <w:sz w:val="22"/>
              </w:rPr>
            </w:pPr>
            <w:r>
              <w:rPr>
                <w:spacing w:val="-5"/>
                <w:sz w:val="22"/>
              </w:rPr>
              <w:t>1,1</w:t>
            </w:r>
          </w:p>
        </w:tc>
        <w:tc>
          <w:tcPr>
            <w:tcW w:w="801" w:type="dxa"/>
          </w:tcPr>
          <w:p>
            <w:pPr>
              <w:pStyle w:val="TableParagraph"/>
              <w:spacing w:before="63"/>
              <w:ind w:left="6" w:right="3"/>
              <w:jc w:val="center"/>
              <w:rPr>
                <w:sz w:val="22"/>
              </w:rPr>
            </w:pPr>
            <w:r>
              <w:rPr>
                <w:spacing w:val="-5"/>
                <w:sz w:val="22"/>
              </w:rPr>
              <w:t>89</w:t>
            </w:r>
          </w:p>
        </w:tc>
        <w:tc>
          <w:tcPr>
            <w:tcW w:w="796" w:type="dxa"/>
          </w:tcPr>
          <w:p>
            <w:pPr>
              <w:pStyle w:val="TableParagraph"/>
              <w:spacing w:before="63"/>
              <w:ind w:left="8" w:right="1"/>
              <w:jc w:val="center"/>
              <w:rPr>
                <w:sz w:val="22"/>
              </w:rPr>
            </w:pPr>
            <w:r>
              <w:rPr>
                <w:spacing w:val="-4"/>
                <w:sz w:val="22"/>
              </w:rPr>
              <w:t>92,5</w:t>
            </w:r>
          </w:p>
        </w:tc>
        <w:tc>
          <w:tcPr>
            <w:tcW w:w="666" w:type="dxa"/>
          </w:tcPr>
          <w:p>
            <w:pPr>
              <w:pStyle w:val="TableParagraph"/>
              <w:spacing w:before="63"/>
              <w:ind w:left="14"/>
              <w:jc w:val="center"/>
              <w:rPr>
                <w:sz w:val="22"/>
              </w:rPr>
            </w:pPr>
            <w:r>
              <w:rPr>
                <w:spacing w:val="-4"/>
                <w:sz w:val="22"/>
              </w:rPr>
              <w:t>66,1</w:t>
            </w:r>
          </w:p>
        </w:tc>
        <w:tc>
          <w:tcPr>
            <w:tcW w:w="798" w:type="dxa"/>
          </w:tcPr>
          <w:p>
            <w:pPr>
              <w:pStyle w:val="TableParagraph"/>
              <w:spacing w:before="63"/>
              <w:ind w:left="7"/>
              <w:jc w:val="center"/>
              <w:rPr>
                <w:sz w:val="22"/>
              </w:rPr>
            </w:pPr>
            <w:r>
              <w:rPr>
                <w:spacing w:val="-5"/>
                <w:sz w:val="22"/>
              </w:rPr>
              <w:t>40</w:t>
            </w:r>
          </w:p>
        </w:tc>
        <w:tc>
          <w:tcPr>
            <w:tcW w:w="798" w:type="dxa"/>
          </w:tcPr>
          <w:p>
            <w:pPr>
              <w:pStyle w:val="TableParagraph"/>
              <w:spacing w:before="63"/>
              <w:ind w:left="12"/>
              <w:jc w:val="center"/>
              <w:rPr>
                <w:sz w:val="22"/>
              </w:rPr>
            </w:pPr>
            <w:r>
              <w:rPr>
                <w:spacing w:val="-4"/>
                <w:sz w:val="22"/>
              </w:rPr>
              <w:t>26,1</w:t>
            </w:r>
          </w:p>
        </w:tc>
        <w:tc>
          <w:tcPr>
            <w:tcW w:w="666" w:type="dxa"/>
          </w:tcPr>
          <w:p>
            <w:pPr>
              <w:pStyle w:val="TableParagraph"/>
              <w:spacing w:before="63"/>
              <w:ind w:left="21"/>
              <w:jc w:val="center"/>
              <w:rPr>
                <w:sz w:val="22"/>
              </w:rPr>
            </w:pPr>
            <w:r>
              <w:rPr>
                <w:spacing w:val="-4"/>
                <w:sz w:val="22"/>
              </w:rPr>
              <w:t>33,9</w:t>
            </w:r>
          </w:p>
        </w:tc>
        <w:tc>
          <w:tcPr>
            <w:tcW w:w="930" w:type="dxa"/>
          </w:tcPr>
          <w:p>
            <w:pPr>
              <w:pStyle w:val="TableParagraph"/>
              <w:spacing w:before="63"/>
              <w:ind w:left="19"/>
              <w:jc w:val="center"/>
              <w:rPr>
                <w:sz w:val="22"/>
              </w:rPr>
            </w:pPr>
            <w:r>
              <w:rPr>
                <w:spacing w:val="-5"/>
                <w:sz w:val="22"/>
              </w:rPr>
              <w:t>7,5</w:t>
            </w:r>
          </w:p>
        </w:tc>
        <w:tc>
          <w:tcPr>
            <w:tcW w:w="625" w:type="dxa"/>
          </w:tcPr>
          <w:p>
            <w:pPr>
              <w:pStyle w:val="TableParagraph"/>
              <w:spacing w:before="63"/>
              <w:ind w:left="24"/>
              <w:jc w:val="center"/>
              <w:rPr>
                <w:sz w:val="22"/>
              </w:rPr>
            </w:pPr>
            <w:r>
              <w:rPr>
                <w:spacing w:val="-5"/>
                <w:sz w:val="22"/>
              </w:rPr>
              <w:t>0,4</w:t>
            </w:r>
          </w:p>
        </w:tc>
      </w:tr>
      <w:tr>
        <w:trPr>
          <w:trHeight w:val="505" w:hRule="atLeast"/>
        </w:trPr>
        <w:tc>
          <w:tcPr>
            <w:tcW w:w="2134" w:type="dxa"/>
          </w:tcPr>
          <w:p>
            <w:pPr>
              <w:pStyle w:val="TableParagraph"/>
              <w:spacing w:line="254" w:lineRule="exact"/>
              <w:ind w:left="105"/>
              <w:rPr>
                <w:sz w:val="22"/>
              </w:rPr>
            </w:pPr>
            <w:r>
              <w:rPr>
                <w:spacing w:val="-2"/>
                <w:sz w:val="22"/>
              </w:rPr>
              <w:t>Олигоастенозооспе </w:t>
            </w:r>
            <w:r>
              <w:rPr>
                <w:spacing w:val="-4"/>
                <w:sz w:val="22"/>
              </w:rPr>
              <w:t>рмия</w:t>
            </w:r>
          </w:p>
        </w:tc>
        <w:tc>
          <w:tcPr>
            <w:tcW w:w="802" w:type="dxa"/>
          </w:tcPr>
          <w:p>
            <w:pPr>
              <w:pStyle w:val="TableParagraph"/>
              <w:spacing w:before="125"/>
              <w:ind w:left="3"/>
              <w:jc w:val="center"/>
              <w:rPr>
                <w:sz w:val="22"/>
              </w:rPr>
            </w:pPr>
            <w:r>
              <w:rPr>
                <w:spacing w:val="-5"/>
                <w:sz w:val="22"/>
              </w:rPr>
              <w:t>30</w:t>
            </w:r>
          </w:p>
        </w:tc>
        <w:tc>
          <w:tcPr>
            <w:tcW w:w="665" w:type="dxa"/>
          </w:tcPr>
          <w:p>
            <w:pPr>
              <w:pStyle w:val="TableParagraph"/>
              <w:spacing w:before="125"/>
              <w:ind w:left="8" w:right="5"/>
              <w:jc w:val="center"/>
              <w:rPr>
                <w:sz w:val="22"/>
              </w:rPr>
            </w:pPr>
            <w:r>
              <w:rPr>
                <w:spacing w:val="-5"/>
                <w:sz w:val="22"/>
              </w:rPr>
              <w:t>3,1</w:t>
            </w:r>
          </w:p>
        </w:tc>
        <w:tc>
          <w:tcPr>
            <w:tcW w:w="799" w:type="dxa"/>
          </w:tcPr>
          <w:p>
            <w:pPr>
              <w:pStyle w:val="TableParagraph"/>
              <w:spacing w:before="125"/>
              <w:ind w:left="7"/>
              <w:jc w:val="center"/>
              <w:rPr>
                <w:sz w:val="22"/>
              </w:rPr>
            </w:pPr>
            <w:r>
              <w:rPr>
                <w:spacing w:val="-5"/>
                <w:sz w:val="22"/>
              </w:rPr>
              <w:t>3,3</w:t>
            </w:r>
          </w:p>
        </w:tc>
        <w:tc>
          <w:tcPr>
            <w:tcW w:w="801" w:type="dxa"/>
          </w:tcPr>
          <w:p>
            <w:pPr>
              <w:pStyle w:val="TableParagraph"/>
              <w:spacing w:before="125"/>
              <w:ind w:left="6"/>
              <w:jc w:val="center"/>
              <w:rPr>
                <w:sz w:val="22"/>
              </w:rPr>
            </w:pPr>
            <w:r>
              <w:rPr>
                <w:spacing w:val="-4"/>
                <w:sz w:val="22"/>
              </w:rPr>
              <w:t>10,2</w:t>
            </w:r>
          </w:p>
        </w:tc>
        <w:tc>
          <w:tcPr>
            <w:tcW w:w="796" w:type="dxa"/>
          </w:tcPr>
          <w:p>
            <w:pPr>
              <w:pStyle w:val="TableParagraph"/>
              <w:spacing w:before="125"/>
              <w:ind w:left="8" w:right="1"/>
              <w:jc w:val="center"/>
              <w:rPr>
                <w:sz w:val="22"/>
              </w:rPr>
            </w:pPr>
            <w:r>
              <w:rPr>
                <w:spacing w:val="-4"/>
                <w:sz w:val="22"/>
              </w:rPr>
              <w:t>35,3</w:t>
            </w:r>
          </w:p>
        </w:tc>
        <w:tc>
          <w:tcPr>
            <w:tcW w:w="666" w:type="dxa"/>
          </w:tcPr>
          <w:p>
            <w:pPr>
              <w:pStyle w:val="TableParagraph"/>
              <w:spacing w:before="125"/>
              <w:ind w:left="14"/>
              <w:jc w:val="center"/>
              <w:rPr>
                <w:sz w:val="22"/>
              </w:rPr>
            </w:pPr>
            <w:r>
              <w:rPr>
                <w:spacing w:val="-4"/>
                <w:sz w:val="22"/>
              </w:rPr>
              <w:t>55,2</w:t>
            </w:r>
          </w:p>
        </w:tc>
        <w:tc>
          <w:tcPr>
            <w:tcW w:w="798" w:type="dxa"/>
          </w:tcPr>
          <w:p>
            <w:pPr>
              <w:pStyle w:val="TableParagraph"/>
              <w:spacing w:before="125"/>
              <w:ind w:left="9"/>
              <w:jc w:val="center"/>
              <w:rPr>
                <w:sz w:val="22"/>
              </w:rPr>
            </w:pPr>
            <w:r>
              <w:rPr>
                <w:spacing w:val="-4"/>
                <w:sz w:val="22"/>
              </w:rPr>
              <w:t>20,8</w:t>
            </w:r>
          </w:p>
        </w:tc>
        <w:tc>
          <w:tcPr>
            <w:tcW w:w="798" w:type="dxa"/>
          </w:tcPr>
          <w:p>
            <w:pPr>
              <w:pStyle w:val="TableParagraph"/>
              <w:spacing w:before="125"/>
              <w:ind w:left="11"/>
              <w:jc w:val="center"/>
              <w:rPr>
                <w:sz w:val="22"/>
              </w:rPr>
            </w:pPr>
            <w:r>
              <w:rPr>
                <w:spacing w:val="-4"/>
                <w:sz w:val="22"/>
              </w:rPr>
              <w:t>34,5</w:t>
            </w:r>
          </w:p>
        </w:tc>
        <w:tc>
          <w:tcPr>
            <w:tcW w:w="666" w:type="dxa"/>
          </w:tcPr>
          <w:p>
            <w:pPr>
              <w:pStyle w:val="TableParagraph"/>
              <w:spacing w:before="125"/>
              <w:ind w:left="21"/>
              <w:jc w:val="center"/>
              <w:rPr>
                <w:sz w:val="22"/>
              </w:rPr>
            </w:pPr>
            <w:r>
              <w:rPr>
                <w:spacing w:val="-4"/>
                <w:sz w:val="22"/>
              </w:rPr>
              <w:t>44,8</w:t>
            </w:r>
          </w:p>
        </w:tc>
        <w:tc>
          <w:tcPr>
            <w:tcW w:w="930" w:type="dxa"/>
          </w:tcPr>
          <w:p>
            <w:pPr>
              <w:pStyle w:val="TableParagraph"/>
              <w:spacing w:before="125"/>
              <w:ind w:left="16"/>
              <w:jc w:val="center"/>
              <w:rPr>
                <w:sz w:val="22"/>
              </w:rPr>
            </w:pPr>
            <w:r>
              <w:rPr>
                <w:spacing w:val="-10"/>
                <w:sz w:val="22"/>
              </w:rPr>
              <w:t>4</w:t>
            </w:r>
          </w:p>
        </w:tc>
        <w:tc>
          <w:tcPr>
            <w:tcW w:w="625" w:type="dxa"/>
          </w:tcPr>
          <w:p>
            <w:pPr>
              <w:pStyle w:val="TableParagraph"/>
              <w:spacing w:before="125"/>
              <w:ind w:left="24" w:right="1"/>
              <w:jc w:val="center"/>
              <w:rPr>
                <w:sz w:val="22"/>
              </w:rPr>
            </w:pPr>
            <w:r>
              <w:rPr>
                <w:spacing w:val="-5"/>
                <w:sz w:val="22"/>
              </w:rPr>
              <w:t>0,3</w:t>
            </w:r>
          </w:p>
        </w:tc>
      </w:tr>
      <w:tr>
        <w:trPr>
          <w:trHeight w:val="379" w:hRule="atLeast"/>
        </w:trPr>
        <w:tc>
          <w:tcPr>
            <w:tcW w:w="2134" w:type="dxa"/>
          </w:tcPr>
          <w:p>
            <w:pPr>
              <w:pStyle w:val="TableParagraph"/>
              <w:spacing w:line="233" w:lineRule="exact" w:before="126"/>
              <w:ind w:left="105"/>
              <w:rPr>
                <w:sz w:val="22"/>
              </w:rPr>
            </w:pPr>
            <w:r>
              <w:rPr>
                <w:spacing w:val="-2"/>
                <w:sz w:val="22"/>
              </w:rPr>
              <w:t>Азооспермия</w:t>
            </w:r>
          </w:p>
        </w:tc>
        <w:tc>
          <w:tcPr>
            <w:tcW w:w="802" w:type="dxa"/>
          </w:tcPr>
          <w:p>
            <w:pPr>
              <w:pStyle w:val="TableParagraph"/>
              <w:spacing w:before="61"/>
              <w:ind w:left="3"/>
              <w:jc w:val="center"/>
              <w:rPr>
                <w:sz w:val="22"/>
              </w:rPr>
            </w:pPr>
            <w:r>
              <w:rPr>
                <w:spacing w:val="-5"/>
                <w:sz w:val="22"/>
              </w:rPr>
              <w:t>29</w:t>
            </w:r>
          </w:p>
        </w:tc>
        <w:tc>
          <w:tcPr>
            <w:tcW w:w="665" w:type="dxa"/>
          </w:tcPr>
          <w:p>
            <w:pPr>
              <w:pStyle w:val="TableParagraph"/>
              <w:spacing w:before="61"/>
              <w:ind w:left="8" w:right="5"/>
              <w:jc w:val="center"/>
              <w:rPr>
                <w:sz w:val="22"/>
              </w:rPr>
            </w:pPr>
            <w:r>
              <w:rPr>
                <w:spacing w:val="-5"/>
                <w:sz w:val="22"/>
              </w:rPr>
              <w:t>3,0</w:t>
            </w:r>
          </w:p>
        </w:tc>
        <w:tc>
          <w:tcPr>
            <w:tcW w:w="799" w:type="dxa"/>
          </w:tcPr>
          <w:p>
            <w:pPr>
              <w:pStyle w:val="TableParagraph"/>
              <w:spacing w:before="61"/>
              <w:ind w:left="7"/>
              <w:jc w:val="center"/>
              <w:rPr>
                <w:sz w:val="22"/>
              </w:rPr>
            </w:pPr>
            <w:r>
              <w:rPr>
                <w:spacing w:val="-5"/>
                <w:sz w:val="22"/>
              </w:rPr>
              <w:t>3,4</w:t>
            </w:r>
          </w:p>
        </w:tc>
        <w:tc>
          <w:tcPr>
            <w:tcW w:w="801" w:type="dxa"/>
          </w:tcPr>
          <w:p>
            <w:pPr>
              <w:pStyle w:val="TableParagraph"/>
              <w:spacing w:before="61"/>
              <w:ind w:left="6" w:right="3"/>
              <w:jc w:val="center"/>
              <w:rPr>
                <w:sz w:val="22"/>
              </w:rPr>
            </w:pPr>
            <w:r>
              <w:rPr>
                <w:spacing w:val="-10"/>
                <w:sz w:val="22"/>
              </w:rPr>
              <w:t>0</w:t>
            </w:r>
          </w:p>
        </w:tc>
        <w:tc>
          <w:tcPr>
            <w:tcW w:w="796" w:type="dxa"/>
          </w:tcPr>
          <w:p>
            <w:pPr>
              <w:pStyle w:val="TableParagraph"/>
              <w:spacing w:before="61"/>
              <w:ind w:left="8" w:right="3"/>
              <w:jc w:val="center"/>
              <w:rPr>
                <w:sz w:val="22"/>
              </w:rPr>
            </w:pPr>
            <w:r>
              <w:rPr>
                <w:spacing w:val="-10"/>
                <w:sz w:val="22"/>
              </w:rPr>
              <w:t>0</w:t>
            </w:r>
          </w:p>
        </w:tc>
        <w:tc>
          <w:tcPr>
            <w:tcW w:w="666" w:type="dxa"/>
          </w:tcPr>
          <w:p>
            <w:pPr>
              <w:pStyle w:val="TableParagraph"/>
              <w:spacing w:before="61"/>
              <w:ind w:left="12"/>
              <w:jc w:val="center"/>
              <w:rPr>
                <w:sz w:val="22"/>
              </w:rPr>
            </w:pPr>
            <w:r>
              <w:rPr>
                <w:spacing w:val="-10"/>
                <w:sz w:val="22"/>
              </w:rPr>
              <w:t>0</w:t>
            </w:r>
          </w:p>
        </w:tc>
        <w:tc>
          <w:tcPr>
            <w:tcW w:w="798" w:type="dxa"/>
          </w:tcPr>
          <w:p>
            <w:pPr>
              <w:pStyle w:val="TableParagraph"/>
              <w:spacing w:before="61"/>
              <w:ind w:left="7"/>
              <w:jc w:val="center"/>
              <w:rPr>
                <w:sz w:val="22"/>
              </w:rPr>
            </w:pPr>
            <w:r>
              <w:rPr>
                <w:spacing w:val="-10"/>
                <w:sz w:val="22"/>
              </w:rPr>
              <w:t>0</w:t>
            </w:r>
          </w:p>
        </w:tc>
        <w:tc>
          <w:tcPr>
            <w:tcW w:w="798" w:type="dxa"/>
          </w:tcPr>
          <w:p>
            <w:pPr>
              <w:pStyle w:val="TableParagraph"/>
              <w:spacing w:before="61"/>
              <w:ind w:left="9"/>
              <w:jc w:val="center"/>
              <w:rPr>
                <w:sz w:val="22"/>
              </w:rPr>
            </w:pPr>
            <w:r>
              <w:rPr>
                <w:spacing w:val="-10"/>
                <w:sz w:val="22"/>
              </w:rPr>
              <w:t>0</w:t>
            </w:r>
          </w:p>
        </w:tc>
        <w:tc>
          <w:tcPr>
            <w:tcW w:w="666" w:type="dxa"/>
          </w:tcPr>
          <w:p>
            <w:pPr>
              <w:pStyle w:val="TableParagraph"/>
              <w:spacing w:before="61"/>
              <w:ind w:left="19"/>
              <w:jc w:val="center"/>
              <w:rPr>
                <w:sz w:val="22"/>
              </w:rPr>
            </w:pPr>
            <w:r>
              <w:rPr>
                <w:spacing w:val="-10"/>
                <w:sz w:val="22"/>
              </w:rPr>
              <w:t>0</w:t>
            </w:r>
          </w:p>
        </w:tc>
        <w:tc>
          <w:tcPr>
            <w:tcW w:w="930" w:type="dxa"/>
          </w:tcPr>
          <w:p>
            <w:pPr>
              <w:pStyle w:val="TableParagraph"/>
              <w:spacing w:before="61"/>
              <w:ind w:left="17"/>
              <w:jc w:val="center"/>
              <w:rPr>
                <w:sz w:val="22"/>
              </w:rPr>
            </w:pPr>
            <w:r>
              <w:rPr>
                <w:spacing w:val="-10"/>
                <w:sz w:val="22"/>
              </w:rPr>
              <w:t>0</w:t>
            </w:r>
          </w:p>
        </w:tc>
        <w:tc>
          <w:tcPr>
            <w:tcW w:w="625" w:type="dxa"/>
          </w:tcPr>
          <w:p>
            <w:pPr>
              <w:pStyle w:val="TableParagraph"/>
              <w:spacing w:before="61"/>
              <w:ind w:left="24"/>
              <w:jc w:val="center"/>
              <w:rPr>
                <w:sz w:val="22"/>
              </w:rPr>
            </w:pPr>
            <w:r>
              <w:rPr>
                <w:spacing w:val="-5"/>
                <w:sz w:val="22"/>
              </w:rPr>
              <w:t>0,1</w:t>
            </w:r>
          </w:p>
        </w:tc>
      </w:tr>
      <w:tr>
        <w:trPr>
          <w:trHeight w:val="506" w:hRule="atLeast"/>
        </w:trPr>
        <w:tc>
          <w:tcPr>
            <w:tcW w:w="2134" w:type="dxa"/>
          </w:tcPr>
          <w:p>
            <w:pPr>
              <w:pStyle w:val="TableParagraph"/>
              <w:spacing w:line="233" w:lineRule="exact" w:before="253"/>
              <w:ind w:left="105"/>
              <w:rPr>
                <w:sz w:val="22"/>
              </w:rPr>
            </w:pPr>
            <w:r>
              <w:rPr>
                <w:spacing w:val="-2"/>
                <w:sz w:val="22"/>
              </w:rPr>
              <w:t>Криптозооспермия</w:t>
            </w:r>
          </w:p>
        </w:tc>
        <w:tc>
          <w:tcPr>
            <w:tcW w:w="802" w:type="dxa"/>
          </w:tcPr>
          <w:p>
            <w:pPr>
              <w:pStyle w:val="TableParagraph"/>
              <w:spacing w:before="125"/>
              <w:ind w:left="3"/>
              <w:jc w:val="center"/>
              <w:rPr>
                <w:sz w:val="22"/>
              </w:rPr>
            </w:pPr>
            <w:r>
              <w:rPr>
                <w:spacing w:val="-5"/>
                <w:sz w:val="22"/>
              </w:rPr>
              <w:t>24</w:t>
            </w:r>
          </w:p>
        </w:tc>
        <w:tc>
          <w:tcPr>
            <w:tcW w:w="665" w:type="dxa"/>
          </w:tcPr>
          <w:p>
            <w:pPr>
              <w:pStyle w:val="TableParagraph"/>
              <w:spacing w:before="125"/>
              <w:ind w:left="8" w:right="5"/>
              <w:jc w:val="center"/>
              <w:rPr>
                <w:sz w:val="22"/>
              </w:rPr>
            </w:pPr>
            <w:r>
              <w:rPr>
                <w:spacing w:val="-5"/>
                <w:sz w:val="22"/>
              </w:rPr>
              <w:t>2,5</w:t>
            </w:r>
          </w:p>
        </w:tc>
        <w:tc>
          <w:tcPr>
            <w:tcW w:w="799" w:type="dxa"/>
          </w:tcPr>
          <w:p>
            <w:pPr>
              <w:pStyle w:val="TableParagraph"/>
              <w:spacing w:before="125"/>
              <w:ind w:left="7"/>
              <w:jc w:val="center"/>
              <w:rPr>
                <w:sz w:val="22"/>
              </w:rPr>
            </w:pPr>
            <w:r>
              <w:rPr>
                <w:spacing w:val="-5"/>
                <w:sz w:val="22"/>
              </w:rPr>
              <w:t>3,9</w:t>
            </w:r>
          </w:p>
        </w:tc>
        <w:tc>
          <w:tcPr>
            <w:tcW w:w="801" w:type="dxa"/>
          </w:tcPr>
          <w:p>
            <w:pPr>
              <w:pStyle w:val="TableParagraph"/>
              <w:spacing w:line="254" w:lineRule="exact"/>
              <w:ind w:left="176" w:firstLine="115"/>
              <w:rPr>
                <w:sz w:val="22"/>
              </w:rPr>
            </w:pPr>
            <w:r>
              <w:rPr>
                <w:spacing w:val="-6"/>
                <w:sz w:val="22"/>
              </w:rPr>
              <w:t>ед </w:t>
            </w:r>
            <w:r>
              <w:rPr>
                <w:spacing w:val="-4"/>
                <w:sz w:val="22"/>
              </w:rPr>
              <w:t>подв</w:t>
            </w:r>
          </w:p>
        </w:tc>
        <w:tc>
          <w:tcPr>
            <w:tcW w:w="796" w:type="dxa"/>
          </w:tcPr>
          <w:p>
            <w:pPr>
              <w:pStyle w:val="TableParagraph"/>
              <w:spacing w:line="254" w:lineRule="exact"/>
              <w:ind w:left="174" w:firstLine="115"/>
              <w:rPr>
                <w:sz w:val="22"/>
              </w:rPr>
            </w:pPr>
            <w:r>
              <w:rPr>
                <w:spacing w:val="-6"/>
                <w:sz w:val="22"/>
              </w:rPr>
              <w:t>ед </w:t>
            </w:r>
            <w:r>
              <w:rPr>
                <w:spacing w:val="-4"/>
                <w:sz w:val="22"/>
              </w:rPr>
              <w:t>подв</w:t>
            </w:r>
          </w:p>
        </w:tc>
        <w:tc>
          <w:tcPr>
            <w:tcW w:w="666" w:type="dxa"/>
          </w:tcPr>
          <w:p>
            <w:pPr>
              <w:pStyle w:val="TableParagraph"/>
              <w:spacing w:before="125"/>
              <w:ind w:left="66"/>
              <w:jc w:val="center"/>
              <w:rPr>
                <w:sz w:val="22"/>
              </w:rPr>
            </w:pPr>
            <w:r>
              <w:rPr>
                <w:sz w:val="22"/>
              </w:rPr>
              <w:t>-</w:t>
            </w:r>
          </w:p>
        </w:tc>
        <w:tc>
          <w:tcPr>
            <w:tcW w:w="798" w:type="dxa"/>
          </w:tcPr>
          <w:p>
            <w:pPr>
              <w:pStyle w:val="TableParagraph"/>
              <w:spacing w:before="125"/>
              <w:ind w:left="66"/>
              <w:jc w:val="center"/>
              <w:rPr>
                <w:sz w:val="22"/>
              </w:rPr>
            </w:pPr>
            <w:r>
              <w:rPr>
                <w:sz w:val="22"/>
              </w:rPr>
              <w:t>-</w:t>
            </w:r>
          </w:p>
        </w:tc>
        <w:tc>
          <w:tcPr>
            <w:tcW w:w="798" w:type="dxa"/>
          </w:tcPr>
          <w:p>
            <w:pPr>
              <w:pStyle w:val="TableParagraph"/>
              <w:spacing w:before="125"/>
              <w:ind w:left="68"/>
              <w:jc w:val="center"/>
              <w:rPr>
                <w:sz w:val="22"/>
              </w:rPr>
            </w:pPr>
            <w:r>
              <w:rPr>
                <w:sz w:val="22"/>
              </w:rPr>
              <w:t>-</w:t>
            </w:r>
          </w:p>
        </w:tc>
        <w:tc>
          <w:tcPr>
            <w:tcW w:w="666" w:type="dxa"/>
          </w:tcPr>
          <w:p>
            <w:pPr>
              <w:pStyle w:val="TableParagraph"/>
              <w:spacing w:before="125"/>
              <w:ind w:left="73"/>
              <w:jc w:val="center"/>
              <w:rPr>
                <w:sz w:val="22"/>
              </w:rPr>
            </w:pPr>
            <w:r>
              <w:rPr>
                <w:sz w:val="22"/>
              </w:rPr>
              <w:t>-</w:t>
            </w:r>
          </w:p>
        </w:tc>
        <w:tc>
          <w:tcPr>
            <w:tcW w:w="930" w:type="dxa"/>
          </w:tcPr>
          <w:p>
            <w:pPr>
              <w:pStyle w:val="TableParagraph"/>
              <w:spacing w:before="125"/>
              <w:ind w:left="75"/>
              <w:jc w:val="center"/>
              <w:rPr>
                <w:sz w:val="22"/>
              </w:rPr>
            </w:pPr>
            <w:r>
              <w:rPr>
                <w:sz w:val="22"/>
              </w:rPr>
              <w:t>-</w:t>
            </w:r>
          </w:p>
        </w:tc>
        <w:tc>
          <w:tcPr>
            <w:tcW w:w="625" w:type="dxa"/>
          </w:tcPr>
          <w:p>
            <w:pPr>
              <w:pStyle w:val="TableParagraph"/>
              <w:spacing w:before="125"/>
              <w:ind w:left="24" w:right="1"/>
              <w:jc w:val="center"/>
              <w:rPr>
                <w:sz w:val="22"/>
              </w:rPr>
            </w:pPr>
            <w:r>
              <w:rPr>
                <w:spacing w:val="-5"/>
                <w:sz w:val="22"/>
              </w:rPr>
              <w:t>0,3</w:t>
            </w:r>
          </w:p>
        </w:tc>
      </w:tr>
      <w:tr>
        <w:trPr>
          <w:trHeight w:val="503" w:hRule="atLeast"/>
        </w:trPr>
        <w:tc>
          <w:tcPr>
            <w:tcW w:w="2134" w:type="dxa"/>
          </w:tcPr>
          <w:p>
            <w:pPr>
              <w:pStyle w:val="TableParagraph"/>
              <w:spacing w:line="249" w:lineRule="exact"/>
              <w:ind w:left="105"/>
              <w:rPr>
                <w:sz w:val="22"/>
              </w:rPr>
            </w:pPr>
            <w:r>
              <w:rPr>
                <w:spacing w:val="-2"/>
                <w:sz w:val="22"/>
              </w:rPr>
              <w:t>Астенотератозооспе</w:t>
            </w:r>
          </w:p>
          <w:p>
            <w:pPr>
              <w:pStyle w:val="TableParagraph"/>
              <w:spacing w:line="233" w:lineRule="exact" w:before="1"/>
              <w:ind w:left="105"/>
              <w:rPr>
                <w:sz w:val="22"/>
              </w:rPr>
            </w:pPr>
            <w:r>
              <w:rPr>
                <w:spacing w:val="-4"/>
                <w:sz w:val="22"/>
              </w:rPr>
              <w:t>рмия</w:t>
            </w:r>
          </w:p>
        </w:tc>
        <w:tc>
          <w:tcPr>
            <w:tcW w:w="802" w:type="dxa"/>
          </w:tcPr>
          <w:p>
            <w:pPr>
              <w:pStyle w:val="TableParagraph"/>
              <w:spacing w:before="123"/>
              <w:ind w:left="3"/>
              <w:jc w:val="center"/>
              <w:rPr>
                <w:sz w:val="22"/>
              </w:rPr>
            </w:pPr>
            <w:r>
              <w:rPr>
                <w:spacing w:val="-5"/>
                <w:sz w:val="22"/>
              </w:rPr>
              <w:t>23</w:t>
            </w:r>
          </w:p>
        </w:tc>
        <w:tc>
          <w:tcPr>
            <w:tcW w:w="665" w:type="dxa"/>
          </w:tcPr>
          <w:p>
            <w:pPr>
              <w:pStyle w:val="TableParagraph"/>
              <w:spacing w:before="123"/>
              <w:ind w:left="8" w:right="5"/>
              <w:jc w:val="center"/>
              <w:rPr>
                <w:sz w:val="22"/>
              </w:rPr>
            </w:pPr>
            <w:r>
              <w:rPr>
                <w:spacing w:val="-5"/>
                <w:sz w:val="22"/>
              </w:rPr>
              <w:t>2,4</w:t>
            </w:r>
          </w:p>
        </w:tc>
        <w:tc>
          <w:tcPr>
            <w:tcW w:w="799" w:type="dxa"/>
          </w:tcPr>
          <w:p>
            <w:pPr>
              <w:pStyle w:val="TableParagraph"/>
              <w:spacing w:before="123"/>
              <w:ind w:left="7"/>
              <w:jc w:val="center"/>
              <w:rPr>
                <w:sz w:val="22"/>
              </w:rPr>
            </w:pPr>
            <w:r>
              <w:rPr>
                <w:spacing w:val="-5"/>
                <w:sz w:val="22"/>
              </w:rPr>
              <w:t>3,6</w:t>
            </w:r>
          </w:p>
        </w:tc>
        <w:tc>
          <w:tcPr>
            <w:tcW w:w="801" w:type="dxa"/>
          </w:tcPr>
          <w:p>
            <w:pPr>
              <w:pStyle w:val="TableParagraph"/>
              <w:spacing w:before="123"/>
              <w:ind w:left="6"/>
              <w:jc w:val="center"/>
              <w:rPr>
                <w:sz w:val="22"/>
              </w:rPr>
            </w:pPr>
            <w:r>
              <w:rPr>
                <w:spacing w:val="-4"/>
                <w:sz w:val="22"/>
              </w:rPr>
              <w:t>35,3</w:t>
            </w:r>
          </w:p>
        </w:tc>
        <w:tc>
          <w:tcPr>
            <w:tcW w:w="796" w:type="dxa"/>
          </w:tcPr>
          <w:p>
            <w:pPr>
              <w:pStyle w:val="TableParagraph"/>
              <w:spacing w:before="123"/>
              <w:ind w:left="8" w:right="1"/>
              <w:jc w:val="center"/>
              <w:rPr>
                <w:sz w:val="22"/>
              </w:rPr>
            </w:pPr>
            <w:r>
              <w:rPr>
                <w:spacing w:val="-2"/>
                <w:sz w:val="22"/>
              </w:rPr>
              <w:t>126,6</w:t>
            </w:r>
          </w:p>
        </w:tc>
        <w:tc>
          <w:tcPr>
            <w:tcW w:w="666" w:type="dxa"/>
          </w:tcPr>
          <w:p>
            <w:pPr>
              <w:pStyle w:val="TableParagraph"/>
              <w:spacing w:before="123"/>
              <w:ind w:left="14"/>
              <w:jc w:val="center"/>
              <w:rPr>
                <w:sz w:val="22"/>
              </w:rPr>
            </w:pPr>
            <w:r>
              <w:rPr>
                <w:spacing w:val="-4"/>
                <w:sz w:val="22"/>
              </w:rPr>
              <w:t>51,2</w:t>
            </w:r>
          </w:p>
        </w:tc>
        <w:tc>
          <w:tcPr>
            <w:tcW w:w="798" w:type="dxa"/>
          </w:tcPr>
          <w:p>
            <w:pPr>
              <w:pStyle w:val="TableParagraph"/>
              <w:spacing w:before="123"/>
              <w:ind w:left="7"/>
              <w:jc w:val="center"/>
              <w:rPr>
                <w:sz w:val="22"/>
              </w:rPr>
            </w:pPr>
            <w:r>
              <w:rPr>
                <w:spacing w:val="-5"/>
                <w:sz w:val="22"/>
              </w:rPr>
              <w:t>19</w:t>
            </w:r>
          </w:p>
        </w:tc>
        <w:tc>
          <w:tcPr>
            <w:tcW w:w="798" w:type="dxa"/>
          </w:tcPr>
          <w:p>
            <w:pPr>
              <w:pStyle w:val="TableParagraph"/>
              <w:spacing w:before="123"/>
              <w:ind w:left="12"/>
              <w:jc w:val="center"/>
              <w:rPr>
                <w:sz w:val="22"/>
              </w:rPr>
            </w:pPr>
            <w:r>
              <w:rPr>
                <w:spacing w:val="-4"/>
                <w:sz w:val="22"/>
              </w:rPr>
              <w:t>32,3</w:t>
            </w:r>
          </w:p>
        </w:tc>
        <w:tc>
          <w:tcPr>
            <w:tcW w:w="666" w:type="dxa"/>
          </w:tcPr>
          <w:p>
            <w:pPr>
              <w:pStyle w:val="TableParagraph"/>
              <w:spacing w:before="123"/>
              <w:ind w:left="21"/>
              <w:jc w:val="center"/>
              <w:rPr>
                <w:sz w:val="22"/>
              </w:rPr>
            </w:pPr>
            <w:r>
              <w:rPr>
                <w:spacing w:val="-4"/>
                <w:sz w:val="22"/>
              </w:rPr>
              <w:t>48,8</w:t>
            </w:r>
          </w:p>
        </w:tc>
        <w:tc>
          <w:tcPr>
            <w:tcW w:w="930" w:type="dxa"/>
          </w:tcPr>
          <w:p>
            <w:pPr>
              <w:pStyle w:val="TableParagraph"/>
              <w:spacing w:before="123"/>
              <w:ind w:left="16"/>
              <w:jc w:val="center"/>
              <w:rPr>
                <w:sz w:val="22"/>
              </w:rPr>
            </w:pPr>
            <w:r>
              <w:rPr>
                <w:spacing w:val="-10"/>
                <w:sz w:val="22"/>
              </w:rPr>
              <w:t>3</w:t>
            </w:r>
          </w:p>
        </w:tc>
        <w:tc>
          <w:tcPr>
            <w:tcW w:w="625" w:type="dxa"/>
          </w:tcPr>
          <w:p>
            <w:pPr>
              <w:pStyle w:val="TableParagraph"/>
              <w:spacing w:before="123"/>
              <w:ind w:left="24"/>
              <w:jc w:val="center"/>
              <w:rPr>
                <w:sz w:val="22"/>
              </w:rPr>
            </w:pPr>
            <w:r>
              <w:rPr>
                <w:spacing w:val="-5"/>
                <w:sz w:val="22"/>
              </w:rPr>
              <w:t>0,5</w:t>
            </w:r>
          </w:p>
        </w:tc>
      </w:tr>
      <w:tr>
        <w:trPr>
          <w:trHeight w:val="506" w:hRule="atLeast"/>
        </w:trPr>
        <w:tc>
          <w:tcPr>
            <w:tcW w:w="2134" w:type="dxa"/>
          </w:tcPr>
          <w:p>
            <w:pPr>
              <w:pStyle w:val="TableParagraph"/>
              <w:spacing w:line="254" w:lineRule="exact"/>
              <w:ind w:left="105"/>
              <w:rPr>
                <w:sz w:val="22"/>
              </w:rPr>
            </w:pPr>
            <w:r>
              <w:rPr>
                <w:spacing w:val="-2"/>
                <w:sz w:val="22"/>
              </w:rPr>
              <w:t>Астенозооспермия, лейкоцитоспермия</w:t>
            </w:r>
          </w:p>
        </w:tc>
        <w:tc>
          <w:tcPr>
            <w:tcW w:w="802" w:type="dxa"/>
          </w:tcPr>
          <w:p>
            <w:pPr>
              <w:pStyle w:val="TableParagraph"/>
              <w:spacing w:before="125"/>
              <w:ind w:left="3"/>
              <w:jc w:val="center"/>
              <w:rPr>
                <w:sz w:val="22"/>
              </w:rPr>
            </w:pPr>
            <w:r>
              <w:rPr>
                <w:spacing w:val="-5"/>
                <w:sz w:val="22"/>
              </w:rPr>
              <w:t>17</w:t>
            </w:r>
          </w:p>
        </w:tc>
        <w:tc>
          <w:tcPr>
            <w:tcW w:w="665" w:type="dxa"/>
          </w:tcPr>
          <w:p>
            <w:pPr>
              <w:pStyle w:val="TableParagraph"/>
              <w:spacing w:before="125"/>
              <w:ind w:left="8" w:right="5"/>
              <w:jc w:val="center"/>
              <w:rPr>
                <w:sz w:val="22"/>
              </w:rPr>
            </w:pPr>
            <w:r>
              <w:rPr>
                <w:spacing w:val="-5"/>
                <w:sz w:val="22"/>
              </w:rPr>
              <w:t>1,8</w:t>
            </w:r>
          </w:p>
        </w:tc>
        <w:tc>
          <w:tcPr>
            <w:tcW w:w="799" w:type="dxa"/>
          </w:tcPr>
          <w:p>
            <w:pPr>
              <w:pStyle w:val="TableParagraph"/>
              <w:spacing w:before="125"/>
              <w:ind w:left="7"/>
              <w:jc w:val="center"/>
              <w:rPr>
                <w:sz w:val="22"/>
              </w:rPr>
            </w:pPr>
            <w:r>
              <w:rPr>
                <w:spacing w:val="-5"/>
                <w:sz w:val="22"/>
              </w:rPr>
              <w:t>3,9</w:t>
            </w:r>
          </w:p>
        </w:tc>
        <w:tc>
          <w:tcPr>
            <w:tcW w:w="801" w:type="dxa"/>
          </w:tcPr>
          <w:p>
            <w:pPr>
              <w:pStyle w:val="TableParagraph"/>
              <w:spacing w:before="125"/>
              <w:ind w:left="6"/>
              <w:jc w:val="center"/>
              <w:rPr>
                <w:sz w:val="22"/>
              </w:rPr>
            </w:pPr>
            <w:r>
              <w:rPr>
                <w:spacing w:val="-4"/>
                <w:sz w:val="22"/>
              </w:rPr>
              <w:t>66,6</w:t>
            </w:r>
          </w:p>
        </w:tc>
        <w:tc>
          <w:tcPr>
            <w:tcW w:w="796" w:type="dxa"/>
          </w:tcPr>
          <w:p>
            <w:pPr>
              <w:pStyle w:val="TableParagraph"/>
              <w:spacing w:before="125"/>
              <w:ind w:left="8" w:right="1"/>
              <w:jc w:val="center"/>
              <w:rPr>
                <w:sz w:val="22"/>
              </w:rPr>
            </w:pPr>
            <w:r>
              <w:rPr>
                <w:spacing w:val="-2"/>
                <w:sz w:val="22"/>
              </w:rPr>
              <w:t>240,6</w:t>
            </w:r>
          </w:p>
        </w:tc>
        <w:tc>
          <w:tcPr>
            <w:tcW w:w="666" w:type="dxa"/>
          </w:tcPr>
          <w:p>
            <w:pPr>
              <w:pStyle w:val="TableParagraph"/>
              <w:spacing w:before="125"/>
              <w:ind w:left="14"/>
              <w:jc w:val="center"/>
              <w:rPr>
                <w:sz w:val="22"/>
              </w:rPr>
            </w:pPr>
            <w:r>
              <w:rPr>
                <w:spacing w:val="-4"/>
                <w:sz w:val="22"/>
              </w:rPr>
              <w:t>55,6</w:t>
            </w:r>
          </w:p>
        </w:tc>
        <w:tc>
          <w:tcPr>
            <w:tcW w:w="798" w:type="dxa"/>
          </w:tcPr>
          <w:p>
            <w:pPr>
              <w:pStyle w:val="TableParagraph"/>
              <w:spacing w:before="125"/>
              <w:ind w:left="9"/>
              <w:jc w:val="center"/>
              <w:rPr>
                <w:sz w:val="22"/>
              </w:rPr>
            </w:pPr>
            <w:r>
              <w:rPr>
                <w:spacing w:val="-4"/>
                <w:sz w:val="22"/>
              </w:rPr>
              <w:t>23,8</w:t>
            </w:r>
          </w:p>
        </w:tc>
        <w:tc>
          <w:tcPr>
            <w:tcW w:w="798" w:type="dxa"/>
          </w:tcPr>
          <w:p>
            <w:pPr>
              <w:pStyle w:val="TableParagraph"/>
              <w:spacing w:before="125"/>
              <w:ind w:left="11"/>
              <w:jc w:val="center"/>
              <w:rPr>
                <w:sz w:val="22"/>
              </w:rPr>
            </w:pPr>
            <w:r>
              <w:rPr>
                <w:spacing w:val="-4"/>
                <w:sz w:val="22"/>
              </w:rPr>
              <w:t>31,8</w:t>
            </w:r>
          </w:p>
        </w:tc>
        <w:tc>
          <w:tcPr>
            <w:tcW w:w="666" w:type="dxa"/>
          </w:tcPr>
          <w:p>
            <w:pPr>
              <w:pStyle w:val="TableParagraph"/>
              <w:spacing w:before="125"/>
              <w:ind w:left="21"/>
              <w:jc w:val="center"/>
              <w:rPr>
                <w:sz w:val="22"/>
              </w:rPr>
            </w:pPr>
            <w:r>
              <w:rPr>
                <w:spacing w:val="-4"/>
                <w:sz w:val="22"/>
              </w:rPr>
              <w:t>44,4</w:t>
            </w:r>
          </w:p>
        </w:tc>
        <w:tc>
          <w:tcPr>
            <w:tcW w:w="930" w:type="dxa"/>
          </w:tcPr>
          <w:p>
            <w:pPr>
              <w:pStyle w:val="TableParagraph"/>
              <w:spacing w:before="125"/>
              <w:ind w:left="16"/>
              <w:jc w:val="center"/>
              <w:rPr>
                <w:sz w:val="22"/>
              </w:rPr>
            </w:pPr>
            <w:r>
              <w:rPr>
                <w:spacing w:val="-10"/>
                <w:sz w:val="22"/>
              </w:rPr>
              <w:t>5</w:t>
            </w:r>
          </w:p>
        </w:tc>
        <w:tc>
          <w:tcPr>
            <w:tcW w:w="625" w:type="dxa"/>
          </w:tcPr>
          <w:p>
            <w:pPr>
              <w:pStyle w:val="TableParagraph"/>
              <w:spacing w:before="125"/>
              <w:ind w:left="24" w:right="1"/>
              <w:jc w:val="center"/>
              <w:rPr>
                <w:sz w:val="22"/>
              </w:rPr>
            </w:pPr>
            <w:r>
              <w:rPr>
                <w:spacing w:val="-5"/>
                <w:sz w:val="22"/>
              </w:rPr>
              <w:t>2,3</w:t>
            </w:r>
          </w:p>
        </w:tc>
      </w:tr>
    </w:tbl>
    <w:p>
      <w:pPr>
        <w:pStyle w:val="BodyText"/>
        <w:spacing w:before="25"/>
        <w:jc w:val="left"/>
      </w:pPr>
    </w:p>
    <w:p>
      <w:pPr>
        <w:pStyle w:val="BodyText"/>
        <w:spacing w:line="256" w:lineRule="auto"/>
        <w:ind w:left="285" w:right="279" w:firstLine="707"/>
      </w:pPr>
      <w:r>
        <w:rPr/>
        <w:t>В случае </w:t>
      </w:r>
      <w:r>
        <w:rPr>
          <w:i/>
        </w:rPr>
        <w:t>нормозооспермии </w:t>
      </w:r>
      <w:r>
        <w:rPr/>
        <w:t>показатели объема спермы, концентрации сперматозоидов, их подвижности и морфологии были в пределах нормы, эритроцитов в сперме обнаружено не было, а число лейкоцитов не превышало 1 млн/мл. При данном заключении вязкость спермы была повышена у 65 человек (14,4% от всех пациентов данной группы), агглютинация и агрегация сперматозоидов наблюдались у 18 (4% от группы) и 57 (12,6% от группы) человек, соответственно. Антиспермальные антитела (MAR тест) наблюдались у 14 мужчин, что составляет 3,1% от группы.</w:t>
      </w:r>
    </w:p>
    <w:p>
      <w:pPr>
        <w:pStyle w:val="BodyText"/>
        <w:spacing w:line="256" w:lineRule="auto" w:before="5"/>
        <w:ind w:left="285" w:right="279" w:firstLine="708"/>
      </w:pPr>
      <w:r>
        <w:rPr/>
        <w:t>При</w:t>
      </w:r>
      <w:r>
        <w:rPr>
          <w:spacing w:val="40"/>
        </w:rPr>
        <w:t> </w:t>
      </w:r>
      <w:r>
        <w:rPr>
          <w:i/>
        </w:rPr>
        <w:t>астенозооспермии</w:t>
      </w:r>
      <w:r>
        <w:rPr>
          <w:i/>
          <w:spacing w:val="40"/>
        </w:rPr>
        <w:t> </w:t>
      </w:r>
      <w:r>
        <w:rPr/>
        <w:t>наблюдалось</w:t>
      </w:r>
      <w:r>
        <w:rPr>
          <w:spacing w:val="40"/>
        </w:rPr>
        <w:t> </w:t>
      </w:r>
      <w:r>
        <w:rPr/>
        <w:t>снижение</w:t>
      </w:r>
      <w:r>
        <w:rPr>
          <w:spacing w:val="40"/>
        </w:rPr>
        <w:t> </w:t>
      </w:r>
      <w:r>
        <w:rPr/>
        <w:t>доли</w:t>
      </w:r>
      <w:r>
        <w:rPr>
          <w:spacing w:val="40"/>
        </w:rPr>
        <w:t> </w:t>
      </w:r>
      <w:r>
        <w:rPr/>
        <w:t>прогрессивно-подвижных сперматозоидов - 23,2% при норме 32% и выше. При этом, общая подвижность</w:t>
      </w:r>
      <w:r>
        <w:rPr>
          <w:spacing w:val="80"/>
        </w:rPr>
        <w:t> </w:t>
      </w:r>
      <w:r>
        <w:rPr/>
        <w:t>была</w:t>
      </w:r>
      <w:r>
        <w:rPr>
          <w:spacing w:val="80"/>
        </w:rPr>
        <w:t> </w:t>
      </w:r>
      <w:r>
        <w:rPr/>
        <w:t>в</w:t>
      </w:r>
      <w:r>
        <w:rPr>
          <w:spacing w:val="80"/>
        </w:rPr>
        <w:t> </w:t>
      </w:r>
      <w:r>
        <w:rPr/>
        <w:t>пределах</w:t>
      </w:r>
      <w:r>
        <w:rPr>
          <w:spacing w:val="80"/>
        </w:rPr>
        <w:t> </w:t>
      </w:r>
      <w:r>
        <w:rPr/>
        <w:t>нормы</w:t>
      </w:r>
      <w:r>
        <w:rPr>
          <w:spacing w:val="80"/>
        </w:rPr>
        <w:t> </w:t>
      </w:r>
      <w:r>
        <w:rPr/>
        <w:t>у</w:t>
      </w:r>
      <w:r>
        <w:rPr>
          <w:spacing w:val="80"/>
        </w:rPr>
        <w:t> </w:t>
      </w:r>
      <w:r>
        <w:rPr/>
        <w:t>55,1%.</w:t>
      </w:r>
      <w:r>
        <w:rPr>
          <w:spacing w:val="80"/>
        </w:rPr>
        <w:t> </w:t>
      </w:r>
      <w:r>
        <w:rPr/>
        <w:t>Вязкость</w:t>
      </w:r>
      <w:r>
        <w:rPr>
          <w:spacing w:val="80"/>
        </w:rPr>
        <w:t> </w:t>
      </w:r>
      <w:r>
        <w:rPr/>
        <w:t>была</w:t>
      </w:r>
      <w:r>
        <w:rPr>
          <w:spacing w:val="80"/>
        </w:rPr>
        <w:t> </w:t>
      </w:r>
      <w:r>
        <w:rPr/>
        <w:t>повышена</w:t>
      </w:r>
      <w:r>
        <w:rPr>
          <w:spacing w:val="80"/>
        </w:rPr>
        <w:t> </w:t>
      </w:r>
      <w:r>
        <w:rPr/>
        <w:t>у</w:t>
      </w:r>
      <w:r>
        <w:rPr>
          <w:spacing w:val="80"/>
        </w:rPr>
        <w:t> </w:t>
      </w:r>
      <w:r>
        <w:rPr/>
        <w:t>37</w:t>
      </w:r>
    </w:p>
    <w:p>
      <w:pPr>
        <w:pStyle w:val="BodyText"/>
        <w:spacing w:after="0" w:line="256" w:lineRule="auto"/>
        <w:sectPr>
          <w:pgSz w:w="11910" w:h="16840"/>
          <w:pgMar w:header="0" w:footer="983" w:top="340" w:bottom="1200" w:left="566" w:right="566"/>
        </w:sectPr>
      </w:pPr>
    </w:p>
    <w:p>
      <w:pPr>
        <w:pStyle w:val="BodyText"/>
        <w:spacing w:line="256" w:lineRule="auto" w:before="69"/>
        <w:ind w:left="285" w:right="279"/>
      </w:pPr>
      <w:r>
        <w:rPr/>
        <w:t>мужчин, что составляет 24,2% от группы; агглютинация выявилась у 4 муж (2,6%); агрегация</w:t>
      </w:r>
      <w:r>
        <w:rPr>
          <w:spacing w:val="-3"/>
        </w:rPr>
        <w:t> </w:t>
      </w:r>
      <w:r>
        <w:rPr/>
        <w:t>-</w:t>
      </w:r>
      <w:r>
        <w:rPr>
          <w:spacing w:val="-3"/>
        </w:rPr>
        <w:t> </w:t>
      </w:r>
      <w:r>
        <w:rPr/>
        <w:t>у</w:t>
      </w:r>
      <w:r>
        <w:rPr>
          <w:spacing w:val="-2"/>
        </w:rPr>
        <w:t> </w:t>
      </w:r>
      <w:r>
        <w:rPr/>
        <w:t>11</w:t>
      </w:r>
      <w:r>
        <w:rPr>
          <w:spacing w:val="-2"/>
        </w:rPr>
        <w:t> </w:t>
      </w:r>
      <w:r>
        <w:rPr/>
        <w:t>(7,2%).</w:t>
      </w:r>
      <w:r>
        <w:rPr>
          <w:spacing w:val="-3"/>
        </w:rPr>
        <w:t> </w:t>
      </w:r>
      <w:r>
        <w:rPr/>
        <w:t>MAR-тест</w:t>
      </w:r>
      <w:r>
        <w:rPr>
          <w:spacing w:val="-3"/>
        </w:rPr>
        <w:t> </w:t>
      </w:r>
      <w:r>
        <w:rPr/>
        <w:t>показал</w:t>
      </w:r>
      <w:r>
        <w:rPr>
          <w:spacing w:val="-4"/>
        </w:rPr>
        <w:t> </w:t>
      </w:r>
      <w:r>
        <w:rPr/>
        <w:t>положительные</w:t>
      </w:r>
      <w:r>
        <w:rPr>
          <w:spacing w:val="-3"/>
        </w:rPr>
        <w:t> </w:t>
      </w:r>
      <w:r>
        <w:rPr/>
        <w:t>результаты</w:t>
      </w:r>
      <w:r>
        <w:rPr>
          <w:spacing w:val="-2"/>
        </w:rPr>
        <w:t> </w:t>
      </w:r>
      <w:r>
        <w:rPr/>
        <w:t>у</w:t>
      </w:r>
      <w:r>
        <w:rPr>
          <w:spacing w:val="-2"/>
        </w:rPr>
        <w:t> </w:t>
      </w:r>
      <w:r>
        <w:rPr/>
        <w:t>3</w:t>
      </w:r>
      <w:r>
        <w:rPr>
          <w:spacing w:val="-2"/>
        </w:rPr>
        <w:t> </w:t>
      </w:r>
      <w:r>
        <w:rPr/>
        <w:t>пациентов (2%). Все остальные результаты были в пределах нормы.</w:t>
      </w:r>
    </w:p>
    <w:p>
      <w:pPr>
        <w:pStyle w:val="BodyText"/>
        <w:spacing w:line="256" w:lineRule="auto"/>
        <w:ind w:left="285" w:right="279" w:firstLine="708"/>
      </w:pPr>
      <w:r>
        <w:rPr>
          <w:i/>
        </w:rPr>
        <w:t>Лейкоцитоспермия</w:t>
      </w:r>
      <w:r>
        <w:rPr>
          <w:b/>
        </w:rPr>
        <w:t>. </w:t>
      </w:r>
      <w:r>
        <w:rPr/>
        <w:t>Показатель лейкоцитов пациентов данной группы достиг значения в 4,4 млн/мл, что превышает норму на 3,4 млн/мл. Показатели подвижности, морфологии и количества были в пределах допустимых значений. Повышение вязкости спермы и агрегации сперматозоидов были выявлены у 6 исследуемых данной группы или у 13,6%; агглютинация обнаружилась только у 2 человек (4,5%). Положительных результатов MAR-теста в данной группе выявлено не было.</w:t>
      </w:r>
    </w:p>
    <w:p>
      <w:pPr>
        <w:pStyle w:val="BodyText"/>
        <w:spacing w:line="256" w:lineRule="auto" w:before="1"/>
        <w:ind w:left="285" w:right="279" w:firstLine="708"/>
      </w:pPr>
      <w:r>
        <w:rPr/>
        <w:t>Следующим по распространенности заключением стала </w:t>
      </w:r>
      <w:r>
        <w:rPr>
          <w:i/>
        </w:rPr>
        <w:t>олигозооспермия. </w:t>
      </w:r>
      <w:r>
        <w:rPr/>
        <w:t>Концентрация сперматозоидов при этом была снижена в 1,6 раз и составила 9,2 млн/мл; при этом общее количество сперматозоидов в эякуляте было снижено незначительно - на 4,3 млн/эякулят от нормы. Вязкость спермы в данной группе была повышена у 8 мужчин (21,6% от группы). У 1 мужчины выявилась агрегация и у 1 агглютинация (по 2,7%).</w:t>
      </w:r>
    </w:p>
    <w:p>
      <w:pPr>
        <w:pStyle w:val="BodyText"/>
        <w:spacing w:line="256" w:lineRule="auto" w:before="2"/>
        <w:ind w:left="284" w:right="279" w:firstLine="708"/>
      </w:pPr>
      <w:r>
        <w:rPr/>
        <w:t>Заключение </w:t>
      </w:r>
      <w:r>
        <w:rPr>
          <w:i/>
        </w:rPr>
        <w:t>олигоастенотератозооспермия </w:t>
      </w:r>
      <w:r>
        <w:rPr/>
        <w:t>(ОАТ или ОАТзс), сочетающий в себе сразу три патологии сперматозоидов, был на</w:t>
      </w:r>
      <w:r>
        <w:rPr>
          <w:spacing w:val="-1"/>
        </w:rPr>
        <w:t> </w:t>
      </w:r>
      <w:r>
        <w:rPr/>
        <w:t>5ом месте по распространенности. При нем концентрация сперматозоидов была понижена в 1,8 раз от нормы и составила 8,5 млн/мл. Общее количество сперматозоидов также было снижено, но незначительно - на 2,6 млн/мл. Общая подвижность соответствовала норме, однако доля прогрессивно-подвижных клеток была ниже нормы в 1,9 раз (17% при норме 32). Также в 1,5 раза меньше нормы (2,7%) было сперматозоидов с нормальной морфологией. Почти у трети группы (10 человек) была повышена вязкость, а агрегация выявилась у 1 пациента, также, как и агглютинация. Тест на иммунологическое бесплодие показал положительный результат у 3х мужчин.</w:t>
      </w:r>
    </w:p>
    <w:p>
      <w:pPr>
        <w:pStyle w:val="BodyText"/>
        <w:spacing w:line="256" w:lineRule="auto" w:before="4"/>
        <w:ind w:left="284" w:right="280" w:firstLine="708"/>
      </w:pPr>
      <w:r>
        <w:rPr/>
        <w:t>При </w:t>
      </w:r>
      <w:r>
        <w:rPr>
          <w:i/>
        </w:rPr>
        <w:t>олигоастенозооспермии </w:t>
      </w:r>
      <w:r>
        <w:rPr/>
        <w:t>были снижены показатели концентрации сперматозоидов и их подвижности. Так, концентрация сперматозоидов в 1 мл составила 10,7 млн. при норме от 15 млн/мл; общее их количество на эякулят составило 35,3 млн при норме от 39 млн/эякулят. Была снижена доля прогрессивно-подвижных сперматозоидов до 21%, то есть в 1,5 раза от нормы.</w:t>
      </w:r>
    </w:p>
    <w:p>
      <w:pPr>
        <w:pStyle w:val="BodyText"/>
        <w:spacing w:line="256" w:lineRule="auto" w:before="1"/>
        <w:ind w:left="285" w:right="281" w:firstLine="707"/>
      </w:pPr>
      <w:r>
        <w:rPr/>
        <w:t>У 8 мужчин из группы (25,8%) была повышена вязкость эякулята, у двух</w:t>
      </w:r>
      <w:r>
        <w:rPr>
          <w:spacing w:val="80"/>
        </w:rPr>
        <w:t> </w:t>
      </w:r>
      <w:r>
        <w:rPr/>
        <w:t>(6,5% от группы) - MAR-тест был положительным.</w:t>
      </w:r>
    </w:p>
    <w:p>
      <w:pPr>
        <w:pStyle w:val="BodyText"/>
        <w:spacing w:line="256" w:lineRule="auto"/>
        <w:ind w:left="285" w:right="279" w:firstLine="707"/>
      </w:pPr>
      <w:r>
        <w:rPr/>
        <w:t>В</w:t>
      </w:r>
      <w:r>
        <w:rPr>
          <w:spacing w:val="-1"/>
        </w:rPr>
        <w:t> </w:t>
      </w:r>
      <w:r>
        <w:rPr/>
        <w:t>случае</w:t>
      </w:r>
      <w:r>
        <w:rPr>
          <w:spacing w:val="-3"/>
        </w:rPr>
        <w:t> </w:t>
      </w:r>
      <w:r>
        <w:rPr>
          <w:i/>
        </w:rPr>
        <w:t>олигоспермии </w:t>
      </w:r>
      <w:r>
        <w:rPr/>
        <w:t>все основные показатели,</w:t>
      </w:r>
      <w:r>
        <w:rPr>
          <w:spacing w:val="-1"/>
        </w:rPr>
        <w:t> </w:t>
      </w:r>
      <w:r>
        <w:rPr/>
        <w:t>кроме</w:t>
      </w:r>
      <w:r>
        <w:rPr>
          <w:spacing w:val="-3"/>
        </w:rPr>
        <w:t> </w:t>
      </w:r>
      <w:r>
        <w:rPr/>
        <w:t>объема эякулята,</w:t>
      </w:r>
      <w:r>
        <w:rPr>
          <w:spacing w:val="-3"/>
        </w:rPr>
        <w:t> </w:t>
      </w:r>
      <w:r>
        <w:rPr/>
        <w:t>были в норме. Объем же был снижен в 1,4 раза, а среднее значение на группу составило 1,1 мл. 5 человек из группы (16,1%) имели повышенную вязкость эякулята. У 1 (3,2%) наблюдалась агглютинация, у 7 (22,6%) - агрегация сперматозоидов. В дополнение, у двух человек из группы (6,5%) MAR-тест был положительным.</w:t>
      </w:r>
    </w:p>
    <w:p>
      <w:pPr>
        <w:pStyle w:val="BodyText"/>
        <w:spacing w:line="256" w:lineRule="auto" w:before="3"/>
        <w:ind w:left="285" w:right="281" w:firstLine="707"/>
      </w:pPr>
      <w:r>
        <w:rPr/>
        <w:t>Концентрация сперматозоидов и общее их количество в эякуляте были нулевыми при заключении </w:t>
      </w:r>
      <w:r>
        <w:rPr>
          <w:i/>
        </w:rPr>
        <w:t>азооспермия. </w:t>
      </w:r>
      <w:r>
        <w:rPr/>
        <w:t>При этом объем эякулята был в норме (3,4 </w:t>
      </w:r>
      <w:r>
        <w:rPr>
          <w:spacing w:val="-4"/>
        </w:rPr>
        <w:t>мл).</w:t>
      </w:r>
    </w:p>
    <w:p>
      <w:pPr>
        <w:pStyle w:val="BodyText"/>
        <w:spacing w:line="256" w:lineRule="auto"/>
        <w:ind w:left="285" w:right="281" w:firstLine="707"/>
      </w:pPr>
      <w:r>
        <w:rPr/>
        <w:t>Единичные подвижные сперматозоиды наблюдались при </w:t>
      </w:r>
      <w:r>
        <w:rPr>
          <w:i/>
        </w:rPr>
        <w:t>криптозооспермии</w:t>
      </w:r>
      <w:r>
        <w:rPr/>
        <w:t>, хотя объем эякулята также был в пределах нормы - 3,9 мл/группа. У 25% или 6 мужчин группы была повышена вязкость спермы.</w:t>
      </w:r>
    </w:p>
    <w:p>
      <w:pPr>
        <w:pStyle w:val="BodyText"/>
        <w:spacing w:after="0" w:line="256" w:lineRule="auto"/>
        <w:sectPr>
          <w:pgSz w:w="11910" w:h="16840"/>
          <w:pgMar w:header="0" w:footer="983" w:top="340" w:bottom="1180" w:left="566" w:right="566"/>
        </w:sectPr>
      </w:pPr>
    </w:p>
    <w:p>
      <w:pPr>
        <w:pStyle w:val="BodyText"/>
        <w:spacing w:line="256" w:lineRule="auto" w:before="69"/>
        <w:ind w:left="286" w:right="279" w:firstLine="707"/>
      </w:pPr>
      <w:r>
        <w:rPr/>
        <w:t>На 10-м месте расположилась патология </w:t>
      </w:r>
      <w:r>
        <w:rPr>
          <w:b/>
        </w:rPr>
        <w:t>- </w:t>
      </w:r>
      <w:r>
        <w:rPr>
          <w:i/>
        </w:rPr>
        <w:t>астенотератозооспермия</w:t>
      </w:r>
      <w:r>
        <w:rPr/>
        <w:t>. При ней показатель</w:t>
      </w:r>
      <w:r>
        <w:rPr>
          <w:spacing w:val="-1"/>
        </w:rPr>
        <w:t> </w:t>
      </w:r>
      <w:r>
        <w:rPr/>
        <w:t>прогрессивно-подвижных сперматозоидов</w:t>
      </w:r>
      <w:r>
        <w:rPr>
          <w:spacing w:val="-1"/>
        </w:rPr>
        <w:t> </w:t>
      </w:r>
      <w:r>
        <w:rPr/>
        <w:t>-</w:t>
      </w:r>
      <w:r>
        <w:rPr>
          <w:spacing w:val="-1"/>
        </w:rPr>
        <w:t> </w:t>
      </w:r>
      <w:r>
        <w:rPr/>
        <w:t>был</w:t>
      </w:r>
      <w:r>
        <w:rPr>
          <w:spacing w:val="-2"/>
        </w:rPr>
        <w:t> </w:t>
      </w:r>
      <w:r>
        <w:rPr/>
        <w:t>снижен</w:t>
      </w:r>
      <w:r>
        <w:rPr>
          <w:spacing w:val="-1"/>
        </w:rPr>
        <w:t> </w:t>
      </w:r>
      <w:r>
        <w:rPr/>
        <w:t>в</w:t>
      </w:r>
      <w:r>
        <w:rPr>
          <w:spacing w:val="-1"/>
        </w:rPr>
        <w:t> </w:t>
      </w:r>
      <w:r>
        <w:rPr/>
        <w:t>1,7 раз</w:t>
      </w:r>
      <w:r>
        <w:rPr>
          <w:spacing w:val="-1"/>
        </w:rPr>
        <w:t> </w:t>
      </w:r>
      <w:r>
        <w:rPr/>
        <w:t>(18,5%) и показатель сперматозоидов с нормальной морфологией - был снижен на 1% от </w:t>
      </w:r>
      <w:r>
        <w:rPr>
          <w:spacing w:val="-2"/>
        </w:rPr>
        <w:t>нормы.</w:t>
      </w:r>
    </w:p>
    <w:p>
      <w:pPr>
        <w:pStyle w:val="BodyText"/>
        <w:spacing w:line="256" w:lineRule="auto"/>
        <w:ind w:left="285" w:right="280" w:firstLine="708"/>
      </w:pPr>
      <w:r>
        <w:rPr/>
        <w:t>4 человека (18,2%) имели повышенную вязкость эякулята; у одного (4,5%) наблюдалась агглютинация и у троих (13,6%) - агрегация сперматозоидов. Остальные показатели были в норме.</w:t>
      </w:r>
    </w:p>
    <w:p>
      <w:pPr>
        <w:pStyle w:val="BodyText"/>
        <w:spacing w:line="256" w:lineRule="auto"/>
        <w:ind w:left="285" w:right="279" w:firstLine="707"/>
      </w:pPr>
      <w:r>
        <w:rPr/>
        <w:t>Также</w:t>
      </w:r>
      <w:r>
        <w:rPr>
          <w:spacing w:val="-1"/>
        </w:rPr>
        <w:t> </w:t>
      </w:r>
      <w:r>
        <w:rPr/>
        <w:t>одним</w:t>
      </w:r>
      <w:r>
        <w:rPr>
          <w:spacing w:val="-2"/>
        </w:rPr>
        <w:t> </w:t>
      </w:r>
      <w:r>
        <w:rPr/>
        <w:t>из</w:t>
      </w:r>
      <w:r>
        <w:rPr>
          <w:spacing w:val="-2"/>
        </w:rPr>
        <w:t> </w:t>
      </w:r>
      <w:r>
        <w:rPr/>
        <w:t>распространенных состояний</w:t>
      </w:r>
      <w:r>
        <w:rPr>
          <w:spacing w:val="-1"/>
        </w:rPr>
        <w:t> </w:t>
      </w:r>
      <w:r>
        <w:rPr/>
        <w:t>среди</w:t>
      </w:r>
      <w:r>
        <w:rPr>
          <w:spacing w:val="-1"/>
        </w:rPr>
        <w:t> </w:t>
      </w:r>
      <w:r>
        <w:rPr/>
        <w:t>исследованных пациентов была </w:t>
      </w:r>
      <w:r>
        <w:rPr>
          <w:i/>
        </w:rPr>
        <w:t>астенозооспермия в совокупности с лейкоцитоспермией</w:t>
      </w:r>
      <w:r>
        <w:rPr/>
        <w:t>. При данных патологиях до 23,8% снижена доля прогрессивно-подвижных сперматозоидов при норме от 32%. Количество же лейкоцитов было повышено в 2,3 раза относительно нормы. Вязкость спермы в данной группе была повышена у 5 мужчин (что</w:t>
      </w:r>
      <w:r>
        <w:rPr>
          <w:spacing w:val="40"/>
        </w:rPr>
        <w:t> </w:t>
      </w:r>
      <w:r>
        <w:rPr/>
        <w:t>составило 29,4% от группы), агглютинация обнаружилась у 1 мужчины (5,9%), агрегация - у двух (11,8%). Остальные показатели были в пределах референтных </w:t>
      </w:r>
      <w:r>
        <w:rPr>
          <w:spacing w:val="-2"/>
        </w:rPr>
        <w:t>значений.</w:t>
      </w:r>
    </w:p>
    <w:p>
      <w:pPr>
        <w:pStyle w:val="BodyText"/>
        <w:spacing w:line="256" w:lineRule="auto" w:before="2"/>
        <w:ind w:left="285" w:right="279" w:firstLine="707"/>
      </w:pPr>
      <w:r>
        <w:rPr/>
        <w:t>Для остальных типов патологий, составивших менее 1% от общего числа исследованных, описания показателей не приводятся, все значения указаны в приложении Б.</w:t>
      </w:r>
    </w:p>
    <w:p>
      <w:pPr>
        <w:pStyle w:val="BodyText"/>
        <w:spacing w:line="256" w:lineRule="auto" w:before="1"/>
        <w:ind w:left="286" w:right="279" w:firstLine="707"/>
      </w:pPr>
      <w:r>
        <w:rPr/>
        <w:t>Исходя из полученных результатов, следует вывод о том, что астенозооспермия является самым распространенным отклонением эякулята. 308 из 957 исследованных мужчин (32,2%) имели проявление этого признака как в изолированной форме (153 человека,</w:t>
      </w:r>
      <w:r>
        <w:rPr>
          <w:spacing w:val="-3"/>
        </w:rPr>
        <w:t> </w:t>
      </w:r>
      <w:r>
        <w:rPr/>
        <w:t>16,0 %) так и в</w:t>
      </w:r>
      <w:r>
        <w:rPr>
          <w:spacing w:val="-1"/>
        </w:rPr>
        <w:t> </w:t>
      </w:r>
      <w:r>
        <w:rPr/>
        <w:t>сочетании с иными аномалиями эякулята (155 человек, 16,2%). Существующие способы управления данной проблемой, в большинстве своем представлены витаминно-минеральными комплексами, жирными кислотами в форме БАД к пище. Такие средства требуют длительного перорального приема и не всегда приводят к окончательной коррекции астенозооспермии. Данное обстоятельство указывает на потребность в поиске средств, повышающих подвижность сперматозоидов, в том числе альтернативных.</w:t>
      </w:r>
    </w:p>
    <w:p>
      <w:pPr>
        <w:pStyle w:val="BodyText"/>
        <w:spacing w:before="27"/>
        <w:jc w:val="left"/>
      </w:pPr>
    </w:p>
    <w:p>
      <w:pPr>
        <w:pStyle w:val="Heading2"/>
        <w:numPr>
          <w:ilvl w:val="2"/>
          <w:numId w:val="4"/>
        </w:numPr>
        <w:tabs>
          <w:tab w:pos="1623" w:val="left" w:leader="none"/>
        </w:tabs>
        <w:spacing w:line="240" w:lineRule="auto" w:before="0" w:after="0"/>
        <w:ind w:left="1623" w:right="0" w:hanging="629"/>
        <w:jc w:val="both"/>
      </w:pPr>
      <w:r>
        <w:rPr/>
        <w:t>Антиспермальные</w:t>
      </w:r>
      <w:r>
        <w:rPr>
          <w:spacing w:val="-5"/>
        </w:rPr>
        <w:t> </w:t>
      </w:r>
      <w:r>
        <w:rPr/>
        <w:t>антитела</w:t>
      </w:r>
      <w:r>
        <w:rPr>
          <w:spacing w:val="-3"/>
        </w:rPr>
        <w:t> </w:t>
      </w:r>
      <w:r>
        <w:rPr/>
        <w:t>IgG</w:t>
      </w:r>
      <w:r>
        <w:rPr>
          <w:spacing w:val="-7"/>
        </w:rPr>
        <w:t> </w:t>
      </w:r>
      <w:r>
        <w:rPr/>
        <w:t>в</w:t>
      </w:r>
      <w:r>
        <w:rPr>
          <w:spacing w:val="-4"/>
        </w:rPr>
        <w:t> </w:t>
      </w:r>
      <w:r>
        <w:rPr>
          <w:spacing w:val="-2"/>
        </w:rPr>
        <w:t>сперме</w:t>
      </w:r>
    </w:p>
    <w:p>
      <w:pPr>
        <w:pStyle w:val="BodyText"/>
        <w:spacing w:line="256" w:lineRule="auto" w:before="22"/>
        <w:ind w:left="286" w:right="278" w:firstLine="707"/>
      </w:pPr>
      <w:r>
        <w:rPr/>
        <w:t>Антиспермальные антитела (АСАТ) принадлежат к иммуноглобулинам IgG, IgA и IgM, которые направлены против антигенов сперматозоидов. Антиспермальные антитела считаются причиной бесплодия, по разным исследованиям, у 10—30% бесплодных пар [207]. Нарушения гемато-тестикулярного барьера, такие как инфекции, травмы или оперативные вмешательства, могут инициировать проникновение циркулирующих иммунных клеток в мужской половой тракт, делая доступной сперму для иммунной системы. Когда это происходит, супрессорная активность Т-клеток может подавляться преимущественно продукцией антител к антигенам спермы. Как у мужчин, так и у женщин действие АСАТ направлено против поверхностных антигенов сперматозоида. АСАТ нарушают процессы транспорта через цервикальную слизь, изменяют течение акросомной реакции, вызывают фрагментацию ДНК, высвобождают цитокины, влияющие на функции сперматозоидов, и нарушают процессы оплодотворения, имплантации и развития эмбриона [208].</w:t>
      </w:r>
    </w:p>
    <w:p>
      <w:pPr>
        <w:pStyle w:val="BodyText"/>
        <w:spacing w:after="0" w:line="256" w:lineRule="auto"/>
        <w:sectPr>
          <w:pgSz w:w="11910" w:h="16840"/>
          <w:pgMar w:header="0" w:footer="983" w:top="340" w:bottom="1180" w:left="566" w:right="566"/>
        </w:sectPr>
      </w:pPr>
    </w:p>
    <w:p>
      <w:pPr>
        <w:pStyle w:val="BodyText"/>
        <w:spacing w:line="256" w:lineRule="auto" w:before="69"/>
        <w:ind w:left="285" w:right="278" w:firstLine="708"/>
      </w:pPr>
      <w:r>
        <w:rPr/>
        <w:t>Нами исследовано 296 мужчин на наличие АСАТ класса IgG в сперме.</w:t>
      </w:r>
      <w:r>
        <w:rPr>
          <w:spacing w:val="40"/>
        </w:rPr>
        <w:t> </w:t>
      </w:r>
      <w:r>
        <w:rPr/>
        <w:t>28 (9,46%) бесплодных мужчин имели показатели связываемости антиген-антитело свыше 50%, что указывает на превышения допустимого количества антител</w:t>
      </w:r>
      <w:r>
        <w:rPr>
          <w:spacing w:val="40"/>
        </w:rPr>
        <w:t> </w:t>
      </w:r>
      <w:r>
        <w:rPr/>
        <w:t>(MAR+). 268 (90,54%) образцов были в пределах нормативных значений (см. рис. </w:t>
      </w:r>
      <w:r>
        <w:rPr>
          <w:spacing w:val="-4"/>
        </w:rPr>
        <w:t>22).</w:t>
      </w:r>
    </w:p>
    <w:p>
      <w:pPr>
        <w:spacing w:line="240" w:lineRule="auto"/>
        <w:ind w:left="752" w:right="0" w:firstLine="0"/>
        <w:rPr>
          <w:sz w:val="20"/>
        </w:rPr>
      </w:pPr>
      <w:r>
        <w:rPr>
          <w:sz w:val="20"/>
        </w:rPr>
        <mc:AlternateContent>
          <mc:Choice Requires="wps">
            <w:drawing>
              <wp:inline distT="0" distB="0" distL="0" distR="0">
                <wp:extent cx="5886450" cy="3600450"/>
                <wp:effectExtent l="0" t="0" r="0" b="0"/>
                <wp:docPr id="36" name="Group 36"/>
                <wp:cNvGraphicFramePr>
                  <a:graphicFrameLocks/>
                </wp:cNvGraphicFramePr>
                <a:graphic>
                  <a:graphicData uri="http://schemas.microsoft.com/office/word/2010/wordprocessingGroup">
                    <wpg:wgp>
                      <wpg:cNvPr id="36" name="Group 36"/>
                      <wpg:cNvGrpSpPr/>
                      <wpg:grpSpPr>
                        <a:xfrm>
                          <a:off x="0" y="0"/>
                          <a:ext cx="5886450" cy="3600450"/>
                          <a:chExt cx="5886450" cy="3600450"/>
                        </a:xfrm>
                      </wpg:grpSpPr>
                      <wps:wsp>
                        <wps:cNvPr id="37" name="Graphic 37"/>
                        <wps:cNvSpPr/>
                        <wps:spPr>
                          <a:xfrm>
                            <a:off x="2943225" y="661372"/>
                            <a:ext cx="649605" cy="1159510"/>
                          </a:xfrm>
                          <a:custGeom>
                            <a:avLst/>
                            <a:gdLst/>
                            <a:ahLst/>
                            <a:cxnLst/>
                            <a:rect l="l" t="t" r="r" b="b"/>
                            <a:pathLst>
                              <a:path w="649605" h="1159510">
                                <a:moveTo>
                                  <a:pt x="0" y="0"/>
                                </a:moveTo>
                                <a:lnTo>
                                  <a:pt x="0" y="1159268"/>
                                </a:lnTo>
                                <a:lnTo>
                                  <a:pt x="649160" y="198805"/>
                                </a:lnTo>
                                <a:lnTo>
                                  <a:pt x="607567" y="171968"/>
                                </a:lnTo>
                                <a:lnTo>
                                  <a:pt x="564985" y="146997"/>
                                </a:lnTo>
                                <a:lnTo>
                                  <a:pt x="521477" y="123911"/>
                                </a:lnTo>
                                <a:lnTo>
                                  <a:pt x="477107" y="102731"/>
                                </a:lnTo>
                                <a:lnTo>
                                  <a:pt x="431939" y="83475"/>
                                </a:lnTo>
                                <a:lnTo>
                                  <a:pt x="386036" y="66163"/>
                                </a:lnTo>
                                <a:lnTo>
                                  <a:pt x="339463" y="50815"/>
                                </a:lnTo>
                                <a:lnTo>
                                  <a:pt x="292281" y="37451"/>
                                </a:lnTo>
                                <a:lnTo>
                                  <a:pt x="244556" y="26088"/>
                                </a:lnTo>
                                <a:lnTo>
                                  <a:pt x="196351" y="16748"/>
                                </a:lnTo>
                                <a:lnTo>
                                  <a:pt x="147729" y="9450"/>
                                </a:lnTo>
                                <a:lnTo>
                                  <a:pt x="98754" y="4213"/>
                                </a:lnTo>
                                <a:lnTo>
                                  <a:pt x="49490" y="1056"/>
                                </a:lnTo>
                                <a:lnTo>
                                  <a:pt x="0" y="0"/>
                                </a:lnTo>
                                <a:close/>
                              </a:path>
                            </a:pathLst>
                          </a:custGeom>
                          <a:solidFill>
                            <a:srgbClr val="4F81BD"/>
                          </a:solidFill>
                        </wps:spPr>
                        <wps:bodyPr wrap="square" lIns="0" tIns="0" rIns="0" bIns="0" rtlCol="0">
                          <a:prstTxWarp prst="textNoShape">
                            <a:avLst/>
                          </a:prstTxWarp>
                          <a:noAutofit/>
                        </wps:bodyPr>
                      </wps:wsp>
                      <wps:wsp>
                        <wps:cNvPr id="38" name="Graphic 38"/>
                        <wps:cNvSpPr/>
                        <wps:spPr>
                          <a:xfrm>
                            <a:off x="1783841" y="661370"/>
                            <a:ext cx="2319020" cy="2319020"/>
                          </a:xfrm>
                          <a:custGeom>
                            <a:avLst/>
                            <a:gdLst/>
                            <a:ahLst/>
                            <a:cxnLst/>
                            <a:rect l="l" t="t" r="r" b="b"/>
                            <a:pathLst>
                              <a:path w="2319020" h="2319020">
                                <a:moveTo>
                                  <a:pt x="1159383" y="0"/>
                                </a:moveTo>
                                <a:lnTo>
                                  <a:pt x="1109318" y="1078"/>
                                </a:lnTo>
                                <a:lnTo>
                                  <a:pt x="1059597" y="4294"/>
                                </a:lnTo>
                                <a:lnTo>
                                  <a:pt x="1010277" y="9615"/>
                                </a:lnTo>
                                <a:lnTo>
                                  <a:pt x="961420" y="17010"/>
                                </a:lnTo>
                                <a:lnTo>
                                  <a:pt x="913082" y="26448"/>
                                </a:lnTo>
                                <a:lnTo>
                                  <a:pt x="865323" y="37898"/>
                                </a:lnTo>
                                <a:lnTo>
                                  <a:pt x="818201" y="51328"/>
                                </a:lnTo>
                                <a:lnTo>
                                  <a:pt x="771776" y="66708"/>
                                </a:lnTo>
                                <a:lnTo>
                                  <a:pt x="726106" y="84006"/>
                                </a:lnTo>
                                <a:lnTo>
                                  <a:pt x="681250" y="103191"/>
                                </a:lnTo>
                                <a:lnTo>
                                  <a:pt x="637266" y="124232"/>
                                </a:lnTo>
                                <a:lnTo>
                                  <a:pt x="594214" y="147097"/>
                                </a:lnTo>
                                <a:lnTo>
                                  <a:pt x="552152" y="171756"/>
                                </a:lnTo>
                                <a:lnTo>
                                  <a:pt x="511139" y="198177"/>
                                </a:lnTo>
                                <a:lnTo>
                                  <a:pt x="471234" y="226328"/>
                                </a:lnTo>
                                <a:lnTo>
                                  <a:pt x="432495" y="256180"/>
                                </a:lnTo>
                                <a:lnTo>
                                  <a:pt x="394981" y="287699"/>
                                </a:lnTo>
                                <a:lnTo>
                                  <a:pt x="358751" y="320857"/>
                                </a:lnTo>
                                <a:lnTo>
                                  <a:pt x="323864" y="355620"/>
                                </a:lnTo>
                                <a:lnTo>
                                  <a:pt x="290379" y="391957"/>
                                </a:lnTo>
                                <a:lnTo>
                                  <a:pt x="258354" y="429839"/>
                                </a:lnTo>
                                <a:lnTo>
                                  <a:pt x="227848" y="469233"/>
                                </a:lnTo>
                                <a:lnTo>
                                  <a:pt x="198920" y="510108"/>
                                </a:lnTo>
                                <a:lnTo>
                                  <a:pt x="172963" y="550240"/>
                                </a:lnTo>
                                <a:lnTo>
                                  <a:pt x="148863" y="591033"/>
                                </a:lnTo>
                                <a:lnTo>
                                  <a:pt x="126610" y="632436"/>
                                </a:lnTo>
                                <a:lnTo>
                                  <a:pt x="106194" y="674397"/>
                                </a:lnTo>
                                <a:lnTo>
                                  <a:pt x="87605" y="716864"/>
                                </a:lnTo>
                                <a:lnTo>
                                  <a:pt x="70833" y="759786"/>
                                </a:lnTo>
                                <a:lnTo>
                                  <a:pt x="55868" y="803110"/>
                                </a:lnTo>
                                <a:lnTo>
                                  <a:pt x="42700" y="846785"/>
                                </a:lnTo>
                                <a:lnTo>
                                  <a:pt x="31319" y="890758"/>
                                </a:lnTo>
                                <a:lnTo>
                                  <a:pt x="21715" y="934979"/>
                                </a:lnTo>
                                <a:lnTo>
                                  <a:pt x="13878" y="979396"/>
                                </a:lnTo>
                                <a:lnTo>
                                  <a:pt x="7798" y="1023956"/>
                                </a:lnTo>
                                <a:lnTo>
                                  <a:pt x="3465" y="1068608"/>
                                </a:lnTo>
                                <a:lnTo>
                                  <a:pt x="869" y="1113300"/>
                                </a:lnTo>
                                <a:lnTo>
                                  <a:pt x="0" y="1157980"/>
                                </a:lnTo>
                                <a:lnTo>
                                  <a:pt x="847" y="1202597"/>
                                </a:lnTo>
                                <a:lnTo>
                                  <a:pt x="3402" y="1247099"/>
                                </a:lnTo>
                                <a:lnTo>
                                  <a:pt x="7653" y="1291433"/>
                                </a:lnTo>
                                <a:lnTo>
                                  <a:pt x="13591" y="1335549"/>
                                </a:lnTo>
                                <a:lnTo>
                                  <a:pt x="21206" y="1379394"/>
                                </a:lnTo>
                                <a:lnTo>
                                  <a:pt x="30488" y="1422917"/>
                                </a:lnTo>
                                <a:lnTo>
                                  <a:pt x="41427" y="1466066"/>
                                </a:lnTo>
                                <a:lnTo>
                                  <a:pt x="54012" y="1508788"/>
                                </a:lnTo>
                                <a:lnTo>
                                  <a:pt x="68234" y="1551033"/>
                                </a:lnTo>
                                <a:lnTo>
                                  <a:pt x="84083" y="1592749"/>
                                </a:lnTo>
                                <a:lnTo>
                                  <a:pt x="101549" y="1633883"/>
                                </a:lnTo>
                                <a:lnTo>
                                  <a:pt x="120622" y="1674384"/>
                                </a:lnTo>
                                <a:lnTo>
                                  <a:pt x="141291" y="1714200"/>
                                </a:lnTo>
                                <a:lnTo>
                                  <a:pt x="163547" y="1753280"/>
                                </a:lnTo>
                                <a:lnTo>
                                  <a:pt x="187380" y="1791571"/>
                                </a:lnTo>
                                <a:lnTo>
                                  <a:pt x="212779" y="1829023"/>
                                </a:lnTo>
                                <a:lnTo>
                                  <a:pt x="239735" y="1865582"/>
                                </a:lnTo>
                                <a:lnTo>
                                  <a:pt x="268238" y="1901197"/>
                                </a:lnTo>
                                <a:lnTo>
                                  <a:pt x="298277" y="1935817"/>
                                </a:lnTo>
                                <a:lnTo>
                                  <a:pt x="329843" y="1969390"/>
                                </a:lnTo>
                                <a:lnTo>
                                  <a:pt x="362926" y="2001863"/>
                                </a:lnTo>
                                <a:lnTo>
                                  <a:pt x="397515" y="2033186"/>
                                </a:lnTo>
                                <a:lnTo>
                                  <a:pt x="433601" y="2063306"/>
                                </a:lnTo>
                                <a:lnTo>
                                  <a:pt x="471174" y="2092172"/>
                                </a:lnTo>
                                <a:lnTo>
                                  <a:pt x="510223" y="2119731"/>
                                </a:lnTo>
                                <a:lnTo>
                                  <a:pt x="550355" y="2145688"/>
                                </a:lnTo>
                                <a:lnTo>
                                  <a:pt x="591148" y="2169788"/>
                                </a:lnTo>
                                <a:lnTo>
                                  <a:pt x="632551" y="2192041"/>
                                </a:lnTo>
                                <a:lnTo>
                                  <a:pt x="674512" y="2212457"/>
                                </a:lnTo>
                                <a:lnTo>
                                  <a:pt x="716979" y="2231046"/>
                                </a:lnTo>
                                <a:lnTo>
                                  <a:pt x="759901" y="2247818"/>
                                </a:lnTo>
                                <a:lnTo>
                                  <a:pt x="803225" y="2262783"/>
                                </a:lnTo>
                                <a:lnTo>
                                  <a:pt x="846900" y="2275951"/>
                                </a:lnTo>
                                <a:lnTo>
                                  <a:pt x="890874" y="2287332"/>
                                </a:lnTo>
                                <a:lnTo>
                                  <a:pt x="935094" y="2296936"/>
                                </a:lnTo>
                                <a:lnTo>
                                  <a:pt x="979511" y="2304773"/>
                                </a:lnTo>
                                <a:lnTo>
                                  <a:pt x="1024071" y="2310853"/>
                                </a:lnTo>
                                <a:lnTo>
                                  <a:pt x="1068723" y="2315186"/>
                                </a:lnTo>
                                <a:lnTo>
                                  <a:pt x="1113415" y="2317783"/>
                                </a:lnTo>
                                <a:lnTo>
                                  <a:pt x="1158095" y="2318652"/>
                                </a:lnTo>
                                <a:lnTo>
                                  <a:pt x="1202712" y="2317804"/>
                                </a:lnTo>
                                <a:lnTo>
                                  <a:pt x="1247214" y="2315250"/>
                                </a:lnTo>
                                <a:lnTo>
                                  <a:pt x="1291548" y="2310999"/>
                                </a:lnTo>
                                <a:lnTo>
                                  <a:pt x="1335664" y="2305060"/>
                                </a:lnTo>
                                <a:lnTo>
                                  <a:pt x="1379509" y="2297445"/>
                                </a:lnTo>
                                <a:lnTo>
                                  <a:pt x="1423032" y="2288164"/>
                                </a:lnTo>
                                <a:lnTo>
                                  <a:pt x="1466181" y="2277225"/>
                                </a:lnTo>
                                <a:lnTo>
                                  <a:pt x="1508903" y="2264639"/>
                                </a:lnTo>
                                <a:lnTo>
                                  <a:pt x="1551148" y="2250417"/>
                                </a:lnTo>
                                <a:lnTo>
                                  <a:pt x="1592864" y="2234568"/>
                                </a:lnTo>
                                <a:lnTo>
                                  <a:pt x="1633998" y="2217102"/>
                                </a:lnTo>
                                <a:lnTo>
                                  <a:pt x="1674499" y="2198030"/>
                                </a:lnTo>
                                <a:lnTo>
                                  <a:pt x="1714315" y="2177361"/>
                                </a:lnTo>
                                <a:lnTo>
                                  <a:pt x="1753395" y="2155105"/>
                                </a:lnTo>
                                <a:lnTo>
                                  <a:pt x="1791686" y="2131272"/>
                                </a:lnTo>
                                <a:lnTo>
                                  <a:pt x="1829138" y="2105872"/>
                                </a:lnTo>
                                <a:lnTo>
                                  <a:pt x="1865697" y="2078916"/>
                                </a:lnTo>
                                <a:lnTo>
                                  <a:pt x="1901312" y="2050414"/>
                                </a:lnTo>
                                <a:lnTo>
                                  <a:pt x="1935932" y="2020374"/>
                                </a:lnTo>
                                <a:lnTo>
                                  <a:pt x="1969505" y="1988808"/>
                                </a:lnTo>
                                <a:lnTo>
                                  <a:pt x="2001978" y="1955725"/>
                                </a:lnTo>
                                <a:lnTo>
                                  <a:pt x="2033301" y="1921136"/>
                                </a:lnTo>
                                <a:lnTo>
                                  <a:pt x="2063421" y="1885050"/>
                                </a:lnTo>
                                <a:lnTo>
                                  <a:pt x="2092287" y="1847478"/>
                                </a:lnTo>
                                <a:lnTo>
                                  <a:pt x="2119846" y="1808429"/>
                                </a:lnTo>
                                <a:lnTo>
                                  <a:pt x="2145803" y="1768297"/>
                                </a:lnTo>
                                <a:lnTo>
                                  <a:pt x="2169903" y="1727503"/>
                                </a:lnTo>
                                <a:lnTo>
                                  <a:pt x="2192157" y="1686100"/>
                                </a:lnTo>
                                <a:lnTo>
                                  <a:pt x="2212573" y="1644139"/>
                                </a:lnTo>
                                <a:lnTo>
                                  <a:pt x="2231161" y="1601672"/>
                                </a:lnTo>
                                <a:lnTo>
                                  <a:pt x="2247933" y="1558750"/>
                                </a:lnTo>
                                <a:lnTo>
                                  <a:pt x="2262898" y="1515426"/>
                                </a:lnTo>
                                <a:lnTo>
                                  <a:pt x="2276066" y="1471752"/>
                                </a:lnTo>
                                <a:lnTo>
                                  <a:pt x="2287447" y="1427778"/>
                                </a:lnTo>
                                <a:lnTo>
                                  <a:pt x="2297051" y="1383557"/>
                                </a:lnTo>
                                <a:lnTo>
                                  <a:pt x="2304888" y="1339141"/>
                                </a:lnTo>
                                <a:lnTo>
                                  <a:pt x="2310968" y="1294580"/>
                                </a:lnTo>
                                <a:lnTo>
                                  <a:pt x="2315301" y="1249929"/>
                                </a:lnTo>
                                <a:lnTo>
                                  <a:pt x="2317898" y="1205237"/>
                                </a:lnTo>
                                <a:lnTo>
                                  <a:pt x="2318767" y="1160556"/>
                                </a:lnTo>
                                <a:lnTo>
                                  <a:pt x="2317919" y="1115939"/>
                                </a:lnTo>
                                <a:lnTo>
                                  <a:pt x="2315365" y="1071438"/>
                                </a:lnTo>
                                <a:lnTo>
                                  <a:pt x="2311114" y="1027103"/>
                                </a:lnTo>
                                <a:lnTo>
                                  <a:pt x="2305175" y="982987"/>
                                </a:lnTo>
                                <a:lnTo>
                                  <a:pt x="2297560" y="939142"/>
                                </a:lnTo>
                                <a:lnTo>
                                  <a:pt x="2288279" y="895619"/>
                                </a:lnTo>
                                <a:lnTo>
                                  <a:pt x="2277340" y="852471"/>
                                </a:lnTo>
                                <a:lnTo>
                                  <a:pt x="2264754" y="809748"/>
                                </a:lnTo>
                                <a:lnTo>
                                  <a:pt x="2250532" y="767503"/>
                                </a:lnTo>
                                <a:lnTo>
                                  <a:pt x="2234683" y="725788"/>
                                </a:lnTo>
                                <a:lnTo>
                                  <a:pt x="2217217" y="684653"/>
                                </a:lnTo>
                                <a:lnTo>
                                  <a:pt x="2198145" y="644152"/>
                                </a:lnTo>
                                <a:lnTo>
                                  <a:pt x="2177476" y="604336"/>
                                </a:lnTo>
                                <a:lnTo>
                                  <a:pt x="2155220" y="565256"/>
                                </a:lnTo>
                                <a:lnTo>
                                  <a:pt x="2131387" y="526965"/>
                                </a:lnTo>
                                <a:lnTo>
                                  <a:pt x="2105987" y="489514"/>
                                </a:lnTo>
                                <a:lnTo>
                                  <a:pt x="2079031" y="452955"/>
                                </a:lnTo>
                                <a:lnTo>
                                  <a:pt x="2050529" y="417339"/>
                                </a:lnTo>
                                <a:lnTo>
                                  <a:pt x="2020489" y="382719"/>
                                </a:lnTo>
                                <a:lnTo>
                                  <a:pt x="1988923" y="349147"/>
                                </a:lnTo>
                                <a:lnTo>
                                  <a:pt x="1955841" y="316673"/>
                                </a:lnTo>
                                <a:lnTo>
                                  <a:pt x="1921251" y="285350"/>
                                </a:lnTo>
                                <a:lnTo>
                                  <a:pt x="1885165" y="255230"/>
                                </a:lnTo>
                                <a:lnTo>
                                  <a:pt x="1847593" y="226365"/>
                                </a:lnTo>
                                <a:lnTo>
                                  <a:pt x="1808544" y="198805"/>
                                </a:lnTo>
                                <a:lnTo>
                                  <a:pt x="1159383" y="1159268"/>
                                </a:lnTo>
                                <a:lnTo>
                                  <a:pt x="1159383" y="0"/>
                                </a:lnTo>
                                <a:close/>
                              </a:path>
                            </a:pathLst>
                          </a:custGeom>
                          <a:solidFill>
                            <a:srgbClr val="C0504D"/>
                          </a:solidFill>
                        </wps:spPr>
                        <wps:bodyPr wrap="square" lIns="0" tIns="0" rIns="0" bIns="0" rtlCol="0">
                          <a:prstTxWarp prst="textNoShape">
                            <a:avLst/>
                          </a:prstTxWarp>
                          <a:noAutofit/>
                        </wps:bodyPr>
                      </wps:wsp>
                      <wps:wsp>
                        <wps:cNvPr id="39" name="Graphic 39"/>
                        <wps:cNvSpPr/>
                        <wps:spPr>
                          <a:xfrm>
                            <a:off x="2458669" y="338094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40" name="Graphic 40"/>
                        <wps:cNvSpPr/>
                        <wps:spPr>
                          <a:xfrm>
                            <a:off x="3027933" y="338094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41" name="Graphic 41"/>
                        <wps:cNvSpPr/>
                        <wps:spPr>
                          <a:xfrm>
                            <a:off x="4762" y="4762"/>
                            <a:ext cx="5876925" cy="3590925"/>
                          </a:xfrm>
                          <a:custGeom>
                            <a:avLst/>
                            <a:gdLst/>
                            <a:ahLst/>
                            <a:cxnLst/>
                            <a:rect l="l" t="t" r="r" b="b"/>
                            <a:pathLst>
                              <a:path w="5876925" h="3590925">
                                <a:moveTo>
                                  <a:pt x="0" y="0"/>
                                </a:moveTo>
                                <a:lnTo>
                                  <a:pt x="5876924" y="0"/>
                                </a:lnTo>
                                <a:lnTo>
                                  <a:pt x="5876924" y="3590925"/>
                                </a:lnTo>
                                <a:lnTo>
                                  <a:pt x="0" y="3590925"/>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42" name="Textbox 42"/>
                        <wps:cNvSpPr txBox="1"/>
                        <wps:spPr>
                          <a:xfrm>
                            <a:off x="9525" y="5080"/>
                            <a:ext cx="5867400" cy="3585845"/>
                          </a:xfrm>
                          <a:prstGeom prst="rect">
                            <a:avLst/>
                          </a:prstGeom>
                        </wps:spPr>
                        <wps:txbx>
                          <w:txbxContent>
                            <w:p>
                              <w:pPr>
                                <w:spacing w:before="149"/>
                                <w:ind w:left="885" w:right="885" w:firstLine="0"/>
                                <w:jc w:val="center"/>
                                <w:rPr>
                                  <w:rFonts w:ascii="Calibri" w:hAnsi="Calibri"/>
                                  <w:sz w:val="28"/>
                                </w:rPr>
                              </w:pPr>
                              <w:r>
                                <w:rPr>
                                  <w:rFonts w:ascii="Calibri" w:hAnsi="Calibri"/>
                                  <w:color w:val="595958"/>
                                  <w:spacing w:val="-2"/>
                                  <w:sz w:val="28"/>
                                </w:rPr>
                                <w:t>Смешанная</w:t>
                              </w:r>
                              <w:r>
                                <w:rPr>
                                  <w:rFonts w:ascii="Calibri" w:hAnsi="Calibri"/>
                                  <w:color w:val="595958"/>
                                  <w:spacing w:val="1"/>
                                  <w:sz w:val="28"/>
                                </w:rPr>
                                <w:t> </w:t>
                              </w:r>
                              <w:r>
                                <w:rPr>
                                  <w:rFonts w:ascii="Calibri" w:hAnsi="Calibri"/>
                                  <w:color w:val="595958"/>
                                  <w:spacing w:val="-2"/>
                                  <w:sz w:val="28"/>
                                </w:rPr>
                                <w:t>антиглобулиновая</w:t>
                              </w:r>
                              <w:r>
                                <w:rPr>
                                  <w:rFonts w:ascii="Calibri" w:hAnsi="Calibri"/>
                                  <w:color w:val="595958"/>
                                  <w:spacing w:val="2"/>
                                  <w:sz w:val="28"/>
                                </w:rPr>
                                <w:t> </w:t>
                              </w:r>
                              <w:r>
                                <w:rPr>
                                  <w:rFonts w:ascii="Calibri" w:hAnsi="Calibri"/>
                                  <w:color w:val="595958"/>
                                  <w:spacing w:val="-2"/>
                                  <w:sz w:val="28"/>
                                </w:rPr>
                                <w:t>реакция</w:t>
                              </w:r>
                              <w:r>
                                <w:rPr>
                                  <w:rFonts w:ascii="Calibri" w:hAnsi="Calibri"/>
                                  <w:color w:val="595958"/>
                                  <w:spacing w:val="8"/>
                                  <w:sz w:val="28"/>
                                </w:rPr>
                                <w:t> </w:t>
                              </w:r>
                              <w:r>
                                <w:rPr>
                                  <w:rFonts w:ascii="Calibri" w:hAnsi="Calibri"/>
                                  <w:color w:val="595958"/>
                                  <w:spacing w:val="-5"/>
                                  <w:sz w:val="28"/>
                                </w:rPr>
                                <w:t>IgG</w:t>
                              </w:r>
                            </w:p>
                            <w:p>
                              <w:pPr>
                                <w:spacing w:line="240" w:lineRule="auto" w:before="0"/>
                                <w:rPr>
                                  <w:rFonts w:ascii="Calibri"/>
                                  <w:sz w:val="28"/>
                                </w:rPr>
                              </w:pPr>
                            </w:p>
                            <w:p>
                              <w:pPr>
                                <w:spacing w:line="240" w:lineRule="auto" w:before="24"/>
                                <w:rPr>
                                  <w:rFonts w:ascii="Calibri"/>
                                  <w:sz w:val="28"/>
                                </w:rPr>
                              </w:pPr>
                            </w:p>
                            <w:p>
                              <w:pPr>
                                <w:spacing w:before="0"/>
                                <w:ind w:left="885" w:right="0" w:firstLine="0"/>
                                <w:jc w:val="center"/>
                                <w:rPr>
                                  <w:rFonts w:ascii="Calibri"/>
                                  <w:sz w:val="18"/>
                                </w:rPr>
                              </w:pPr>
                              <w:r>
                                <w:rPr>
                                  <w:rFonts w:ascii="Calibri"/>
                                  <w:color w:val="3E3E3E"/>
                                  <w:spacing w:val="-5"/>
                                  <w:sz w:val="18"/>
                                </w:rPr>
                                <w:t>28</w:t>
                              </w: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143"/>
                                <w:rPr>
                                  <w:rFonts w:ascii="Calibri"/>
                                  <w:sz w:val="18"/>
                                </w:rPr>
                              </w:pPr>
                            </w:p>
                            <w:p>
                              <w:pPr>
                                <w:spacing w:before="0"/>
                                <w:ind w:left="3921" w:right="0" w:firstLine="0"/>
                                <w:jc w:val="left"/>
                                <w:rPr>
                                  <w:rFonts w:ascii="Calibri"/>
                                  <w:sz w:val="18"/>
                                </w:rPr>
                              </w:pPr>
                              <w:r>
                                <w:rPr>
                                  <w:rFonts w:ascii="Calibri"/>
                                  <w:color w:val="3E3E3E"/>
                                  <w:spacing w:val="-5"/>
                                  <w:sz w:val="18"/>
                                </w:rPr>
                                <w:t>268</w:t>
                              </w:r>
                            </w:p>
                            <w:p>
                              <w:pPr>
                                <w:spacing w:line="240" w:lineRule="auto" w:before="0"/>
                                <w:rPr>
                                  <w:rFonts w:ascii="Calibri"/>
                                  <w:sz w:val="18"/>
                                </w:rPr>
                              </w:pPr>
                            </w:p>
                            <w:p>
                              <w:pPr>
                                <w:spacing w:line="240" w:lineRule="auto" w:before="0"/>
                                <w:rPr>
                                  <w:rFonts w:ascii="Calibri"/>
                                  <w:sz w:val="18"/>
                                </w:rPr>
                              </w:pPr>
                            </w:p>
                            <w:p>
                              <w:pPr>
                                <w:spacing w:line="240" w:lineRule="auto" w:before="168"/>
                                <w:rPr>
                                  <w:rFonts w:ascii="Calibri"/>
                                  <w:sz w:val="18"/>
                                </w:rPr>
                              </w:pPr>
                            </w:p>
                            <w:p>
                              <w:pPr>
                                <w:tabs>
                                  <w:tab w:pos="4894" w:val="left" w:leader="none"/>
                                </w:tabs>
                                <w:spacing w:before="0"/>
                                <w:ind w:left="3997" w:right="0" w:firstLine="0"/>
                                <w:jc w:val="left"/>
                                <w:rPr>
                                  <w:rFonts w:ascii="Calibri"/>
                                  <w:sz w:val="18"/>
                                </w:rPr>
                              </w:pPr>
                              <w:r>
                                <w:rPr>
                                  <w:rFonts w:ascii="Calibri"/>
                                  <w:color w:val="595958"/>
                                  <w:sz w:val="18"/>
                                </w:rPr>
                                <w:t>MAR</w:t>
                              </w:r>
                              <w:r>
                                <w:rPr>
                                  <w:rFonts w:ascii="Calibri"/>
                                  <w:color w:val="595958"/>
                                  <w:spacing w:val="-2"/>
                                  <w:sz w:val="18"/>
                                </w:rPr>
                                <w:t> </w:t>
                              </w:r>
                              <w:r>
                                <w:rPr>
                                  <w:rFonts w:ascii="Calibri"/>
                                  <w:color w:val="595958"/>
                                  <w:spacing w:val="-5"/>
                                  <w:sz w:val="18"/>
                                </w:rPr>
                                <w:t>(+)</w:t>
                              </w:r>
                              <w:r>
                                <w:rPr>
                                  <w:rFonts w:ascii="Calibri"/>
                                  <w:color w:val="595958"/>
                                  <w:sz w:val="18"/>
                                </w:rPr>
                                <w:tab/>
                                <w:t>MAR</w:t>
                              </w:r>
                              <w:r>
                                <w:rPr>
                                  <w:rFonts w:ascii="Calibri"/>
                                  <w:color w:val="595958"/>
                                  <w:spacing w:val="-2"/>
                                  <w:sz w:val="18"/>
                                </w:rPr>
                                <w:t> </w:t>
                              </w:r>
                              <w:r>
                                <w:rPr>
                                  <w:rFonts w:ascii="Calibri"/>
                                  <w:color w:val="595958"/>
                                  <w:sz w:val="18"/>
                                </w:rPr>
                                <w:t>(-</w:t>
                              </w:r>
                              <w:r>
                                <w:rPr>
                                  <w:rFonts w:ascii="Calibri"/>
                                  <w:color w:val="595958"/>
                                  <w:spacing w:val="-10"/>
                                  <w:sz w:val="18"/>
                                </w:rPr>
                                <w:t>)</w:t>
                              </w:r>
                            </w:p>
                          </w:txbxContent>
                        </wps:txbx>
                        <wps:bodyPr wrap="square" lIns="0" tIns="0" rIns="0" bIns="0" rtlCol="0">
                          <a:noAutofit/>
                        </wps:bodyPr>
                      </wps:wsp>
                    </wpg:wgp>
                  </a:graphicData>
                </a:graphic>
              </wp:inline>
            </w:drawing>
          </mc:Choice>
          <mc:Fallback>
            <w:pict>
              <v:group style="width:463.5pt;height:283.5pt;mso-position-horizontal-relative:char;mso-position-vertical-relative:line" id="docshapegroup10" coordorigin="0,0" coordsize="9270,5670">
                <v:shape style="position:absolute;left:4635;top:1041;width:1023;height:1826" id="docshape11" coordorigin="4635,1042" coordsize="1023,1826" path="m4635,1042l4635,2867,5657,1355,5592,1312,5525,1273,5456,1237,5386,1203,5315,1173,5243,1146,5170,1122,5095,1101,5020,1083,4944,1068,4868,1056,4791,1048,4713,1043,4635,1042xe" filled="true" fillcolor="#4f81bd" stroked="false">
                  <v:path arrowok="t"/>
                  <v:fill type="solid"/>
                </v:shape>
                <v:shape style="position:absolute;left:2809;top:1041;width:3652;height:3652" id="docshape12" coordorigin="2809,1042" coordsize="3652,3652" path="m4635,1042l4556,1043,4478,1048,4400,1057,4323,1068,4247,1083,4172,1101,4098,1122,4025,1147,3953,1174,3882,1204,3813,1237,3745,1273,3679,1312,3614,1354,3551,1398,3490,1445,3431,1495,3374,1547,3319,1602,3266,1659,3216,1718,3168,1780,3122,1845,3082,1908,3044,1972,3009,2037,2976,2104,2947,2170,2921,2238,2897,2306,2876,2375,2859,2444,2843,2514,2831,2584,2821,2654,2815,2724,2811,2795,2809,2865,2811,2935,2815,3005,2821,3075,2831,3145,2843,3214,2857,3282,2874,3350,2894,3418,2917,3484,2942,3550,2969,3615,2999,3678,3032,3741,3067,3803,3104,3863,3144,3922,3187,3979,3232,4036,3279,4090,3329,4143,3381,4194,3435,4243,3492,4291,3551,4336,3613,4380,3676,4421,3740,4459,3805,4494,3871,4526,3938,4555,4006,4581,4074,4605,4143,4626,4212,4644,4282,4659,4352,4671,4422,4681,4492,4687,4563,4692,4633,4693,4703,4692,4773,4688,4843,4681,4913,4672,4982,4660,5050,4645,5118,4628,5185,4608,5252,4585,5318,4561,5382,4533,5446,4503,5509,4470,5570,4435,5631,4398,5690,4358,5747,4315,5803,4271,5858,4223,5911,4174,5962,4121,6011,4067,6059,4010,6104,3951,6148,3889,6188,3826,6226,3762,6261,3697,6294,3631,6323,3564,6349,3496,6373,3428,6394,3359,6411,3290,6427,3220,6439,3150,6449,3080,6455,3010,6459,2940,6461,2869,6459,2799,6455,2729,6449,2659,6439,2590,6427,2520,6413,2452,6396,2384,6376,2317,6353,2250,6328,2185,6301,2120,6271,2056,6238,1993,6203,1932,6166,1871,6126,1812,6083,1755,6038,1699,5991,1644,5941,1591,5889,1540,5835,1491,5778,1443,5719,1398,5657,1355,4635,2867,4635,1042xe" filled="true" fillcolor="#c0504d" stroked="false">
                  <v:path arrowok="t"/>
                  <v:fill type="solid"/>
                </v:shape>
                <v:rect style="position:absolute;left:3871;top:5324;width:99;height:99" id="docshape13" filled="true" fillcolor="#4f81bd" stroked="false">
                  <v:fill type="solid"/>
                </v:rect>
                <v:rect style="position:absolute;left:4768;top:5324;width:99;height:99" id="docshape14" filled="true" fillcolor="#c0504d" stroked="false">
                  <v:fill type="solid"/>
                </v:rect>
                <v:rect style="position:absolute;left:7;top:7;width:9255;height:5655" id="docshape15" filled="false" stroked="true" strokeweight=".75pt" strokecolor="#dadada">
                  <v:stroke dashstyle="solid"/>
                </v:rect>
                <v:shape style="position:absolute;left:15;top:8;width:9240;height:5647" type="#_x0000_t202" id="docshape16" filled="false" stroked="false">
                  <v:textbox inset="0,0,0,0">
                    <w:txbxContent>
                      <w:p>
                        <w:pPr>
                          <w:spacing w:before="149"/>
                          <w:ind w:left="885" w:right="885" w:firstLine="0"/>
                          <w:jc w:val="center"/>
                          <w:rPr>
                            <w:rFonts w:ascii="Calibri" w:hAnsi="Calibri"/>
                            <w:sz w:val="28"/>
                          </w:rPr>
                        </w:pPr>
                        <w:r>
                          <w:rPr>
                            <w:rFonts w:ascii="Calibri" w:hAnsi="Calibri"/>
                            <w:color w:val="595958"/>
                            <w:spacing w:val="-2"/>
                            <w:sz w:val="28"/>
                          </w:rPr>
                          <w:t>Смешанная</w:t>
                        </w:r>
                        <w:r>
                          <w:rPr>
                            <w:rFonts w:ascii="Calibri" w:hAnsi="Calibri"/>
                            <w:color w:val="595958"/>
                            <w:spacing w:val="1"/>
                            <w:sz w:val="28"/>
                          </w:rPr>
                          <w:t> </w:t>
                        </w:r>
                        <w:r>
                          <w:rPr>
                            <w:rFonts w:ascii="Calibri" w:hAnsi="Calibri"/>
                            <w:color w:val="595958"/>
                            <w:spacing w:val="-2"/>
                            <w:sz w:val="28"/>
                          </w:rPr>
                          <w:t>антиглобулиновая</w:t>
                        </w:r>
                        <w:r>
                          <w:rPr>
                            <w:rFonts w:ascii="Calibri" w:hAnsi="Calibri"/>
                            <w:color w:val="595958"/>
                            <w:spacing w:val="2"/>
                            <w:sz w:val="28"/>
                          </w:rPr>
                          <w:t> </w:t>
                        </w:r>
                        <w:r>
                          <w:rPr>
                            <w:rFonts w:ascii="Calibri" w:hAnsi="Calibri"/>
                            <w:color w:val="595958"/>
                            <w:spacing w:val="-2"/>
                            <w:sz w:val="28"/>
                          </w:rPr>
                          <w:t>реакция</w:t>
                        </w:r>
                        <w:r>
                          <w:rPr>
                            <w:rFonts w:ascii="Calibri" w:hAnsi="Calibri"/>
                            <w:color w:val="595958"/>
                            <w:spacing w:val="8"/>
                            <w:sz w:val="28"/>
                          </w:rPr>
                          <w:t> </w:t>
                        </w:r>
                        <w:r>
                          <w:rPr>
                            <w:rFonts w:ascii="Calibri" w:hAnsi="Calibri"/>
                            <w:color w:val="595958"/>
                            <w:spacing w:val="-5"/>
                            <w:sz w:val="28"/>
                          </w:rPr>
                          <w:t>IgG</w:t>
                        </w:r>
                      </w:p>
                      <w:p>
                        <w:pPr>
                          <w:spacing w:line="240" w:lineRule="auto" w:before="0"/>
                          <w:rPr>
                            <w:rFonts w:ascii="Calibri"/>
                            <w:sz w:val="28"/>
                          </w:rPr>
                        </w:pPr>
                      </w:p>
                      <w:p>
                        <w:pPr>
                          <w:spacing w:line="240" w:lineRule="auto" w:before="24"/>
                          <w:rPr>
                            <w:rFonts w:ascii="Calibri"/>
                            <w:sz w:val="28"/>
                          </w:rPr>
                        </w:pPr>
                      </w:p>
                      <w:p>
                        <w:pPr>
                          <w:spacing w:before="0"/>
                          <w:ind w:left="885" w:right="0" w:firstLine="0"/>
                          <w:jc w:val="center"/>
                          <w:rPr>
                            <w:rFonts w:ascii="Calibri"/>
                            <w:sz w:val="18"/>
                          </w:rPr>
                        </w:pPr>
                        <w:r>
                          <w:rPr>
                            <w:rFonts w:ascii="Calibri"/>
                            <w:color w:val="3E3E3E"/>
                            <w:spacing w:val="-5"/>
                            <w:sz w:val="18"/>
                          </w:rPr>
                          <w:t>28</w:t>
                        </w: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143"/>
                          <w:rPr>
                            <w:rFonts w:ascii="Calibri"/>
                            <w:sz w:val="18"/>
                          </w:rPr>
                        </w:pPr>
                      </w:p>
                      <w:p>
                        <w:pPr>
                          <w:spacing w:before="0"/>
                          <w:ind w:left="3921" w:right="0" w:firstLine="0"/>
                          <w:jc w:val="left"/>
                          <w:rPr>
                            <w:rFonts w:ascii="Calibri"/>
                            <w:sz w:val="18"/>
                          </w:rPr>
                        </w:pPr>
                        <w:r>
                          <w:rPr>
                            <w:rFonts w:ascii="Calibri"/>
                            <w:color w:val="3E3E3E"/>
                            <w:spacing w:val="-5"/>
                            <w:sz w:val="18"/>
                          </w:rPr>
                          <w:t>268</w:t>
                        </w:r>
                      </w:p>
                      <w:p>
                        <w:pPr>
                          <w:spacing w:line="240" w:lineRule="auto" w:before="0"/>
                          <w:rPr>
                            <w:rFonts w:ascii="Calibri"/>
                            <w:sz w:val="18"/>
                          </w:rPr>
                        </w:pPr>
                      </w:p>
                      <w:p>
                        <w:pPr>
                          <w:spacing w:line="240" w:lineRule="auto" w:before="0"/>
                          <w:rPr>
                            <w:rFonts w:ascii="Calibri"/>
                            <w:sz w:val="18"/>
                          </w:rPr>
                        </w:pPr>
                      </w:p>
                      <w:p>
                        <w:pPr>
                          <w:spacing w:line="240" w:lineRule="auto" w:before="168"/>
                          <w:rPr>
                            <w:rFonts w:ascii="Calibri"/>
                            <w:sz w:val="18"/>
                          </w:rPr>
                        </w:pPr>
                      </w:p>
                      <w:p>
                        <w:pPr>
                          <w:tabs>
                            <w:tab w:pos="4894" w:val="left" w:leader="none"/>
                          </w:tabs>
                          <w:spacing w:before="0"/>
                          <w:ind w:left="3997" w:right="0" w:firstLine="0"/>
                          <w:jc w:val="left"/>
                          <w:rPr>
                            <w:rFonts w:ascii="Calibri"/>
                            <w:sz w:val="18"/>
                          </w:rPr>
                        </w:pPr>
                        <w:r>
                          <w:rPr>
                            <w:rFonts w:ascii="Calibri"/>
                            <w:color w:val="595958"/>
                            <w:sz w:val="18"/>
                          </w:rPr>
                          <w:t>MAR</w:t>
                        </w:r>
                        <w:r>
                          <w:rPr>
                            <w:rFonts w:ascii="Calibri"/>
                            <w:color w:val="595958"/>
                            <w:spacing w:val="-2"/>
                            <w:sz w:val="18"/>
                          </w:rPr>
                          <w:t> </w:t>
                        </w:r>
                        <w:r>
                          <w:rPr>
                            <w:rFonts w:ascii="Calibri"/>
                            <w:color w:val="595958"/>
                            <w:spacing w:val="-5"/>
                            <w:sz w:val="18"/>
                          </w:rPr>
                          <w:t>(+)</w:t>
                        </w:r>
                        <w:r>
                          <w:rPr>
                            <w:rFonts w:ascii="Calibri"/>
                            <w:color w:val="595958"/>
                            <w:sz w:val="18"/>
                          </w:rPr>
                          <w:tab/>
                          <w:t>MAR</w:t>
                        </w:r>
                        <w:r>
                          <w:rPr>
                            <w:rFonts w:ascii="Calibri"/>
                            <w:color w:val="595958"/>
                            <w:spacing w:val="-2"/>
                            <w:sz w:val="18"/>
                          </w:rPr>
                          <w:t> </w:t>
                        </w:r>
                        <w:r>
                          <w:rPr>
                            <w:rFonts w:ascii="Calibri"/>
                            <w:color w:val="595958"/>
                            <w:sz w:val="18"/>
                          </w:rPr>
                          <w:t>(-</w:t>
                        </w:r>
                        <w:r>
                          <w:rPr>
                            <w:rFonts w:ascii="Calibri"/>
                            <w:color w:val="595958"/>
                            <w:spacing w:val="-10"/>
                            <w:sz w:val="18"/>
                          </w:rPr>
                          <w:t>)</w:t>
                        </w:r>
                      </w:p>
                    </w:txbxContent>
                  </v:textbox>
                  <w10:wrap type="none"/>
                </v:shape>
              </v:group>
            </w:pict>
          </mc:Fallback>
        </mc:AlternateContent>
      </w:r>
      <w:r>
        <w:rPr>
          <w:sz w:val="20"/>
        </w:rPr>
      </w:r>
    </w:p>
    <w:p>
      <w:pPr>
        <w:pStyle w:val="BodyText"/>
        <w:spacing w:line="256" w:lineRule="auto" w:before="315"/>
        <w:ind w:left="3821" w:right="206" w:hanging="3471"/>
        <w:jc w:val="left"/>
      </w:pPr>
      <w:r>
        <w:rPr/>
        <w:t>Рисунок</w:t>
      </w:r>
      <w:r>
        <w:rPr>
          <w:spacing w:val="-6"/>
        </w:rPr>
        <w:t> </w:t>
      </w:r>
      <w:r>
        <w:rPr/>
        <w:t>22</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3"/>
        </w:rPr>
        <w:t> </w:t>
      </w:r>
      <w:r>
        <w:rPr/>
        <w:t>смешанных</w:t>
      </w:r>
      <w:r>
        <w:rPr>
          <w:spacing w:val="-3"/>
        </w:rPr>
        <w:t> </w:t>
      </w:r>
      <w:r>
        <w:rPr/>
        <w:t>антиглобулиновых</w:t>
      </w:r>
      <w:r>
        <w:rPr>
          <w:spacing w:val="-3"/>
        </w:rPr>
        <w:t> </w:t>
      </w:r>
      <w:r>
        <w:rPr/>
        <w:t>реакций</w:t>
      </w:r>
      <w:r>
        <w:rPr>
          <w:spacing w:val="-3"/>
        </w:rPr>
        <w:t> </w:t>
      </w:r>
      <w:r>
        <w:rPr/>
        <w:t>IgG</w:t>
      </w:r>
      <w:r>
        <w:rPr>
          <w:spacing w:val="-3"/>
        </w:rPr>
        <w:t> </w:t>
      </w:r>
      <w:r>
        <w:rPr/>
        <w:t>на</w:t>
      </w:r>
      <w:r>
        <w:rPr>
          <w:spacing w:val="-4"/>
        </w:rPr>
        <w:t> </w:t>
      </w:r>
      <w:r>
        <w:rPr/>
        <w:t>выявление антиспермальных антител</w:t>
      </w:r>
    </w:p>
    <w:p>
      <w:pPr>
        <w:pStyle w:val="BodyText"/>
        <w:spacing w:before="18"/>
        <w:jc w:val="left"/>
      </w:pPr>
    </w:p>
    <w:p>
      <w:pPr>
        <w:pStyle w:val="BodyText"/>
        <w:spacing w:line="256" w:lineRule="auto"/>
        <w:ind w:left="285" w:right="279" w:firstLine="707"/>
      </w:pPr>
      <w:r>
        <w:rPr/>
        <w:t>Таким образом, только 9,46% исследованных мужчин имели патологию, связанную с превышением уровня АСАТ. Это свидетельствует о том, что в популяции среднеазиатских бесплодных мужчин проблема АСАТ не стоит слишком остро. Уровень АСАТ в исследуемой популяции даже немногим ниже нижнего уровня, указанного в литературных источниках [207-208].</w:t>
      </w:r>
    </w:p>
    <w:p>
      <w:pPr>
        <w:pStyle w:val="BodyText"/>
        <w:spacing w:before="24"/>
        <w:jc w:val="left"/>
      </w:pPr>
    </w:p>
    <w:p>
      <w:pPr>
        <w:pStyle w:val="Heading2"/>
        <w:numPr>
          <w:ilvl w:val="2"/>
          <w:numId w:val="4"/>
        </w:numPr>
        <w:tabs>
          <w:tab w:pos="1622" w:val="left" w:leader="none"/>
        </w:tabs>
        <w:spacing w:line="240" w:lineRule="auto" w:before="0" w:after="0"/>
        <w:ind w:left="1622" w:right="0" w:hanging="629"/>
        <w:jc w:val="both"/>
      </w:pPr>
      <w:r>
        <w:rPr/>
        <w:t>Влияние</w:t>
      </w:r>
      <w:r>
        <w:rPr>
          <w:spacing w:val="-7"/>
        </w:rPr>
        <w:t> </w:t>
      </w:r>
      <w:r>
        <w:rPr/>
        <w:t>возраста</w:t>
      </w:r>
      <w:r>
        <w:rPr>
          <w:spacing w:val="-5"/>
        </w:rPr>
        <w:t> </w:t>
      </w:r>
      <w:r>
        <w:rPr/>
        <w:t>на</w:t>
      </w:r>
      <w:r>
        <w:rPr>
          <w:spacing w:val="-5"/>
        </w:rPr>
        <w:t> </w:t>
      </w:r>
      <w:r>
        <w:rPr/>
        <w:t>параметры</w:t>
      </w:r>
      <w:r>
        <w:rPr>
          <w:spacing w:val="-8"/>
        </w:rPr>
        <w:t> </w:t>
      </w:r>
      <w:r>
        <w:rPr/>
        <w:t>эякулята</w:t>
      </w:r>
      <w:r>
        <w:rPr>
          <w:spacing w:val="-7"/>
        </w:rPr>
        <w:t> </w:t>
      </w:r>
      <w:r>
        <w:rPr/>
        <w:t>бесплодных</w:t>
      </w:r>
      <w:r>
        <w:rPr>
          <w:spacing w:val="-5"/>
        </w:rPr>
        <w:t> </w:t>
      </w:r>
      <w:r>
        <w:rPr>
          <w:spacing w:val="-2"/>
        </w:rPr>
        <w:t>мужчин</w:t>
      </w:r>
    </w:p>
    <w:p>
      <w:pPr>
        <w:pStyle w:val="BodyText"/>
        <w:spacing w:line="256" w:lineRule="auto" w:before="24"/>
        <w:ind w:left="285" w:right="280" w:firstLine="707"/>
      </w:pPr>
      <w:r>
        <w:rPr/>
        <w:t>Оценить влияние возраста мужчин на рождаемость трудно, и оценка представляется спорной. В зарубежных исследованиях увеличение возраста мужчины-партнера рассматривается как причина потери беременности в паре [218], снижения частоты наступления беременности, увеличения времени, необходимого для зачатия [219]. Продемонстрировано, что коэффициент рождаемости для мужчин в</w:t>
      </w:r>
      <w:r>
        <w:rPr>
          <w:spacing w:val="-3"/>
        </w:rPr>
        <w:t> </w:t>
      </w:r>
      <w:r>
        <w:rPr/>
        <w:t>возрасте до</w:t>
      </w:r>
      <w:r>
        <w:rPr>
          <w:spacing w:val="-2"/>
        </w:rPr>
        <w:t> </w:t>
      </w:r>
      <w:r>
        <w:rPr/>
        <w:t>35</w:t>
      </w:r>
      <w:r>
        <w:rPr>
          <w:spacing w:val="1"/>
        </w:rPr>
        <w:t> </w:t>
      </w:r>
      <w:r>
        <w:rPr/>
        <w:t>лет</w:t>
      </w:r>
      <w:r>
        <w:rPr>
          <w:spacing w:val="-2"/>
        </w:rPr>
        <w:t> </w:t>
      </w:r>
      <w:r>
        <w:rPr/>
        <w:t>составил</w:t>
      </w:r>
      <w:r>
        <w:rPr>
          <w:spacing w:val="-1"/>
        </w:rPr>
        <w:t> </w:t>
      </w:r>
      <w:r>
        <w:rPr/>
        <w:t>38%,</w:t>
      </w:r>
      <w:r>
        <w:rPr>
          <w:spacing w:val="-1"/>
        </w:rPr>
        <w:t> </w:t>
      </w:r>
      <w:r>
        <w:rPr/>
        <w:t>для</w:t>
      </w:r>
      <w:r>
        <w:rPr>
          <w:spacing w:val="-2"/>
        </w:rPr>
        <w:t> </w:t>
      </w:r>
      <w:r>
        <w:rPr/>
        <w:t>мужчин 36–40</w:t>
      </w:r>
      <w:r>
        <w:rPr>
          <w:spacing w:val="1"/>
        </w:rPr>
        <w:t> </w:t>
      </w:r>
      <w:r>
        <w:rPr/>
        <w:t>лет</w:t>
      </w:r>
      <w:r>
        <w:rPr>
          <w:spacing w:val="-2"/>
        </w:rPr>
        <w:t> </w:t>
      </w:r>
      <w:r>
        <w:rPr/>
        <w:t>–</w:t>
      </w:r>
      <w:r>
        <w:rPr>
          <w:spacing w:val="-2"/>
        </w:rPr>
        <w:t> </w:t>
      </w:r>
      <w:r>
        <w:rPr/>
        <w:t>17%,</w:t>
      </w:r>
      <w:r>
        <w:rPr>
          <w:spacing w:val="-3"/>
        </w:rPr>
        <w:t> </w:t>
      </w:r>
      <w:r>
        <w:rPr/>
        <w:t>для мужчин</w:t>
      </w:r>
      <w:r>
        <w:rPr>
          <w:spacing w:val="1"/>
        </w:rPr>
        <w:t> </w:t>
      </w:r>
      <w:r>
        <w:rPr>
          <w:spacing w:val="-2"/>
        </w:rPr>
        <w:t>старше</w:t>
      </w:r>
    </w:p>
    <w:p>
      <w:pPr>
        <w:pStyle w:val="BodyText"/>
        <w:spacing w:line="256" w:lineRule="auto" w:before="2"/>
        <w:ind w:left="285" w:right="280"/>
      </w:pPr>
      <w:r>
        <w:rPr/>
        <w:t>40 лет – 7%, каждый дополнительный год отцовского возраста связан с уменьшением шансов на успешное живорождение [220]. На рисунке 23 представлено количество мужчин (N=957) в разрезе возрастов, обратившихся за медицинской помощью по поводу бесплодного брака.</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79" w:firstLine="707"/>
      </w:pPr>
      <w:r>
        <w:rPr/>
        <w:t>Количество обращений возрастало у пациентов в возрасте до 29 лет, достигув пика. Вместе с тем, основная доля обращений пришлась на возраст от 26 до 38 лет.</w:t>
      </w:r>
      <w:r>
        <w:rPr>
          <w:spacing w:val="40"/>
        </w:rPr>
        <w:t> </w:t>
      </w:r>
      <w:r>
        <w:rPr/>
        <w:t>С 35 лет наблюдалось снижение количества обратившихся. У 6 исследуемых нет данных об их возрасте. Соотношение обращений по годам показало следующее: 53,1% или 508 мужчин обратились</w:t>
      </w:r>
      <w:r>
        <w:rPr>
          <w:spacing w:val="-1"/>
        </w:rPr>
        <w:t> </w:t>
      </w:r>
      <w:r>
        <w:rPr/>
        <w:t>за помощью</w:t>
      </w:r>
      <w:r>
        <w:rPr>
          <w:spacing w:val="-1"/>
        </w:rPr>
        <w:t> </w:t>
      </w:r>
      <w:r>
        <w:rPr/>
        <w:t>в</w:t>
      </w:r>
      <w:r>
        <w:rPr>
          <w:spacing w:val="-1"/>
        </w:rPr>
        <w:t> </w:t>
      </w:r>
      <w:r>
        <w:rPr/>
        <w:t>2019 году;</w:t>
      </w:r>
      <w:r>
        <w:rPr>
          <w:spacing w:val="-2"/>
        </w:rPr>
        <w:t> </w:t>
      </w:r>
      <w:r>
        <w:rPr/>
        <w:t>30,4% или 291 мужчина был исследован в 2020 году и 16,5% от всех исследованных или 158 мужчин обратились с января по апрель включительно в 2021 году.</w:t>
      </w:r>
    </w:p>
    <w:p>
      <w:pPr>
        <w:pStyle w:val="BodyText"/>
        <w:spacing w:before="89"/>
        <w:jc w:val="left"/>
        <w:rPr>
          <w:sz w:val="20"/>
        </w:rPr>
      </w:pPr>
      <w:r>
        <w:rPr>
          <w:sz w:val="20"/>
        </w:rPr>
        <w:drawing>
          <wp:anchor distT="0" distB="0" distL="0" distR="0" allowOverlap="1" layoutInCell="1" locked="0" behindDoc="1" simplePos="0" relativeHeight="487600640">
            <wp:simplePos x="0" y="0"/>
            <wp:positionH relativeFrom="page">
              <wp:posOffset>799147</wp:posOffset>
            </wp:positionH>
            <wp:positionV relativeFrom="paragraph">
              <wp:posOffset>218392</wp:posOffset>
            </wp:positionV>
            <wp:extent cx="5943587" cy="2819400"/>
            <wp:effectExtent l="0" t="0" r="0" b="0"/>
            <wp:wrapTopAndBottom/>
            <wp:docPr id="43" name="Image 43"/>
            <wp:cNvGraphicFramePr>
              <a:graphicFrameLocks/>
            </wp:cNvGraphicFramePr>
            <a:graphic>
              <a:graphicData uri="http://schemas.openxmlformats.org/drawingml/2006/picture">
                <pic:pic>
                  <pic:nvPicPr>
                    <pic:cNvPr id="43" name="Image 43"/>
                    <pic:cNvPicPr/>
                  </pic:nvPicPr>
                  <pic:blipFill>
                    <a:blip r:embed="rId37" cstate="print"/>
                    <a:stretch>
                      <a:fillRect/>
                    </a:stretch>
                  </pic:blipFill>
                  <pic:spPr>
                    <a:xfrm>
                      <a:off x="0" y="0"/>
                      <a:ext cx="5943587" cy="2819400"/>
                    </a:xfrm>
                    <a:prstGeom prst="rect">
                      <a:avLst/>
                    </a:prstGeom>
                  </pic:spPr>
                </pic:pic>
              </a:graphicData>
            </a:graphic>
          </wp:anchor>
        </w:drawing>
      </w:r>
    </w:p>
    <w:p>
      <w:pPr>
        <w:pStyle w:val="BodyText"/>
        <w:spacing w:line="256" w:lineRule="auto" w:before="52"/>
        <w:ind w:left="3091" w:right="206" w:hanging="2449"/>
        <w:jc w:val="left"/>
      </w:pPr>
      <w:r>
        <w:rPr/>
        <w:t>Рисунок</w:t>
      </w:r>
      <w:r>
        <w:rPr>
          <w:spacing w:val="-5"/>
        </w:rPr>
        <w:t> </w:t>
      </w:r>
      <w:r>
        <w:rPr/>
        <w:t>23</w:t>
      </w:r>
      <w:r>
        <w:rPr>
          <w:spacing w:val="-4"/>
        </w:rPr>
        <w:t> </w:t>
      </w:r>
      <w:r>
        <w:rPr>
          <w:rFonts w:ascii="Arial MT" w:hAnsi="Arial MT"/>
          <w:color w:val="454545"/>
          <w:sz w:val="21"/>
        </w:rPr>
        <w:t>—</w:t>
      </w:r>
      <w:r>
        <w:rPr>
          <w:rFonts w:ascii="Arial MT" w:hAnsi="Arial MT"/>
          <w:color w:val="454545"/>
          <w:spacing w:val="-3"/>
          <w:sz w:val="21"/>
        </w:rPr>
        <w:t> </w:t>
      </w:r>
      <w:r>
        <w:rPr/>
        <w:t>Количество</w:t>
      </w:r>
      <w:r>
        <w:rPr>
          <w:spacing w:val="-2"/>
        </w:rPr>
        <w:t> </w:t>
      </w:r>
      <w:r>
        <w:rPr/>
        <w:t>бесплодных</w:t>
      </w:r>
      <w:r>
        <w:rPr>
          <w:spacing w:val="-2"/>
        </w:rPr>
        <w:t> </w:t>
      </w:r>
      <w:r>
        <w:rPr/>
        <w:t>мужчин</w:t>
      </w:r>
      <w:r>
        <w:rPr>
          <w:spacing w:val="-2"/>
        </w:rPr>
        <w:t> </w:t>
      </w:r>
      <w:r>
        <w:rPr/>
        <w:t>в</w:t>
      </w:r>
      <w:r>
        <w:rPr>
          <w:spacing w:val="-6"/>
        </w:rPr>
        <w:t> </w:t>
      </w:r>
      <w:r>
        <w:rPr/>
        <w:t>разрезе</w:t>
      </w:r>
      <w:r>
        <w:rPr>
          <w:spacing w:val="-3"/>
        </w:rPr>
        <w:t> </w:t>
      </w:r>
      <w:r>
        <w:rPr/>
        <w:t>возрастов</w:t>
      </w:r>
      <w:r>
        <w:rPr>
          <w:spacing w:val="-3"/>
        </w:rPr>
        <w:t> </w:t>
      </w:r>
      <w:r>
        <w:rPr/>
        <w:t>согласно</w:t>
      </w:r>
      <w:r>
        <w:rPr>
          <w:spacing w:val="-2"/>
        </w:rPr>
        <w:t> </w:t>
      </w:r>
      <w:r>
        <w:rPr/>
        <w:t>их обращению за медицинской помощью</w:t>
      </w:r>
    </w:p>
    <w:p>
      <w:pPr>
        <w:pStyle w:val="BodyText"/>
        <w:spacing w:before="19"/>
        <w:jc w:val="left"/>
      </w:pPr>
    </w:p>
    <w:p>
      <w:pPr>
        <w:pStyle w:val="BodyText"/>
        <w:spacing w:line="256" w:lineRule="auto"/>
        <w:ind w:left="286" w:right="278" w:firstLine="707"/>
      </w:pPr>
      <w:r>
        <w:rPr/>
        <w:t>Стоит отметить, что количество обращений в разрезе возрастов вероятно связано не с возрастным распределением признака «бесплодие» в популяции центрально азиатских мужчин, а с их активностью по преодолению бездетности. Так, как в Казахстане средний возраст вступления в первый брак для мужчин составляет 28 лет, то пик обращений в возрасте 29 лет является логичным следствием того, что за год проживания в браке желаемая беременность так и не наступила и мужчина обратился к нам за специализированной помощью.</w:t>
      </w:r>
    </w:p>
    <w:p>
      <w:pPr>
        <w:pStyle w:val="BodyText"/>
        <w:spacing w:line="276" w:lineRule="auto"/>
        <w:ind w:left="286" w:right="279" w:firstLine="707"/>
      </w:pPr>
      <w:r>
        <w:rPr/>
        <w:t>После 35 лет вместе с естественным снижением плодовитости наблюдается логарифмическое снижение количества обращений мужчин с целью диагностики статуса фертильности. Данная закономерность должна быть оценена медицинским сообществом как тревожный демографический сигнал. Ниже нами показаны концентрация и подвижность (3.1.4.1), морфологические параметры (3.1.4.2), вязкость и объем спермы (3.1.4.3) в соотвествии с возрастной структурой мужчин, живущих в бесплодных браках.</w:t>
      </w:r>
    </w:p>
    <w:p>
      <w:pPr>
        <w:pStyle w:val="BodyText"/>
        <w:spacing w:before="40"/>
        <w:jc w:val="left"/>
      </w:pPr>
    </w:p>
    <w:p>
      <w:pPr>
        <w:pStyle w:val="Heading2"/>
        <w:numPr>
          <w:ilvl w:val="3"/>
          <w:numId w:val="4"/>
        </w:numPr>
        <w:tabs>
          <w:tab w:pos="1692" w:val="left" w:leader="none"/>
        </w:tabs>
        <w:spacing w:line="322" w:lineRule="exact" w:before="0" w:after="0"/>
        <w:ind w:left="1692" w:right="0" w:hanging="840"/>
        <w:jc w:val="both"/>
      </w:pPr>
      <w:r>
        <w:rPr/>
        <w:t>Концентрация</w:t>
      </w:r>
      <w:r>
        <w:rPr>
          <w:spacing w:val="-7"/>
        </w:rPr>
        <w:t> </w:t>
      </w:r>
      <w:r>
        <w:rPr/>
        <w:t>и</w:t>
      </w:r>
      <w:r>
        <w:rPr>
          <w:spacing w:val="-6"/>
        </w:rPr>
        <w:t> </w:t>
      </w:r>
      <w:r>
        <w:rPr/>
        <w:t>подвижность</w:t>
      </w:r>
      <w:r>
        <w:rPr>
          <w:spacing w:val="-6"/>
        </w:rPr>
        <w:t> </w:t>
      </w:r>
      <w:r>
        <w:rPr>
          <w:spacing w:val="-2"/>
        </w:rPr>
        <w:t>сперматозоидов</w:t>
      </w:r>
    </w:p>
    <w:p>
      <w:pPr>
        <w:pStyle w:val="BodyText"/>
        <w:ind w:left="286" w:right="278" w:firstLine="566"/>
      </w:pPr>
      <w:r>
        <w:rPr/>
        <w:t>Концентрация сперматозоидов – важнейший показатель спермограммы, отражающий оплодотворяющую способность спермы. Разумеется, шансы на успешное</w:t>
      </w:r>
      <w:r>
        <w:rPr>
          <w:spacing w:val="23"/>
        </w:rPr>
        <w:t> </w:t>
      </w:r>
      <w:r>
        <w:rPr/>
        <w:t>зачатие определяются не</w:t>
      </w:r>
      <w:r>
        <w:rPr>
          <w:spacing w:val="23"/>
        </w:rPr>
        <w:t> </w:t>
      </w:r>
      <w:r>
        <w:rPr/>
        <w:t>только</w:t>
      </w:r>
      <w:r>
        <w:rPr>
          <w:spacing w:val="24"/>
        </w:rPr>
        <w:t> </w:t>
      </w:r>
      <w:r>
        <w:rPr/>
        <w:t>концентрацией сперматозоидов, но и их</w:t>
      </w:r>
    </w:p>
    <w:p>
      <w:pPr>
        <w:pStyle w:val="BodyText"/>
        <w:spacing w:after="0"/>
        <w:sectPr>
          <w:pgSz w:w="11910" w:h="16840"/>
          <w:pgMar w:header="0" w:footer="983" w:top="340" w:bottom="1200" w:left="566" w:right="566"/>
        </w:sectPr>
      </w:pPr>
    </w:p>
    <w:p>
      <w:pPr>
        <w:pStyle w:val="BodyText"/>
        <w:spacing w:before="69"/>
        <w:ind w:left="286" w:right="279"/>
      </w:pPr>
      <w:r>
        <w:rPr/>
        <w:t>подвижностью, строением (морфологией). Однако число половых клеток, которые гипотетически могут оплодотворить ооцит, во многом определяет вероятность наступления беременности [19]. На рисунке 24 представлены данные по концентрации сперматозоидов в 1 мл объема эякулята (24a), общее содержание сперматозоидов в эякуляте (24b), их общая подвижность (24c) и отдельно выделена прогрессивная подвижность – наиболее перспетивные сперматозоиды для совершения оплодотвторения(24d). Выборка - 957 мужчин, живущих в бесплодных браках на протяжении не менее 12 месяцев.</w:t>
      </w:r>
    </w:p>
    <w:p>
      <w:pPr>
        <w:pStyle w:val="BodyText"/>
        <w:spacing w:before="126"/>
        <w:jc w:val="left"/>
        <w:rPr>
          <w:sz w:val="20"/>
        </w:rPr>
      </w:pPr>
      <w:r>
        <w:rPr>
          <w:sz w:val="20"/>
        </w:rPr>
        <w:drawing>
          <wp:anchor distT="0" distB="0" distL="0" distR="0" allowOverlap="1" layoutInCell="1" locked="0" behindDoc="1" simplePos="0" relativeHeight="487601152">
            <wp:simplePos x="0" y="0"/>
            <wp:positionH relativeFrom="page">
              <wp:posOffset>549910</wp:posOffset>
            </wp:positionH>
            <wp:positionV relativeFrom="paragraph">
              <wp:posOffset>241817</wp:posOffset>
            </wp:positionV>
            <wp:extent cx="6448847" cy="2457450"/>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38" cstate="print"/>
                    <a:stretch>
                      <a:fillRect/>
                    </a:stretch>
                  </pic:blipFill>
                  <pic:spPr>
                    <a:xfrm>
                      <a:off x="0" y="0"/>
                      <a:ext cx="6448847" cy="2457450"/>
                    </a:xfrm>
                    <a:prstGeom prst="rect">
                      <a:avLst/>
                    </a:prstGeom>
                  </pic:spPr>
                </pic:pic>
              </a:graphicData>
            </a:graphic>
          </wp:anchor>
        </w:drawing>
      </w:r>
    </w:p>
    <w:p>
      <w:pPr>
        <w:pStyle w:val="Heading2"/>
        <w:tabs>
          <w:tab w:pos="5184" w:val="left" w:leader="none"/>
        </w:tabs>
        <w:spacing w:before="29"/>
        <w:ind w:left="3" w:firstLine="0"/>
        <w:jc w:val="center"/>
      </w:pPr>
      <w:r>
        <w:rPr>
          <w:spacing w:val="-10"/>
        </w:rPr>
        <w:t>a</w:t>
      </w:r>
      <w:r>
        <w:rPr/>
        <w:tab/>
      </w:r>
      <w:r>
        <w:rPr>
          <w:spacing w:val="-10"/>
        </w:rPr>
        <w:t>b</w:t>
      </w:r>
    </w:p>
    <w:p>
      <w:pPr>
        <w:spacing w:line="240" w:lineRule="auto"/>
        <w:ind w:left="285" w:right="0" w:firstLine="0"/>
        <w:rPr>
          <w:sz w:val="20"/>
        </w:rPr>
      </w:pPr>
      <w:r>
        <w:rPr>
          <w:sz w:val="20"/>
        </w:rPr>
        <w:drawing>
          <wp:inline distT="0" distB="0" distL="0" distR="0">
            <wp:extent cx="6477008" cy="2514600"/>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39" cstate="print"/>
                    <a:stretch>
                      <a:fillRect/>
                    </a:stretch>
                  </pic:blipFill>
                  <pic:spPr>
                    <a:xfrm>
                      <a:off x="0" y="0"/>
                      <a:ext cx="6477008" cy="2514600"/>
                    </a:xfrm>
                    <a:prstGeom prst="rect">
                      <a:avLst/>
                    </a:prstGeom>
                  </pic:spPr>
                </pic:pic>
              </a:graphicData>
            </a:graphic>
          </wp:inline>
        </w:drawing>
      </w:r>
      <w:r>
        <w:rPr>
          <w:sz w:val="20"/>
        </w:rPr>
      </w:r>
    </w:p>
    <w:p>
      <w:pPr>
        <w:pStyle w:val="Heading2"/>
        <w:tabs>
          <w:tab w:pos="5165" w:val="left" w:leader="none"/>
        </w:tabs>
        <w:spacing w:before="59"/>
        <w:ind w:left="0" w:firstLine="0"/>
        <w:jc w:val="center"/>
      </w:pPr>
      <w:r>
        <w:rPr>
          <w:spacing w:val="-10"/>
        </w:rPr>
        <w:t>c</w:t>
      </w:r>
      <w:r>
        <w:rPr/>
        <w:tab/>
      </w:r>
      <w:r>
        <w:rPr>
          <w:spacing w:val="-10"/>
        </w:rPr>
        <w:t>d</w:t>
      </w:r>
    </w:p>
    <w:p>
      <w:pPr>
        <w:pStyle w:val="BodyText"/>
        <w:ind w:left="360" w:right="360"/>
        <w:jc w:val="center"/>
      </w:pPr>
      <w:r>
        <w:rPr/>
        <w:t>Рисунок</w:t>
      </w:r>
      <w:r>
        <w:rPr>
          <w:spacing w:val="-5"/>
        </w:rPr>
        <w:t> </w:t>
      </w:r>
      <w:r>
        <w:rPr/>
        <w:t>24</w:t>
      </w:r>
      <w:r>
        <w:rPr>
          <w:spacing w:val="-4"/>
        </w:rPr>
        <w:t> </w:t>
      </w:r>
      <w:r>
        <w:rPr>
          <w:rFonts w:ascii="Arial MT" w:hAnsi="Arial MT"/>
          <w:color w:val="454545"/>
          <w:sz w:val="21"/>
        </w:rPr>
        <w:t>—</w:t>
      </w:r>
      <w:r>
        <w:rPr>
          <w:rFonts w:ascii="Arial MT" w:hAnsi="Arial MT"/>
          <w:color w:val="454545"/>
          <w:spacing w:val="40"/>
          <w:sz w:val="21"/>
        </w:rPr>
        <w:t> </w:t>
      </w:r>
      <w:r>
        <w:rPr/>
        <w:t>Концентрация</w:t>
      </w:r>
      <w:r>
        <w:rPr>
          <w:spacing w:val="-5"/>
        </w:rPr>
        <w:t> </w:t>
      </w:r>
      <w:r>
        <w:rPr/>
        <w:t>и</w:t>
      </w:r>
      <w:r>
        <w:rPr>
          <w:spacing w:val="-2"/>
        </w:rPr>
        <w:t> </w:t>
      </w:r>
      <w:r>
        <w:rPr/>
        <w:t>подвижность</w:t>
      </w:r>
      <w:r>
        <w:rPr>
          <w:spacing w:val="-4"/>
        </w:rPr>
        <w:t> </w:t>
      </w:r>
      <w:r>
        <w:rPr/>
        <w:t>сперматозоидов</w:t>
      </w:r>
      <w:r>
        <w:rPr>
          <w:spacing w:val="-3"/>
        </w:rPr>
        <w:t> </w:t>
      </w:r>
      <w:r>
        <w:rPr/>
        <w:t>мужчин</w:t>
      </w:r>
      <w:r>
        <w:rPr>
          <w:spacing w:val="-2"/>
        </w:rPr>
        <w:t> </w:t>
      </w:r>
      <w:r>
        <w:rPr/>
        <w:t>в</w:t>
      </w:r>
      <w:r>
        <w:rPr>
          <w:spacing w:val="-6"/>
        </w:rPr>
        <w:t> </w:t>
      </w:r>
      <w:r>
        <w:rPr/>
        <w:t>бесплодных браках в зависимости от их возраста [15].</w:t>
      </w:r>
    </w:p>
    <w:p>
      <w:pPr>
        <w:pStyle w:val="BodyText"/>
        <w:spacing w:before="2"/>
        <w:ind w:left="436" w:right="433" w:firstLine="1"/>
        <w:jc w:val="center"/>
      </w:pPr>
      <w:r>
        <w:rPr/>
        <w:t>Концентрация сперматозоидов в 1 мл (a); общее содержание сперматозоидов в эякуляте (b); общая подвижность (c); прогрессивная подвижность – наиболее перспетивные</w:t>
      </w:r>
      <w:r>
        <w:rPr>
          <w:spacing w:val="-5"/>
        </w:rPr>
        <w:t> </w:t>
      </w:r>
      <w:r>
        <w:rPr/>
        <w:t>сперматозоиды</w:t>
      </w:r>
      <w:r>
        <w:rPr>
          <w:spacing w:val="-6"/>
        </w:rPr>
        <w:t> </w:t>
      </w:r>
      <w:r>
        <w:rPr/>
        <w:t>для</w:t>
      </w:r>
      <w:r>
        <w:rPr>
          <w:spacing w:val="-4"/>
        </w:rPr>
        <w:t> </w:t>
      </w:r>
      <w:r>
        <w:rPr/>
        <w:t>совершения</w:t>
      </w:r>
      <w:r>
        <w:rPr>
          <w:spacing w:val="-7"/>
        </w:rPr>
        <w:t> </w:t>
      </w:r>
      <w:r>
        <w:rPr/>
        <w:t>оплодотвторения</w:t>
      </w:r>
      <w:r>
        <w:rPr>
          <w:spacing w:val="-4"/>
        </w:rPr>
        <w:t> </w:t>
      </w:r>
      <w:r>
        <w:rPr/>
        <w:t>(d);</w:t>
      </w:r>
      <w:r>
        <w:rPr>
          <w:spacing w:val="-4"/>
        </w:rPr>
        <w:t> </w:t>
      </w:r>
      <w:r>
        <w:rPr/>
        <w:t>внизу</w:t>
      </w:r>
      <w:r>
        <w:rPr>
          <w:spacing w:val="-6"/>
        </w:rPr>
        <w:t> </w:t>
      </w:r>
      <w:r>
        <w:rPr/>
        <w:t>указана возрастная группа пациентов</w:t>
      </w:r>
    </w:p>
    <w:p>
      <w:pPr>
        <w:pStyle w:val="BodyText"/>
        <w:spacing w:before="320"/>
        <w:ind w:left="285" w:right="279" w:firstLine="707"/>
      </w:pPr>
      <w:r>
        <w:rPr/>
        <w:t>Границами ящика служат первый и третий квартили (25-й и 75-й процентили соответственно), линия в середине ящика — медиана (50-й процентиль) [5]. Концы усов — края статистически значимой выборки (без выбросов). Нами оценена концентрация</w:t>
      </w:r>
      <w:r>
        <w:rPr>
          <w:spacing w:val="45"/>
        </w:rPr>
        <w:t>  </w:t>
      </w:r>
      <w:r>
        <w:rPr/>
        <w:t>сперматозоидов,</w:t>
      </w:r>
      <w:r>
        <w:rPr>
          <w:spacing w:val="45"/>
        </w:rPr>
        <w:t>  </w:t>
      </w:r>
      <w:r>
        <w:rPr/>
        <w:t>а</w:t>
      </w:r>
      <w:r>
        <w:rPr>
          <w:spacing w:val="45"/>
        </w:rPr>
        <w:t>  </w:t>
      </w:r>
      <w:r>
        <w:rPr/>
        <w:t>также</w:t>
      </w:r>
      <w:r>
        <w:rPr>
          <w:spacing w:val="46"/>
        </w:rPr>
        <w:t>  </w:t>
      </w:r>
      <w:r>
        <w:rPr/>
        <w:t>их</w:t>
      </w:r>
      <w:r>
        <w:rPr>
          <w:spacing w:val="46"/>
        </w:rPr>
        <w:t>  </w:t>
      </w:r>
      <w:r>
        <w:rPr/>
        <w:t>подвижность</w:t>
      </w:r>
      <w:r>
        <w:rPr>
          <w:spacing w:val="45"/>
        </w:rPr>
        <w:t>  </w:t>
      </w:r>
      <w:r>
        <w:rPr/>
        <w:t>в</w:t>
      </w:r>
      <w:r>
        <w:rPr>
          <w:spacing w:val="45"/>
        </w:rPr>
        <w:t>  </w:t>
      </w:r>
      <w:r>
        <w:rPr/>
        <w:t>сперме</w:t>
      </w:r>
      <w:r>
        <w:rPr>
          <w:spacing w:val="45"/>
        </w:rPr>
        <w:t>  </w:t>
      </w:r>
      <w:r>
        <w:rPr>
          <w:spacing w:val="-2"/>
        </w:rPr>
        <w:t>жителей</w:t>
      </w:r>
    </w:p>
    <w:p>
      <w:pPr>
        <w:pStyle w:val="BodyText"/>
        <w:spacing w:after="0"/>
        <w:sectPr>
          <w:pgSz w:w="11910" w:h="16840"/>
          <w:pgMar w:header="0" w:footer="983" w:top="340" w:bottom="1200" w:left="566" w:right="566"/>
        </w:sectPr>
      </w:pPr>
    </w:p>
    <w:p>
      <w:pPr>
        <w:pStyle w:val="BodyText"/>
        <w:spacing w:before="69"/>
        <w:ind w:left="286" w:right="280"/>
      </w:pPr>
      <w:r>
        <w:rPr/>
        <w:t>Казахстана и Узбекистана, обратившихся в лечебные учреждения по поводу бесплодия. Критерием включения был период бесплодия не менее 12 месяцев после прекращения всех видов контрацепции.</w:t>
      </w:r>
    </w:p>
    <w:p>
      <w:pPr>
        <w:pStyle w:val="BodyText"/>
        <w:ind w:left="286" w:right="278" w:firstLine="707"/>
      </w:pPr>
      <w:r>
        <w:rPr/>
        <w:t>Минимальное референсное значения концентарции и подвижности смотрите в таблицах 1-2. Пациенты разделены на возрастные группы. Важно отметить, что обращение в клинику является специфической выборкой ввиду наличия проблемы с зачатием и</w:t>
      </w:r>
      <w:r>
        <w:rPr>
          <w:spacing w:val="-1"/>
        </w:rPr>
        <w:t> </w:t>
      </w:r>
      <w:r>
        <w:rPr/>
        <w:t>не может свидетельствовать</w:t>
      </w:r>
      <w:r>
        <w:rPr>
          <w:spacing w:val="-2"/>
        </w:rPr>
        <w:t> </w:t>
      </w:r>
      <w:r>
        <w:rPr/>
        <w:t>об репродуктивном</w:t>
      </w:r>
      <w:r>
        <w:rPr>
          <w:spacing w:val="-2"/>
        </w:rPr>
        <w:t> </w:t>
      </w:r>
      <w:r>
        <w:rPr/>
        <w:t>потенциале</w:t>
      </w:r>
      <w:r>
        <w:rPr>
          <w:spacing w:val="-1"/>
        </w:rPr>
        <w:t> </w:t>
      </w:r>
      <w:r>
        <w:rPr/>
        <w:t>популяции в целом, однако дает нам понимание о фертильности эякулята бесплодных мужчин в разрезе их возраста [15].</w:t>
      </w:r>
    </w:p>
    <w:p>
      <w:pPr>
        <w:pStyle w:val="BodyText"/>
        <w:ind w:left="286" w:right="279" w:firstLine="707"/>
      </w:pPr>
      <w:r>
        <w:rPr/>
        <w:t>Общее число сперматозоидов в сперме и концентрация сперматозоидов связаны как со временем достижения естественной беременности, так и с частотой наступления беременности являясь прогностическими факторами фертильного статуса мужчины. Число сперматозоидов в эякуляте рассчитывается путём умножения концентрации сперматозоидов на объем эякулята. В норме при отсутствии обструкции семявыносящих путей и коротком времени половой абстиненции число сперматозоидов в эякуляте коррелирует с объемом яичек и, таким образом, является мерой способности яичек производить сперматозоиды, проходимости семявыносящего пути и, потенциально, количества сперматозоидов, передаваемых женщине во время коитуса. Концентрация сперматозоидов в</w:t>
      </w:r>
      <w:r>
        <w:rPr>
          <w:spacing w:val="40"/>
        </w:rPr>
        <w:t> </w:t>
      </w:r>
      <w:r>
        <w:rPr/>
        <w:t>эякуляте, хотя и связана с оплодотворением и частотой наступления беременности, зависит от объема секретов семенных пузырьков и предстательной железы и не является надёжным показателем функции тестикул [24].</w:t>
      </w:r>
    </w:p>
    <w:p>
      <w:pPr>
        <w:pStyle w:val="BodyText"/>
        <w:ind w:left="286" w:right="278" w:firstLine="707"/>
      </w:pPr>
      <w:r>
        <w:rPr/>
        <w:t>Степень подвижности сперматозоидов коррелирует с частотой наступления беременности, а общее число прогрессивно подвижных сперматозоидов в эякуляте имеет биологическое значение. Его получают путем умножения общего числа сперматозоидов в эякуляте на процентную долю прогрессивно подвижных клеток. Сперматозоиду нужно быстро двигаться — только так он сможет достичь и оплодотворить яйцеклетку. Если движение большей части сперматозоидов замедлено, шанс на зачатие уменьшается.</w:t>
      </w:r>
    </w:p>
    <w:p>
      <w:pPr>
        <w:pStyle w:val="Heading2"/>
        <w:numPr>
          <w:ilvl w:val="3"/>
          <w:numId w:val="4"/>
        </w:numPr>
        <w:tabs>
          <w:tab w:pos="1834" w:val="left" w:leader="none"/>
        </w:tabs>
        <w:spacing w:line="322" w:lineRule="exact" w:before="318" w:after="0"/>
        <w:ind w:left="1834" w:right="0" w:hanging="840"/>
        <w:jc w:val="both"/>
      </w:pPr>
      <w:r>
        <w:rPr/>
        <w:t>Морфологические</w:t>
      </w:r>
      <w:r>
        <w:rPr>
          <w:spacing w:val="-12"/>
        </w:rPr>
        <w:t> </w:t>
      </w:r>
      <w:r>
        <w:rPr/>
        <w:t>параметры</w:t>
      </w:r>
      <w:r>
        <w:rPr>
          <w:spacing w:val="-12"/>
        </w:rPr>
        <w:t> </w:t>
      </w:r>
      <w:r>
        <w:rPr>
          <w:spacing w:val="-2"/>
        </w:rPr>
        <w:t>сперматозоидов</w:t>
      </w:r>
    </w:p>
    <w:p>
      <w:pPr>
        <w:pStyle w:val="BodyText"/>
        <w:ind w:left="286" w:right="277" w:firstLine="707"/>
      </w:pPr>
      <w:r>
        <w:rPr/>
        <w:t>Морфологически правильные сперматозоиды имеют гладкую, овальную головку с акросомой в передней части головки, из которой высвобождаются ферменты, растворяющие ZP во время оплодотворения. Далее находится шейка, средняя часть и хвостик сперматозоида. Правильное строение сперматозоидов обеспечивает их подвижность и способность оплодотворить яйцеклетку, а также коррелирует с качеством генетического материала. Морфологическая оценка сперматозоидов человека важна не только для прогнозирования спонтанной беременности или результатов применения ВРТ, но и в большей степени для получения диагностической информации о функциональном состоянии мужских репродуктивных органов, в первую очередь яичек и придатков яичек. Для оценки состояния</w:t>
      </w:r>
      <w:r>
        <w:rPr>
          <w:spacing w:val="62"/>
        </w:rPr>
        <w:t>  </w:t>
      </w:r>
      <w:r>
        <w:rPr/>
        <w:t>мужских</w:t>
      </w:r>
      <w:r>
        <w:rPr>
          <w:spacing w:val="63"/>
        </w:rPr>
        <w:t>  </w:t>
      </w:r>
      <w:r>
        <w:rPr/>
        <w:t>репродуктивных</w:t>
      </w:r>
      <w:r>
        <w:rPr>
          <w:spacing w:val="61"/>
        </w:rPr>
        <w:t>  </w:t>
      </w:r>
      <w:r>
        <w:rPr/>
        <w:t>органов</w:t>
      </w:r>
      <w:r>
        <w:rPr>
          <w:spacing w:val="62"/>
        </w:rPr>
        <w:t>  </w:t>
      </w:r>
      <w:r>
        <w:rPr/>
        <w:t>оценивается</w:t>
      </w:r>
      <w:r>
        <w:rPr>
          <w:spacing w:val="62"/>
        </w:rPr>
        <w:t>  </w:t>
      </w:r>
      <w:r>
        <w:rPr/>
        <w:t>не</w:t>
      </w:r>
      <w:r>
        <w:rPr>
          <w:spacing w:val="63"/>
        </w:rPr>
        <w:t>  </w:t>
      </w:r>
      <w:r>
        <w:rPr/>
        <w:t>только</w:t>
      </w:r>
      <w:r>
        <w:rPr>
          <w:spacing w:val="61"/>
        </w:rPr>
        <w:t>  </w:t>
      </w:r>
      <w:r>
        <w:rPr>
          <w:spacing w:val="-4"/>
        </w:rPr>
        <w:t>доля</w:t>
      </w:r>
    </w:p>
    <w:p>
      <w:pPr>
        <w:pStyle w:val="BodyText"/>
        <w:ind w:left="286" w:right="279"/>
      </w:pPr>
      <w:r>
        <w:rPr/>
        <w:t>«нормальных» сперматозоидов. Важным этапом определения репродуктивного потенциала</w:t>
      </w:r>
      <w:r>
        <w:rPr>
          <w:spacing w:val="-4"/>
        </w:rPr>
        <w:t> </w:t>
      </w:r>
      <w:r>
        <w:rPr/>
        <w:t>мужчины</w:t>
      </w:r>
      <w:r>
        <w:rPr>
          <w:spacing w:val="-2"/>
        </w:rPr>
        <w:t> </w:t>
      </w:r>
      <w:r>
        <w:rPr/>
        <w:t>является</w:t>
      </w:r>
      <w:r>
        <w:rPr>
          <w:spacing w:val="-3"/>
        </w:rPr>
        <w:t> </w:t>
      </w:r>
      <w:r>
        <w:rPr/>
        <w:t>оценка</w:t>
      </w:r>
      <w:r>
        <w:rPr>
          <w:spacing w:val="-2"/>
        </w:rPr>
        <w:t> </w:t>
      </w:r>
      <w:r>
        <w:rPr/>
        <w:t>специфической</w:t>
      </w:r>
      <w:r>
        <w:rPr>
          <w:spacing w:val="-2"/>
        </w:rPr>
        <w:t> </w:t>
      </w:r>
      <w:r>
        <w:rPr/>
        <w:t>морфологии</w:t>
      </w:r>
      <w:r>
        <w:rPr>
          <w:spacing w:val="-3"/>
        </w:rPr>
        <w:t> </w:t>
      </w:r>
      <w:r>
        <w:rPr/>
        <w:t>головки,</w:t>
      </w:r>
      <w:r>
        <w:rPr>
          <w:spacing w:val="-2"/>
        </w:rPr>
        <w:t> </w:t>
      </w:r>
      <w:r>
        <w:rPr/>
        <w:t>шейки</w:t>
      </w:r>
      <w:r>
        <w:rPr>
          <w:spacing w:val="-5"/>
        </w:rPr>
        <w:t> </w:t>
      </w:r>
      <w:r>
        <w:rPr/>
        <w:t>и хвоста сперматозоидов, а также наличие остаточных капель цитоплазмы. Все образцы эякулята человека содержат сперматозоиды с широким спектром</w:t>
      </w:r>
      <w:r>
        <w:rPr>
          <w:spacing w:val="40"/>
        </w:rPr>
        <w:t> </w:t>
      </w:r>
      <w:r>
        <w:rPr/>
        <w:t>различных морфологических признаков [24].</w:t>
      </w:r>
    </w:p>
    <w:p>
      <w:pPr>
        <w:pStyle w:val="BodyText"/>
        <w:spacing w:after="0"/>
        <w:sectPr>
          <w:pgSz w:w="11910" w:h="16840"/>
          <w:pgMar w:header="0" w:footer="983" w:top="340" w:bottom="1200" w:left="566" w:right="566"/>
        </w:sectPr>
      </w:pPr>
    </w:p>
    <w:p>
      <w:pPr>
        <w:pStyle w:val="BodyText"/>
        <w:spacing w:before="69"/>
        <w:ind w:left="286" w:right="279" w:firstLine="707"/>
      </w:pPr>
      <w:r>
        <w:rPr/>
        <w:t>Нами оценена морфология сперматозоидов, а также концентарция лейкоцитов жителей</w:t>
      </w:r>
      <w:r>
        <w:rPr>
          <w:spacing w:val="-1"/>
        </w:rPr>
        <w:t> </w:t>
      </w:r>
      <w:r>
        <w:rPr/>
        <w:t>Казахстана</w:t>
      </w:r>
      <w:r>
        <w:rPr>
          <w:spacing w:val="-4"/>
        </w:rPr>
        <w:t> </w:t>
      </w:r>
      <w:r>
        <w:rPr/>
        <w:t>и</w:t>
      </w:r>
      <w:r>
        <w:rPr>
          <w:spacing w:val="-1"/>
        </w:rPr>
        <w:t> </w:t>
      </w:r>
      <w:r>
        <w:rPr/>
        <w:t>Узбекистана,</w:t>
      </w:r>
      <w:r>
        <w:rPr>
          <w:spacing w:val="-4"/>
        </w:rPr>
        <w:t> </w:t>
      </w:r>
      <w:r>
        <w:rPr/>
        <w:t>обратившихся</w:t>
      </w:r>
      <w:r>
        <w:rPr>
          <w:spacing w:val="-1"/>
        </w:rPr>
        <w:t> </w:t>
      </w:r>
      <w:r>
        <w:rPr/>
        <w:t>в</w:t>
      </w:r>
      <w:r>
        <w:rPr>
          <w:spacing w:val="-2"/>
        </w:rPr>
        <w:t> </w:t>
      </w:r>
      <w:r>
        <w:rPr/>
        <w:t>лечебное</w:t>
      </w:r>
      <w:r>
        <w:rPr>
          <w:spacing w:val="-1"/>
        </w:rPr>
        <w:t> </w:t>
      </w:r>
      <w:r>
        <w:rPr/>
        <w:t>учреждение</w:t>
      </w:r>
      <w:r>
        <w:rPr>
          <w:spacing w:val="-1"/>
        </w:rPr>
        <w:t> </w:t>
      </w:r>
      <w:r>
        <w:rPr/>
        <w:t>по поводу бесплодия. Критерием включения был период бесплодия не менее 12 месяцев после прекращения всех видов контрацепции.</w:t>
      </w:r>
    </w:p>
    <w:p>
      <w:pPr>
        <w:pStyle w:val="BodyText"/>
        <w:spacing w:before="124"/>
        <w:jc w:val="left"/>
        <w:rPr>
          <w:sz w:val="20"/>
        </w:rPr>
      </w:pPr>
      <w:r>
        <w:rPr>
          <w:sz w:val="20"/>
        </w:rPr>
        <w:drawing>
          <wp:anchor distT="0" distB="0" distL="0" distR="0" allowOverlap="1" layoutInCell="1" locked="0" behindDoc="1" simplePos="0" relativeHeight="487601664">
            <wp:simplePos x="0" y="0"/>
            <wp:positionH relativeFrom="page">
              <wp:posOffset>587649</wp:posOffset>
            </wp:positionH>
            <wp:positionV relativeFrom="paragraph">
              <wp:posOffset>240156</wp:posOffset>
            </wp:positionV>
            <wp:extent cx="6382782" cy="2478024"/>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40" cstate="print"/>
                    <a:stretch>
                      <a:fillRect/>
                    </a:stretch>
                  </pic:blipFill>
                  <pic:spPr>
                    <a:xfrm>
                      <a:off x="0" y="0"/>
                      <a:ext cx="6382782" cy="2478024"/>
                    </a:xfrm>
                    <a:prstGeom prst="rect">
                      <a:avLst/>
                    </a:prstGeom>
                  </pic:spPr>
                </pic:pic>
              </a:graphicData>
            </a:graphic>
          </wp:anchor>
        </w:drawing>
      </w:r>
    </w:p>
    <w:p>
      <w:pPr>
        <w:pStyle w:val="Heading2"/>
        <w:tabs>
          <w:tab w:pos="5183" w:val="left" w:leader="none"/>
        </w:tabs>
        <w:spacing w:before="59"/>
        <w:ind w:left="2" w:firstLine="0"/>
        <w:jc w:val="center"/>
      </w:pPr>
      <w:r>
        <w:rPr>
          <w:spacing w:val="-10"/>
        </w:rPr>
        <w:t>a</w:t>
      </w:r>
      <w:r>
        <w:rPr/>
        <w:tab/>
      </w:r>
      <w:r>
        <w:rPr>
          <w:spacing w:val="-10"/>
        </w:rPr>
        <w:t>b</w:t>
      </w:r>
    </w:p>
    <w:p>
      <w:pPr>
        <w:pStyle w:val="BodyText"/>
        <w:spacing w:before="2"/>
        <w:jc w:val="left"/>
        <w:rPr>
          <w:b/>
        </w:rPr>
      </w:pPr>
    </w:p>
    <w:p>
      <w:pPr>
        <w:pStyle w:val="BodyText"/>
        <w:ind w:left="326" w:right="325"/>
        <w:jc w:val="center"/>
      </w:pPr>
      <w:r>
        <w:rPr/>
        <w:t>Рисунок</w:t>
      </w:r>
      <w:r>
        <w:rPr>
          <w:spacing w:val="-5"/>
        </w:rPr>
        <w:t> </w:t>
      </w:r>
      <w:r>
        <w:rPr/>
        <w:t>25</w:t>
      </w:r>
      <w:r>
        <w:rPr>
          <w:spacing w:val="-5"/>
        </w:rPr>
        <w:t> </w:t>
      </w:r>
      <w:r>
        <w:rPr>
          <w:rFonts w:ascii="Arial MT" w:hAnsi="Arial MT"/>
          <w:color w:val="454545"/>
          <w:sz w:val="21"/>
        </w:rPr>
        <w:t>—</w:t>
      </w:r>
      <w:r>
        <w:rPr>
          <w:rFonts w:ascii="Arial MT" w:hAnsi="Arial MT"/>
          <w:color w:val="454545"/>
          <w:spacing w:val="40"/>
          <w:sz w:val="21"/>
        </w:rPr>
        <w:t> </w:t>
      </w:r>
      <w:r>
        <w:rPr/>
        <w:t>Морфология</w:t>
      </w:r>
      <w:r>
        <w:rPr>
          <w:spacing w:val="-3"/>
        </w:rPr>
        <w:t> </w:t>
      </w:r>
      <w:r>
        <w:rPr/>
        <w:t>сперматозоидов</w:t>
      </w:r>
      <w:r>
        <w:rPr>
          <w:spacing w:val="-5"/>
        </w:rPr>
        <w:t> </w:t>
      </w:r>
      <w:r>
        <w:rPr/>
        <w:t>и</w:t>
      </w:r>
      <w:r>
        <w:rPr>
          <w:spacing w:val="-3"/>
        </w:rPr>
        <w:t> </w:t>
      </w:r>
      <w:r>
        <w:rPr/>
        <w:t>содержание</w:t>
      </w:r>
      <w:r>
        <w:rPr>
          <w:spacing w:val="-4"/>
        </w:rPr>
        <w:t> </w:t>
      </w:r>
      <w:r>
        <w:rPr/>
        <w:t>лейкоцитов</w:t>
      </w:r>
      <w:r>
        <w:rPr>
          <w:spacing w:val="-4"/>
        </w:rPr>
        <w:t> </w:t>
      </w:r>
      <w:r>
        <w:rPr/>
        <w:t>в</w:t>
      </w:r>
      <w:r>
        <w:rPr>
          <w:spacing w:val="-4"/>
        </w:rPr>
        <w:t> </w:t>
      </w:r>
      <w:r>
        <w:rPr/>
        <w:t>семенной плазме в зависимости от возраста мужчин [15].</w:t>
      </w:r>
    </w:p>
    <w:p>
      <w:pPr>
        <w:pStyle w:val="BodyText"/>
        <w:ind w:left="365" w:right="360"/>
        <w:jc w:val="center"/>
      </w:pPr>
      <w:r>
        <w:rPr/>
        <w:t>Нормальная</w:t>
      </w:r>
      <w:r>
        <w:rPr>
          <w:spacing w:val="-4"/>
        </w:rPr>
        <w:t> </w:t>
      </w:r>
      <w:r>
        <w:rPr/>
        <w:t>морфология</w:t>
      </w:r>
      <w:r>
        <w:rPr>
          <w:spacing w:val="-4"/>
        </w:rPr>
        <w:t> </w:t>
      </w:r>
      <w:r>
        <w:rPr/>
        <w:t>сперматозоидов</w:t>
      </w:r>
      <w:r>
        <w:rPr>
          <w:spacing w:val="-5"/>
        </w:rPr>
        <w:t> </w:t>
      </w:r>
      <w:r>
        <w:rPr/>
        <w:t>по</w:t>
      </w:r>
      <w:r>
        <w:rPr>
          <w:spacing w:val="-4"/>
        </w:rPr>
        <w:t> </w:t>
      </w:r>
      <w:r>
        <w:rPr/>
        <w:t>Крюгеру</w:t>
      </w:r>
      <w:r>
        <w:rPr>
          <w:spacing w:val="-4"/>
        </w:rPr>
        <w:t> </w:t>
      </w:r>
      <w:r>
        <w:rPr/>
        <w:t>(a);</w:t>
      </w:r>
      <w:r>
        <w:rPr>
          <w:spacing w:val="-3"/>
        </w:rPr>
        <w:t> </w:t>
      </w:r>
      <w:r>
        <w:rPr/>
        <w:t>содержание</w:t>
      </w:r>
      <w:r>
        <w:rPr>
          <w:spacing w:val="-5"/>
        </w:rPr>
        <w:t> </w:t>
      </w:r>
      <w:r>
        <w:rPr/>
        <w:t>лейкоцитов</w:t>
      </w:r>
      <w:r>
        <w:rPr>
          <w:spacing w:val="-5"/>
        </w:rPr>
        <w:t> </w:t>
      </w:r>
      <w:r>
        <w:rPr/>
        <w:t>в эякулят (b); внизу указана возрастная группа пациентов</w:t>
      </w:r>
    </w:p>
    <w:p>
      <w:pPr>
        <w:pStyle w:val="BodyText"/>
        <w:spacing w:before="320"/>
        <w:ind w:left="286" w:right="278" w:firstLine="707"/>
      </w:pPr>
      <w:r>
        <w:rPr/>
        <w:t>Минимальное референсное значения содержания нормальных морфологических форм сперматозоида является 4%. Пороговое значение для содержания лейкоцитов в сперме составляет 1 млн/мл. Пациенты разделены на возрастные группы. Важно понимать, что обращение в клинику является своего</w:t>
      </w:r>
      <w:r>
        <w:rPr>
          <w:spacing w:val="80"/>
        </w:rPr>
        <w:t> </w:t>
      </w:r>
      <w:r>
        <w:rPr/>
        <w:t>рода выборкой и не может свидетельствовать об репродуктивном потенциале популяции, однако дает нам понимание о фертильности эякулята бесплодных мужчин в разрезе их возраста.</w:t>
      </w:r>
    </w:p>
    <w:p>
      <w:pPr>
        <w:pStyle w:val="BodyText"/>
        <w:spacing w:before="1"/>
        <w:jc w:val="left"/>
      </w:pPr>
    </w:p>
    <w:p>
      <w:pPr>
        <w:pStyle w:val="Heading2"/>
        <w:numPr>
          <w:ilvl w:val="3"/>
          <w:numId w:val="4"/>
        </w:numPr>
        <w:tabs>
          <w:tab w:pos="1834" w:val="left" w:leader="none"/>
        </w:tabs>
        <w:spacing w:line="322" w:lineRule="exact" w:before="0" w:after="0"/>
        <w:ind w:left="1834" w:right="0" w:hanging="840"/>
        <w:jc w:val="both"/>
      </w:pPr>
      <w:r>
        <w:rPr/>
        <w:t>Вязкость</w:t>
      </w:r>
      <w:r>
        <w:rPr>
          <w:spacing w:val="-5"/>
        </w:rPr>
        <w:t> </w:t>
      </w:r>
      <w:r>
        <w:rPr/>
        <w:t>и</w:t>
      </w:r>
      <w:r>
        <w:rPr>
          <w:spacing w:val="-5"/>
        </w:rPr>
        <w:t> </w:t>
      </w:r>
      <w:r>
        <w:rPr/>
        <w:t>объем</w:t>
      </w:r>
      <w:r>
        <w:rPr>
          <w:spacing w:val="-3"/>
        </w:rPr>
        <w:t> </w:t>
      </w:r>
      <w:r>
        <w:rPr>
          <w:spacing w:val="-2"/>
        </w:rPr>
        <w:t>спермы</w:t>
      </w:r>
    </w:p>
    <w:p>
      <w:pPr>
        <w:pStyle w:val="BodyText"/>
        <w:ind w:left="285" w:right="280" w:firstLine="708"/>
      </w:pPr>
      <w:r>
        <w:rPr/>
        <w:t>Основной повышенной вязкости спермы являются воспалительные процессы, такие как простатит, орхит, варикоцеле, эпидидимит и везикулит. Повышенная вязкость спермы в спермограмме наблюдается также у больных с нарушениями кровообращения и гормонального фона. В редких случаях это состояние является врожденным. Функцией сперматозоида является оплодотворение яйцеклетки, и для этого ему нужно быстро и беспрепятственно продвигаться по половым путям. Для этого сперма должна иметь оптимальную вязкость. Повышенная вязкость семенной жидкости в значительной степени снижает вероятность оплодотворения. Это состояние называется вискозипатией - синдромом вязкого эякулята.</w:t>
      </w:r>
    </w:p>
    <w:p>
      <w:pPr>
        <w:pStyle w:val="BodyText"/>
        <w:ind w:left="285" w:right="280" w:firstLine="707"/>
      </w:pPr>
      <w:r>
        <w:rPr/>
        <w:t>Низкий</w:t>
      </w:r>
      <w:r>
        <w:rPr>
          <w:spacing w:val="-3"/>
        </w:rPr>
        <w:t> </w:t>
      </w:r>
      <w:r>
        <w:rPr/>
        <w:t>объем</w:t>
      </w:r>
      <w:r>
        <w:rPr>
          <w:spacing w:val="-4"/>
        </w:rPr>
        <w:t> </w:t>
      </w:r>
      <w:r>
        <w:rPr/>
        <w:t>спермы</w:t>
      </w:r>
      <w:r>
        <w:rPr>
          <w:spacing w:val="-1"/>
        </w:rPr>
        <w:t> </w:t>
      </w:r>
      <w:r>
        <w:rPr/>
        <w:t>может</w:t>
      </w:r>
      <w:r>
        <w:rPr>
          <w:spacing w:val="-4"/>
        </w:rPr>
        <w:t> </w:t>
      </w:r>
      <w:r>
        <w:rPr/>
        <w:t>указывать</w:t>
      </w:r>
      <w:r>
        <w:rPr>
          <w:spacing w:val="-2"/>
        </w:rPr>
        <w:t> </w:t>
      </w:r>
      <w:r>
        <w:rPr/>
        <w:t>на</w:t>
      </w:r>
      <w:r>
        <w:rPr>
          <w:spacing w:val="-4"/>
        </w:rPr>
        <w:t> </w:t>
      </w:r>
      <w:r>
        <w:rPr/>
        <w:t>проблему</w:t>
      </w:r>
      <w:r>
        <w:rPr>
          <w:spacing w:val="-3"/>
        </w:rPr>
        <w:t> </w:t>
      </w:r>
      <w:r>
        <w:rPr/>
        <w:t>с</w:t>
      </w:r>
      <w:r>
        <w:rPr>
          <w:spacing w:val="-1"/>
        </w:rPr>
        <w:t> </w:t>
      </w:r>
      <w:r>
        <w:rPr/>
        <w:t>семенными</w:t>
      </w:r>
      <w:r>
        <w:rPr>
          <w:spacing w:val="-3"/>
        </w:rPr>
        <w:t> </w:t>
      </w:r>
      <w:r>
        <w:rPr/>
        <w:t>пузырьками или семявыносящими протоками, влияющую на транспорт спермы.</w:t>
      </w:r>
    </w:p>
    <w:p>
      <w:pPr>
        <w:pStyle w:val="BodyText"/>
        <w:spacing w:line="242" w:lineRule="auto"/>
        <w:ind w:left="285" w:right="279" w:firstLine="707"/>
      </w:pPr>
      <w:r>
        <w:rPr/>
        <w:t>Минимальное референсное значение объема эякулята составляет 1,5 мл (смотрите</w:t>
      </w:r>
      <w:r>
        <w:rPr>
          <w:spacing w:val="73"/>
          <w:w w:val="150"/>
        </w:rPr>
        <w:t> </w:t>
      </w:r>
      <w:r>
        <w:rPr/>
        <w:t>таблицу</w:t>
      </w:r>
      <w:r>
        <w:rPr>
          <w:spacing w:val="72"/>
          <w:w w:val="150"/>
        </w:rPr>
        <w:t> </w:t>
      </w:r>
      <w:r>
        <w:rPr/>
        <w:t>2).</w:t>
      </w:r>
      <w:r>
        <w:rPr>
          <w:spacing w:val="73"/>
          <w:w w:val="150"/>
        </w:rPr>
        <w:t> </w:t>
      </w:r>
      <w:r>
        <w:rPr/>
        <w:t>Нами</w:t>
      </w:r>
      <w:r>
        <w:rPr>
          <w:spacing w:val="74"/>
          <w:w w:val="150"/>
        </w:rPr>
        <w:t> </w:t>
      </w:r>
      <w:r>
        <w:rPr/>
        <w:t>пациенты</w:t>
      </w:r>
      <w:r>
        <w:rPr>
          <w:spacing w:val="74"/>
          <w:w w:val="150"/>
        </w:rPr>
        <w:t> </w:t>
      </w:r>
      <w:r>
        <w:rPr/>
        <w:t>разделены</w:t>
      </w:r>
      <w:r>
        <w:rPr>
          <w:spacing w:val="74"/>
          <w:w w:val="150"/>
        </w:rPr>
        <w:t> </w:t>
      </w:r>
      <w:r>
        <w:rPr/>
        <w:t>на</w:t>
      </w:r>
      <w:r>
        <w:rPr>
          <w:spacing w:val="74"/>
          <w:w w:val="150"/>
        </w:rPr>
        <w:t> </w:t>
      </w:r>
      <w:r>
        <w:rPr/>
        <w:t>возрастные</w:t>
      </w:r>
      <w:r>
        <w:rPr>
          <w:spacing w:val="73"/>
          <w:w w:val="150"/>
        </w:rPr>
        <w:t> </w:t>
      </w:r>
      <w:r>
        <w:rPr/>
        <w:t>группы.</w:t>
      </w:r>
      <w:r>
        <w:rPr>
          <w:spacing w:val="73"/>
          <w:w w:val="150"/>
        </w:rPr>
        <w:t> </w:t>
      </w:r>
      <w:r>
        <w:rPr>
          <w:spacing w:val="-5"/>
        </w:rPr>
        <w:t>Как</w:t>
      </w:r>
    </w:p>
    <w:p>
      <w:pPr>
        <w:pStyle w:val="BodyText"/>
        <w:spacing w:after="0" w:line="242" w:lineRule="auto"/>
        <w:sectPr>
          <w:pgSz w:w="11910" w:h="16840"/>
          <w:pgMar w:header="0" w:footer="983" w:top="340" w:bottom="1200" w:left="566" w:right="566"/>
        </w:sectPr>
      </w:pPr>
    </w:p>
    <w:p>
      <w:pPr>
        <w:pStyle w:val="BodyText"/>
        <w:spacing w:before="69"/>
        <w:ind w:left="286" w:right="279"/>
      </w:pPr>
      <w:r>
        <w:rPr/>
        <w:t>отмечалось выше, обращение в клинику является специфической выборкой ввиду наличия проблемы с зачатием и не может свидетельствовать об репродуктивном потенциале популяции в целом, однако дает нам понимание о фертильности эякулята бесплодных мужчин в разрезе их возраста в контексте объема и вязкости</w:t>
      </w:r>
      <w:r>
        <w:rPr>
          <w:spacing w:val="40"/>
        </w:rPr>
        <w:t> </w:t>
      </w:r>
      <w:r>
        <w:rPr/>
        <w:t>их яэкулята.</w:t>
      </w:r>
    </w:p>
    <w:p>
      <w:pPr>
        <w:spacing w:line="240" w:lineRule="auto"/>
        <w:ind w:left="617" w:right="0" w:firstLine="0"/>
        <w:rPr>
          <w:sz w:val="20"/>
        </w:rPr>
      </w:pPr>
      <w:r>
        <w:rPr>
          <w:sz w:val="20"/>
        </w:rPr>
        <w:drawing>
          <wp:inline distT="0" distB="0" distL="0" distR="0">
            <wp:extent cx="6022091" cy="2333625"/>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41" cstate="print"/>
                    <a:stretch>
                      <a:fillRect/>
                    </a:stretch>
                  </pic:blipFill>
                  <pic:spPr>
                    <a:xfrm>
                      <a:off x="0" y="0"/>
                      <a:ext cx="6022091" cy="2333625"/>
                    </a:xfrm>
                    <a:prstGeom prst="rect">
                      <a:avLst/>
                    </a:prstGeom>
                  </pic:spPr>
                </pic:pic>
              </a:graphicData>
            </a:graphic>
          </wp:inline>
        </w:drawing>
      </w:r>
      <w:r>
        <w:rPr>
          <w:sz w:val="20"/>
        </w:rPr>
      </w:r>
    </w:p>
    <w:p>
      <w:pPr>
        <w:pStyle w:val="Heading2"/>
        <w:tabs>
          <w:tab w:pos="5323" w:val="left" w:leader="none"/>
        </w:tabs>
        <w:spacing w:before="14"/>
        <w:ind w:left="2" w:firstLine="0"/>
        <w:jc w:val="center"/>
      </w:pPr>
      <w:r>
        <w:rPr>
          <w:spacing w:val="-10"/>
        </w:rPr>
        <w:t>a</w:t>
      </w:r>
      <w:r>
        <w:rPr/>
        <w:tab/>
      </w:r>
      <w:r>
        <w:rPr>
          <w:spacing w:val="-10"/>
        </w:rPr>
        <w:t>b</w:t>
      </w:r>
    </w:p>
    <w:p>
      <w:pPr>
        <w:pStyle w:val="BodyText"/>
        <w:spacing w:before="21"/>
        <w:ind w:left="1"/>
        <w:jc w:val="center"/>
      </w:pPr>
      <w:r>
        <w:rPr/>
        <w:t>Рисунок</w:t>
      </w:r>
      <w:r>
        <w:rPr>
          <w:spacing w:val="-7"/>
        </w:rPr>
        <w:t> </w:t>
      </w:r>
      <w:r>
        <w:rPr/>
        <w:t>26</w:t>
      </w:r>
      <w:r>
        <w:rPr>
          <w:spacing w:val="-5"/>
        </w:rPr>
        <w:t> </w:t>
      </w:r>
      <w:r>
        <w:rPr>
          <w:rFonts w:ascii="Arial MT" w:hAnsi="Arial MT"/>
          <w:color w:val="454545"/>
          <w:sz w:val="21"/>
        </w:rPr>
        <w:t>—</w:t>
      </w:r>
      <w:r>
        <w:rPr>
          <w:rFonts w:ascii="Arial MT" w:hAnsi="Arial MT"/>
          <w:color w:val="454545"/>
          <w:spacing w:val="-4"/>
          <w:sz w:val="21"/>
        </w:rPr>
        <w:t> </w:t>
      </w:r>
      <w:r>
        <w:rPr/>
        <w:t>Объем</w:t>
      </w:r>
      <w:r>
        <w:rPr>
          <w:spacing w:val="-5"/>
        </w:rPr>
        <w:t> </w:t>
      </w:r>
      <w:r>
        <w:rPr/>
        <w:t>и</w:t>
      </w:r>
      <w:r>
        <w:rPr>
          <w:spacing w:val="-3"/>
        </w:rPr>
        <w:t> </w:t>
      </w:r>
      <w:r>
        <w:rPr/>
        <w:t>вязкость</w:t>
      </w:r>
      <w:r>
        <w:rPr>
          <w:spacing w:val="-6"/>
        </w:rPr>
        <w:t> </w:t>
      </w:r>
      <w:r>
        <w:rPr/>
        <w:t>эякулята</w:t>
      </w:r>
      <w:r>
        <w:rPr>
          <w:spacing w:val="-4"/>
        </w:rPr>
        <w:t> </w:t>
      </w:r>
      <w:r>
        <w:rPr/>
        <w:t>бесплодных</w:t>
      </w:r>
      <w:r>
        <w:rPr>
          <w:spacing w:val="-3"/>
        </w:rPr>
        <w:t> </w:t>
      </w:r>
      <w:r>
        <w:rPr>
          <w:spacing w:val="-2"/>
        </w:rPr>
        <w:t>мужчин.</w:t>
      </w:r>
    </w:p>
    <w:p>
      <w:pPr>
        <w:pStyle w:val="BodyText"/>
        <w:spacing w:line="256" w:lineRule="auto" w:before="21"/>
        <w:ind w:left="874" w:right="872"/>
        <w:jc w:val="center"/>
      </w:pPr>
      <w:r>
        <w:rPr/>
        <w:t>Объем</w:t>
      </w:r>
      <w:r>
        <w:rPr>
          <w:spacing w:val="-4"/>
        </w:rPr>
        <w:t> </w:t>
      </w:r>
      <w:r>
        <w:rPr/>
        <w:t>эякулята</w:t>
      </w:r>
      <w:r>
        <w:rPr>
          <w:spacing w:val="-4"/>
        </w:rPr>
        <w:t> </w:t>
      </w:r>
      <w:r>
        <w:rPr/>
        <w:t>(a);</w:t>
      </w:r>
      <w:r>
        <w:rPr>
          <w:spacing w:val="-5"/>
        </w:rPr>
        <w:t> </w:t>
      </w:r>
      <w:r>
        <w:rPr/>
        <w:t>вязкость</w:t>
      </w:r>
      <w:r>
        <w:rPr>
          <w:spacing w:val="-5"/>
        </w:rPr>
        <w:t> </w:t>
      </w:r>
      <w:r>
        <w:rPr/>
        <w:t>эякулята</w:t>
      </w:r>
      <w:r>
        <w:rPr>
          <w:spacing w:val="-4"/>
        </w:rPr>
        <w:t> </w:t>
      </w:r>
      <w:r>
        <w:rPr/>
        <w:t>(b);</w:t>
      </w:r>
      <w:r>
        <w:rPr>
          <w:spacing w:val="-3"/>
        </w:rPr>
        <w:t> </w:t>
      </w:r>
      <w:r>
        <w:rPr/>
        <w:t>внизу</w:t>
      </w:r>
      <w:r>
        <w:rPr>
          <w:spacing w:val="-5"/>
        </w:rPr>
        <w:t> </w:t>
      </w:r>
      <w:r>
        <w:rPr/>
        <w:t>указана</w:t>
      </w:r>
      <w:r>
        <w:rPr>
          <w:spacing w:val="-4"/>
        </w:rPr>
        <w:t> </w:t>
      </w:r>
      <w:r>
        <w:rPr/>
        <w:t>возрастная</w:t>
      </w:r>
      <w:r>
        <w:rPr>
          <w:spacing w:val="-3"/>
        </w:rPr>
        <w:t> </w:t>
      </w:r>
      <w:r>
        <w:rPr/>
        <w:t>группа пациентов [15]</w:t>
      </w:r>
    </w:p>
    <w:p>
      <w:pPr>
        <w:pStyle w:val="BodyText"/>
        <w:spacing w:before="19"/>
        <w:jc w:val="left"/>
      </w:pPr>
    </w:p>
    <w:p>
      <w:pPr>
        <w:pStyle w:val="BodyText"/>
        <w:spacing w:line="256" w:lineRule="auto"/>
        <w:ind w:left="286" w:right="278" w:firstLine="708"/>
      </w:pPr>
      <w:r>
        <w:rPr/>
        <w:t>Таким образом, оценив показатели фертильности бесплодных мужчин в регионе Центральной Азии, нами делается вывод, о том, что нарушение подвижности сперматозоидов (астенозооспермия) является одной из главных</w:t>
      </w:r>
      <w:r>
        <w:rPr>
          <w:spacing w:val="40"/>
        </w:rPr>
        <w:t> </w:t>
      </w:r>
      <w:r>
        <w:rPr/>
        <w:t>причин бесплодного брака и нуждается в поиске новых путей преодоления, в том числе в рамках протоколов ВРТ. Одним из перспективных методов модулирования подвижности сперматозоидов на наш взгляд является применение ЭМИ (см. раздел </w:t>
      </w:r>
      <w:r>
        <w:rPr>
          <w:spacing w:val="-4"/>
        </w:rPr>
        <w:t>3.2).</w:t>
      </w:r>
    </w:p>
    <w:p>
      <w:pPr>
        <w:pStyle w:val="BodyText"/>
        <w:spacing w:before="14"/>
        <w:jc w:val="left"/>
      </w:pPr>
    </w:p>
    <w:p>
      <w:pPr>
        <w:pStyle w:val="Heading2"/>
        <w:numPr>
          <w:ilvl w:val="1"/>
          <w:numId w:val="4"/>
        </w:numPr>
        <w:tabs>
          <w:tab w:pos="1647" w:val="left" w:leader="none"/>
        </w:tabs>
        <w:spacing w:line="256" w:lineRule="auto" w:before="0" w:after="0"/>
        <w:ind w:left="286" w:right="279" w:firstLine="707"/>
        <w:jc w:val="both"/>
      </w:pPr>
      <w:r>
        <w:rPr/>
        <w:t>Воздействие электромагнитного излучения на сперматозоиды </w:t>
      </w:r>
      <w:r>
        <w:rPr>
          <w:spacing w:val="-2"/>
        </w:rPr>
        <w:t>человека</w:t>
      </w:r>
    </w:p>
    <w:p>
      <w:pPr>
        <w:pStyle w:val="BodyText"/>
        <w:spacing w:line="256" w:lineRule="auto"/>
        <w:ind w:left="285" w:right="278" w:firstLine="708"/>
      </w:pPr>
      <w:r>
        <w:rPr/>
        <w:t>В ходе работы описаны оптико-энергетические характеристики примененного излучения (п.3.2.1). При помощи CASA-анализа изучено влияние монохроматического, лазерного и инфракрасного излучений на подвижность сперматозоидов человека (п. 3.2.2). Используя трансмисионную электронную микроскопию, исследовано влияние ЭМИ на ультраструктуры сперматозоидов человека (п.3.2.3). Мечение ник-концов c участием терминальной дезоксинуклеотидилтрансферазы dUTP (метод TUNEL) позволило оценить фрагментацию ДНК сперматозоидов человека после воздействия ЭМИ (п.3.2.4). Используя конфокальную лазерную сканирующую микроскопию (окраска потенциалзависимыми витальными митотрекерами), изучено воздействие монохроматического светодиодного, лазерного и инфракрасного излучений на митохондриальный электронный потенциал сперматозоидов человека (см. п 3.2.5).</w:t>
      </w:r>
    </w:p>
    <w:p>
      <w:pPr>
        <w:pStyle w:val="BodyText"/>
        <w:spacing w:after="0" w:line="256" w:lineRule="auto"/>
        <w:sectPr>
          <w:pgSz w:w="11910" w:h="16840"/>
          <w:pgMar w:header="0" w:footer="983" w:top="340" w:bottom="1200" w:left="566" w:right="566"/>
        </w:sectPr>
      </w:pPr>
    </w:p>
    <w:p>
      <w:pPr>
        <w:pStyle w:val="BodyText"/>
        <w:spacing w:line="256" w:lineRule="auto" w:before="69"/>
        <w:ind w:left="286" w:right="281" w:firstLine="707"/>
      </w:pPr>
      <w:r>
        <w:rPr/>
        <w:t>Проведенный комплекс исследований позволил получить новые знания о биологическом воздействии ЭМИ на сперматозоиды человека, имеющем перспективу практического внедрения в репродуктивную медицину.</w:t>
      </w:r>
    </w:p>
    <w:p>
      <w:pPr>
        <w:pStyle w:val="BodyText"/>
        <w:spacing w:before="17"/>
        <w:jc w:val="left"/>
      </w:pPr>
    </w:p>
    <w:p>
      <w:pPr>
        <w:pStyle w:val="Heading2"/>
        <w:numPr>
          <w:ilvl w:val="2"/>
          <w:numId w:val="4"/>
        </w:numPr>
        <w:tabs>
          <w:tab w:pos="1623" w:val="left" w:leader="none"/>
        </w:tabs>
        <w:spacing w:line="240" w:lineRule="auto" w:before="0" w:after="0"/>
        <w:ind w:left="1623" w:right="0" w:hanging="629"/>
        <w:jc w:val="both"/>
      </w:pPr>
      <w:r>
        <w:rPr/>
        <w:t>Оптико-энергетические</w:t>
      </w:r>
      <w:r>
        <w:rPr>
          <w:spacing w:val="-14"/>
        </w:rPr>
        <w:t> </w:t>
      </w:r>
      <w:r>
        <w:rPr/>
        <w:t>характеристики</w:t>
      </w:r>
      <w:r>
        <w:rPr>
          <w:spacing w:val="-11"/>
        </w:rPr>
        <w:t> </w:t>
      </w:r>
      <w:r>
        <w:rPr/>
        <w:t>применяемого</w:t>
      </w:r>
      <w:r>
        <w:rPr>
          <w:spacing w:val="-8"/>
        </w:rPr>
        <w:t> </w:t>
      </w:r>
      <w:r>
        <w:rPr>
          <w:spacing w:val="-2"/>
        </w:rPr>
        <w:t>излучения</w:t>
      </w:r>
    </w:p>
    <w:p>
      <w:pPr>
        <w:pStyle w:val="BodyText"/>
        <w:spacing w:line="256" w:lineRule="auto" w:before="21"/>
        <w:ind w:left="286" w:right="278" w:firstLine="707"/>
      </w:pPr>
      <w:r>
        <w:rPr/>
        <w:t>Для облучения эякулята применяли прибор самостоятельной сборки. В качестве источников ЭМИ использовали монохроматические светодиоды видимого диапазона, инфракрасный светодиод и красный галий-арсенидный лазер. Светодиоды (СД) - полупроводниковые приборы с электронно-дырочным переходом, создающие оптическое излучение при пропускании через него электрического тока</w:t>
      </w:r>
      <w:r>
        <w:rPr>
          <w:spacing w:val="-4"/>
        </w:rPr>
        <w:t> </w:t>
      </w:r>
      <w:r>
        <w:rPr/>
        <w:t>в</w:t>
      </w:r>
      <w:r>
        <w:rPr>
          <w:spacing w:val="-2"/>
        </w:rPr>
        <w:t> </w:t>
      </w:r>
      <w:r>
        <w:rPr/>
        <w:t>прямом</w:t>
      </w:r>
      <w:r>
        <w:rPr>
          <w:spacing w:val="-4"/>
        </w:rPr>
        <w:t> </w:t>
      </w:r>
      <w:r>
        <w:rPr/>
        <w:t>направлении.</w:t>
      </w:r>
      <w:r>
        <w:rPr>
          <w:spacing w:val="-2"/>
        </w:rPr>
        <w:t> </w:t>
      </w:r>
      <w:r>
        <w:rPr/>
        <w:t>Излучаемый</w:t>
      </w:r>
      <w:r>
        <w:rPr>
          <w:spacing w:val="-1"/>
        </w:rPr>
        <w:t> </w:t>
      </w:r>
      <w:r>
        <w:rPr/>
        <w:t>светодиодами</w:t>
      </w:r>
      <w:r>
        <w:rPr>
          <w:spacing w:val="-1"/>
        </w:rPr>
        <w:t> </w:t>
      </w:r>
      <w:r>
        <w:rPr/>
        <w:t>свет</w:t>
      </w:r>
      <w:r>
        <w:rPr>
          <w:spacing w:val="-2"/>
        </w:rPr>
        <w:t> </w:t>
      </w:r>
      <w:r>
        <w:rPr/>
        <w:t>лежит</w:t>
      </w:r>
      <w:r>
        <w:rPr>
          <w:spacing w:val="-2"/>
        </w:rPr>
        <w:t> </w:t>
      </w:r>
      <w:r>
        <w:rPr/>
        <w:t>в узком диапазоне спектра, то есть светодиоды изначально излучают практически монохроматический свет (если речь идёт о СД видимого диапазона) — в отличие от лампы, излучающей более широкий спектр, от которой определённый цвет свечения можно получить только применением светофильтров. Спектральный диапазон излучения светодиодов в основном зависит от типа и химического состава использованных полупроводников и ширины запрещённой зоны. Использованный в работе лазерный диод - полупроводниковый лазер, построенный на базе диода. Его работа основана на возникновении инверсии населённостей в области p-n-перехода при инжекции носителей заряда [221-222]</w:t>
      </w:r>
    </w:p>
    <w:p>
      <w:pPr>
        <w:pStyle w:val="BodyText"/>
        <w:spacing w:line="304" w:lineRule="exact"/>
        <w:ind w:left="994"/>
      </w:pPr>
      <w:r>
        <w:rPr/>
        <w:t>С</w:t>
      </w:r>
      <w:r>
        <w:rPr>
          <w:spacing w:val="49"/>
        </w:rPr>
        <w:t>  </w:t>
      </w:r>
      <w:r>
        <w:rPr/>
        <w:t>помощью</w:t>
      </w:r>
      <w:r>
        <w:rPr>
          <w:spacing w:val="51"/>
        </w:rPr>
        <w:t>  </w:t>
      </w:r>
      <w:r>
        <w:rPr/>
        <w:t>высокочувствительного</w:t>
      </w:r>
      <w:r>
        <w:rPr>
          <w:spacing w:val="51"/>
        </w:rPr>
        <w:t>  </w:t>
      </w:r>
      <w:r>
        <w:rPr/>
        <w:t>оптоволоконного</w:t>
      </w:r>
      <w:r>
        <w:rPr>
          <w:spacing w:val="51"/>
        </w:rPr>
        <w:t>  </w:t>
      </w:r>
      <w:r>
        <w:rPr>
          <w:spacing w:val="-2"/>
        </w:rPr>
        <w:t>спектрофотометра</w:t>
      </w:r>
    </w:p>
    <w:p>
      <w:pPr>
        <w:pStyle w:val="BodyText"/>
        <w:spacing w:line="256" w:lineRule="auto" w:before="24"/>
        <w:ind w:left="285" w:right="278" w:firstLine="1"/>
      </w:pPr>
      <w:r>
        <w:rPr/>
        <w:t>AvaSpec-2048 (Avantes, Нидерланды) замерены длины волн примененного ЭМИ. Измерение мощности излучения осуществляли при помощи детектора мощности EODeluxe Power Meter (Edmund optics, США). Для измерения мощности излучения датчик устройства помещали напротив источника ЭМИ. Плотность мощности излучения (мВт/см</w:t>
      </w:r>
      <w:r>
        <w:rPr>
          <w:vertAlign w:val="superscript"/>
        </w:rPr>
        <w:t>2</w:t>
      </w:r>
      <w:r>
        <w:rPr>
          <w:vertAlign w:val="baseline"/>
        </w:rPr>
        <w:t>) считали следующим образом: мощность излучения (мВт) делили на площадь чашки Петри (12,56 см</w:t>
      </w:r>
      <w:r>
        <w:rPr>
          <w:vertAlign w:val="superscript"/>
        </w:rPr>
        <w:t>2</w:t>
      </w:r>
      <w:r>
        <w:rPr>
          <w:vertAlign w:val="baseline"/>
        </w:rPr>
        <w:t>). Данные о мощности (мВт), длине волны (нм) и спектральной поверхностной плотности мощности излучения</w:t>
      </w:r>
      <w:r>
        <w:rPr>
          <w:spacing w:val="40"/>
          <w:vertAlign w:val="baseline"/>
        </w:rPr>
        <w:t> </w:t>
      </w:r>
      <w:r>
        <w:rPr>
          <w:vertAlign w:val="baseline"/>
        </w:rPr>
        <w:t>(мВт/см</w:t>
      </w:r>
      <w:r>
        <w:rPr>
          <w:vertAlign w:val="superscript"/>
        </w:rPr>
        <w:t>2</w:t>
      </w:r>
      <w:r>
        <w:rPr>
          <w:vertAlign w:val="baseline"/>
        </w:rPr>
        <w:t>) заносили в таблицу (см. таблицу 8). Измерение проводили пятикратно, ввиду высокой точности используемой техники различия в повторностях не </w:t>
      </w:r>
      <w:r>
        <w:rPr>
          <w:spacing w:val="-2"/>
          <w:vertAlign w:val="baseline"/>
        </w:rPr>
        <w:t>обнаружены.</w:t>
      </w:r>
    </w:p>
    <w:p>
      <w:pPr>
        <w:pStyle w:val="BodyText"/>
        <w:spacing w:line="256" w:lineRule="auto"/>
        <w:ind w:left="285" w:right="278" w:firstLine="707"/>
      </w:pPr>
      <w:r>
        <w:rPr/>
        <w:t>Минимальной мощностью обладали светодиоды соответствующие зеленому, жёлтому и красному цветам спектра (≤ 0,07 мВт) с длиной волны 572, 589 и 630 нм соответственно. Плотность мощности излучения</w:t>
      </w:r>
      <w:r>
        <w:rPr>
          <w:spacing w:val="40"/>
        </w:rPr>
        <w:t> </w:t>
      </w:r>
      <w:r>
        <w:rPr/>
        <w:t>≤ 0,006 мВт/см</w:t>
      </w:r>
      <w:r>
        <w:rPr>
          <w:vertAlign w:val="superscript"/>
        </w:rPr>
        <w:t>2</w:t>
      </w:r>
      <w:r>
        <w:rPr>
          <w:vertAlign w:val="baseline"/>
        </w:rPr>
        <w:t>. Нижней границей определения мощности излучения на используемом оборудовании был показатель 0,08 мВт (синий светодиод, 463 нм), в данном случае этот порог не был достигнут, поэтому точно указать мощность не представилось возможным. Белый светодиод обладал мощностью 0,11 мВт, длиной волны в диапазоне от 400 до 750 нм и плотностью излучения 0,009 мВт/см</w:t>
      </w:r>
      <w:r>
        <w:rPr>
          <w:vertAlign w:val="superscript"/>
        </w:rPr>
        <w:t>2</w:t>
      </w:r>
      <w:r>
        <w:rPr>
          <w:vertAlign w:val="baseline"/>
        </w:rPr>
        <w:t>. Красный лазер и инфракрасный диод имели мощность 0,6 и 3,43 мВт с пиком длины волны излучения в 651 и 933 нм соответственно. Плотность мощности излучения для лазера и инфракрасного светодиода равнялись 0,048 и 0,273 мВт/см</w:t>
      </w:r>
      <w:r>
        <w:rPr>
          <w:vertAlign w:val="superscript"/>
        </w:rPr>
        <w:t>2</w:t>
      </w:r>
      <w:r>
        <w:rPr>
          <w:spacing w:val="-16"/>
          <w:vertAlign w:val="baseline"/>
        </w:rPr>
        <w:t> </w:t>
      </w:r>
      <w:r>
        <w:rPr>
          <w:vertAlign w:val="baseline"/>
        </w:rPr>
        <w:t>соответственно (см. рисунки 27-28).</w:t>
      </w:r>
    </w:p>
    <w:p>
      <w:pPr>
        <w:pStyle w:val="BodyText"/>
        <w:spacing w:after="0" w:line="256" w:lineRule="auto"/>
        <w:sectPr>
          <w:pgSz w:w="11910" w:h="16840"/>
          <w:pgMar w:header="0" w:footer="983" w:top="340" w:bottom="1200" w:left="566" w:right="566"/>
        </w:sectPr>
      </w:pPr>
    </w:p>
    <w:p>
      <w:pPr>
        <w:pStyle w:val="BodyText"/>
        <w:spacing w:before="69"/>
        <w:ind w:left="2"/>
        <w:jc w:val="center"/>
      </w:pPr>
      <w:r>
        <w:rPr/>
        <w:t>Таблица</w:t>
      </w:r>
      <w:r>
        <w:rPr>
          <w:spacing w:val="-8"/>
        </w:rPr>
        <w:t> </w:t>
      </w:r>
      <w:r>
        <w:rPr/>
        <w:t>8</w:t>
      </w:r>
      <w:r>
        <w:rPr>
          <w:spacing w:val="-7"/>
        </w:rPr>
        <w:t> </w:t>
      </w:r>
      <w:r>
        <w:rPr>
          <w:rFonts w:ascii="Arial MT" w:hAnsi="Arial MT"/>
          <w:color w:val="454545"/>
          <w:sz w:val="21"/>
        </w:rPr>
        <w:t>—</w:t>
      </w:r>
      <w:r>
        <w:rPr>
          <w:rFonts w:ascii="Arial MT" w:hAnsi="Arial MT"/>
          <w:color w:val="454545"/>
          <w:spacing w:val="-5"/>
          <w:sz w:val="21"/>
        </w:rPr>
        <w:t> </w:t>
      </w:r>
      <w:r>
        <w:rPr/>
        <w:t>Волновые</w:t>
      </w:r>
      <w:r>
        <w:rPr>
          <w:spacing w:val="-6"/>
        </w:rPr>
        <w:t> </w:t>
      </w:r>
      <w:r>
        <w:rPr/>
        <w:t>характеристики</w:t>
      </w:r>
      <w:r>
        <w:rPr>
          <w:spacing w:val="-7"/>
        </w:rPr>
        <w:t> </w:t>
      </w:r>
      <w:r>
        <w:rPr/>
        <w:t>источников</w:t>
      </w:r>
      <w:r>
        <w:rPr>
          <w:spacing w:val="-5"/>
        </w:rPr>
        <w:t> </w:t>
      </w:r>
      <w:r>
        <w:rPr>
          <w:spacing w:val="-2"/>
        </w:rPr>
        <w:t>излучения</w:t>
      </w:r>
    </w:p>
    <w:p>
      <w:pPr>
        <w:pStyle w:val="BodyText"/>
        <w:spacing w:before="134"/>
        <w:jc w:val="left"/>
        <w:rPr>
          <w:sz w:val="20"/>
        </w:rPr>
      </w:pPr>
    </w:p>
    <w:tbl>
      <w:tblPr>
        <w:tblW w:w="0" w:type="auto"/>
        <w:jc w:val="left"/>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6"/>
        <w:gridCol w:w="2429"/>
        <w:gridCol w:w="1985"/>
        <w:gridCol w:w="2172"/>
        <w:gridCol w:w="1764"/>
      </w:tblGrid>
      <w:tr>
        <w:trPr>
          <w:trHeight w:val="1578" w:hRule="atLeast"/>
        </w:trPr>
        <w:tc>
          <w:tcPr>
            <w:tcW w:w="2026" w:type="dxa"/>
          </w:tcPr>
          <w:p>
            <w:pPr>
              <w:pStyle w:val="TableParagraph"/>
              <w:ind w:left="105"/>
              <w:rPr>
                <w:sz w:val="28"/>
              </w:rPr>
            </w:pPr>
            <w:r>
              <w:rPr>
                <w:spacing w:val="-4"/>
                <w:sz w:val="28"/>
              </w:rPr>
              <w:t>Цвет</w:t>
            </w:r>
          </w:p>
        </w:tc>
        <w:tc>
          <w:tcPr>
            <w:tcW w:w="2429" w:type="dxa"/>
          </w:tcPr>
          <w:p>
            <w:pPr>
              <w:pStyle w:val="TableParagraph"/>
              <w:spacing w:line="256" w:lineRule="auto"/>
              <w:ind w:left="107" w:right="1068"/>
              <w:jc w:val="both"/>
              <w:rPr>
                <w:sz w:val="28"/>
              </w:rPr>
            </w:pPr>
            <w:r>
              <w:rPr>
                <w:spacing w:val="-2"/>
                <w:sz w:val="28"/>
              </w:rPr>
              <w:t>Материал источника излучения</w:t>
            </w:r>
          </w:p>
        </w:tc>
        <w:tc>
          <w:tcPr>
            <w:tcW w:w="1985" w:type="dxa"/>
          </w:tcPr>
          <w:p>
            <w:pPr>
              <w:pStyle w:val="TableParagraph"/>
              <w:spacing w:line="256" w:lineRule="auto"/>
              <w:ind w:left="104" w:right="563"/>
              <w:jc w:val="both"/>
              <w:rPr>
                <w:sz w:val="28"/>
              </w:rPr>
            </w:pPr>
            <w:r>
              <w:rPr>
                <w:spacing w:val="-2"/>
                <w:sz w:val="28"/>
              </w:rPr>
              <w:t>Мощность излучения, </w:t>
            </w:r>
            <w:r>
              <w:rPr>
                <w:spacing w:val="-4"/>
                <w:sz w:val="28"/>
              </w:rPr>
              <w:t>мВт</w:t>
            </w:r>
          </w:p>
        </w:tc>
        <w:tc>
          <w:tcPr>
            <w:tcW w:w="2172" w:type="dxa"/>
          </w:tcPr>
          <w:p>
            <w:pPr>
              <w:pStyle w:val="TableParagraph"/>
              <w:spacing w:line="256" w:lineRule="auto"/>
              <w:ind w:left="104" w:right="749"/>
              <w:jc w:val="both"/>
              <w:rPr>
                <w:sz w:val="28"/>
              </w:rPr>
            </w:pPr>
            <w:r>
              <w:rPr>
                <w:spacing w:val="-2"/>
                <w:sz w:val="28"/>
              </w:rPr>
              <w:t>Плотность мощности излучения, мВт/см</w:t>
            </w:r>
            <w:r>
              <w:rPr>
                <w:spacing w:val="-2"/>
                <w:sz w:val="28"/>
                <w:vertAlign w:val="superscript"/>
              </w:rPr>
              <w:t>2</w:t>
            </w:r>
          </w:p>
        </w:tc>
        <w:tc>
          <w:tcPr>
            <w:tcW w:w="1764" w:type="dxa"/>
          </w:tcPr>
          <w:p>
            <w:pPr>
              <w:pStyle w:val="TableParagraph"/>
              <w:spacing w:line="256" w:lineRule="auto"/>
              <w:ind w:left="107" w:right="102"/>
              <w:rPr>
                <w:sz w:val="28"/>
              </w:rPr>
            </w:pPr>
            <w:r>
              <w:rPr>
                <w:spacing w:val="-2"/>
                <w:sz w:val="28"/>
              </w:rPr>
              <w:t>Длина </w:t>
            </w:r>
            <w:r>
              <w:rPr>
                <w:sz w:val="28"/>
              </w:rPr>
              <w:t>волны,</w:t>
            </w:r>
            <w:r>
              <w:rPr>
                <w:spacing w:val="-18"/>
                <w:sz w:val="28"/>
              </w:rPr>
              <w:t> </w:t>
            </w:r>
            <w:r>
              <w:rPr>
                <w:sz w:val="28"/>
              </w:rPr>
              <w:t>нм</w:t>
            </w:r>
          </w:p>
        </w:tc>
      </w:tr>
      <w:tr>
        <w:trPr>
          <w:trHeight w:val="839" w:hRule="atLeast"/>
        </w:trPr>
        <w:tc>
          <w:tcPr>
            <w:tcW w:w="2026" w:type="dxa"/>
          </w:tcPr>
          <w:p>
            <w:pPr>
              <w:pStyle w:val="TableParagraph"/>
              <w:ind w:left="105"/>
              <w:rPr>
                <w:sz w:val="28"/>
              </w:rPr>
            </w:pPr>
            <w:r>
              <w:rPr>
                <w:spacing w:val="-2"/>
                <w:sz w:val="28"/>
              </w:rPr>
              <w:t>Зеленый</w:t>
            </w:r>
          </w:p>
        </w:tc>
        <w:tc>
          <w:tcPr>
            <w:tcW w:w="2429" w:type="dxa"/>
          </w:tcPr>
          <w:p>
            <w:pPr>
              <w:pStyle w:val="TableParagraph"/>
              <w:spacing w:line="256" w:lineRule="auto"/>
              <w:ind w:left="107"/>
              <w:rPr>
                <w:sz w:val="28"/>
              </w:rPr>
            </w:pPr>
            <w:r>
              <w:rPr>
                <w:spacing w:val="-2"/>
                <w:sz w:val="28"/>
              </w:rPr>
              <w:t>Алюминия-</w:t>
            </w:r>
            <w:r>
              <w:rPr>
                <w:spacing w:val="-2"/>
                <w:sz w:val="28"/>
              </w:rPr>
              <w:t>галлия фосфид</w:t>
            </w:r>
          </w:p>
        </w:tc>
        <w:tc>
          <w:tcPr>
            <w:tcW w:w="1985" w:type="dxa"/>
          </w:tcPr>
          <w:p>
            <w:pPr>
              <w:pStyle w:val="TableParagraph"/>
              <w:ind w:right="242"/>
              <w:jc w:val="right"/>
              <w:rPr>
                <w:sz w:val="28"/>
              </w:rPr>
            </w:pPr>
            <w:r>
              <w:rPr>
                <w:sz w:val="28"/>
              </w:rPr>
              <w:t>≤</w:t>
            </w:r>
            <w:r>
              <w:rPr>
                <w:spacing w:val="-3"/>
                <w:sz w:val="28"/>
              </w:rPr>
              <w:t> </w:t>
            </w:r>
            <w:r>
              <w:rPr>
                <w:spacing w:val="-2"/>
                <w:sz w:val="28"/>
              </w:rPr>
              <w:t>0,07*</w:t>
            </w:r>
          </w:p>
        </w:tc>
        <w:tc>
          <w:tcPr>
            <w:tcW w:w="2172" w:type="dxa"/>
          </w:tcPr>
          <w:p>
            <w:pPr>
              <w:pStyle w:val="TableParagraph"/>
              <w:ind w:left="812"/>
              <w:rPr>
                <w:sz w:val="28"/>
              </w:rPr>
            </w:pPr>
            <w:r>
              <w:rPr>
                <w:sz w:val="28"/>
              </w:rPr>
              <w:t>≤</w:t>
            </w:r>
            <w:r>
              <w:rPr>
                <w:spacing w:val="-1"/>
                <w:sz w:val="28"/>
              </w:rPr>
              <w:t> </w:t>
            </w:r>
            <w:r>
              <w:rPr>
                <w:spacing w:val="-2"/>
                <w:sz w:val="28"/>
              </w:rPr>
              <w:t>0,006**</w:t>
            </w:r>
          </w:p>
        </w:tc>
        <w:tc>
          <w:tcPr>
            <w:tcW w:w="1764" w:type="dxa"/>
          </w:tcPr>
          <w:p>
            <w:pPr>
              <w:pStyle w:val="TableParagraph"/>
              <w:ind w:right="516"/>
              <w:jc w:val="right"/>
              <w:rPr>
                <w:sz w:val="28"/>
              </w:rPr>
            </w:pPr>
            <w:r>
              <w:rPr>
                <w:spacing w:val="-5"/>
                <w:sz w:val="28"/>
              </w:rPr>
              <w:t>572</w:t>
            </w:r>
          </w:p>
        </w:tc>
      </w:tr>
      <w:tr>
        <w:trPr>
          <w:trHeight w:val="1117" w:hRule="atLeast"/>
        </w:trPr>
        <w:tc>
          <w:tcPr>
            <w:tcW w:w="2026" w:type="dxa"/>
          </w:tcPr>
          <w:p>
            <w:pPr>
              <w:pStyle w:val="TableParagraph"/>
              <w:ind w:left="105"/>
              <w:rPr>
                <w:sz w:val="28"/>
              </w:rPr>
            </w:pPr>
            <w:r>
              <w:rPr>
                <w:spacing w:val="-2"/>
                <w:sz w:val="28"/>
              </w:rPr>
              <w:t>Красный</w:t>
            </w:r>
          </w:p>
        </w:tc>
        <w:tc>
          <w:tcPr>
            <w:tcW w:w="2429" w:type="dxa"/>
          </w:tcPr>
          <w:p>
            <w:pPr>
              <w:pStyle w:val="TableParagraph"/>
              <w:spacing w:line="256" w:lineRule="auto"/>
              <w:ind w:left="107" w:right="698"/>
              <w:rPr>
                <w:sz w:val="28"/>
              </w:rPr>
            </w:pPr>
            <w:r>
              <w:rPr>
                <w:sz w:val="28"/>
              </w:rPr>
              <w:t>Алюминия-</w:t>
            </w:r>
            <w:r>
              <w:rPr>
                <w:spacing w:val="-2"/>
                <w:sz w:val="28"/>
              </w:rPr>
              <w:t>галлия-</w:t>
            </w:r>
            <w:r>
              <w:rPr>
                <w:spacing w:val="-2"/>
                <w:sz w:val="28"/>
              </w:rPr>
              <w:t>индия фосфид</w:t>
            </w:r>
          </w:p>
        </w:tc>
        <w:tc>
          <w:tcPr>
            <w:tcW w:w="1985" w:type="dxa"/>
          </w:tcPr>
          <w:p>
            <w:pPr>
              <w:pStyle w:val="TableParagraph"/>
              <w:ind w:right="234"/>
              <w:jc w:val="right"/>
              <w:rPr>
                <w:sz w:val="28"/>
              </w:rPr>
            </w:pPr>
            <w:r>
              <w:rPr>
                <w:sz w:val="28"/>
              </w:rPr>
              <w:t>≤</w:t>
            </w:r>
            <w:r>
              <w:rPr>
                <w:spacing w:val="-3"/>
                <w:sz w:val="28"/>
              </w:rPr>
              <w:t> </w:t>
            </w:r>
            <w:r>
              <w:rPr>
                <w:spacing w:val="-2"/>
                <w:sz w:val="28"/>
              </w:rPr>
              <w:t>0,07*</w:t>
            </w:r>
          </w:p>
        </w:tc>
        <w:tc>
          <w:tcPr>
            <w:tcW w:w="2172" w:type="dxa"/>
          </w:tcPr>
          <w:p>
            <w:pPr>
              <w:pStyle w:val="TableParagraph"/>
              <w:ind w:left="812"/>
              <w:rPr>
                <w:sz w:val="28"/>
              </w:rPr>
            </w:pPr>
            <w:r>
              <w:rPr>
                <w:sz w:val="28"/>
              </w:rPr>
              <w:t>≤</w:t>
            </w:r>
            <w:r>
              <w:rPr>
                <w:spacing w:val="-1"/>
                <w:sz w:val="28"/>
              </w:rPr>
              <w:t> </w:t>
            </w:r>
            <w:r>
              <w:rPr>
                <w:spacing w:val="-2"/>
                <w:sz w:val="28"/>
              </w:rPr>
              <w:t>0,006**</w:t>
            </w:r>
          </w:p>
        </w:tc>
        <w:tc>
          <w:tcPr>
            <w:tcW w:w="1764" w:type="dxa"/>
          </w:tcPr>
          <w:p>
            <w:pPr>
              <w:pStyle w:val="TableParagraph"/>
              <w:ind w:right="516"/>
              <w:jc w:val="right"/>
              <w:rPr>
                <w:sz w:val="28"/>
              </w:rPr>
            </w:pPr>
            <w:r>
              <w:rPr>
                <w:spacing w:val="-5"/>
                <w:sz w:val="28"/>
              </w:rPr>
              <w:t>630</w:t>
            </w:r>
          </w:p>
        </w:tc>
      </w:tr>
      <w:tr>
        <w:trPr>
          <w:trHeight w:val="554" w:hRule="atLeast"/>
        </w:trPr>
        <w:tc>
          <w:tcPr>
            <w:tcW w:w="2026" w:type="dxa"/>
          </w:tcPr>
          <w:p>
            <w:pPr>
              <w:pStyle w:val="TableParagraph"/>
              <w:ind w:left="105"/>
              <w:rPr>
                <w:sz w:val="28"/>
              </w:rPr>
            </w:pPr>
            <w:r>
              <w:rPr>
                <w:sz w:val="28"/>
              </w:rPr>
              <w:t>Красный</w:t>
            </w:r>
            <w:r>
              <w:rPr>
                <w:spacing w:val="-5"/>
                <w:sz w:val="28"/>
              </w:rPr>
              <w:t> </w:t>
            </w:r>
            <w:r>
              <w:rPr>
                <w:spacing w:val="-2"/>
                <w:sz w:val="28"/>
              </w:rPr>
              <w:t>лазер</w:t>
            </w:r>
          </w:p>
        </w:tc>
        <w:tc>
          <w:tcPr>
            <w:tcW w:w="2429" w:type="dxa"/>
          </w:tcPr>
          <w:p>
            <w:pPr>
              <w:pStyle w:val="TableParagraph"/>
              <w:ind w:left="107"/>
              <w:rPr>
                <w:sz w:val="28"/>
              </w:rPr>
            </w:pPr>
            <w:r>
              <w:rPr>
                <w:sz w:val="28"/>
              </w:rPr>
              <w:t>Арсенид</w:t>
            </w:r>
            <w:r>
              <w:rPr>
                <w:spacing w:val="-7"/>
                <w:sz w:val="28"/>
              </w:rPr>
              <w:t> </w:t>
            </w:r>
            <w:r>
              <w:rPr>
                <w:spacing w:val="-2"/>
                <w:sz w:val="28"/>
              </w:rPr>
              <w:t>галлия</w:t>
            </w:r>
          </w:p>
        </w:tc>
        <w:tc>
          <w:tcPr>
            <w:tcW w:w="1985" w:type="dxa"/>
          </w:tcPr>
          <w:p>
            <w:pPr>
              <w:pStyle w:val="TableParagraph"/>
              <w:ind w:left="280"/>
              <w:jc w:val="center"/>
              <w:rPr>
                <w:sz w:val="28"/>
              </w:rPr>
            </w:pPr>
            <w:r>
              <w:rPr>
                <w:spacing w:val="-5"/>
                <w:sz w:val="28"/>
              </w:rPr>
              <w:t>0,6</w:t>
            </w:r>
          </w:p>
        </w:tc>
        <w:tc>
          <w:tcPr>
            <w:tcW w:w="2172" w:type="dxa"/>
          </w:tcPr>
          <w:p>
            <w:pPr>
              <w:pStyle w:val="TableParagraph"/>
              <w:ind w:left="812"/>
              <w:rPr>
                <w:sz w:val="28"/>
              </w:rPr>
            </w:pPr>
            <w:r>
              <w:rPr>
                <w:spacing w:val="-4"/>
                <w:sz w:val="28"/>
              </w:rPr>
              <w:t>0,048</w:t>
            </w:r>
          </w:p>
        </w:tc>
        <w:tc>
          <w:tcPr>
            <w:tcW w:w="1764" w:type="dxa"/>
          </w:tcPr>
          <w:p>
            <w:pPr>
              <w:pStyle w:val="TableParagraph"/>
              <w:ind w:right="516"/>
              <w:jc w:val="right"/>
              <w:rPr>
                <w:sz w:val="28"/>
              </w:rPr>
            </w:pPr>
            <w:r>
              <w:rPr>
                <w:spacing w:val="-5"/>
                <w:sz w:val="28"/>
              </w:rPr>
              <w:t>651</w:t>
            </w:r>
          </w:p>
        </w:tc>
      </w:tr>
      <w:tr>
        <w:trPr>
          <w:trHeight w:val="832" w:hRule="atLeast"/>
        </w:trPr>
        <w:tc>
          <w:tcPr>
            <w:tcW w:w="2026" w:type="dxa"/>
          </w:tcPr>
          <w:p>
            <w:pPr>
              <w:pStyle w:val="TableParagraph"/>
              <w:ind w:left="105"/>
              <w:rPr>
                <w:sz w:val="28"/>
              </w:rPr>
            </w:pPr>
            <w:r>
              <w:rPr>
                <w:spacing w:val="-2"/>
                <w:sz w:val="28"/>
              </w:rPr>
              <w:t>Желтый</w:t>
            </w:r>
          </w:p>
        </w:tc>
        <w:tc>
          <w:tcPr>
            <w:tcW w:w="2429" w:type="dxa"/>
          </w:tcPr>
          <w:p>
            <w:pPr>
              <w:pStyle w:val="TableParagraph"/>
              <w:spacing w:line="256" w:lineRule="auto"/>
              <w:ind w:left="107" w:right="344"/>
              <w:rPr>
                <w:sz w:val="28"/>
              </w:rPr>
            </w:pPr>
            <w:r>
              <w:rPr>
                <w:sz w:val="28"/>
              </w:rPr>
              <w:t>Галлия</w:t>
            </w:r>
            <w:r>
              <w:rPr>
                <w:spacing w:val="-18"/>
                <w:sz w:val="28"/>
              </w:rPr>
              <w:t> </w:t>
            </w:r>
            <w:r>
              <w:rPr>
                <w:sz w:val="28"/>
              </w:rPr>
              <w:t>арсенид-</w:t>
            </w:r>
            <w:r>
              <w:rPr>
                <w:spacing w:val="-2"/>
                <w:sz w:val="28"/>
              </w:rPr>
              <w:t>фосфид</w:t>
            </w:r>
          </w:p>
        </w:tc>
        <w:tc>
          <w:tcPr>
            <w:tcW w:w="1985" w:type="dxa"/>
          </w:tcPr>
          <w:p>
            <w:pPr>
              <w:pStyle w:val="TableParagraph"/>
              <w:ind w:right="242"/>
              <w:jc w:val="right"/>
              <w:rPr>
                <w:sz w:val="28"/>
              </w:rPr>
            </w:pPr>
            <w:r>
              <w:rPr>
                <w:sz w:val="28"/>
              </w:rPr>
              <w:t>≤</w:t>
            </w:r>
            <w:r>
              <w:rPr>
                <w:spacing w:val="-3"/>
                <w:sz w:val="28"/>
              </w:rPr>
              <w:t> </w:t>
            </w:r>
            <w:r>
              <w:rPr>
                <w:spacing w:val="-2"/>
                <w:sz w:val="28"/>
              </w:rPr>
              <w:t>0,07*</w:t>
            </w:r>
          </w:p>
        </w:tc>
        <w:tc>
          <w:tcPr>
            <w:tcW w:w="2172" w:type="dxa"/>
          </w:tcPr>
          <w:p>
            <w:pPr>
              <w:pStyle w:val="TableParagraph"/>
              <w:ind w:left="812"/>
              <w:rPr>
                <w:sz w:val="28"/>
              </w:rPr>
            </w:pPr>
            <w:r>
              <w:rPr>
                <w:sz w:val="28"/>
              </w:rPr>
              <w:t>≤</w:t>
            </w:r>
            <w:r>
              <w:rPr>
                <w:spacing w:val="-1"/>
                <w:sz w:val="28"/>
              </w:rPr>
              <w:t> </w:t>
            </w:r>
            <w:r>
              <w:rPr>
                <w:spacing w:val="-2"/>
                <w:sz w:val="28"/>
              </w:rPr>
              <w:t>0,006**</w:t>
            </w:r>
          </w:p>
        </w:tc>
        <w:tc>
          <w:tcPr>
            <w:tcW w:w="1764" w:type="dxa"/>
          </w:tcPr>
          <w:p>
            <w:pPr>
              <w:pStyle w:val="TableParagraph"/>
              <w:ind w:right="516"/>
              <w:jc w:val="right"/>
              <w:rPr>
                <w:sz w:val="28"/>
              </w:rPr>
            </w:pPr>
            <w:r>
              <w:rPr>
                <w:spacing w:val="-5"/>
                <w:sz w:val="28"/>
              </w:rPr>
              <w:t>589</w:t>
            </w:r>
          </w:p>
        </w:tc>
      </w:tr>
      <w:tr>
        <w:trPr>
          <w:trHeight w:val="844" w:hRule="atLeast"/>
        </w:trPr>
        <w:tc>
          <w:tcPr>
            <w:tcW w:w="2026" w:type="dxa"/>
          </w:tcPr>
          <w:p>
            <w:pPr>
              <w:pStyle w:val="TableParagraph"/>
              <w:ind w:left="105"/>
              <w:rPr>
                <w:sz w:val="28"/>
              </w:rPr>
            </w:pPr>
            <w:r>
              <w:rPr>
                <w:spacing w:val="-2"/>
                <w:sz w:val="28"/>
              </w:rPr>
              <w:t>Белый</w:t>
            </w:r>
          </w:p>
        </w:tc>
        <w:tc>
          <w:tcPr>
            <w:tcW w:w="2429" w:type="dxa"/>
          </w:tcPr>
          <w:p>
            <w:pPr>
              <w:pStyle w:val="TableParagraph"/>
              <w:spacing w:line="256" w:lineRule="auto"/>
              <w:ind w:left="107"/>
              <w:rPr>
                <w:sz w:val="28"/>
              </w:rPr>
            </w:pPr>
            <w:r>
              <w:rPr>
                <w:spacing w:val="-2"/>
                <w:sz w:val="28"/>
              </w:rPr>
              <w:t>Индия-</w:t>
            </w:r>
            <w:r>
              <w:rPr>
                <w:spacing w:val="-2"/>
                <w:sz w:val="28"/>
              </w:rPr>
              <w:t>галлия нитрид</w:t>
            </w:r>
          </w:p>
        </w:tc>
        <w:tc>
          <w:tcPr>
            <w:tcW w:w="1985" w:type="dxa"/>
          </w:tcPr>
          <w:p>
            <w:pPr>
              <w:pStyle w:val="TableParagraph"/>
              <w:ind w:left="942"/>
              <w:rPr>
                <w:sz w:val="28"/>
              </w:rPr>
            </w:pPr>
            <w:r>
              <w:rPr>
                <w:spacing w:val="-4"/>
                <w:sz w:val="28"/>
              </w:rPr>
              <w:t>0,11</w:t>
            </w:r>
          </w:p>
        </w:tc>
        <w:tc>
          <w:tcPr>
            <w:tcW w:w="2172" w:type="dxa"/>
          </w:tcPr>
          <w:p>
            <w:pPr>
              <w:pStyle w:val="TableParagraph"/>
              <w:ind w:left="812"/>
              <w:rPr>
                <w:sz w:val="28"/>
              </w:rPr>
            </w:pPr>
            <w:r>
              <w:rPr>
                <w:spacing w:val="-4"/>
                <w:sz w:val="28"/>
              </w:rPr>
              <w:t>0,009</w:t>
            </w:r>
          </w:p>
        </w:tc>
        <w:tc>
          <w:tcPr>
            <w:tcW w:w="1764" w:type="dxa"/>
          </w:tcPr>
          <w:p>
            <w:pPr>
              <w:pStyle w:val="TableParagraph"/>
              <w:ind w:left="815"/>
              <w:rPr>
                <w:sz w:val="28"/>
              </w:rPr>
            </w:pPr>
            <w:r>
              <w:rPr>
                <w:sz w:val="28"/>
              </w:rPr>
              <w:t>400-</w:t>
            </w:r>
          </w:p>
          <w:p>
            <w:pPr>
              <w:pStyle w:val="TableParagraph"/>
              <w:spacing w:before="21"/>
              <w:ind w:left="107"/>
              <w:rPr>
                <w:sz w:val="28"/>
              </w:rPr>
            </w:pPr>
            <w:r>
              <w:rPr>
                <w:spacing w:val="-5"/>
                <w:sz w:val="28"/>
              </w:rPr>
              <w:t>750</w:t>
            </w:r>
          </w:p>
        </w:tc>
      </w:tr>
      <w:tr>
        <w:trPr>
          <w:trHeight w:val="839" w:hRule="atLeast"/>
        </w:trPr>
        <w:tc>
          <w:tcPr>
            <w:tcW w:w="2026" w:type="dxa"/>
          </w:tcPr>
          <w:p>
            <w:pPr>
              <w:pStyle w:val="TableParagraph"/>
              <w:ind w:left="105"/>
              <w:rPr>
                <w:sz w:val="28"/>
              </w:rPr>
            </w:pPr>
            <w:r>
              <w:rPr>
                <w:spacing w:val="-2"/>
                <w:sz w:val="28"/>
              </w:rPr>
              <w:t>Синий</w:t>
            </w:r>
          </w:p>
        </w:tc>
        <w:tc>
          <w:tcPr>
            <w:tcW w:w="2429" w:type="dxa"/>
          </w:tcPr>
          <w:p>
            <w:pPr>
              <w:pStyle w:val="TableParagraph"/>
              <w:spacing w:line="256" w:lineRule="auto"/>
              <w:ind w:left="107"/>
              <w:rPr>
                <w:sz w:val="28"/>
              </w:rPr>
            </w:pPr>
            <w:r>
              <w:rPr>
                <w:spacing w:val="-2"/>
                <w:sz w:val="28"/>
              </w:rPr>
              <w:t>Индия-</w:t>
            </w:r>
            <w:r>
              <w:rPr>
                <w:spacing w:val="-2"/>
                <w:sz w:val="28"/>
              </w:rPr>
              <w:t>галлия нитрид</w:t>
            </w:r>
          </w:p>
        </w:tc>
        <w:tc>
          <w:tcPr>
            <w:tcW w:w="1985" w:type="dxa"/>
          </w:tcPr>
          <w:p>
            <w:pPr>
              <w:pStyle w:val="TableParagraph"/>
              <w:ind w:left="952"/>
              <w:rPr>
                <w:sz w:val="28"/>
              </w:rPr>
            </w:pPr>
            <w:r>
              <w:rPr>
                <w:spacing w:val="-4"/>
                <w:sz w:val="28"/>
              </w:rPr>
              <w:t>0,08</w:t>
            </w:r>
          </w:p>
        </w:tc>
        <w:tc>
          <w:tcPr>
            <w:tcW w:w="2172" w:type="dxa"/>
          </w:tcPr>
          <w:p>
            <w:pPr>
              <w:pStyle w:val="TableParagraph"/>
              <w:ind w:left="812"/>
              <w:rPr>
                <w:sz w:val="28"/>
              </w:rPr>
            </w:pPr>
            <w:r>
              <w:rPr>
                <w:spacing w:val="-4"/>
                <w:sz w:val="28"/>
              </w:rPr>
              <w:t>0,006</w:t>
            </w:r>
          </w:p>
        </w:tc>
        <w:tc>
          <w:tcPr>
            <w:tcW w:w="1764" w:type="dxa"/>
          </w:tcPr>
          <w:p>
            <w:pPr>
              <w:pStyle w:val="TableParagraph"/>
              <w:ind w:right="516"/>
              <w:jc w:val="right"/>
              <w:rPr>
                <w:sz w:val="28"/>
              </w:rPr>
            </w:pPr>
            <w:r>
              <w:rPr>
                <w:spacing w:val="-5"/>
                <w:sz w:val="28"/>
              </w:rPr>
              <w:t>463</w:t>
            </w:r>
          </w:p>
        </w:tc>
      </w:tr>
      <w:tr>
        <w:trPr>
          <w:trHeight w:val="429" w:hRule="atLeast"/>
        </w:trPr>
        <w:tc>
          <w:tcPr>
            <w:tcW w:w="2026" w:type="dxa"/>
          </w:tcPr>
          <w:p>
            <w:pPr>
              <w:pStyle w:val="TableParagraph"/>
              <w:ind w:left="105"/>
              <w:rPr>
                <w:sz w:val="28"/>
              </w:rPr>
            </w:pPr>
            <w:r>
              <w:rPr>
                <w:spacing w:val="-2"/>
                <w:sz w:val="28"/>
              </w:rPr>
              <w:t>Инфракрасный</w:t>
            </w:r>
          </w:p>
        </w:tc>
        <w:tc>
          <w:tcPr>
            <w:tcW w:w="2429" w:type="dxa"/>
          </w:tcPr>
          <w:p>
            <w:pPr>
              <w:pStyle w:val="TableParagraph"/>
              <w:ind w:left="107"/>
              <w:rPr>
                <w:sz w:val="28"/>
              </w:rPr>
            </w:pPr>
            <w:r>
              <w:rPr>
                <w:sz w:val="28"/>
              </w:rPr>
              <w:t>Арсенид</w:t>
            </w:r>
            <w:r>
              <w:rPr>
                <w:spacing w:val="-7"/>
                <w:sz w:val="28"/>
              </w:rPr>
              <w:t> </w:t>
            </w:r>
            <w:r>
              <w:rPr>
                <w:spacing w:val="-2"/>
                <w:sz w:val="28"/>
              </w:rPr>
              <w:t>галлия</w:t>
            </w:r>
          </w:p>
        </w:tc>
        <w:tc>
          <w:tcPr>
            <w:tcW w:w="1985" w:type="dxa"/>
          </w:tcPr>
          <w:p>
            <w:pPr>
              <w:pStyle w:val="TableParagraph"/>
              <w:ind w:left="952"/>
              <w:rPr>
                <w:sz w:val="28"/>
              </w:rPr>
            </w:pPr>
            <w:r>
              <w:rPr>
                <w:spacing w:val="-4"/>
                <w:sz w:val="28"/>
              </w:rPr>
              <w:t>3,43</w:t>
            </w:r>
          </w:p>
        </w:tc>
        <w:tc>
          <w:tcPr>
            <w:tcW w:w="2172" w:type="dxa"/>
          </w:tcPr>
          <w:p>
            <w:pPr>
              <w:pStyle w:val="TableParagraph"/>
              <w:ind w:left="812"/>
              <w:rPr>
                <w:sz w:val="28"/>
              </w:rPr>
            </w:pPr>
            <w:r>
              <w:rPr>
                <w:spacing w:val="-4"/>
                <w:sz w:val="28"/>
              </w:rPr>
              <w:t>0,273</w:t>
            </w:r>
          </w:p>
        </w:tc>
        <w:tc>
          <w:tcPr>
            <w:tcW w:w="1764" w:type="dxa"/>
          </w:tcPr>
          <w:p>
            <w:pPr>
              <w:pStyle w:val="TableParagraph"/>
              <w:ind w:right="516"/>
              <w:jc w:val="right"/>
              <w:rPr>
                <w:sz w:val="28"/>
              </w:rPr>
            </w:pPr>
            <w:r>
              <w:rPr>
                <w:spacing w:val="-5"/>
                <w:sz w:val="28"/>
              </w:rPr>
              <w:t>933</w:t>
            </w:r>
          </w:p>
        </w:tc>
      </w:tr>
    </w:tbl>
    <w:p>
      <w:pPr>
        <w:spacing w:line="256" w:lineRule="auto" w:before="2"/>
        <w:ind w:left="285" w:right="279" w:firstLine="708"/>
        <w:jc w:val="both"/>
        <w:rPr>
          <w:sz w:val="24"/>
        </w:rPr>
      </w:pPr>
      <w:r>
        <w:rPr>
          <w:sz w:val="24"/>
        </w:rPr>
        <w:t>*Нижней границей определения мощности на используемом оборудовании был показатель 0,08 мВт, в данном случае этот порог не был достигнут.</w:t>
      </w:r>
    </w:p>
    <w:p>
      <w:pPr>
        <w:spacing w:before="0"/>
        <w:ind w:left="994" w:right="0" w:firstLine="0"/>
        <w:jc w:val="left"/>
        <w:rPr>
          <w:sz w:val="24"/>
        </w:rPr>
      </w:pPr>
      <w:r>
        <w:rPr>
          <w:sz w:val="24"/>
        </w:rPr>
        <w:t>**При</w:t>
      </w:r>
      <w:r>
        <w:rPr>
          <w:spacing w:val="-2"/>
          <w:sz w:val="24"/>
        </w:rPr>
        <w:t> </w:t>
      </w:r>
      <w:r>
        <w:rPr>
          <w:sz w:val="24"/>
        </w:rPr>
        <w:t>рассчете</w:t>
      </w:r>
      <w:r>
        <w:rPr>
          <w:spacing w:val="-4"/>
          <w:sz w:val="24"/>
        </w:rPr>
        <w:t> </w:t>
      </w:r>
      <w:r>
        <w:rPr>
          <w:sz w:val="24"/>
        </w:rPr>
        <w:t>использовали</w:t>
      </w:r>
      <w:r>
        <w:rPr>
          <w:spacing w:val="-2"/>
          <w:sz w:val="24"/>
        </w:rPr>
        <w:t> </w:t>
      </w:r>
      <w:r>
        <w:rPr>
          <w:sz w:val="24"/>
        </w:rPr>
        <w:t>условную</w:t>
      </w:r>
      <w:r>
        <w:rPr>
          <w:spacing w:val="-3"/>
          <w:sz w:val="24"/>
        </w:rPr>
        <w:t> </w:t>
      </w:r>
      <w:r>
        <w:rPr>
          <w:sz w:val="24"/>
        </w:rPr>
        <w:t>мощность</w:t>
      </w:r>
      <w:r>
        <w:rPr>
          <w:spacing w:val="-3"/>
          <w:sz w:val="24"/>
        </w:rPr>
        <w:t> </w:t>
      </w:r>
      <w:r>
        <w:rPr>
          <w:sz w:val="24"/>
        </w:rPr>
        <w:t>0,07</w:t>
      </w:r>
      <w:r>
        <w:rPr>
          <w:spacing w:val="-2"/>
          <w:sz w:val="24"/>
        </w:rPr>
        <w:t> </w:t>
      </w:r>
      <w:r>
        <w:rPr>
          <w:spacing w:val="-5"/>
          <w:sz w:val="24"/>
        </w:rPr>
        <w:t>мВт</w:t>
      </w:r>
    </w:p>
    <w:p>
      <w:pPr>
        <w:pStyle w:val="BodyText"/>
        <w:spacing w:before="37"/>
        <w:jc w:val="left"/>
        <w:rPr>
          <w:sz w:val="24"/>
        </w:rPr>
      </w:pPr>
    </w:p>
    <w:p>
      <w:pPr>
        <w:pStyle w:val="BodyText"/>
        <w:spacing w:line="256" w:lineRule="auto"/>
        <w:ind w:left="285" w:right="278" w:firstLine="708"/>
      </w:pPr>
      <w:r>
        <w:rPr/>
        <w:t>Описанные параметры ЭМИ, включающие мощность, плотность энергии, длину волны и материалы изготовления источника излучения позволяют воспроизвести условия экспериментов независимым исследователям.</w:t>
      </w:r>
    </w:p>
    <w:p>
      <w:pPr>
        <w:pStyle w:val="BodyText"/>
        <w:spacing w:after="0" w:line="256" w:lineRule="auto"/>
        <w:sectPr>
          <w:pgSz w:w="11910" w:h="16840"/>
          <w:pgMar w:header="0" w:footer="983" w:top="340" w:bottom="1200" w:left="566" w:right="566"/>
        </w:sectPr>
      </w:pPr>
    </w:p>
    <w:p>
      <w:pPr>
        <w:pStyle w:val="BodyText"/>
        <w:jc w:val="left"/>
        <w:rPr>
          <w:sz w:val="11"/>
        </w:rPr>
      </w:pPr>
    </w:p>
    <w:p>
      <w:pPr>
        <w:pStyle w:val="BodyText"/>
        <w:spacing w:after="0"/>
        <w:jc w:val="left"/>
        <w:rPr>
          <w:sz w:val="11"/>
        </w:rPr>
        <w:sectPr>
          <w:footerReference w:type="default" r:id="rId42"/>
          <w:pgSz w:w="16840" w:h="11910" w:orient="landscape"/>
          <w:pgMar w:header="0" w:footer="1002" w:top="540" w:bottom="1200" w:left="566" w:right="283"/>
        </w:sectPr>
      </w:pPr>
    </w:p>
    <w:p>
      <w:pPr>
        <w:spacing w:before="102"/>
        <w:ind w:left="0" w:right="38" w:firstLine="0"/>
        <w:jc w:val="right"/>
        <w:rPr>
          <w:rFonts w:ascii="Arial MT"/>
          <w:sz w:val="15"/>
        </w:rPr>
      </w:pPr>
      <w:r>
        <w:rPr>
          <w:rFonts w:ascii="Arial MT"/>
          <w:sz w:val="15"/>
        </w:rPr>
        <mc:AlternateContent>
          <mc:Choice Requires="wps">
            <w:drawing>
              <wp:anchor distT="0" distB="0" distL="0" distR="0" allowOverlap="1" layoutInCell="1" locked="0" behindDoc="1" simplePos="0" relativeHeight="481462784">
                <wp:simplePos x="0" y="0"/>
                <wp:positionH relativeFrom="page">
                  <wp:posOffset>1770583</wp:posOffset>
                </wp:positionH>
                <wp:positionV relativeFrom="paragraph">
                  <wp:posOffset>-75514</wp:posOffset>
                </wp:positionV>
                <wp:extent cx="3093720" cy="226123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3093720" cy="2261235"/>
                          <a:chExt cx="3093720" cy="2261235"/>
                        </a:xfrm>
                      </wpg:grpSpPr>
                      <pic:pic>
                        <pic:nvPicPr>
                          <pic:cNvPr id="50" name="Image 50"/>
                          <pic:cNvPicPr/>
                        </pic:nvPicPr>
                        <pic:blipFill>
                          <a:blip r:embed="rId43" cstate="print"/>
                          <a:stretch>
                            <a:fillRect/>
                          </a:stretch>
                        </pic:blipFill>
                        <pic:spPr>
                          <a:xfrm>
                            <a:off x="0" y="0"/>
                            <a:ext cx="3093195" cy="2261083"/>
                          </a:xfrm>
                          <a:prstGeom prst="rect">
                            <a:avLst/>
                          </a:prstGeom>
                        </pic:spPr>
                      </pic:pic>
                      <wps:wsp>
                        <wps:cNvPr id="51" name="Textbox 51"/>
                        <wps:cNvSpPr txBox="1"/>
                        <wps:spPr>
                          <a:xfrm>
                            <a:off x="2418823" y="51011"/>
                            <a:ext cx="556260" cy="136525"/>
                          </a:xfrm>
                          <a:prstGeom prst="rect">
                            <a:avLst/>
                          </a:prstGeom>
                        </wps:spPr>
                        <wps:txbx>
                          <w:txbxContent>
                            <w:p>
                              <w:pPr>
                                <w:spacing w:line="214" w:lineRule="exact" w:before="0"/>
                                <w:ind w:left="0" w:right="0" w:firstLine="0"/>
                                <w:jc w:val="left"/>
                                <w:rPr>
                                  <w:rFonts w:ascii="Arial MT"/>
                                  <w:sz w:val="19"/>
                                </w:rPr>
                              </w:pPr>
                              <w:r>
                                <w:rPr>
                                  <w:rFonts w:ascii="Arial MT"/>
                                  <w:spacing w:val="-6"/>
                                  <w:sz w:val="19"/>
                                </w:rPr>
                                <w:t>White</w:t>
                              </w:r>
                              <w:r>
                                <w:rPr>
                                  <w:rFonts w:ascii="Arial MT"/>
                                  <w:spacing w:val="-11"/>
                                  <w:sz w:val="19"/>
                                </w:rPr>
                                <w:t> </w:t>
                              </w:r>
                              <w:r>
                                <w:rPr>
                                  <w:rFonts w:ascii="Arial MT"/>
                                  <w:spacing w:val="-5"/>
                                  <w:sz w:val="19"/>
                                </w:rPr>
                                <w:t>LED</w:t>
                              </w:r>
                            </w:p>
                          </w:txbxContent>
                        </wps:txbx>
                        <wps:bodyPr wrap="square" lIns="0" tIns="0" rIns="0" bIns="0" rtlCol="0">
                          <a:noAutofit/>
                        </wps:bodyPr>
                      </wps:wsp>
                    </wpg:wgp>
                  </a:graphicData>
                </a:graphic>
              </wp:anchor>
            </w:drawing>
          </mc:Choice>
          <mc:Fallback>
            <w:pict>
              <v:group style="position:absolute;margin-left:139.416046pt;margin-top:-5.94599pt;width:243.6pt;height:178.05pt;mso-position-horizontal-relative:page;mso-position-vertical-relative:paragraph;z-index:-21853696" id="docshapegroup18" coordorigin="2788,-119" coordsize="4872,3561">
                <v:shape style="position:absolute;left:2788;top:-119;width:4872;height:3561" type="#_x0000_t75" id="docshape19" stroked="false">
                  <v:imagedata r:id="rId43" o:title=""/>
                </v:shape>
                <v:shape style="position:absolute;left:6597;top:-39;width:876;height:215" type="#_x0000_t202" id="docshape20" filled="false" stroked="false">
                  <v:textbox inset="0,0,0,0">
                    <w:txbxContent>
                      <w:p>
                        <w:pPr>
                          <w:spacing w:line="214" w:lineRule="exact" w:before="0"/>
                          <w:ind w:left="0" w:right="0" w:firstLine="0"/>
                          <w:jc w:val="left"/>
                          <w:rPr>
                            <w:rFonts w:ascii="Arial MT"/>
                            <w:sz w:val="19"/>
                          </w:rPr>
                        </w:pPr>
                        <w:r>
                          <w:rPr>
                            <w:rFonts w:ascii="Arial MT"/>
                            <w:spacing w:val="-6"/>
                            <w:sz w:val="19"/>
                          </w:rPr>
                          <w:t>White</w:t>
                        </w:r>
                        <w:r>
                          <w:rPr>
                            <w:rFonts w:ascii="Arial MT"/>
                            <w:spacing w:val="-11"/>
                            <w:sz w:val="19"/>
                          </w:rPr>
                          <w:t> </w:t>
                        </w:r>
                        <w:r>
                          <w:rPr>
                            <w:rFonts w:ascii="Arial MT"/>
                            <w:spacing w:val="-5"/>
                            <w:sz w:val="19"/>
                          </w:rPr>
                          <w:t>LED</w:t>
                        </w:r>
                      </w:p>
                    </w:txbxContent>
                  </v:textbox>
                  <w10:wrap type="none"/>
                </v:shape>
                <w10:wrap type="none"/>
              </v:group>
            </w:pict>
          </mc:Fallback>
        </mc:AlternateContent>
      </w:r>
      <w:r>
        <w:rPr>
          <w:rFonts w:ascii="Arial MT"/>
          <w:spacing w:val="-5"/>
          <w:w w:val="105"/>
          <w:sz w:val="15"/>
        </w:rPr>
        <w:t>100</w:t>
      </w:r>
    </w:p>
    <w:p>
      <w:pPr>
        <w:spacing w:before="162"/>
        <w:ind w:left="1938" w:right="0" w:firstLine="0"/>
        <w:jc w:val="left"/>
        <w:rPr>
          <w:rFonts w:ascii="Arial MT"/>
          <w:sz w:val="15"/>
        </w:rPr>
      </w:pPr>
      <w:r>
        <w:rPr/>
        <w:br w:type="column"/>
      </w:r>
      <w:r>
        <w:rPr>
          <w:rFonts w:ascii="Arial MT"/>
          <w:spacing w:val="-5"/>
          <w:sz w:val="15"/>
        </w:rPr>
        <w:t>100</w:t>
      </w:r>
    </w:p>
    <w:p>
      <w:pPr>
        <w:spacing w:after="0"/>
        <w:jc w:val="left"/>
        <w:rPr>
          <w:rFonts w:ascii="Arial MT"/>
          <w:sz w:val="15"/>
        </w:rPr>
        <w:sectPr>
          <w:type w:val="continuous"/>
          <w:pgSz w:w="16840" w:h="11910" w:orient="landscape"/>
          <w:pgMar w:header="0" w:footer="1002" w:top="1040" w:bottom="280" w:left="566" w:right="283"/>
          <w:cols w:num="2" w:equalWidth="0">
            <w:col w:w="2215" w:space="4612"/>
            <w:col w:w="9164"/>
          </w:cols>
        </w:sectPr>
      </w:pPr>
    </w:p>
    <w:p>
      <w:pPr>
        <w:pStyle w:val="BodyText"/>
        <w:jc w:val="left"/>
        <w:rPr>
          <w:rFonts w:ascii="Arial MT"/>
          <w:sz w:val="15"/>
        </w:rPr>
      </w:pPr>
    </w:p>
    <w:p>
      <w:pPr>
        <w:pStyle w:val="BodyText"/>
        <w:spacing w:before="56"/>
        <w:jc w:val="left"/>
        <w:rPr>
          <w:rFonts w:ascii="Arial MT"/>
          <w:sz w:val="15"/>
        </w:rPr>
      </w:pPr>
    </w:p>
    <w:p>
      <w:pPr>
        <w:tabs>
          <w:tab w:pos="8839" w:val="left" w:leader="none"/>
        </w:tabs>
        <w:spacing w:before="1"/>
        <w:ind w:left="2016" w:right="0" w:firstLine="0"/>
        <w:jc w:val="left"/>
        <w:rPr>
          <w:rFonts w:ascii="Arial MT"/>
          <w:position w:val="-2"/>
          <w:sz w:val="15"/>
        </w:rPr>
      </w:pPr>
      <w:r>
        <w:rPr>
          <w:rFonts w:ascii="Arial MT"/>
          <w:spacing w:val="-5"/>
          <w:w w:val="105"/>
          <w:sz w:val="15"/>
        </w:rPr>
        <w:t>80</w:t>
      </w:r>
      <w:r>
        <w:rPr>
          <w:rFonts w:ascii="Arial MT"/>
          <w:sz w:val="15"/>
        </w:rPr>
        <w:tab/>
      </w:r>
      <w:r>
        <w:rPr>
          <w:rFonts w:ascii="Arial MT"/>
          <w:spacing w:val="-5"/>
          <w:w w:val="105"/>
          <w:position w:val="-2"/>
          <w:sz w:val="15"/>
        </w:rPr>
        <w:t>80</w:t>
      </w:r>
    </w:p>
    <w:p>
      <w:pPr>
        <w:pStyle w:val="BodyText"/>
        <w:jc w:val="left"/>
        <w:rPr>
          <w:rFonts w:ascii="Arial MT"/>
          <w:sz w:val="15"/>
        </w:rPr>
      </w:pPr>
    </w:p>
    <w:p>
      <w:pPr>
        <w:pStyle w:val="BodyText"/>
        <w:spacing w:before="83"/>
        <w:jc w:val="left"/>
        <w:rPr>
          <w:rFonts w:ascii="Arial MT"/>
          <w:sz w:val="15"/>
        </w:rPr>
      </w:pPr>
    </w:p>
    <w:p>
      <w:pPr>
        <w:tabs>
          <w:tab w:pos="8839" w:val="left" w:leader="none"/>
        </w:tabs>
        <w:spacing w:before="0"/>
        <w:ind w:left="2016" w:right="0" w:firstLine="0"/>
        <w:jc w:val="left"/>
        <w:rPr>
          <w:rFonts w:ascii="Arial MT"/>
          <w:sz w:val="15"/>
        </w:rPr>
      </w:pPr>
      <w:r>
        <w:rPr>
          <w:rFonts w:ascii="Arial MT"/>
          <w:sz w:val="15"/>
        </w:rPr>
        <mc:AlternateContent>
          <mc:Choice Requires="wps">
            <w:drawing>
              <wp:anchor distT="0" distB="0" distL="0" distR="0" allowOverlap="1" layoutInCell="1" locked="0" behindDoc="0" simplePos="0" relativeHeight="15745024">
                <wp:simplePos x="0" y="0"/>
                <wp:positionH relativeFrom="page">
                  <wp:posOffset>1295839</wp:posOffset>
                </wp:positionH>
                <wp:positionV relativeFrom="paragraph">
                  <wp:posOffset>-184281</wp:posOffset>
                </wp:positionV>
                <wp:extent cx="163830" cy="7054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3830" cy="705485"/>
                        </a:xfrm>
                        <a:prstGeom prst="rect">
                          <a:avLst/>
                        </a:prstGeom>
                      </wps:spPr>
                      <wps:txbx>
                        <w:txbxContent>
                          <w:p>
                            <w:pPr>
                              <w:spacing w:before="18"/>
                              <w:ind w:left="20" w:right="0" w:firstLine="0"/>
                              <w:jc w:val="left"/>
                              <w:rPr>
                                <w:rFonts w:ascii="Arial MT"/>
                                <w:sz w:val="19"/>
                              </w:rPr>
                            </w:pPr>
                            <w:r>
                              <w:rPr>
                                <w:rFonts w:ascii="Arial MT"/>
                                <w:spacing w:val="-9"/>
                                <w:sz w:val="19"/>
                              </w:rPr>
                              <w:t>Intensity,</w:t>
                            </w:r>
                            <w:r>
                              <w:rPr>
                                <w:rFonts w:ascii="Arial MT"/>
                                <w:spacing w:val="-5"/>
                                <w:sz w:val="19"/>
                              </w:rPr>
                              <w:t> </w:t>
                            </w:r>
                            <w:r>
                              <w:rPr>
                                <w:rFonts w:ascii="Arial MT"/>
                                <w:spacing w:val="-4"/>
                                <w:sz w:val="19"/>
                              </w:rPr>
                              <w:t>A.U.</w:t>
                            </w:r>
                          </w:p>
                        </w:txbxContent>
                      </wps:txbx>
                      <wps:bodyPr wrap="square" lIns="0" tIns="0" rIns="0" bIns="0" rtlCol="0" vert="vert270">
                        <a:noAutofit/>
                      </wps:bodyPr>
                    </wps:wsp>
                  </a:graphicData>
                </a:graphic>
              </wp:anchor>
            </w:drawing>
          </mc:Choice>
          <mc:Fallback>
            <w:pict>
              <v:shape style="position:absolute;margin-left:102.034584pt;margin-top:-14.510316pt;width:12.9pt;height:55.55pt;mso-position-horizontal-relative:page;mso-position-vertical-relative:paragraph;z-index:15745024" type="#_x0000_t202" id="docshape21" filled="false" stroked="false">
                <v:textbox inset="0,0,0,0" style="layout-flow:vertical;mso-layout-flow-alt:bottom-to-top">
                  <w:txbxContent>
                    <w:p>
                      <w:pPr>
                        <w:spacing w:before="18"/>
                        <w:ind w:left="20" w:right="0" w:firstLine="0"/>
                        <w:jc w:val="left"/>
                        <w:rPr>
                          <w:rFonts w:ascii="Arial MT"/>
                          <w:sz w:val="19"/>
                        </w:rPr>
                      </w:pPr>
                      <w:r>
                        <w:rPr>
                          <w:rFonts w:ascii="Arial MT"/>
                          <w:spacing w:val="-9"/>
                          <w:sz w:val="19"/>
                        </w:rPr>
                        <w:t>Intensity,</w:t>
                      </w:r>
                      <w:r>
                        <w:rPr>
                          <w:rFonts w:ascii="Arial MT"/>
                          <w:spacing w:val="-5"/>
                          <w:sz w:val="19"/>
                        </w:rPr>
                        <w:t> </w:t>
                      </w:r>
                      <w:r>
                        <w:rPr>
                          <w:rFonts w:ascii="Arial MT"/>
                          <w:spacing w:val="-4"/>
                          <w:sz w:val="19"/>
                        </w:rPr>
                        <w:t>A.U.</w:t>
                      </w:r>
                    </w:p>
                  </w:txbxContent>
                </v:textbox>
                <w10:wrap type="none"/>
              </v:shape>
            </w:pict>
          </mc:Fallback>
        </mc:AlternateContent>
      </w:r>
      <w:r>
        <w:rPr>
          <w:rFonts w:ascii="Arial MT"/>
          <w:sz w:val="15"/>
        </w:rPr>
        <mc:AlternateContent>
          <mc:Choice Requires="wps">
            <w:drawing>
              <wp:anchor distT="0" distB="0" distL="0" distR="0" allowOverlap="1" layoutInCell="1" locked="0" behindDoc="1" simplePos="0" relativeHeight="481466368">
                <wp:simplePos x="0" y="0"/>
                <wp:positionH relativeFrom="page">
                  <wp:posOffset>5647098</wp:posOffset>
                </wp:positionH>
                <wp:positionV relativeFrom="paragraph">
                  <wp:posOffset>-169008</wp:posOffset>
                </wp:positionV>
                <wp:extent cx="156210" cy="67754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56210" cy="677545"/>
                        </a:xfrm>
                        <a:prstGeom prst="rect">
                          <a:avLst/>
                        </a:prstGeom>
                      </wps:spPr>
                      <wps:txbx>
                        <w:txbxContent>
                          <w:p>
                            <w:pPr>
                              <w:spacing w:before="17"/>
                              <w:ind w:left="20" w:right="0" w:firstLine="0"/>
                              <w:jc w:val="left"/>
                              <w:rPr>
                                <w:rFonts w:ascii="Arial MT"/>
                                <w:sz w:val="18"/>
                              </w:rPr>
                            </w:pPr>
                            <w:r>
                              <w:rPr>
                                <w:rFonts w:ascii="Arial MT"/>
                                <w:spacing w:val="-8"/>
                                <w:sz w:val="18"/>
                              </w:rPr>
                              <w:t>Intensity,</w:t>
                            </w:r>
                            <w:r>
                              <w:rPr>
                                <w:rFonts w:ascii="Arial MT"/>
                                <w:spacing w:val="4"/>
                                <w:sz w:val="18"/>
                              </w:rPr>
                              <w:t> </w:t>
                            </w:r>
                            <w:r>
                              <w:rPr>
                                <w:rFonts w:ascii="Arial MT"/>
                                <w:spacing w:val="-4"/>
                                <w:sz w:val="18"/>
                              </w:rPr>
                              <w:t>A.U.</w:t>
                            </w:r>
                          </w:p>
                        </w:txbxContent>
                      </wps:txbx>
                      <wps:bodyPr wrap="square" lIns="0" tIns="0" rIns="0" bIns="0" rtlCol="0" vert="vert270">
                        <a:noAutofit/>
                      </wps:bodyPr>
                    </wps:wsp>
                  </a:graphicData>
                </a:graphic>
              </wp:anchor>
            </w:drawing>
          </mc:Choice>
          <mc:Fallback>
            <w:pict>
              <v:shape style="position:absolute;margin-left:444.653442pt;margin-top:-13.307731pt;width:12.3pt;height:53.35pt;mso-position-horizontal-relative:page;mso-position-vertical-relative:paragraph;z-index:-21850112" type="#_x0000_t202" id="docshape22" filled="false" stroked="false">
                <v:textbox inset="0,0,0,0" style="layout-flow:vertical;mso-layout-flow-alt:bottom-to-top">
                  <w:txbxContent>
                    <w:p>
                      <w:pPr>
                        <w:spacing w:before="17"/>
                        <w:ind w:left="20" w:right="0" w:firstLine="0"/>
                        <w:jc w:val="left"/>
                        <w:rPr>
                          <w:rFonts w:ascii="Arial MT"/>
                          <w:sz w:val="18"/>
                        </w:rPr>
                      </w:pPr>
                      <w:r>
                        <w:rPr>
                          <w:rFonts w:ascii="Arial MT"/>
                          <w:spacing w:val="-8"/>
                          <w:sz w:val="18"/>
                        </w:rPr>
                        <w:t>Intensity,</w:t>
                      </w:r>
                      <w:r>
                        <w:rPr>
                          <w:rFonts w:ascii="Arial MT"/>
                          <w:spacing w:val="4"/>
                          <w:sz w:val="18"/>
                        </w:rPr>
                        <w:t> </w:t>
                      </w:r>
                      <w:r>
                        <w:rPr>
                          <w:rFonts w:ascii="Arial MT"/>
                          <w:spacing w:val="-4"/>
                          <w:sz w:val="18"/>
                        </w:rPr>
                        <w:t>A.U.</w:t>
                      </w:r>
                    </w:p>
                  </w:txbxContent>
                </v:textbox>
                <w10:wrap type="none"/>
              </v:shape>
            </w:pict>
          </mc:Fallback>
        </mc:AlternateContent>
      </w:r>
      <w:r>
        <w:rPr>
          <w:rFonts w:ascii="Arial MT"/>
          <w:spacing w:val="-5"/>
          <w:w w:val="105"/>
          <w:position w:val="1"/>
          <w:sz w:val="15"/>
        </w:rPr>
        <w:t>60</w:t>
      </w:r>
      <w:r>
        <w:rPr>
          <w:rFonts w:ascii="Arial MT"/>
          <w:position w:val="1"/>
          <w:sz w:val="15"/>
        </w:rPr>
        <w:tab/>
      </w:r>
      <w:r>
        <w:rPr>
          <w:rFonts w:ascii="Arial MT"/>
          <w:spacing w:val="-5"/>
          <w:w w:val="105"/>
          <w:sz w:val="15"/>
        </w:rPr>
        <w:t>60</w:t>
      </w:r>
    </w:p>
    <w:p>
      <w:pPr>
        <w:pStyle w:val="BodyText"/>
        <w:jc w:val="left"/>
        <w:rPr>
          <w:rFonts w:ascii="Arial MT"/>
          <w:sz w:val="15"/>
        </w:rPr>
      </w:pPr>
    </w:p>
    <w:p>
      <w:pPr>
        <w:pStyle w:val="BodyText"/>
        <w:spacing w:before="90"/>
        <w:jc w:val="left"/>
        <w:rPr>
          <w:rFonts w:ascii="Arial MT"/>
          <w:sz w:val="15"/>
        </w:rPr>
      </w:pPr>
    </w:p>
    <w:p>
      <w:pPr>
        <w:tabs>
          <w:tab w:pos="8839" w:val="left" w:leader="none"/>
        </w:tabs>
        <w:spacing w:before="0"/>
        <w:ind w:left="2016" w:right="0" w:firstLine="0"/>
        <w:jc w:val="left"/>
        <w:rPr>
          <w:rFonts w:ascii="Arial MT"/>
          <w:position w:val="2"/>
          <w:sz w:val="15"/>
        </w:rPr>
      </w:pPr>
      <w:r>
        <w:rPr>
          <w:rFonts w:ascii="Arial MT"/>
          <w:spacing w:val="-5"/>
          <w:w w:val="105"/>
          <w:sz w:val="15"/>
        </w:rPr>
        <w:t>40</w:t>
      </w:r>
      <w:r>
        <w:rPr>
          <w:rFonts w:ascii="Arial MT"/>
          <w:sz w:val="15"/>
        </w:rPr>
        <w:tab/>
      </w:r>
      <w:r>
        <w:rPr>
          <w:rFonts w:ascii="Arial MT"/>
          <w:spacing w:val="-5"/>
          <w:w w:val="105"/>
          <w:position w:val="2"/>
          <w:sz w:val="15"/>
        </w:rPr>
        <w:t>40</w:t>
      </w:r>
    </w:p>
    <w:p>
      <w:pPr>
        <w:pStyle w:val="BodyText"/>
        <w:jc w:val="left"/>
        <w:rPr>
          <w:rFonts w:ascii="Arial MT"/>
          <w:sz w:val="15"/>
        </w:rPr>
      </w:pPr>
    </w:p>
    <w:p>
      <w:pPr>
        <w:pStyle w:val="BodyText"/>
        <w:spacing w:before="68"/>
        <w:jc w:val="left"/>
        <w:rPr>
          <w:rFonts w:ascii="Arial MT"/>
          <w:sz w:val="15"/>
        </w:rPr>
      </w:pPr>
    </w:p>
    <w:p>
      <w:pPr>
        <w:tabs>
          <w:tab w:pos="8839" w:val="left" w:leader="none"/>
        </w:tabs>
        <w:spacing w:before="0"/>
        <w:ind w:left="2016" w:right="0" w:firstLine="0"/>
        <w:jc w:val="left"/>
        <w:rPr>
          <w:rFonts w:ascii="Arial MT"/>
          <w:sz w:val="15"/>
        </w:rPr>
      </w:pPr>
      <w:r>
        <w:rPr>
          <w:rFonts w:ascii="Arial MT"/>
          <w:spacing w:val="-5"/>
          <w:w w:val="105"/>
          <w:position w:val="-4"/>
          <w:sz w:val="15"/>
        </w:rPr>
        <w:t>20</w:t>
      </w:r>
      <w:r>
        <w:rPr>
          <w:rFonts w:ascii="Arial MT"/>
          <w:position w:val="-4"/>
          <w:sz w:val="15"/>
        </w:rPr>
        <w:tab/>
      </w:r>
      <w:r>
        <w:rPr>
          <w:rFonts w:ascii="Arial MT"/>
          <w:spacing w:val="-5"/>
          <w:w w:val="105"/>
          <w:sz w:val="15"/>
        </w:rPr>
        <w:t>20</w:t>
      </w:r>
    </w:p>
    <w:p>
      <w:pPr>
        <w:pStyle w:val="BodyText"/>
        <w:spacing w:before="59"/>
        <w:jc w:val="left"/>
        <w:rPr>
          <w:rFonts w:ascii="Arial MT"/>
          <w:sz w:val="20"/>
        </w:rPr>
      </w:pPr>
    </w:p>
    <w:p>
      <w:pPr>
        <w:pStyle w:val="BodyText"/>
        <w:spacing w:after="0"/>
        <w:jc w:val="left"/>
        <w:rPr>
          <w:rFonts w:ascii="Arial MT"/>
          <w:sz w:val="20"/>
        </w:rPr>
        <w:sectPr>
          <w:type w:val="continuous"/>
          <w:pgSz w:w="16840" w:h="11910" w:orient="landscape"/>
          <w:pgMar w:header="0" w:footer="1002" w:top="1040" w:bottom="280" w:left="566" w:right="283"/>
        </w:sectPr>
      </w:pPr>
    </w:p>
    <w:p>
      <w:pPr>
        <w:spacing w:before="169"/>
        <w:ind w:left="2095" w:right="0" w:firstLine="0"/>
        <w:jc w:val="left"/>
        <w:rPr>
          <w:rFonts w:ascii="Arial MT"/>
          <w:sz w:val="15"/>
        </w:rPr>
      </w:pPr>
      <w:r>
        <w:rPr>
          <w:rFonts w:ascii="Arial MT"/>
          <w:spacing w:val="-10"/>
          <w:w w:val="105"/>
          <w:sz w:val="15"/>
        </w:rPr>
        <w:t>0</w:t>
      </w:r>
    </w:p>
    <w:p>
      <w:pPr>
        <w:tabs>
          <w:tab w:pos="2773" w:val="left" w:leader="none"/>
          <w:tab w:pos="3372" w:val="left" w:leader="none"/>
          <w:tab w:pos="3971" w:val="left" w:leader="none"/>
          <w:tab w:pos="4570" w:val="left" w:leader="none"/>
          <w:tab w:pos="5166" w:val="left" w:leader="none"/>
          <w:tab w:pos="5765" w:val="left" w:leader="none"/>
          <w:tab w:pos="6364" w:val="left" w:leader="none"/>
          <w:tab w:pos="6963" w:val="left" w:leader="none"/>
        </w:tabs>
        <w:spacing w:before="15"/>
        <w:ind w:left="2174" w:right="0" w:firstLine="0"/>
        <w:jc w:val="left"/>
        <w:rPr>
          <w:rFonts w:ascii="Arial MT"/>
          <w:sz w:val="15"/>
        </w:rPr>
      </w:pPr>
      <w:r>
        <w:rPr>
          <w:rFonts w:ascii="Arial MT"/>
          <w:spacing w:val="-5"/>
          <w:w w:val="105"/>
          <w:sz w:val="15"/>
        </w:rPr>
        <w:t>400</w:t>
      </w:r>
      <w:r>
        <w:rPr>
          <w:rFonts w:ascii="Arial MT"/>
          <w:sz w:val="15"/>
        </w:rPr>
        <w:tab/>
      </w:r>
      <w:r>
        <w:rPr>
          <w:rFonts w:ascii="Arial MT"/>
          <w:spacing w:val="-5"/>
          <w:w w:val="105"/>
          <w:sz w:val="15"/>
        </w:rPr>
        <w:t>450</w:t>
      </w:r>
      <w:r>
        <w:rPr>
          <w:rFonts w:ascii="Arial MT"/>
          <w:sz w:val="15"/>
        </w:rPr>
        <w:tab/>
      </w:r>
      <w:r>
        <w:rPr>
          <w:rFonts w:ascii="Arial MT"/>
          <w:spacing w:val="-5"/>
          <w:w w:val="105"/>
          <w:sz w:val="15"/>
        </w:rPr>
        <w:t>500</w:t>
      </w:r>
      <w:r>
        <w:rPr>
          <w:rFonts w:ascii="Arial MT"/>
          <w:sz w:val="15"/>
        </w:rPr>
        <w:tab/>
      </w:r>
      <w:r>
        <w:rPr>
          <w:rFonts w:ascii="Arial MT"/>
          <w:spacing w:val="-5"/>
          <w:w w:val="105"/>
          <w:sz w:val="15"/>
        </w:rPr>
        <w:t>550</w:t>
      </w:r>
      <w:r>
        <w:rPr>
          <w:rFonts w:ascii="Arial MT"/>
          <w:sz w:val="15"/>
        </w:rPr>
        <w:tab/>
      </w:r>
      <w:r>
        <w:rPr>
          <w:rFonts w:ascii="Arial MT"/>
          <w:spacing w:val="-5"/>
          <w:w w:val="105"/>
          <w:sz w:val="15"/>
        </w:rPr>
        <w:t>600</w:t>
      </w:r>
      <w:r>
        <w:rPr>
          <w:rFonts w:ascii="Arial MT"/>
          <w:sz w:val="15"/>
        </w:rPr>
        <w:tab/>
      </w:r>
      <w:r>
        <w:rPr>
          <w:rFonts w:ascii="Arial MT"/>
          <w:spacing w:val="-5"/>
          <w:w w:val="105"/>
          <w:sz w:val="15"/>
        </w:rPr>
        <w:t>650</w:t>
      </w:r>
      <w:r>
        <w:rPr>
          <w:rFonts w:ascii="Arial MT"/>
          <w:sz w:val="15"/>
        </w:rPr>
        <w:tab/>
      </w:r>
      <w:r>
        <w:rPr>
          <w:rFonts w:ascii="Arial MT"/>
          <w:spacing w:val="-5"/>
          <w:w w:val="105"/>
          <w:sz w:val="15"/>
        </w:rPr>
        <w:t>700</w:t>
      </w:r>
      <w:r>
        <w:rPr>
          <w:rFonts w:ascii="Arial MT"/>
          <w:sz w:val="15"/>
        </w:rPr>
        <w:tab/>
      </w:r>
      <w:r>
        <w:rPr>
          <w:rFonts w:ascii="Arial MT"/>
          <w:spacing w:val="-5"/>
          <w:w w:val="105"/>
          <w:sz w:val="15"/>
        </w:rPr>
        <w:t>750</w:t>
      </w:r>
      <w:r>
        <w:rPr>
          <w:rFonts w:ascii="Arial MT"/>
          <w:sz w:val="15"/>
        </w:rPr>
        <w:tab/>
      </w:r>
      <w:r>
        <w:rPr>
          <w:rFonts w:ascii="Arial MT"/>
          <w:spacing w:val="-13"/>
          <w:w w:val="105"/>
          <w:sz w:val="15"/>
        </w:rPr>
        <w:t>800</w:t>
      </w:r>
    </w:p>
    <w:p>
      <w:pPr>
        <w:spacing w:before="61"/>
        <w:ind w:left="4265" w:right="0" w:firstLine="0"/>
        <w:jc w:val="left"/>
        <w:rPr>
          <w:rFonts w:ascii="Arial MT"/>
          <w:sz w:val="19"/>
        </w:rPr>
      </w:pPr>
      <w:r>
        <w:rPr>
          <w:rFonts w:ascii="Arial MT"/>
          <w:spacing w:val="-7"/>
          <w:sz w:val="19"/>
        </w:rPr>
        <w:t>Wave</w:t>
      </w:r>
      <w:r>
        <w:rPr>
          <w:rFonts w:ascii="Arial MT"/>
          <w:spacing w:val="-11"/>
          <w:sz w:val="19"/>
        </w:rPr>
        <w:t> </w:t>
      </w:r>
      <w:r>
        <w:rPr>
          <w:rFonts w:ascii="Arial MT"/>
          <w:spacing w:val="-4"/>
          <w:sz w:val="19"/>
        </w:rPr>
        <w:t>[nm]</w:t>
      </w:r>
    </w:p>
    <w:p>
      <w:pPr>
        <w:spacing w:before="96"/>
        <w:ind w:left="1673" w:right="0" w:firstLine="0"/>
        <w:jc w:val="left"/>
        <w:rPr>
          <w:rFonts w:ascii="Arial MT"/>
          <w:sz w:val="15"/>
        </w:rPr>
      </w:pPr>
      <w:r>
        <w:rPr/>
        <w:br w:type="column"/>
      </w:r>
      <w:r>
        <w:rPr>
          <w:rFonts w:ascii="Arial MT"/>
          <w:spacing w:val="-10"/>
          <w:sz w:val="15"/>
        </w:rPr>
        <w:t>0</w:t>
      </w:r>
    </w:p>
    <w:p>
      <w:pPr>
        <w:tabs>
          <w:tab w:pos="2198" w:val="left" w:leader="none"/>
          <w:tab w:pos="2649" w:val="left" w:leader="none"/>
          <w:tab w:pos="3100" w:val="left" w:leader="none"/>
          <w:tab w:pos="3551" w:val="left" w:leader="none"/>
          <w:tab w:pos="4004" w:val="left" w:leader="none"/>
          <w:tab w:pos="4455" w:val="left" w:leader="none"/>
          <w:tab w:pos="4906" w:val="left" w:leader="none"/>
          <w:tab w:pos="5357" w:val="left" w:leader="none"/>
          <w:tab w:pos="5808" w:val="left" w:leader="none"/>
          <w:tab w:pos="6259" w:val="left" w:leader="none"/>
        </w:tabs>
        <w:spacing w:before="7"/>
        <w:ind w:left="1747" w:right="0" w:firstLine="0"/>
        <w:jc w:val="left"/>
        <w:rPr>
          <w:rFonts w:ascii="Arial MT"/>
          <w:sz w:val="15"/>
        </w:rPr>
      </w:pPr>
      <w:r>
        <w:rPr>
          <w:rFonts w:ascii="Arial MT"/>
          <w:spacing w:val="-5"/>
          <w:sz w:val="15"/>
        </w:rPr>
        <w:t>520</w:t>
      </w:r>
      <w:r>
        <w:rPr>
          <w:rFonts w:ascii="Arial MT"/>
          <w:sz w:val="15"/>
        </w:rPr>
        <w:tab/>
      </w:r>
      <w:r>
        <w:rPr>
          <w:rFonts w:ascii="Arial MT"/>
          <w:spacing w:val="-5"/>
          <w:sz w:val="15"/>
        </w:rPr>
        <w:t>530</w:t>
      </w:r>
      <w:r>
        <w:rPr>
          <w:rFonts w:ascii="Arial MT"/>
          <w:sz w:val="15"/>
        </w:rPr>
        <w:tab/>
      </w:r>
      <w:r>
        <w:rPr>
          <w:rFonts w:ascii="Arial MT"/>
          <w:spacing w:val="-5"/>
          <w:sz w:val="15"/>
        </w:rPr>
        <w:t>540</w:t>
      </w:r>
      <w:r>
        <w:rPr>
          <w:rFonts w:ascii="Arial MT"/>
          <w:sz w:val="15"/>
        </w:rPr>
        <w:tab/>
      </w:r>
      <w:r>
        <w:rPr>
          <w:rFonts w:ascii="Arial MT"/>
          <w:spacing w:val="-5"/>
          <w:sz w:val="15"/>
        </w:rPr>
        <w:t>550</w:t>
      </w:r>
      <w:r>
        <w:rPr>
          <w:rFonts w:ascii="Arial MT"/>
          <w:sz w:val="15"/>
        </w:rPr>
        <w:tab/>
      </w:r>
      <w:r>
        <w:rPr>
          <w:rFonts w:ascii="Arial MT"/>
          <w:spacing w:val="-5"/>
          <w:sz w:val="15"/>
        </w:rPr>
        <w:t>560</w:t>
      </w:r>
      <w:r>
        <w:rPr>
          <w:rFonts w:ascii="Arial MT"/>
          <w:sz w:val="15"/>
        </w:rPr>
        <w:tab/>
      </w:r>
      <w:r>
        <w:rPr>
          <w:rFonts w:ascii="Arial MT"/>
          <w:spacing w:val="-5"/>
          <w:sz w:val="15"/>
        </w:rPr>
        <w:t>570</w:t>
      </w:r>
      <w:r>
        <w:rPr>
          <w:rFonts w:ascii="Arial MT"/>
          <w:sz w:val="15"/>
        </w:rPr>
        <w:tab/>
      </w:r>
      <w:r>
        <w:rPr>
          <w:rFonts w:ascii="Arial MT"/>
          <w:spacing w:val="-5"/>
          <w:sz w:val="15"/>
        </w:rPr>
        <w:t>580</w:t>
      </w:r>
      <w:r>
        <w:rPr>
          <w:rFonts w:ascii="Arial MT"/>
          <w:sz w:val="15"/>
        </w:rPr>
        <w:tab/>
      </w:r>
      <w:r>
        <w:rPr>
          <w:rFonts w:ascii="Arial MT"/>
          <w:spacing w:val="-5"/>
          <w:sz w:val="15"/>
        </w:rPr>
        <w:t>590</w:t>
      </w:r>
      <w:r>
        <w:rPr>
          <w:rFonts w:ascii="Arial MT"/>
          <w:sz w:val="15"/>
        </w:rPr>
        <w:tab/>
      </w:r>
      <w:r>
        <w:rPr>
          <w:rFonts w:ascii="Arial MT"/>
          <w:spacing w:val="-5"/>
          <w:sz w:val="15"/>
        </w:rPr>
        <w:t>600</w:t>
      </w:r>
      <w:r>
        <w:rPr>
          <w:rFonts w:ascii="Arial MT"/>
          <w:sz w:val="15"/>
        </w:rPr>
        <w:tab/>
      </w:r>
      <w:r>
        <w:rPr>
          <w:rFonts w:ascii="Arial MT"/>
          <w:spacing w:val="-5"/>
          <w:sz w:val="15"/>
        </w:rPr>
        <w:t>610</w:t>
      </w:r>
      <w:r>
        <w:rPr>
          <w:rFonts w:ascii="Arial MT"/>
          <w:sz w:val="15"/>
        </w:rPr>
        <w:tab/>
      </w:r>
      <w:r>
        <w:rPr>
          <w:rFonts w:ascii="Arial MT"/>
          <w:spacing w:val="-5"/>
          <w:sz w:val="15"/>
        </w:rPr>
        <w:t>620</w:t>
      </w:r>
    </w:p>
    <w:p>
      <w:pPr>
        <w:spacing w:before="59"/>
        <w:ind w:left="0" w:right="511" w:firstLine="0"/>
        <w:jc w:val="center"/>
        <w:rPr>
          <w:rFonts w:ascii="Arial MT"/>
          <w:sz w:val="18"/>
        </w:rPr>
      </w:pPr>
      <w:r>
        <w:rPr>
          <w:rFonts w:ascii="Arial MT"/>
          <w:spacing w:val="-8"/>
          <w:sz w:val="18"/>
        </w:rPr>
        <w:t>Wave</w:t>
      </w:r>
      <w:r>
        <w:rPr>
          <w:rFonts w:ascii="Arial MT"/>
          <w:spacing w:val="-11"/>
          <w:sz w:val="18"/>
        </w:rPr>
        <w:t> </w:t>
      </w:r>
      <w:r>
        <w:rPr>
          <w:rFonts w:ascii="Arial MT"/>
          <w:spacing w:val="-4"/>
          <w:sz w:val="18"/>
        </w:rPr>
        <w:t>[nm]</w:t>
      </w:r>
    </w:p>
    <w:p>
      <w:pPr>
        <w:spacing w:after="0"/>
        <w:jc w:val="center"/>
        <w:rPr>
          <w:rFonts w:ascii="Arial MT"/>
          <w:sz w:val="18"/>
        </w:rPr>
        <w:sectPr>
          <w:type w:val="continuous"/>
          <w:pgSz w:w="16840" w:h="11910" w:orient="landscape"/>
          <w:pgMar w:header="0" w:footer="1002" w:top="1040" w:bottom="280" w:left="566" w:right="283"/>
          <w:cols w:num="2" w:equalWidth="0">
            <w:col w:w="7200" w:space="40"/>
            <w:col w:w="8751"/>
          </w:cols>
        </w:sectPr>
      </w:pPr>
    </w:p>
    <w:p>
      <w:pPr>
        <w:pStyle w:val="BodyText"/>
        <w:jc w:val="left"/>
        <w:rPr>
          <w:rFonts w:ascii="Arial MT"/>
          <w:sz w:val="15"/>
        </w:rPr>
      </w:pPr>
    </w:p>
    <w:p>
      <w:pPr>
        <w:pStyle w:val="BodyText"/>
        <w:jc w:val="left"/>
        <w:rPr>
          <w:rFonts w:ascii="Arial MT"/>
          <w:sz w:val="15"/>
        </w:rPr>
      </w:pPr>
    </w:p>
    <w:p>
      <w:pPr>
        <w:pStyle w:val="BodyText"/>
        <w:jc w:val="left"/>
        <w:rPr>
          <w:rFonts w:ascii="Arial MT"/>
          <w:sz w:val="15"/>
        </w:rPr>
      </w:pPr>
    </w:p>
    <w:p>
      <w:pPr>
        <w:pStyle w:val="BodyText"/>
        <w:jc w:val="left"/>
        <w:rPr>
          <w:rFonts w:ascii="Arial MT"/>
          <w:sz w:val="15"/>
        </w:rPr>
      </w:pPr>
    </w:p>
    <w:p>
      <w:pPr>
        <w:pStyle w:val="BodyText"/>
        <w:spacing w:before="24"/>
        <w:jc w:val="left"/>
        <w:rPr>
          <w:rFonts w:ascii="Arial MT"/>
          <w:sz w:val="15"/>
        </w:rPr>
      </w:pPr>
    </w:p>
    <w:p>
      <w:pPr>
        <w:spacing w:before="1"/>
        <w:ind w:left="0" w:right="38" w:firstLine="0"/>
        <w:jc w:val="right"/>
        <w:rPr>
          <w:rFonts w:ascii="Arial MT"/>
          <w:sz w:val="15"/>
        </w:rPr>
      </w:pPr>
      <w:r>
        <w:rPr>
          <w:rFonts w:ascii="Arial MT"/>
          <w:sz w:val="15"/>
        </w:rPr>
        <mc:AlternateContent>
          <mc:Choice Requires="wps">
            <w:drawing>
              <wp:anchor distT="0" distB="0" distL="0" distR="0" allowOverlap="1" layoutInCell="1" locked="0" behindDoc="1" simplePos="0" relativeHeight="481463296">
                <wp:simplePos x="0" y="0"/>
                <wp:positionH relativeFrom="page">
                  <wp:posOffset>6095029</wp:posOffset>
                </wp:positionH>
                <wp:positionV relativeFrom="paragraph">
                  <wp:posOffset>-3073469</wp:posOffset>
                </wp:positionV>
                <wp:extent cx="2911475" cy="216662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2911475" cy="2166620"/>
                          <a:chExt cx="2911475" cy="2166620"/>
                        </a:xfrm>
                      </wpg:grpSpPr>
                      <pic:pic>
                        <pic:nvPicPr>
                          <pic:cNvPr id="55" name="Image 55"/>
                          <pic:cNvPicPr/>
                        </pic:nvPicPr>
                        <pic:blipFill>
                          <a:blip r:embed="rId44" cstate="print"/>
                          <a:stretch>
                            <a:fillRect/>
                          </a:stretch>
                        </pic:blipFill>
                        <pic:spPr>
                          <a:xfrm>
                            <a:off x="0" y="0"/>
                            <a:ext cx="2911296" cy="2166349"/>
                          </a:xfrm>
                          <a:prstGeom prst="rect">
                            <a:avLst/>
                          </a:prstGeom>
                        </pic:spPr>
                      </pic:pic>
                      <wps:wsp>
                        <wps:cNvPr id="56" name="Textbox 56"/>
                        <wps:cNvSpPr txBox="1"/>
                        <wps:spPr>
                          <a:xfrm>
                            <a:off x="2321849" y="38952"/>
                            <a:ext cx="543560" cy="130810"/>
                          </a:xfrm>
                          <a:prstGeom prst="rect">
                            <a:avLst/>
                          </a:prstGeom>
                        </wps:spPr>
                        <wps:txbx>
                          <w:txbxContent>
                            <w:p>
                              <w:pPr>
                                <w:spacing w:line="204" w:lineRule="exact" w:before="0"/>
                                <w:ind w:left="0" w:right="0" w:firstLine="0"/>
                                <w:jc w:val="left"/>
                                <w:rPr>
                                  <w:rFonts w:ascii="Arial MT"/>
                                  <w:sz w:val="18"/>
                                </w:rPr>
                              </w:pPr>
                              <w:r>
                                <w:rPr>
                                  <w:rFonts w:ascii="Arial MT"/>
                                  <w:spacing w:val="-8"/>
                                  <w:sz w:val="18"/>
                                </w:rPr>
                                <w:t>Green</w:t>
                              </w:r>
                              <w:r>
                                <w:rPr>
                                  <w:rFonts w:ascii="Arial MT"/>
                                  <w:spacing w:val="-16"/>
                                  <w:sz w:val="18"/>
                                </w:rPr>
                                <w:t> </w:t>
                              </w:r>
                              <w:r>
                                <w:rPr>
                                  <w:rFonts w:ascii="Arial MT"/>
                                  <w:spacing w:val="-5"/>
                                  <w:sz w:val="18"/>
                                </w:rPr>
                                <w:t>LED</w:t>
                              </w:r>
                            </w:p>
                          </w:txbxContent>
                        </wps:txbx>
                        <wps:bodyPr wrap="square" lIns="0" tIns="0" rIns="0" bIns="0" rtlCol="0">
                          <a:noAutofit/>
                        </wps:bodyPr>
                      </wps:wsp>
                    </wpg:wgp>
                  </a:graphicData>
                </a:graphic>
              </wp:anchor>
            </w:drawing>
          </mc:Choice>
          <mc:Fallback>
            <w:pict>
              <v:group style="position:absolute;margin-left:479.923615pt;margin-top:-242.005463pt;width:229.25pt;height:170.6pt;mso-position-horizontal-relative:page;mso-position-vertical-relative:paragraph;z-index:-21853184" id="docshapegroup23" coordorigin="9598,-4840" coordsize="4585,3412">
                <v:shape style="position:absolute;left:9598;top:-4841;width:4585;height:3412" type="#_x0000_t75" id="docshape24" stroked="false">
                  <v:imagedata r:id="rId44" o:title=""/>
                </v:shape>
                <v:shape style="position:absolute;left:13254;top:-4779;width:856;height:206" type="#_x0000_t202" id="docshape25" filled="false" stroked="false">
                  <v:textbox inset="0,0,0,0">
                    <w:txbxContent>
                      <w:p>
                        <w:pPr>
                          <w:spacing w:line="204" w:lineRule="exact" w:before="0"/>
                          <w:ind w:left="0" w:right="0" w:firstLine="0"/>
                          <w:jc w:val="left"/>
                          <w:rPr>
                            <w:rFonts w:ascii="Arial MT"/>
                            <w:sz w:val="18"/>
                          </w:rPr>
                        </w:pPr>
                        <w:r>
                          <w:rPr>
                            <w:rFonts w:ascii="Arial MT"/>
                            <w:spacing w:val="-8"/>
                            <w:sz w:val="18"/>
                          </w:rPr>
                          <w:t>Green</w:t>
                        </w:r>
                        <w:r>
                          <w:rPr>
                            <w:rFonts w:ascii="Arial MT"/>
                            <w:spacing w:val="-16"/>
                            <w:sz w:val="18"/>
                          </w:rPr>
                          <w:t> </w:t>
                        </w:r>
                        <w:r>
                          <w:rPr>
                            <w:rFonts w:ascii="Arial MT"/>
                            <w:spacing w:val="-5"/>
                            <w:sz w:val="18"/>
                          </w:rPr>
                          <w:t>LED</w:t>
                        </w:r>
                      </w:p>
                    </w:txbxContent>
                  </v:textbox>
                  <w10:wrap type="none"/>
                </v:shape>
                <w10:wrap type="none"/>
              </v:group>
            </w:pict>
          </mc:Fallback>
        </mc:AlternateContent>
      </w:r>
      <w:r>
        <w:rPr>
          <w:rFonts w:ascii="Arial MT"/>
          <w:spacing w:val="-5"/>
          <w:w w:val="105"/>
          <w:sz w:val="15"/>
        </w:rPr>
        <w:t>100</w:t>
      </w:r>
    </w:p>
    <w:p>
      <w:pPr>
        <w:pStyle w:val="Heading2"/>
        <w:tabs>
          <w:tab w:pos="8637" w:val="left" w:leader="none"/>
        </w:tabs>
        <w:spacing w:before="35"/>
        <w:ind w:left="1946" w:firstLine="0"/>
        <w:jc w:val="left"/>
      </w:pPr>
      <w:r>
        <w:rPr>
          <w:b w:val="0"/>
        </w:rPr>
        <w:br w:type="column"/>
      </w:r>
      <w:r>
        <w:rPr>
          <w:spacing w:val="-10"/>
        </w:rPr>
        <w:t>а</w:t>
      </w:r>
      <w:r>
        <w:rPr/>
        <w:tab/>
      </w:r>
      <w:r>
        <w:rPr>
          <w:spacing w:val="-10"/>
        </w:rPr>
        <w:t>b</w:t>
      </w:r>
    </w:p>
    <w:p>
      <w:pPr>
        <w:pStyle w:val="BodyText"/>
        <w:jc w:val="left"/>
        <w:rPr>
          <w:b/>
        </w:rPr>
      </w:pPr>
    </w:p>
    <w:p>
      <w:pPr>
        <w:pStyle w:val="BodyText"/>
        <w:spacing w:before="33"/>
        <w:jc w:val="left"/>
        <w:rPr>
          <w:b/>
        </w:rPr>
      </w:pPr>
    </w:p>
    <w:p>
      <w:pPr>
        <w:spacing w:before="0"/>
        <w:ind w:left="0" w:right="1602" w:firstLine="0"/>
        <w:jc w:val="center"/>
        <w:rPr>
          <w:rFonts w:ascii="Arial MT"/>
          <w:sz w:val="15"/>
        </w:rPr>
      </w:pPr>
      <w:r>
        <w:rPr>
          <w:rFonts w:ascii="Arial MT"/>
          <w:sz w:val="15"/>
        </w:rPr>
        <mc:AlternateContent>
          <mc:Choice Requires="wps">
            <w:drawing>
              <wp:anchor distT="0" distB="0" distL="0" distR="0" allowOverlap="1" layoutInCell="1" locked="0" behindDoc="0" simplePos="0" relativeHeight="15744000">
                <wp:simplePos x="0" y="0"/>
                <wp:positionH relativeFrom="page">
                  <wp:posOffset>1773739</wp:posOffset>
                </wp:positionH>
                <wp:positionV relativeFrom="paragraph">
                  <wp:posOffset>-230878</wp:posOffset>
                </wp:positionV>
                <wp:extent cx="3064510" cy="223583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3064510" cy="2235835"/>
                          <a:chExt cx="3064510" cy="2235835"/>
                        </a:xfrm>
                      </wpg:grpSpPr>
                      <pic:pic>
                        <pic:nvPicPr>
                          <pic:cNvPr id="58" name="Image 58"/>
                          <pic:cNvPicPr/>
                        </pic:nvPicPr>
                        <pic:blipFill>
                          <a:blip r:embed="rId45" cstate="print"/>
                          <a:stretch>
                            <a:fillRect/>
                          </a:stretch>
                        </pic:blipFill>
                        <pic:spPr>
                          <a:xfrm>
                            <a:off x="0" y="0"/>
                            <a:ext cx="3064085" cy="2235488"/>
                          </a:xfrm>
                          <a:prstGeom prst="rect">
                            <a:avLst/>
                          </a:prstGeom>
                        </pic:spPr>
                      </pic:pic>
                      <wps:wsp>
                        <wps:cNvPr id="59" name="Textbox 59"/>
                        <wps:cNvSpPr txBox="1"/>
                        <wps:spPr>
                          <a:xfrm>
                            <a:off x="2487303" y="35088"/>
                            <a:ext cx="467995" cy="134620"/>
                          </a:xfrm>
                          <a:prstGeom prst="rect">
                            <a:avLst/>
                          </a:prstGeom>
                        </wps:spPr>
                        <wps:txbx>
                          <w:txbxContent>
                            <w:p>
                              <w:pPr>
                                <w:spacing w:line="212" w:lineRule="exact" w:before="0"/>
                                <w:ind w:left="0" w:right="0" w:firstLine="0"/>
                                <w:jc w:val="left"/>
                                <w:rPr>
                                  <w:rFonts w:ascii="Arial MT"/>
                                  <w:sz w:val="19"/>
                                </w:rPr>
                              </w:pPr>
                              <w:r>
                                <w:rPr>
                                  <w:rFonts w:ascii="Arial MT"/>
                                  <w:spacing w:val="-9"/>
                                  <w:sz w:val="19"/>
                                </w:rPr>
                                <w:t>Red</w:t>
                              </w:r>
                              <w:r>
                                <w:rPr>
                                  <w:rFonts w:ascii="Arial MT"/>
                                  <w:spacing w:val="-13"/>
                                  <w:sz w:val="19"/>
                                </w:rPr>
                                <w:t> </w:t>
                              </w:r>
                              <w:r>
                                <w:rPr>
                                  <w:rFonts w:ascii="Arial MT"/>
                                  <w:spacing w:val="-5"/>
                                  <w:sz w:val="19"/>
                                </w:rPr>
                                <w:t>LED</w:t>
                              </w:r>
                            </w:p>
                          </w:txbxContent>
                        </wps:txbx>
                        <wps:bodyPr wrap="square" lIns="0" tIns="0" rIns="0" bIns="0" rtlCol="0">
                          <a:noAutofit/>
                        </wps:bodyPr>
                      </wps:wsp>
                    </wpg:wgp>
                  </a:graphicData>
                </a:graphic>
              </wp:anchor>
            </w:drawing>
          </mc:Choice>
          <mc:Fallback>
            <w:pict>
              <v:group style="position:absolute;margin-left:139.664566pt;margin-top:-18.17944pt;width:241.3pt;height:176.05pt;mso-position-horizontal-relative:page;mso-position-vertical-relative:paragraph;z-index:15744000" id="docshapegroup26" coordorigin="2793,-364" coordsize="4826,3521">
                <v:shape style="position:absolute;left:2793;top:-364;width:4826;height:3521" type="#_x0000_t75" id="docshape27" stroked="false">
                  <v:imagedata r:id="rId45" o:title=""/>
                </v:shape>
                <v:shape style="position:absolute;left:6710;top:-309;width:737;height:212" type="#_x0000_t202" id="docshape28" filled="false" stroked="false">
                  <v:textbox inset="0,0,0,0">
                    <w:txbxContent>
                      <w:p>
                        <w:pPr>
                          <w:spacing w:line="212" w:lineRule="exact" w:before="0"/>
                          <w:ind w:left="0" w:right="0" w:firstLine="0"/>
                          <w:jc w:val="left"/>
                          <w:rPr>
                            <w:rFonts w:ascii="Arial MT"/>
                            <w:sz w:val="19"/>
                          </w:rPr>
                        </w:pPr>
                        <w:r>
                          <w:rPr>
                            <w:rFonts w:ascii="Arial MT"/>
                            <w:spacing w:val="-9"/>
                            <w:sz w:val="19"/>
                          </w:rPr>
                          <w:t>Red</w:t>
                        </w:r>
                        <w:r>
                          <w:rPr>
                            <w:rFonts w:ascii="Arial MT"/>
                            <w:spacing w:val="-13"/>
                            <w:sz w:val="19"/>
                          </w:rPr>
                          <w:t> </w:t>
                        </w:r>
                        <w:r>
                          <w:rPr>
                            <w:rFonts w:ascii="Arial MT"/>
                            <w:spacing w:val="-5"/>
                            <w:sz w:val="19"/>
                          </w:rPr>
                          <w:t>LED</w:t>
                        </w:r>
                      </w:p>
                    </w:txbxContent>
                  </v:textbox>
                  <w10:wrap type="none"/>
                </v:shape>
                <w10:wrap type="none"/>
              </v:group>
            </w:pict>
          </mc:Fallback>
        </mc:AlternateContent>
      </w:r>
      <w:r>
        <w:rPr>
          <w:rFonts w:ascii="Arial MT"/>
          <w:sz w:val="15"/>
        </w:rPr>
        <mc:AlternateContent>
          <mc:Choice Requires="wps">
            <w:drawing>
              <wp:anchor distT="0" distB="0" distL="0" distR="0" allowOverlap="1" layoutInCell="1" locked="0" behindDoc="0" simplePos="0" relativeHeight="15744512">
                <wp:simplePos x="0" y="0"/>
                <wp:positionH relativeFrom="page">
                  <wp:posOffset>5768964</wp:posOffset>
                </wp:positionH>
                <wp:positionV relativeFrom="paragraph">
                  <wp:posOffset>-134795</wp:posOffset>
                </wp:positionV>
                <wp:extent cx="2973070" cy="221107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2973070" cy="2211070"/>
                          <a:chExt cx="2973070" cy="2211070"/>
                        </a:xfrm>
                      </wpg:grpSpPr>
                      <pic:pic>
                        <pic:nvPicPr>
                          <pic:cNvPr id="61" name="Image 61"/>
                          <pic:cNvPicPr/>
                        </pic:nvPicPr>
                        <pic:blipFill>
                          <a:blip r:embed="rId46" cstate="print"/>
                          <a:stretch>
                            <a:fillRect/>
                          </a:stretch>
                        </pic:blipFill>
                        <pic:spPr>
                          <a:xfrm>
                            <a:off x="0" y="0"/>
                            <a:ext cx="2972999" cy="2210467"/>
                          </a:xfrm>
                          <a:prstGeom prst="rect">
                            <a:avLst/>
                          </a:prstGeom>
                        </pic:spPr>
                      </pic:pic>
                      <wps:wsp>
                        <wps:cNvPr id="62" name="Textbox 62"/>
                        <wps:cNvSpPr txBox="1"/>
                        <wps:spPr>
                          <a:xfrm>
                            <a:off x="2500183" y="59999"/>
                            <a:ext cx="277495" cy="133350"/>
                          </a:xfrm>
                          <a:prstGeom prst="rect">
                            <a:avLst/>
                          </a:prstGeom>
                        </wps:spPr>
                        <wps:txbx>
                          <w:txbxContent>
                            <w:p>
                              <w:pPr>
                                <w:spacing w:before="0"/>
                                <w:ind w:left="0" w:right="0" w:firstLine="0"/>
                                <w:jc w:val="left"/>
                                <w:rPr>
                                  <w:rFonts w:ascii="Arial MT"/>
                                  <w:sz w:val="18"/>
                                </w:rPr>
                              </w:pPr>
                              <w:r>
                                <w:rPr>
                                  <w:rFonts w:ascii="Arial MT"/>
                                  <w:spacing w:val="-11"/>
                                  <w:w w:val="105"/>
                                  <w:sz w:val="18"/>
                                </w:rPr>
                                <w:t>Laser</w:t>
                              </w:r>
                            </w:p>
                          </w:txbxContent>
                        </wps:txbx>
                        <wps:bodyPr wrap="square" lIns="0" tIns="0" rIns="0" bIns="0" rtlCol="0">
                          <a:noAutofit/>
                        </wps:bodyPr>
                      </wps:wsp>
                    </wpg:wgp>
                  </a:graphicData>
                </a:graphic>
              </wp:anchor>
            </w:drawing>
          </mc:Choice>
          <mc:Fallback>
            <w:pict>
              <v:group style="position:absolute;margin-left:454.249207pt;margin-top:-10.613853pt;width:234.1pt;height:174.1pt;mso-position-horizontal-relative:page;mso-position-vertical-relative:paragraph;z-index:15744512" id="docshapegroup29" coordorigin="9085,-212" coordsize="4682,3482">
                <v:shape style="position:absolute;left:9084;top:-213;width:4682;height:3482" type="#_x0000_t75" id="docshape30" stroked="false">
                  <v:imagedata r:id="rId46" o:title=""/>
                </v:shape>
                <v:shape style="position:absolute;left:13022;top:-118;width:437;height:210" type="#_x0000_t202" id="docshape31" filled="false" stroked="false">
                  <v:textbox inset="0,0,0,0">
                    <w:txbxContent>
                      <w:p>
                        <w:pPr>
                          <w:spacing w:before="0"/>
                          <w:ind w:left="0" w:right="0" w:firstLine="0"/>
                          <w:jc w:val="left"/>
                          <w:rPr>
                            <w:rFonts w:ascii="Arial MT"/>
                            <w:sz w:val="18"/>
                          </w:rPr>
                        </w:pPr>
                        <w:r>
                          <w:rPr>
                            <w:rFonts w:ascii="Arial MT"/>
                            <w:spacing w:val="-11"/>
                            <w:w w:val="105"/>
                            <w:sz w:val="18"/>
                          </w:rPr>
                          <w:t>Laser</w:t>
                        </w:r>
                      </w:p>
                    </w:txbxContent>
                  </v:textbox>
                  <w10:wrap type="none"/>
                </v:shape>
                <w10:wrap type="none"/>
              </v:group>
            </w:pict>
          </mc:Fallback>
        </mc:AlternateContent>
      </w:r>
      <w:r>
        <w:rPr>
          <w:rFonts w:ascii="Arial MT"/>
          <w:spacing w:val="-5"/>
          <w:sz w:val="15"/>
        </w:rPr>
        <w:t>100</w:t>
      </w:r>
    </w:p>
    <w:p>
      <w:pPr>
        <w:spacing w:after="0"/>
        <w:jc w:val="center"/>
        <w:rPr>
          <w:rFonts w:ascii="Arial MT"/>
          <w:sz w:val="15"/>
        </w:rPr>
        <w:sectPr>
          <w:type w:val="continuous"/>
          <w:pgSz w:w="16840" w:h="11910" w:orient="landscape"/>
          <w:pgMar w:header="0" w:footer="1002" w:top="1040" w:bottom="280" w:left="566" w:right="283"/>
          <w:cols w:num="2" w:equalWidth="0">
            <w:col w:w="2220" w:space="113"/>
            <w:col w:w="13658"/>
          </w:cols>
        </w:sectPr>
      </w:pPr>
    </w:p>
    <w:p>
      <w:pPr>
        <w:pStyle w:val="BodyText"/>
        <w:spacing w:before="135"/>
        <w:jc w:val="left"/>
        <w:rPr>
          <w:rFonts w:ascii="Arial MT"/>
          <w:sz w:val="15"/>
        </w:rPr>
      </w:pPr>
    </w:p>
    <w:p>
      <w:pPr>
        <w:spacing w:line="156" w:lineRule="exact" w:before="0"/>
        <w:ind w:left="805" w:right="12589" w:firstLine="0"/>
        <w:jc w:val="center"/>
        <w:rPr>
          <w:rFonts w:ascii="Arial MT"/>
          <w:sz w:val="15"/>
        </w:rPr>
      </w:pPr>
      <w:r>
        <w:rPr>
          <w:rFonts w:ascii="Arial MT"/>
          <w:spacing w:val="-5"/>
          <w:w w:val="105"/>
          <w:sz w:val="15"/>
        </w:rPr>
        <w:t>80</w:t>
      </w:r>
    </w:p>
    <w:p>
      <w:pPr>
        <w:spacing w:line="156" w:lineRule="exact" w:before="0"/>
        <w:ind w:left="943" w:right="138" w:firstLine="0"/>
        <w:jc w:val="center"/>
        <w:rPr>
          <w:rFonts w:ascii="Arial MT"/>
          <w:sz w:val="15"/>
        </w:rPr>
      </w:pPr>
      <w:r>
        <w:rPr>
          <w:rFonts w:ascii="Arial MT"/>
          <w:spacing w:val="-5"/>
          <w:sz w:val="15"/>
        </w:rPr>
        <w:t>80</w:t>
      </w:r>
    </w:p>
    <w:p>
      <w:pPr>
        <w:pStyle w:val="BodyText"/>
        <w:spacing w:before="141"/>
        <w:jc w:val="left"/>
        <w:rPr>
          <w:rFonts w:ascii="Arial MT"/>
          <w:sz w:val="15"/>
        </w:rPr>
      </w:pPr>
    </w:p>
    <w:p>
      <w:pPr>
        <w:spacing w:line="153" w:lineRule="exact" w:before="1"/>
        <w:ind w:left="805" w:right="12589" w:firstLine="0"/>
        <w:jc w:val="center"/>
        <w:rPr>
          <w:rFonts w:ascii="Arial MT"/>
          <w:sz w:val="15"/>
        </w:rPr>
      </w:pPr>
      <w:r>
        <w:rPr>
          <w:rFonts w:ascii="Arial MT"/>
          <w:sz w:val="15"/>
        </w:rPr>
        <mc:AlternateContent>
          <mc:Choice Requires="wps">
            <w:drawing>
              <wp:anchor distT="0" distB="0" distL="0" distR="0" allowOverlap="1" layoutInCell="1" locked="0" behindDoc="0" simplePos="0" relativeHeight="15745536">
                <wp:simplePos x="0" y="0"/>
                <wp:positionH relativeFrom="page">
                  <wp:posOffset>1303345</wp:posOffset>
                </wp:positionH>
                <wp:positionV relativeFrom="paragraph">
                  <wp:posOffset>-182841</wp:posOffset>
                </wp:positionV>
                <wp:extent cx="162560" cy="69786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62560" cy="697865"/>
                        </a:xfrm>
                        <a:prstGeom prst="rect">
                          <a:avLst/>
                        </a:prstGeom>
                      </wps:spPr>
                      <wps:txbx>
                        <w:txbxContent>
                          <w:p>
                            <w:pPr>
                              <w:spacing w:before="16"/>
                              <w:ind w:left="20" w:right="0" w:firstLine="0"/>
                              <w:jc w:val="left"/>
                              <w:rPr>
                                <w:rFonts w:ascii="Arial MT"/>
                                <w:sz w:val="19"/>
                              </w:rPr>
                            </w:pPr>
                            <w:r>
                              <w:rPr>
                                <w:rFonts w:ascii="Arial MT"/>
                                <w:spacing w:val="-10"/>
                                <w:sz w:val="19"/>
                              </w:rPr>
                              <w:t>Intensity,</w:t>
                            </w:r>
                            <w:r>
                              <w:rPr>
                                <w:rFonts w:ascii="Arial MT"/>
                                <w:spacing w:val="-1"/>
                                <w:sz w:val="19"/>
                              </w:rPr>
                              <w:t> </w:t>
                            </w:r>
                            <w:r>
                              <w:rPr>
                                <w:rFonts w:ascii="Arial MT"/>
                                <w:spacing w:val="-5"/>
                                <w:sz w:val="19"/>
                              </w:rPr>
                              <w:t>A.U.</w:t>
                            </w:r>
                          </w:p>
                        </w:txbxContent>
                      </wps:txbx>
                      <wps:bodyPr wrap="square" lIns="0" tIns="0" rIns="0" bIns="0" rtlCol="0" vert="vert270">
                        <a:noAutofit/>
                      </wps:bodyPr>
                    </wps:wsp>
                  </a:graphicData>
                </a:graphic>
              </wp:anchor>
            </w:drawing>
          </mc:Choice>
          <mc:Fallback>
            <w:pict>
              <v:shape style="position:absolute;margin-left:102.625595pt;margin-top:-14.396962pt;width:12.8pt;height:54.95pt;mso-position-horizontal-relative:page;mso-position-vertical-relative:paragraph;z-index:15745536" type="#_x0000_t202" id="docshape32" filled="false" stroked="false">
                <v:textbox inset="0,0,0,0" style="layout-flow:vertical;mso-layout-flow-alt:bottom-to-top">
                  <w:txbxContent>
                    <w:p>
                      <w:pPr>
                        <w:spacing w:before="16"/>
                        <w:ind w:left="20" w:right="0" w:firstLine="0"/>
                        <w:jc w:val="left"/>
                        <w:rPr>
                          <w:rFonts w:ascii="Arial MT"/>
                          <w:sz w:val="19"/>
                        </w:rPr>
                      </w:pPr>
                      <w:r>
                        <w:rPr>
                          <w:rFonts w:ascii="Arial MT"/>
                          <w:spacing w:val="-10"/>
                          <w:sz w:val="19"/>
                        </w:rPr>
                        <w:t>Intensity,</w:t>
                      </w:r>
                      <w:r>
                        <w:rPr>
                          <w:rFonts w:ascii="Arial MT"/>
                          <w:spacing w:val="-1"/>
                          <w:sz w:val="19"/>
                        </w:rPr>
                        <w:t> </w:t>
                      </w:r>
                      <w:r>
                        <w:rPr>
                          <w:rFonts w:ascii="Arial MT"/>
                          <w:spacing w:val="-5"/>
                          <w:sz w:val="19"/>
                        </w:rPr>
                        <w:t>A.U.</w:t>
                      </w:r>
                    </w:p>
                  </w:txbxContent>
                </v:textbox>
                <w10:wrap type="none"/>
              </v:shape>
            </w:pict>
          </mc:Fallback>
        </mc:AlternateContent>
      </w:r>
      <w:r>
        <w:rPr>
          <w:rFonts w:ascii="Arial MT"/>
          <w:sz w:val="15"/>
        </w:rPr>
        <mc:AlternateContent>
          <mc:Choice Requires="wps">
            <w:drawing>
              <wp:anchor distT="0" distB="0" distL="0" distR="0" allowOverlap="1" layoutInCell="1" locked="0" behindDoc="0" simplePos="0" relativeHeight="15746048">
                <wp:simplePos x="0" y="0"/>
                <wp:positionH relativeFrom="page">
                  <wp:posOffset>5311807</wp:posOffset>
                </wp:positionH>
                <wp:positionV relativeFrom="paragraph">
                  <wp:posOffset>-95308</wp:posOffset>
                </wp:positionV>
                <wp:extent cx="158750" cy="69024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58750" cy="690245"/>
                        </a:xfrm>
                        <a:prstGeom prst="rect">
                          <a:avLst/>
                        </a:prstGeom>
                      </wps:spPr>
                      <wps:txbx>
                        <w:txbxContent>
                          <w:p>
                            <w:pPr>
                              <w:spacing w:before="21"/>
                              <w:ind w:left="20" w:right="0" w:firstLine="0"/>
                              <w:jc w:val="left"/>
                              <w:rPr>
                                <w:rFonts w:ascii="Arial MT"/>
                                <w:sz w:val="18"/>
                              </w:rPr>
                            </w:pPr>
                            <w:r>
                              <w:rPr>
                                <w:rFonts w:ascii="Arial MT"/>
                                <w:spacing w:val="-6"/>
                                <w:sz w:val="18"/>
                              </w:rPr>
                              <w:t>Intensity,</w:t>
                            </w:r>
                            <w:r>
                              <w:rPr>
                                <w:rFonts w:ascii="Arial MT"/>
                                <w:spacing w:val="-1"/>
                                <w:sz w:val="18"/>
                              </w:rPr>
                              <w:t> </w:t>
                            </w:r>
                            <w:r>
                              <w:rPr>
                                <w:rFonts w:ascii="Arial MT"/>
                                <w:spacing w:val="-4"/>
                                <w:sz w:val="18"/>
                              </w:rPr>
                              <w:t>A.U.</w:t>
                            </w:r>
                          </w:p>
                        </w:txbxContent>
                      </wps:txbx>
                      <wps:bodyPr wrap="square" lIns="0" tIns="0" rIns="0" bIns="0" rtlCol="0" vert="vert270">
                        <a:noAutofit/>
                      </wps:bodyPr>
                    </wps:wsp>
                  </a:graphicData>
                </a:graphic>
              </wp:anchor>
            </w:drawing>
          </mc:Choice>
          <mc:Fallback>
            <w:pict>
              <v:shape style="position:absolute;margin-left:418.252563pt;margin-top:-7.504601pt;width:12.5pt;height:54.35pt;mso-position-horizontal-relative:page;mso-position-vertical-relative:paragraph;z-index:15746048" type="#_x0000_t202" id="docshape33" filled="false" stroked="false">
                <v:textbox inset="0,0,0,0" style="layout-flow:vertical;mso-layout-flow-alt:bottom-to-top">
                  <w:txbxContent>
                    <w:p>
                      <w:pPr>
                        <w:spacing w:before="21"/>
                        <w:ind w:left="20" w:right="0" w:firstLine="0"/>
                        <w:jc w:val="left"/>
                        <w:rPr>
                          <w:rFonts w:ascii="Arial MT"/>
                          <w:sz w:val="18"/>
                        </w:rPr>
                      </w:pPr>
                      <w:r>
                        <w:rPr>
                          <w:rFonts w:ascii="Arial MT"/>
                          <w:spacing w:val="-6"/>
                          <w:sz w:val="18"/>
                        </w:rPr>
                        <w:t>Intensity,</w:t>
                      </w:r>
                      <w:r>
                        <w:rPr>
                          <w:rFonts w:ascii="Arial MT"/>
                          <w:spacing w:val="-1"/>
                          <w:sz w:val="18"/>
                        </w:rPr>
                        <w:t> </w:t>
                      </w:r>
                      <w:r>
                        <w:rPr>
                          <w:rFonts w:ascii="Arial MT"/>
                          <w:spacing w:val="-4"/>
                          <w:sz w:val="18"/>
                        </w:rPr>
                        <w:t>A.U.</w:t>
                      </w:r>
                    </w:p>
                  </w:txbxContent>
                </v:textbox>
                <w10:wrap type="none"/>
              </v:shape>
            </w:pict>
          </mc:Fallback>
        </mc:AlternateContent>
      </w:r>
      <w:r>
        <w:rPr>
          <w:rFonts w:ascii="Arial MT"/>
          <w:spacing w:val="-5"/>
          <w:w w:val="105"/>
          <w:sz w:val="15"/>
        </w:rPr>
        <w:t>60</w:t>
      </w:r>
    </w:p>
    <w:p>
      <w:pPr>
        <w:spacing w:line="153" w:lineRule="exact" w:before="0"/>
        <w:ind w:left="943" w:right="138" w:firstLine="0"/>
        <w:jc w:val="center"/>
        <w:rPr>
          <w:rFonts w:ascii="Arial MT"/>
          <w:sz w:val="15"/>
        </w:rPr>
      </w:pPr>
      <w:r>
        <w:rPr>
          <w:rFonts w:ascii="Arial MT"/>
          <w:spacing w:val="-5"/>
          <w:sz w:val="15"/>
        </w:rPr>
        <w:t>60</w:t>
      </w:r>
    </w:p>
    <w:p>
      <w:pPr>
        <w:pStyle w:val="BodyText"/>
        <w:spacing w:before="148"/>
        <w:jc w:val="left"/>
        <w:rPr>
          <w:rFonts w:ascii="Arial MT"/>
          <w:sz w:val="15"/>
        </w:rPr>
      </w:pPr>
    </w:p>
    <w:p>
      <w:pPr>
        <w:spacing w:line="149" w:lineRule="exact" w:before="0"/>
        <w:ind w:left="805" w:right="12589" w:firstLine="0"/>
        <w:jc w:val="center"/>
        <w:rPr>
          <w:rFonts w:ascii="Arial MT"/>
          <w:sz w:val="15"/>
        </w:rPr>
      </w:pPr>
      <w:r>
        <w:rPr>
          <w:rFonts w:ascii="Arial MT"/>
          <w:spacing w:val="-5"/>
          <w:w w:val="105"/>
          <w:sz w:val="15"/>
        </w:rPr>
        <w:t>40</w:t>
      </w:r>
    </w:p>
    <w:p>
      <w:pPr>
        <w:spacing w:line="149" w:lineRule="exact" w:before="0"/>
        <w:ind w:left="943" w:right="138" w:firstLine="0"/>
        <w:jc w:val="center"/>
        <w:rPr>
          <w:rFonts w:ascii="Arial MT"/>
          <w:sz w:val="15"/>
        </w:rPr>
      </w:pPr>
      <w:r>
        <w:rPr>
          <w:rFonts w:ascii="Arial MT"/>
          <w:spacing w:val="-5"/>
          <w:sz w:val="15"/>
        </w:rPr>
        <w:t>40</w:t>
      </w:r>
    </w:p>
    <w:p>
      <w:pPr>
        <w:pStyle w:val="BodyText"/>
        <w:spacing w:before="154"/>
        <w:jc w:val="left"/>
        <w:rPr>
          <w:rFonts w:ascii="Arial MT"/>
          <w:sz w:val="15"/>
        </w:rPr>
      </w:pPr>
    </w:p>
    <w:p>
      <w:pPr>
        <w:spacing w:line="146" w:lineRule="exact" w:before="0"/>
        <w:ind w:left="805" w:right="12589" w:firstLine="0"/>
        <w:jc w:val="center"/>
        <w:rPr>
          <w:rFonts w:ascii="Arial MT"/>
          <w:sz w:val="15"/>
        </w:rPr>
      </w:pPr>
      <w:r>
        <w:rPr>
          <w:rFonts w:ascii="Arial MT"/>
          <w:spacing w:val="-5"/>
          <w:w w:val="105"/>
          <w:sz w:val="15"/>
        </w:rPr>
        <w:t>20</w:t>
      </w:r>
    </w:p>
    <w:p>
      <w:pPr>
        <w:spacing w:line="146" w:lineRule="exact" w:before="0"/>
        <w:ind w:left="943" w:right="138" w:firstLine="0"/>
        <w:jc w:val="center"/>
        <w:rPr>
          <w:rFonts w:ascii="Arial MT"/>
          <w:sz w:val="15"/>
        </w:rPr>
      </w:pPr>
      <w:r>
        <w:rPr>
          <w:rFonts w:ascii="Arial MT"/>
          <w:spacing w:val="-5"/>
          <w:sz w:val="15"/>
        </w:rPr>
        <w:t>20</w:t>
      </w:r>
    </w:p>
    <w:p>
      <w:pPr>
        <w:pStyle w:val="BodyText"/>
        <w:spacing w:before="5"/>
        <w:jc w:val="left"/>
        <w:rPr>
          <w:rFonts w:ascii="Arial MT"/>
          <w:sz w:val="20"/>
        </w:rPr>
      </w:pPr>
    </w:p>
    <w:p>
      <w:pPr>
        <w:pStyle w:val="BodyText"/>
        <w:spacing w:after="0"/>
        <w:jc w:val="left"/>
        <w:rPr>
          <w:rFonts w:ascii="Arial MT"/>
          <w:sz w:val="20"/>
        </w:rPr>
        <w:sectPr>
          <w:type w:val="continuous"/>
          <w:pgSz w:w="16840" w:h="11910" w:orient="landscape"/>
          <w:pgMar w:header="0" w:footer="1002" w:top="1040" w:bottom="280" w:left="566" w:right="283"/>
        </w:sectPr>
      </w:pPr>
    </w:p>
    <w:p>
      <w:pPr>
        <w:spacing w:before="100"/>
        <w:ind w:left="2102" w:right="0" w:firstLine="0"/>
        <w:jc w:val="left"/>
        <w:rPr>
          <w:rFonts w:ascii="Arial MT"/>
          <w:sz w:val="15"/>
        </w:rPr>
      </w:pPr>
      <w:r>
        <w:rPr>
          <w:rFonts w:ascii="Arial MT"/>
          <w:spacing w:val="-10"/>
          <w:w w:val="105"/>
          <w:sz w:val="15"/>
        </w:rPr>
        <w:t>0</w:t>
      </w:r>
    </w:p>
    <w:p>
      <w:pPr>
        <w:tabs>
          <w:tab w:pos="2654" w:val="left" w:leader="none"/>
          <w:tab w:pos="3128" w:val="left" w:leader="none"/>
          <w:tab w:pos="3602" w:val="left" w:leader="none"/>
          <w:tab w:pos="4076" w:val="left" w:leader="none"/>
          <w:tab w:pos="4553" w:val="left" w:leader="none"/>
          <w:tab w:pos="5027" w:val="left" w:leader="none"/>
          <w:tab w:pos="5501" w:val="left" w:leader="none"/>
          <w:tab w:pos="5975" w:val="left" w:leader="none"/>
          <w:tab w:pos="6450" w:val="left" w:leader="none"/>
          <w:tab w:pos="6924" w:val="left" w:leader="none"/>
        </w:tabs>
        <w:spacing w:before="13"/>
        <w:ind w:left="2180" w:right="0" w:firstLine="0"/>
        <w:jc w:val="left"/>
        <w:rPr>
          <w:rFonts w:ascii="Arial MT"/>
          <w:sz w:val="15"/>
        </w:rPr>
      </w:pPr>
      <w:r>
        <w:rPr>
          <w:rFonts w:ascii="Arial MT"/>
          <w:spacing w:val="-5"/>
          <w:w w:val="105"/>
          <w:sz w:val="15"/>
        </w:rPr>
        <w:t>580</w:t>
      </w:r>
      <w:r>
        <w:rPr>
          <w:rFonts w:ascii="Arial MT"/>
          <w:sz w:val="15"/>
        </w:rPr>
        <w:tab/>
      </w:r>
      <w:r>
        <w:rPr>
          <w:rFonts w:ascii="Arial MT"/>
          <w:spacing w:val="-5"/>
          <w:w w:val="105"/>
          <w:sz w:val="15"/>
        </w:rPr>
        <w:t>590</w:t>
      </w:r>
      <w:r>
        <w:rPr>
          <w:rFonts w:ascii="Arial MT"/>
          <w:sz w:val="15"/>
        </w:rPr>
        <w:tab/>
      </w:r>
      <w:r>
        <w:rPr>
          <w:rFonts w:ascii="Arial MT"/>
          <w:spacing w:val="-5"/>
          <w:w w:val="105"/>
          <w:sz w:val="15"/>
        </w:rPr>
        <w:t>600</w:t>
      </w:r>
      <w:r>
        <w:rPr>
          <w:rFonts w:ascii="Arial MT"/>
          <w:sz w:val="15"/>
        </w:rPr>
        <w:tab/>
      </w:r>
      <w:r>
        <w:rPr>
          <w:rFonts w:ascii="Arial MT"/>
          <w:spacing w:val="-5"/>
          <w:w w:val="105"/>
          <w:sz w:val="15"/>
        </w:rPr>
        <w:t>610</w:t>
      </w:r>
      <w:r>
        <w:rPr>
          <w:rFonts w:ascii="Arial MT"/>
          <w:sz w:val="15"/>
        </w:rPr>
        <w:tab/>
      </w:r>
      <w:r>
        <w:rPr>
          <w:rFonts w:ascii="Arial MT"/>
          <w:spacing w:val="-5"/>
          <w:w w:val="105"/>
          <w:sz w:val="15"/>
        </w:rPr>
        <w:t>620</w:t>
      </w:r>
      <w:r>
        <w:rPr>
          <w:rFonts w:ascii="Arial MT"/>
          <w:sz w:val="15"/>
        </w:rPr>
        <w:tab/>
      </w:r>
      <w:r>
        <w:rPr>
          <w:rFonts w:ascii="Arial MT"/>
          <w:spacing w:val="-5"/>
          <w:w w:val="105"/>
          <w:sz w:val="15"/>
        </w:rPr>
        <w:t>630</w:t>
      </w:r>
      <w:r>
        <w:rPr>
          <w:rFonts w:ascii="Arial MT"/>
          <w:sz w:val="15"/>
        </w:rPr>
        <w:tab/>
      </w:r>
      <w:r>
        <w:rPr>
          <w:rFonts w:ascii="Arial MT"/>
          <w:spacing w:val="-5"/>
          <w:w w:val="105"/>
          <w:sz w:val="15"/>
        </w:rPr>
        <w:t>640</w:t>
      </w:r>
      <w:r>
        <w:rPr>
          <w:rFonts w:ascii="Arial MT"/>
          <w:sz w:val="15"/>
        </w:rPr>
        <w:tab/>
      </w:r>
      <w:r>
        <w:rPr>
          <w:rFonts w:ascii="Arial MT"/>
          <w:spacing w:val="-5"/>
          <w:w w:val="105"/>
          <w:sz w:val="15"/>
        </w:rPr>
        <w:t>650</w:t>
      </w:r>
      <w:r>
        <w:rPr>
          <w:rFonts w:ascii="Arial MT"/>
          <w:sz w:val="15"/>
        </w:rPr>
        <w:tab/>
      </w:r>
      <w:r>
        <w:rPr>
          <w:rFonts w:ascii="Arial MT"/>
          <w:spacing w:val="-5"/>
          <w:w w:val="105"/>
          <w:sz w:val="15"/>
        </w:rPr>
        <w:t>660</w:t>
      </w:r>
      <w:r>
        <w:rPr>
          <w:rFonts w:ascii="Arial MT"/>
          <w:sz w:val="15"/>
        </w:rPr>
        <w:tab/>
      </w:r>
      <w:r>
        <w:rPr>
          <w:rFonts w:ascii="Arial MT"/>
          <w:spacing w:val="-5"/>
          <w:w w:val="105"/>
          <w:sz w:val="15"/>
        </w:rPr>
        <w:t>670</w:t>
      </w:r>
      <w:r>
        <w:rPr>
          <w:rFonts w:ascii="Arial MT"/>
          <w:sz w:val="15"/>
        </w:rPr>
        <w:tab/>
      </w:r>
      <w:r>
        <w:rPr>
          <w:rFonts w:ascii="Arial MT"/>
          <w:spacing w:val="-14"/>
          <w:w w:val="105"/>
          <w:sz w:val="15"/>
        </w:rPr>
        <w:t>680</w:t>
      </w:r>
    </w:p>
    <w:p>
      <w:pPr>
        <w:spacing w:before="58"/>
        <w:ind w:left="4251" w:right="0" w:firstLine="0"/>
        <w:jc w:val="left"/>
        <w:rPr>
          <w:rFonts w:ascii="Arial MT"/>
          <w:sz w:val="19"/>
        </w:rPr>
      </w:pPr>
      <w:r>
        <w:rPr>
          <w:rFonts w:ascii="Arial MT"/>
          <w:spacing w:val="-8"/>
          <w:sz w:val="19"/>
        </w:rPr>
        <w:t>Wave</w:t>
      </w:r>
      <w:r>
        <w:rPr>
          <w:rFonts w:ascii="Arial MT"/>
          <w:spacing w:val="-13"/>
          <w:sz w:val="19"/>
        </w:rPr>
        <w:t> </w:t>
      </w:r>
      <w:r>
        <w:rPr>
          <w:rFonts w:ascii="Arial MT"/>
          <w:spacing w:val="-4"/>
          <w:sz w:val="19"/>
        </w:rPr>
        <w:t>[nm]</w:t>
      </w:r>
    </w:p>
    <w:p>
      <w:pPr>
        <w:pStyle w:val="BodyText"/>
        <w:spacing w:before="40"/>
        <w:jc w:val="left"/>
        <w:rPr>
          <w:rFonts w:ascii="Arial MT"/>
          <w:sz w:val="15"/>
        </w:rPr>
      </w:pPr>
      <w:r>
        <w:rPr/>
        <w:br w:type="column"/>
      </w:r>
      <w:r>
        <w:rPr>
          <w:rFonts w:ascii="Arial MT"/>
          <w:sz w:val="15"/>
        </w:rPr>
      </w:r>
    </w:p>
    <w:p>
      <w:pPr>
        <w:spacing w:before="0"/>
        <w:ind w:left="1199" w:right="0" w:firstLine="0"/>
        <w:jc w:val="left"/>
        <w:rPr>
          <w:rFonts w:ascii="Arial MT"/>
          <w:sz w:val="15"/>
        </w:rPr>
      </w:pPr>
      <w:r>
        <w:rPr>
          <w:rFonts w:ascii="Arial MT"/>
          <w:spacing w:val="-10"/>
          <w:sz w:val="15"/>
        </w:rPr>
        <w:t>0</w:t>
      </w:r>
    </w:p>
    <w:p>
      <w:pPr>
        <w:tabs>
          <w:tab w:pos="2042" w:val="left" w:leader="none"/>
          <w:tab w:pos="2809" w:val="left" w:leader="none"/>
          <w:tab w:pos="3579" w:val="left" w:leader="none"/>
          <w:tab w:pos="4346" w:val="left" w:leader="none"/>
          <w:tab w:pos="5114" w:val="left" w:leader="none"/>
          <w:tab w:pos="5881" w:val="left" w:leader="none"/>
        </w:tabs>
        <w:spacing w:before="11"/>
        <w:ind w:left="1274" w:right="0" w:firstLine="0"/>
        <w:jc w:val="left"/>
        <w:rPr>
          <w:rFonts w:ascii="Arial MT"/>
          <w:sz w:val="15"/>
        </w:rPr>
      </w:pPr>
      <w:r>
        <w:rPr>
          <w:rFonts w:ascii="Arial MT"/>
          <w:spacing w:val="-5"/>
          <w:sz w:val="15"/>
        </w:rPr>
        <w:t>620</w:t>
      </w:r>
      <w:r>
        <w:rPr>
          <w:rFonts w:ascii="Arial MT"/>
          <w:sz w:val="15"/>
        </w:rPr>
        <w:tab/>
      </w:r>
      <w:r>
        <w:rPr>
          <w:rFonts w:ascii="Arial MT"/>
          <w:spacing w:val="-5"/>
          <w:sz w:val="15"/>
        </w:rPr>
        <w:t>630</w:t>
      </w:r>
      <w:r>
        <w:rPr>
          <w:rFonts w:ascii="Arial MT"/>
          <w:sz w:val="15"/>
        </w:rPr>
        <w:tab/>
      </w:r>
      <w:r>
        <w:rPr>
          <w:rFonts w:ascii="Arial MT"/>
          <w:spacing w:val="-5"/>
          <w:sz w:val="15"/>
        </w:rPr>
        <w:t>640</w:t>
      </w:r>
      <w:r>
        <w:rPr>
          <w:rFonts w:ascii="Arial MT"/>
          <w:sz w:val="15"/>
        </w:rPr>
        <w:tab/>
      </w:r>
      <w:r>
        <w:rPr>
          <w:rFonts w:ascii="Arial MT"/>
          <w:spacing w:val="-5"/>
          <w:sz w:val="15"/>
        </w:rPr>
        <w:t>650</w:t>
      </w:r>
      <w:r>
        <w:rPr>
          <w:rFonts w:ascii="Arial MT"/>
          <w:sz w:val="15"/>
        </w:rPr>
        <w:tab/>
      </w:r>
      <w:r>
        <w:rPr>
          <w:rFonts w:ascii="Arial MT"/>
          <w:spacing w:val="-5"/>
          <w:sz w:val="15"/>
        </w:rPr>
        <w:t>660</w:t>
      </w:r>
      <w:r>
        <w:rPr>
          <w:rFonts w:ascii="Arial MT"/>
          <w:sz w:val="15"/>
        </w:rPr>
        <w:tab/>
      </w:r>
      <w:r>
        <w:rPr>
          <w:rFonts w:ascii="Arial MT"/>
          <w:spacing w:val="-5"/>
          <w:sz w:val="15"/>
        </w:rPr>
        <w:t>670</w:t>
      </w:r>
      <w:r>
        <w:rPr>
          <w:rFonts w:ascii="Arial MT"/>
          <w:sz w:val="15"/>
        </w:rPr>
        <w:tab/>
      </w:r>
      <w:r>
        <w:rPr>
          <w:rFonts w:ascii="Arial MT"/>
          <w:spacing w:val="-5"/>
          <w:sz w:val="15"/>
        </w:rPr>
        <w:t>680</w:t>
      </w:r>
    </w:p>
    <w:p>
      <w:pPr>
        <w:spacing w:before="64"/>
        <w:ind w:left="0" w:right="1398" w:firstLine="0"/>
        <w:jc w:val="center"/>
        <w:rPr>
          <w:rFonts w:ascii="Arial MT"/>
          <w:sz w:val="18"/>
        </w:rPr>
      </w:pPr>
      <w:r>
        <w:rPr>
          <w:rFonts w:ascii="Arial MT"/>
          <w:spacing w:val="-5"/>
          <w:sz w:val="18"/>
        </w:rPr>
        <w:t>Wave</w:t>
      </w:r>
      <w:r>
        <w:rPr>
          <w:rFonts w:ascii="Arial MT"/>
          <w:spacing w:val="-8"/>
          <w:sz w:val="18"/>
        </w:rPr>
        <w:t> </w:t>
      </w:r>
      <w:r>
        <w:rPr>
          <w:rFonts w:ascii="Arial MT"/>
          <w:spacing w:val="-4"/>
          <w:sz w:val="18"/>
        </w:rPr>
        <w:t>[nm]</w:t>
      </w:r>
    </w:p>
    <w:p>
      <w:pPr>
        <w:spacing w:after="0"/>
        <w:jc w:val="center"/>
        <w:rPr>
          <w:rFonts w:ascii="Arial MT"/>
          <w:sz w:val="18"/>
        </w:rPr>
        <w:sectPr>
          <w:type w:val="continuous"/>
          <w:pgSz w:w="16840" w:h="11910" w:orient="landscape"/>
          <w:pgMar w:header="0" w:footer="1002" w:top="1040" w:bottom="280" w:left="566" w:right="283"/>
          <w:cols w:num="2" w:equalWidth="0">
            <w:col w:w="7159" w:space="40"/>
            <w:col w:w="8792"/>
          </w:cols>
        </w:sectPr>
      </w:pPr>
    </w:p>
    <w:p>
      <w:pPr>
        <w:pStyle w:val="Heading2"/>
        <w:tabs>
          <w:tab w:pos="6984" w:val="left" w:leader="none"/>
        </w:tabs>
        <w:spacing w:before="98"/>
        <w:ind w:left="0" w:right="138" w:firstLine="0"/>
        <w:jc w:val="center"/>
      </w:pPr>
      <w:r>
        <w:rPr>
          <w:spacing w:val="-10"/>
        </w:rPr>
        <w:t>c</w:t>
      </w:r>
      <w:r>
        <w:rPr/>
        <w:tab/>
      </w:r>
      <w:r>
        <w:rPr>
          <w:spacing w:val="-10"/>
        </w:rPr>
        <w:t>d</w:t>
      </w:r>
    </w:p>
    <w:p>
      <w:pPr>
        <w:pStyle w:val="BodyText"/>
        <w:spacing w:before="21"/>
        <w:ind w:left="805" w:right="948"/>
        <w:jc w:val="center"/>
      </w:pPr>
      <w:r>
        <w:rPr/>
        <w:t>Рисунок</w:t>
      </w:r>
      <w:r>
        <w:rPr>
          <w:spacing w:val="-9"/>
        </w:rPr>
        <w:t> </w:t>
      </w:r>
      <w:r>
        <w:rPr/>
        <w:t>27</w:t>
      </w:r>
      <w:r>
        <w:rPr>
          <w:spacing w:val="-5"/>
        </w:rPr>
        <w:t> </w:t>
      </w:r>
      <w:r>
        <w:rPr>
          <w:rFonts w:ascii="Arial MT" w:hAnsi="Arial MT"/>
          <w:sz w:val="21"/>
        </w:rPr>
        <w:t>—</w:t>
      </w:r>
      <w:r>
        <w:rPr>
          <w:rFonts w:ascii="Arial MT" w:hAnsi="Arial MT"/>
          <w:spacing w:val="-3"/>
          <w:sz w:val="21"/>
        </w:rPr>
        <w:t> </w:t>
      </w:r>
      <w:r>
        <w:rPr/>
        <w:t>Длина</w:t>
      </w:r>
      <w:r>
        <w:rPr>
          <w:spacing w:val="-7"/>
        </w:rPr>
        <w:t> </w:t>
      </w:r>
      <w:r>
        <w:rPr/>
        <w:t>волны</w:t>
      </w:r>
      <w:r>
        <w:rPr>
          <w:spacing w:val="-5"/>
        </w:rPr>
        <w:t> </w:t>
      </w:r>
      <w:r>
        <w:rPr/>
        <w:t>и</w:t>
      </w:r>
      <w:r>
        <w:rPr>
          <w:spacing w:val="-3"/>
        </w:rPr>
        <w:t> </w:t>
      </w:r>
      <w:r>
        <w:rPr/>
        <w:t>интенсивность</w:t>
      </w:r>
      <w:r>
        <w:rPr>
          <w:spacing w:val="-5"/>
        </w:rPr>
        <w:t> </w:t>
      </w:r>
      <w:r>
        <w:rPr/>
        <w:t>применяемых</w:t>
      </w:r>
      <w:r>
        <w:rPr>
          <w:spacing w:val="-5"/>
        </w:rPr>
        <w:t> </w:t>
      </w:r>
      <w:r>
        <w:rPr/>
        <w:t>ЭМИ</w:t>
      </w:r>
      <w:r>
        <w:rPr>
          <w:spacing w:val="-3"/>
        </w:rPr>
        <w:t> </w:t>
      </w:r>
      <w:r>
        <w:rPr>
          <w:spacing w:val="-10"/>
        </w:rPr>
        <w:t>:</w:t>
      </w:r>
    </w:p>
    <w:p>
      <w:pPr>
        <w:pStyle w:val="BodyText"/>
        <w:spacing w:before="21"/>
        <w:ind w:left="805" w:right="943"/>
        <w:jc w:val="center"/>
      </w:pPr>
      <w:r>
        <w:rPr/>
        <w:t>а</w:t>
      </w:r>
      <w:r>
        <w:rPr>
          <w:spacing w:val="-7"/>
        </w:rPr>
        <w:t> </w:t>
      </w:r>
      <w:r>
        <w:rPr/>
        <w:t>-</w:t>
      </w:r>
      <w:r>
        <w:rPr>
          <w:spacing w:val="-4"/>
        </w:rPr>
        <w:t> </w:t>
      </w:r>
      <w:r>
        <w:rPr/>
        <w:t>белый</w:t>
      </w:r>
      <w:r>
        <w:rPr>
          <w:spacing w:val="-3"/>
        </w:rPr>
        <w:t> </w:t>
      </w:r>
      <w:r>
        <w:rPr/>
        <w:t>светодиод;</w:t>
      </w:r>
      <w:r>
        <w:rPr>
          <w:spacing w:val="-3"/>
        </w:rPr>
        <w:t> </w:t>
      </w:r>
      <w:r>
        <w:rPr/>
        <w:t>b</w:t>
      </w:r>
      <w:r>
        <w:rPr>
          <w:spacing w:val="-3"/>
        </w:rPr>
        <w:t> </w:t>
      </w:r>
      <w:r>
        <w:rPr/>
        <w:t>-</w:t>
      </w:r>
      <w:r>
        <w:rPr>
          <w:spacing w:val="-4"/>
        </w:rPr>
        <w:t> </w:t>
      </w:r>
      <w:r>
        <w:rPr/>
        <w:t>зелёный</w:t>
      </w:r>
      <w:r>
        <w:rPr>
          <w:spacing w:val="-3"/>
        </w:rPr>
        <w:t> </w:t>
      </w:r>
      <w:r>
        <w:rPr/>
        <w:t>светодиод;</w:t>
      </w:r>
      <w:r>
        <w:rPr>
          <w:spacing w:val="-3"/>
        </w:rPr>
        <w:t> </w:t>
      </w:r>
      <w:r>
        <w:rPr/>
        <w:t>c</w:t>
      </w:r>
      <w:r>
        <w:rPr>
          <w:spacing w:val="-6"/>
        </w:rPr>
        <w:t> </w:t>
      </w:r>
      <w:r>
        <w:rPr/>
        <w:t>–</w:t>
      </w:r>
      <w:r>
        <w:rPr>
          <w:spacing w:val="-3"/>
        </w:rPr>
        <w:t> </w:t>
      </w:r>
      <w:r>
        <w:rPr/>
        <w:t>красный</w:t>
      </w:r>
      <w:r>
        <w:rPr>
          <w:spacing w:val="-3"/>
        </w:rPr>
        <w:t> </w:t>
      </w:r>
      <w:r>
        <w:rPr/>
        <w:t>светодиод;</w:t>
      </w:r>
      <w:r>
        <w:rPr>
          <w:spacing w:val="-3"/>
        </w:rPr>
        <w:t> </w:t>
      </w:r>
      <w:r>
        <w:rPr/>
        <w:t>d</w:t>
      </w:r>
      <w:r>
        <w:rPr>
          <w:spacing w:val="-5"/>
        </w:rPr>
        <w:t> </w:t>
      </w:r>
      <w:r>
        <w:rPr/>
        <w:t>–</w:t>
      </w:r>
      <w:r>
        <w:rPr>
          <w:spacing w:val="-3"/>
        </w:rPr>
        <w:t> </w:t>
      </w:r>
      <w:r>
        <w:rPr/>
        <w:t>красный</w:t>
      </w:r>
      <w:r>
        <w:rPr>
          <w:spacing w:val="-5"/>
        </w:rPr>
        <w:t> </w:t>
      </w:r>
      <w:r>
        <w:rPr>
          <w:spacing w:val="-2"/>
        </w:rPr>
        <w:t>лазер</w:t>
      </w:r>
    </w:p>
    <w:p>
      <w:pPr>
        <w:pStyle w:val="BodyText"/>
        <w:spacing w:after="0"/>
        <w:jc w:val="center"/>
        <w:sectPr>
          <w:type w:val="continuous"/>
          <w:pgSz w:w="16840" w:h="11910" w:orient="landscape"/>
          <w:pgMar w:header="0" w:footer="1002" w:top="1040" w:bottom="280" w:left="566" w:right="283"/>
        </w:sectPr>
      </w:pPr>
    </w:p>
    <w:p>
      <w:pPr>
        <w:pStyle w:val="BodyText"/>
        <w:spacing w:before="3"/>
        <w:jc w:val="left"/>
        <w:rPr>
          <w:sz w:val="3"/>
        </w:rPr>
      </w:pPr>
      <w:r>
        <w:rPr>
          <w:sz w:val="3"/>
        </w:rPr>
        <mc:AlternateContent>
          <mc:Choice Requires="wps">
            <w:drawing>
              <wp:anchor distT="0" distB="0" distL="0" distR="0" allowOverlap="1" layoutInCell="1" locked="0" behindDoc="1" simplePos="0" relativeHeight="481468928">
                <wp:simplePos x="0" y="0"/>
                <wp:positionH relativeFrom="page">
                  <wp:posOffset>384399</wp:posOffset>
                </wp:positionH>
                <wp:positionV relativeFrom="page">
                  <wp:posOffset>1336992</wp:posOffset>
                </wp:positionV>
                <wp:extent cx="143510" cy="61976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43510" cy="619760"/>
                        </a:xfrm>
                        <a:prstGeom prst="rect">
                          <a:avLst/>
                        </a:prstGeom>
                      </wps:spPr>
                      <wps:txbx>
                        <w:txbxContent>
                          <w:p>
                            <w:pPr>
                              <w:spacing w:before="20"/>
                              <w:ind w:left="20" w:right="0" w:firstLine="0"/>
                              <w:jc w:val="left"/>
                              <w:rPr>
                                <w:rFonts w:ascii="Arial MT"/>
                                <w:sz w:val="16"/>
                              </w:rPr>
                            </w:pPr>
                            <w:r>
                              <w:rPr>
                                <w:rFonts w:ascii="Arial MT"/>
                                <w:spacing w:val="-6"/>
                                <w:sz w:val="16"/>
                              </w:rPr>
                              <w:t>Intensity,</w:t>
                            </w:r>
                            <w:r>
                              <w:rPr>
                                <w:rFonts w:ascii="Arial MT"/>
                                <w:spacing w:val="6"/>
                                <w:sz w:val="16"/>
                              </w:rPr>
                              <w:t> </w:t>
                            </w:r>
                            <w:r>
                              <w:rPr>
                                <w:rFonts w:ascii="Arial MT"/>
                                <w:spacing w:val="-4"/>
                                <w:sz w:val="16"/>
                              </w:rPr>
                              <w:t>A.U.</w:t>
                            </w:r>
                          </w:p>
                        </w:txbxContent>
                      </wps:txbx>
                      <wps:bodyPr wrap="square" lIns="0" tIns="0" rIns="0" bIns="0" rtlCol="0" vert="vert270">
                        <a:noAutofit/>
                      </wps:bodyPr>
                    </wps:wsp>
                  </a:graphicData>
                </a:graphic>
              </wp:anchor>
            </w:drawing>
          </mc:Choice>
          <mc:Fallback>
            <w:pict>
              <v:shape style="position:absolute;margin-left:30.267689pt;margin-top:105.274979pt;width:11.3pt;height:48.8pt;mso-position-horizontal-relative:page;mso-position-vertical-relative:page;z-index:-21847552" type="#_x0000_t202" id="docshape34" filled="false" stroked="false">
                <v:textbox inset="0,0,0,0" style="layout-flow:vertical;mso-layout-flow-alt:bottom-to-top">
                  <w:txbxContent>
                    <w:p>
                      <w:pPr>
                        <w:spacing w:before="20"/>
                        <w:ind w:left="20" w:right="0" w:firstLine="0"/>
                        <w:jc w:val="left"/>
                        <w:rPr>
                          <w:rFonts w:ascii="Arial MT"/>
                          <w:sz w:val="16"/>
                        </w:rPr>
                      </w:pPr>
                      <w:r>
                        <w:rPr>
                          <w:rFonts w:ascii="Arial MT"/>
                          <w:spacing w:val="-6"/>
                          <w:sz w:val="16"/>
                        </w:rPr>
                        <w:t>Intensity,</w:t>
                      </w:r>
                      <w:r>
                        <w:rPr>
                          <w:rFonts w:ascii="Arial MT"/>
                          <w:spacing w:val="6"/>
                          <w:sz w:val="16"/>
                        </w:rPr>
                        <w:t> </w:t>
                      </w:r>
                      <w:r>
                        <w:rPr>
                          <w:rFonts w:ascii="Arial MT"/>
                          <w:spacing w:val="-4"/>
                          <w:sz w:val="16"/>
                        </w:rPr>
                        <w:t>A.U.</w:t>
                      </w:r>
                    </w:p>
                  </w:txbxContent>
                </v:textbox>
                <w10:wrap type="none"/>
              </v:shape>
            </w:pict>
          </mc:Fallback>
        </mc:AlternateContent>
      </w:r>
      <w:r>
        <w:rPr>
          <w:sz w:val="3"/>
        </w:rPr>
        <mc:AlternateContent>
          <mc:Choice Requires="wps">
            <w:drawing>
              <wp:anchor distT="0" distB="0" distL="0" distR="0" allowOverlap="1" layoutInCell="1" locked="0" behindDoc="1" simplePos="0" relativeHeight="481469440">
                <wp:simplePos x="0" y="0"/>
                <wp:positionH relativeFrom="page">
                  <wp:posOffset>3399201</wp:posOffset>
                </wp:positionH>
                <wp:positionV relativeFrom="page">
                  <wp:posOffset>4207234</wp:posOffset>
                </wp:positionV>
                <wp:extent cx="173355" cy="77216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73355" cy="772160"/>
                        </a:xfrm>
                        <a:prstGeom prst="rect">
                          <a:avLst/>
                        </a:prstGeom>
                      </wps:spPr>
                      <wps:txbx>
                        <w:txbxContent>
                          <w:p>
                            <w:pPr>
                              <w:spacing w:before="12"/>
                              <w:ind w:left="20" w:right="0" w:firstLine="0"/>
                              <w:jc w:val="left"/>
                              <w:rPr>
                                <w:rFonts w:ascii="Arial MT"/>
                                <w:sz w:val="21"/>
                              </w:rPr>
                            </w:pPr>
                            <w:r>
                              <w:rPr>
                                <w:rFonts w:ascii="Arial MT"/>
                                <w:spacing w:val="-10"/>
                                <w:sz w:val="21"/>
                              </w:rPr>
                              <w:t>Intensity,</w:t>
                            </w:r>
                            <w:r>
                              <w:rPr>
                                <w:rFonts w:ascii="Arial MT"/>
                                <w:spacing w:val="-2"/>
                                <w:sz w:val="21"/>
                              </w:rPr>
                              <w:t> </w:t>
                            </w:r>
                            <w:r>
                              <w:rPr>
                                <w:rFonts w:ascii="Arial MT"/>
                                <w:spacing w:val="-7"/>
                                <w:sz w:val="21"/>
                              </w:rPr>
                              <w:t>A.U.</w:t>
                            </w:r>
                          </w:p>
                        </w:txbxContent>
                      </wps:txbx>
                      <wps:bodyPr wrap="square" lIns="0" tIns="0" rIns="0" bIns="0" rtlCol="0" vert="vert270">
                        <a:noAutofit/>
                      </wps:bodyPr>
                    </wps:wsp>
                  </a:graphicData>
                </a:graphic>
              </wp:anchor>
            </w:drawing>
          </mc:Choice>
          <mc:Fallback>
            <w:pict>
              <v:shape style="position:absolute;margin-left:267.653625pt;margin-top:331.278290pt;width:13.65pt;height:60.8pt;mso-position-horizontal-relative:page;mso-position-vertical-relative:page;z-index:-21847040" type="#_x0000_t202" id="docshape35" filled="false" stroked="false">
                <v:textbox inset="0,0,0,0" style="layout-flow:vertical;mso-layout-flow-alt:bottom-to-top">
                  <w:txbxContent>
                    <w:p>
                      <w:pPr>
                        <w:spacing w:before="12"/>
                        <w:ind w:left="20" w:right="0" w:firstLine="0"/>
                        <w:jc w:val="left"/>
                        <w:rPr>
                          <w:rFonts w:ascii="Arial MT"/>
                          <w:sz w:val="21"/>
                        </w:rPr>
                      </w:pPr>
                      <w:r>
                        <w:rPr>
                          <w:rFonts w:ascii="Arial MT"/>
                          <w:spacing w:val="-10"/>
                          <w:sz w:val="21"/>
                        </w:rPr>
                        <w:t>Intensity,</w:t>
                      </w:r>
                      <w:r>
                        <w:rPr>
                          <w:rFonts w:ascii="Arial MT"/>
                          <w:spacing w:val="-2"/>
                          <w:sz w:val="21"/>
                        </w:rPr>
                        <w:t> </w:t>
                      </w:r>
                      <w:r>
                        <w:rPr>
                          <w:rFonts w:ascii="Arial MT"/>
                          <w:spacing w:val="-7"/>
                          <w:sz w:val="21"/>
                        </w:rPr>
                        <w:t>A.U.</w:t>
                      </w:r>
                    </w:p>
                  </w:txbxContent>
                </v:textbox>
                <w10:wrap type="none"/>
              </v:shape>
            </w:pict>
          </mc:Fallback>
        </mc:AlternateContent>
      </w:r>
      <w:r>
        <w:rPr>
          <w:sz w:val="3"/>
        </w:rPr>
        <mc:AlternateContent>
          <mc:Choice Requires="wps">
            <w:drawing>
              <wp:anchor distT="0" distB="0" distL="0" distR="0" allowOverlap="1" layoutInCell="1" locked="0" behindDoc="1" simplePos="0" relativeHeight="481469952">
                <wp:simplePos x="0" y="0"/>
                <wp:positionH relativeFrom="page">
                  <wp:posOffset>3657588</wp:posOffset>
                </wp:positionH>
                <wp:positionV relativeFrom="page">
                  <wp:posOffset>1323985</wp:posOffset>
                </wp:positionV>
                <wp:extent cx="149225" cy="63754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49225" cy="637540"/>
                        </a:xfrm>
                        <a:prstGeom prst="rect">
                          <a:avLst/>
                        </a:prstGeom>
                      </wps:spPr>
                      <wps:txbx>
                        <w:txbxContent>
                          <w:p>
                            <w:pPr>
                              <w:spacing w:before="18"/>
                              <w:ind w:left="20" w:right="0" w:firstLine="0"/>
                              <w:jc w:val="left"/>
                              <w:rPr>
                                <w:rFonts w:ascii="Arial MT"/>
                                <w:sz w:val="17"/>
                              </w:rPr>
                            </w:pPr>
                            <w:r>
                              <w:rPr>
                                <w:rFonts w:ascii="Arial MT"/>
                                <w:spacing w:val="-8"/>
                                <w:sz w:val="17"/>
                              </w:rPr>
                              <w:t>Intensity,</w:t>
                            </w:r>
                            <w:r>
                              <w:rPr>
                                <w:rFonts w:ascii="Arial MT"/>
                                <w:spacing w:val="3"/>
                                <w:sz w:val="17"/>
                              </w:rPr>
                              <w:t> </w:t>
                            </w:r>
                            <w:r>
                              <w:rPr>
                                <w:rFonts w:ascii="Arial MT"/>
                                <w:spacing w:val="-4"/>
                                <w:sz w:val="17"/>
                              </w:rPr>
                              <w:t>A.U.</w:t>
                            </w:r>
                          </w:p>
                        </w:txbxContent>
                      </wps:txbx>
                      <wps:bodyPr wrap="square" lIns="0" tIns="0" rIns="0" bIns="0" rtlCol="0" vert="vert270">
                        <a:noAutofit/>
                      </wps:bodyPr>
                    </wps:wsp>
                  </a:graphicData>
                </a:graphic>
              </wp:anchor>
            </w:drawing>
          </mc:Choice>
          <mc:Fallback>
            <w:pict>
              <v:shape style="position:absolute;margin-left:287.999084pt;margin-top:104.250824pt;width:11.75pt;height:50.2pt;mso-position-horizontal-relative:page;mso-position-vertical-relative:page;z-index:-21846528" type="#_x0000_t202" id="docshape36" filled="false" stroked="false">
                <v:textbox inset="0,0,0,0" style="layout-flow:vertical;mso-layout-flow-alt:bottom-to-top">
                  <w:txbxContent>
                    <w:p>
                      <w:pPr>
                        <w:spacing w:before="18"/>
                        <w:ind w:left="20" w:right="0" w:firstLine="0"/>
                        <w:jc w:val="left"/>
                        <w:rPr>
                          <w:rFonts w:ascii="Arial MT"/>
                          <w:sz w:val="17"/>
                        </w:rPr>
                      </w:pPr>
                      <w:r>
                        <w:rPr>
                          <w:rFonts w:ascii="Arial MT"/>
                          <w:spacing w:val="-8"/>
                          <w:sz w:val="17"/>
                        </w:rPr>
                        <w:t>Intensity,</w:t>
                      </w:r>
                      <w:r>
                        <w:rPr>
                          <w:rFonts w:ascii="Arial MT"/>
                          <w:spacing w:val="3"/>
                          <w:sz w:val="17"/>
                        </w:rPr>
                        <w:t> </w:t>
                      </w:r>
                      <w:r>
                        <w:rPr>
                          <w:rFonts w:ascii="Arial MT"/>
                          <w:spacing w:val="-4"/>
                          <w:sz w:val="17"/>
                        </w:rPr>
                        <w:t>A.U.</w:t>
                      </w:r>
                    </w:p>
                  </w:txbxContent>
                </v:textbox>
                <w10:wrap type="none"/>
              </v:shape>
            </w:pict>
          </mc:Fallback>
        </mc:AlternateContent>
      </w:r>
      <w:r>
        <w:rPr>
          <w:sz w:val="3"/>
        </w:rPr>
        <mc:AlternateContent>
          <mc:Choice Requires="wps">
            <w:drawing>
              <wp:anchor distT="0" distB="0" distL="0" distR="0" allowOverlap="1" layoutInCell="1" locked="0" behindDoc="1" simplePos="0" relativeHeight="481470464">
                <wp:simplePos x="0" y="0"/>
                <wp:positionH relativeFrom="page">
                  <wp:posOffset>7026414</wp:posOffset>
                </wp:positionH>
                <wp:positionV relativeFrom="page">
                  <wp:posOffset>1285387</wp:posOffset>
                </wp:positionV>
                <wp:extent cx="153670" cy="65976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53670" cy="659765"/>
                        </a:xfrm>
                        <a:prstGeom prst="rect">
                          <a:avLst/>
                        </a:prstGeom>
                      </wps:spPr>
                      <wps:txbx>
                        <w:txbxContent>
                          <w:p>
                            <w:pPr>
                              <w:spacing w:before="14"/>
                              <w:ind w:left="20" w:right="0" w:firstLine="0"/>
                              <w:jc w:val="left"/>
                              <w:rPr>
                                <w:rFonts w:ascii="Arial MT"/>
                                <w:sz w:val="18"/>
                              </w:rPr>
                            </w:pPr>
                            <w:r>
                              <w:rPr>
                                <w:rFonts w:ascii="Arial MT"/>
                                <w:spacing w:val="-10"/>
                                <w:sz w:val="18"/>
                              </w:rPr>
                              <w:t>Intensity,</w:t>
                            </w:r>
                            <w:r>
                              <w:rPr>
                                <w:rFonts w:ascii="Arial MT"/>
                                <w:spacing w:val="4"/>
                                <w:sz w:val="18"/>
                              </w:rPr>
                              <w:t> </w:t>
                            </w:r>
                            <w:r>
                              <w:rPr>
                                <w:rFonts w:ascii="Arial MT"/>
                                <w:spacing w:val="-6"/>
                                <w:sz w:val="18"/>
                              </w:rPr>
                              <w:t>A.U.</w:t>
                            </w:r>
                          </w:p>
                        </w:txbxContent>
                      </wps:txbx>
                      <wps:bodyPr wrap="square" lIns="0" tIns="0" rIns="0" bIns="0" rtlCol="0" vert="vert270">
                        <a:noAutofit/>
                      </wps:bodyPr>
                    </wps:wsp>
                  </a:graphicData>
                </a:graphic>
              </wp:anchor>
            </w:drawing>
          </mc:Choice>
          <mc:Fallback>
            <w:pict>
              <v:shape style="position:absolute;margin-left:553.260986pt;margin-top:101.211624pt;width:12.1pt;height:51.95pt;mso-position-horizontal-relative:page;mso-position-vertical-relative:page;z-index:-21846016" type="#_x0000_t202" id="docshape37" filled="false" stroked="false">
                <v:textbox inset="0,0,0,0" style="layout-flow:vertical;mso-layout-flow-alt:bottom-to-top">
                  <w:txbxContent>
                    <w:p>
                      <w:pPr>
                        <w:spacing w:before="14"/>
                        <w:ind w:left="20" w:right="0" w:firstLine="0"/>
                        <w:jc w:val="left"/>
                        <w:rPr>
                          <w:rFonts w:ascii="Arial MT"/>
                          <w:sz w:val="18"/>
                        </w:rPr>
                      </w:pPr>
                      <w:r>
                        <w:rPr>
                          <w:rFonts w:ascii="Arial MT"/>
                          <w:spacing w:val="-10"/>
                          <w:sz w:val="18"/>
                        </w:rPr>
                        <w:t>Intensity,</w:t>
                      </w:r>
                      <w:r>
                        <w:rPr>
                          <w:rFonts w:ascii="Arial MT"/>
                          <w:spacing w:val="4"/>
                          <w:sz w:val="18"/>
                        </w:rPr>
                        <w:t> </w:t>
                      </w:r>
                      <w:r>
                        <w:rPr>
                          <w:rFonts w:ascii="Arial MT"/>
                          <w:spacing w:val="-6"/>
                          <w:sz w:val="18"/>
                        </w:rPr>
                        <w:t>A.U.</w:t>
                      </w:r>
                    </w:p>
                  </w:txbxContent>
                </v:textbox>
                <w10:wrap type="none"/>
              </v:shape>
            </w:pict>
          </mc:Fallback>
        </mc:AlternateContent>
      </w:r>
    </w:p>
    <w:tbl>
      <w:tblPr>
        <w:tblW w:w="0" w:type="auto"/>
        <w:jc w:val="left"/>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7"/>
        <w:gridCol w:w="407"/>
        <w:gridCol w:w="407"/>
        <w:gridCol w:w="407"/>
        <w:gridCol w:w="1224"/>
        <w:gridCol w:w="407"/>
        <w:gridCol w:w="1264"/>
        <w:gridCol w:w="1082"/>
        <w:gridCol w:w="428"/>
        <w:gridCol w:w="428"/>
        <w:gridCol w:w="428"/>
        <w:gridCol w:w="1286"/>
        <w:gridCol w:w="428"/>
        <w:gridCol w:w="950"/>
        <w:gridCol w:w="322"/>
        <w:gridCol w:w="1031"/>
        <w:gridCol w:w="370"/>
        <w:gridCol w:w="370"/>
        <w:gridCol w:w="370"/>
        <w:gridCol w:w="370"/>
        <w:gridCol w:w="1111"/>
        <w:gridCol w:w="1857"/>
      </w:tblGrid>
      <w:tr>
        <w:trPr>
          <w:trHeight w:val="613" w:hRule="atLeast"/>
        </w:trPr>
        <w:tc>
          <w:tcPr>
            <w:tcW w:w="937" w:type="dxa"/>
          </w:tcPr>
          <w:p>
            <w:pPr>
              <w:pStyle w:val="TableParagraph"/>
              <w:rPr>
                <w:sz w:val="13"/>
              </w:rPr>
            </w:pPr>
          </w:p>
          <w:p>
            <w:pPr>
              <w:pStyle w:val="TableParagraph"/>
              <w:spacing w:before="13"/>
              <w:rPr>
                <w:sz w:val="13"/>
              </w:rPr>
            </w:pPr>
          </w:p>
          <w:p>
            <w:pPr>
              <w:pStyle w:val="TableParagraph"/>
              <w:spacing w:before="1"/>
              <w:ind w:right="306"/>
              <w:jc w:val="right"/>
              <w:rPr>
                <w:rFonts w:ascii="Arial MT"/>
                <w:sz w:val="13"/>
              </w:rPr>
            </w:pPr>
            <w:r>
              <w:rPr>
                <w:rFonts w:ascii="Arial MT"/>
                <w:sz w:val="13"/>
              </w:rPr>
              <mc:AlternateContent>
                <mc:Choice Requires="wps">
                  <w:drawing>
                    <wp:anchor distT="0" distB="0" distL="0" distR="0" allowOverlap="1" layoutInCell="1" locked="0" behindDoc="1" simplePos="0" relativeHeight="481466880">
                      <wp:simplePos x="0" y="0"/>
                      <wp:positionH relativeFrom="column">
                        <wp:posOffset>424941</wp:posOffset>
                      </wp:positionH>
                      <wp:positionV relativeFrom="paragraph">
                        <wp:posOffset>-133035</wp:posOffset>
                      </wp:positionV>
                      <wp:extent cx="2632710" cy="198564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2632710" cy="1985645"/>
                                <a:chExt cx="2632710" cy="1985645"/>
                              </a:xfrm>
                            </wpg:grpSpPr>
                            <pic:pic>
                              <pic:nvPicPr>
                                <pic:cNvPr id="70" name="Image 70"/>
                                <pic:cNvPicPr/>
                              </pic:nvPicPr>
                              <pic:blipFill>
                                <a:blip r:embed="rId47" cstate="print"/>
                                <a:stretch>
                                  <a:fillRect/>
                                </a:stretch>
                              </pic:blipFill>
                              <pic:spPr>
                                <a:xfrm>
                                  <a:off x="0" y="0"/>
                                  <a:ext cx="2633367" cy="1985962"/>
                                </a:xfrm>
                                <a:prstGeom prst="rect">
                                  <a:avLst/>
                                </a:prstGeom>
                              </pic:spPr>
                            </pic:pic>
                          </wpg:wgp>
                        </a:graphicData>
                      </a:graphic>
                    </wp:anchor>
                  </w:drawing>
                </mc:Choice>
                <mc:Fallback>
                  <w:pict>
                    <v:group style="position:absolute;margin-left:33.459938pt;margin-top:-10.475266pt;width:207.3pt;height:156.35pt;mso-position-horizontal-relative:column;mso-position-vertical-relative:paragraph;z-index:-21849600" id="docshapegroup38" coordorigin="669,-210" coordsize="4146,3127">
                      <v:shape style="position:absolute;left:669;top:-210;width:4148;height:3128" type="#_x0000_t75" id="docshape39" stroked="false">
                        <v:imagedata r:id="rId47" o:title=""/>
                      </v:shape>
                      <w10:wrap type="none"/>
                    </v:group>
                  </w:pict>
                </mc:Fallback>
              </mc:AlternateContent>
            </w:r>
            <w:r>
              <w:rPr>
                <w:rFonts w:ascii="Arial MT"/>
                <w:spacing w:val="-5"/>
                <w:w w:val="105"/>
                <w:sz w:val="13"/>
              </w:rPr>
              <w:t>100</w:t>
            </w: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rPr>
                <w:sz w:val="18"/>
              </w:rPr>
            </w:pPr>
          </w:p>
        </w:tc>
        <w:tc>
          <w:tcPr>
            <w:tcW w:w="407" w:type="dxa"/>
          </w:tcPr>
          <w:p>
            <w:pPr>
              <w:pStyle w:val="TableParagraph"/>
              <w:rPr>
                <w:sz w:val="18"/>
              </w:rPr>
            </w:pPr>
          </w:p>
        </w:tc>
        <w:tc>
          <w:tcPr>
            <w:tcW w:w="1264" w:type="dxa"/>
          </w:tcPr>
          <w:p>
            <w:pPr>
              <w:pStyle w:val="TableParagraph"/>
              <w:spacing w:before="176"/>
              <w:ind w:right="96"/>
              <w:jc w:val="center"/>
              <w:rPr>
                <w:rFonts w:ascii="Arial MT"/>
                <w:sz w:val="16"/>
              </w:rPr>
            </w:pPr>
            <w:r>
              <w:rPr>
                <w:rFonts w:ascii="Arial MT"/>
                <w:spacing w:val="-6"/>
                <w:sz w:val="16"/>
              </w:rPr>
              <w:t>Yellow</w:t>
            </w:r>
            <w:r>
              <w:rPr>
                <w:rFonts w:ascii="Arial MT"/>
                <w:spacing w:val="-10"/>
                <w:sz w:val="16"/>
              </w:rPr>
              <w:t> </w:t>
            </w:r>
            <w:r>
              <w:rPr>
                <w:rFonts w:ascii="Arial MT"/>
                <w:spacing w:val="-5"/>
                <w:sz w:val="16"/>
              </w:rPr>
              <w:t>LED</w:t>
            </w:r>
          </w:p>
        </w:tc>
        <w:tc>
          <w:tcPr>
            <w:tcW w:w="1082" w:type="dxa"/>
          </w:tcPr>
          <w:p>
            <w:pPr>
              <w:pStyle w:val="TableParagraph"/>
              <w:spacing w:before="99"/>
              <w:rPr>
                <w:sz w:val="14"/>
              </w:rPr>
            </w:pPr>
          </w:p>
          <w:p>
            <w:pPr>
              <w:pStyle w:val="TableParagraph"/>
              <w:ind w:right="320"/>
              <w:jc w:val="right"/>
              <w:rPr>
                <w:rFonts w:ascii="Arial MT"/>
                <w:sz w:val="14"/>
              </w:rPr>
            </w:pPr>
            <w:r>
              <w:rPr>
                <w:rFonts w:ascii="Arial MT"/>
                <w:sz w:val="14"/>
              </w:rPr>
              <mc:AlternateContent>
                <mc:Choice Requires="wps">
                  <w:drawing>
                    <wp:anchor distT="0" distB="0" distL="0" distR="0" allowOverlap="1" layoutInCell="1" locked="0" behindDoc="1" simplePos="0" relativeHeight="481467392">
                      <wp:simplePos x="0" y="0"/>
                      <wp:positionH relativeFrom="column">
                        <wp:posOffset>508338</wp:posOffset>
                      </wp:positionH>
                      <wp:positionV relativeFrom="paragraph">
                        <wp:posOffset>-125354</wp:posOffset>
                      </wp:positionV>
                      <wp:extent cx="2766695" cy="2037714"/>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2766695" cy="2037714"/>
                                <a:chExt cx="2766695" cy="2037714"/>
                              </a:xfrm>
                            </wpg:grpSpPr>
                            <pic:pic>
                              <pic:nvPicPr>
                                <pic:cNvPr id="72" name="Image 72"/>
                                <pic:cNvPicPr/>
                              </pic:nvPicPr>
                              <pic:blipFill>
                                <a:blip r:embed="rId48" cstate="print"/>
                                <a:stretch>
                                  <a:fillRect/>
                                </a:stretch>
                              </pic:blipFill>
                              <pic:spPr>
                                <a:xfrm>
                                  <a:off x="0" y="0"/>
                                  <a:ext cx="2768283" cy="2038350"/>
                                </a:xfrm>
                                <a:prstGeom prst="rect">
                                  <a:avLst/>
                                </a:prstGeom>
                              </pic:spPr>
                            </pic:pic>
                          </wpg:wgp>
                        </a:graphicData>
                      </a:graphic>
                    </wp:anchor>
                  </w:drawing>
                </mc:Choice>
                <mc:Fallback>
                  <w:pict>
                    <v:group style="position:absolute;margin-left:40.026638pt;margin-top:-9.870421pt;width:217.85pt;height:160.450pt;mso-position-horizontal-relative:column;mso-position-vertical-relative:paragraph;z-index:-21849088" id="docshapegroup40" coordorigin="801,-197" coordsize="4357,3209">
                      <v:shape style="position:absolute;left:800;top:-198;width:4360;height:3210" type="#_x0000_t75" id="docshape41" stroked="false">
                        <v:imagedata r:id="rId48" o:title=""/>
                      </v:shape>
                      <w10:wrap type="none"/>
                    </v:group>
                  </w:pict>
                </mc:Fallback>
              </mc:AlternateContent>
            </w:r>
            <w:r>
              <w:rPr>
                <w:rFonts w:ascii="Arial MT"/>
                <w:spacing w:val="-5"/>
                <w:sz w:val="14"/>
              </w:rPr>
              <w:t>100</w:t>
            </w: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rPr>
                <w:sz w:val="18"/>
              </w:rPr>
            </w:pPr>
          </w:p>
        </w:tc>
        <w:tc>
          <w:tcPr>
            <w:tcW w:w="428" w:type="dxa"/>
          </w:tcPr>
          <w:p>
            <w:pPr>
              <w:pStyle w:val="TableParagraph"/>
              <w:rPr>
                <w:sz w:val="18"/>
              </w:rPr>
            </w:pPr>
          </w:p>
        </w:tc>
        <w:tc>
          <w:tcPr>
            <w:tcW w:w="950" w:type="dxa"/>
          </w:tcPr>
          <w:p>
            <w:pPr>
              <w:pStyle w:val="TableParagraph"/>
              <w:spacing w:before="129"/>
              <w:ind w:left="270"/>
              <w:rPr>
                <w:rFonts w:ascii="Arial MT"/>
                <w:sz w:val="17"/>
              </w:rPr>
            </w:pPr>
            <w:r>
              <w:rPr>
                <w:rFonts w:ascii="Arial MT"/>
                <w:spacing w:val="-7"/>
                <w:sz w:val="17"/>
              </w:rPr>
              <w:t>Blue</w:t>
            </w:r>
            <w:r>
              <w:rPr>
                <w:rFonts w:ascii="Arial MT"/>
                <w:spacing w:val="-8"/>
                <w:sz w:val="17"/>
              </w:rPr>
              <w:t> </w:t>
            </w:r>
            <w:r>
              <w:rPr>
                <w:rFonts w:ascii="Arial MT"/>
                <w:spacing w:val="-6"/>
                <w:sz w:val="17"/>
              </w:rPr>
              <w:t>LED</w:t>
            </w:r>
          </w:p>
        </w:tc>
        <w:tc>
          <w:tcPr>
            <w:tcW w:w="322" w:type="dxa"/>
          </w:tcPr>
          <w:p>
            <w:pPr>
              <w:pStyle w:val="TableParagraph"/>
              <w:rPr>
                <w:sz w:val="18"/>
              </w:rPr>
            </w:pPr>
          </w:p>
        </w:tc>
        <w:tc>
          <w:tcPr>
            <w:tcW w:w="1031" w:type="dxa"/>
          </w:tcPr>
          <w:p>
            <w:pPr>
              <w:pStyle w:val="TableParagraph"/>
              <w:spacing w:before="11"/>
              <w:rPr>
                <w:sz w:val="14"/>
              </w:rPr>
            </w:pPr>
          </w:p>
          <w:p>
            <w:pPr>
              <w:pStyle w:val="TableParagraph"/>
              <w:ind w:right="293"/>
              <w:jc w:val="right"/>
              <w:rPr>
                <w:rFonts w:ascii="Arial MT"/>
                <w:sz w:val="14"/>
              </w:rPr>
            </w:pPr>
            <w:r>
              <w:rPr>
                <w:rFonts w:ascii="Arial MT"/>
                <w:sz w:val="14"/>
              </w:rPr>
              <mc:AlternateContent>
                <mc:Choice Requires="wps">
                  <w:drawing>
                    <wp:anchor distT="0" distB="0" distL="0" distR="0" allowOverlap="1" layoutInCell="1" locked="0" behindDoc="1" simplePos="0" relativeHeight="481467904">
                      <wp:simplePos x="0" y="0"/>
                      <wp:positionH relativeFrom="column">
                        <wp:posOffset>492622</wp:posOffset>
                      </wp:positionH>
                      <wp:positionV relativeFrom="paragraph">
                        <wp:posOffset>-130783</wp:posOffset>
                      </wp:positionV>
                      <wp:extent cx="2869565" cy="210820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2869565" cy="2108200"/>
                                <a:chExt cx="2869565" cy="2108200"/>
                              </a:xfrm>
                            </wpg:grpSpPr>
                            <pic:pic>
                              <pic:nvPicPr>
                                <pic:cNvPr id="74" name="Image 74"/>
                                <pic:cNvPicPr/>
                              </pic:nvPicPr>
                              <pic:blipFill>
                                <a:blip r:embed="rId49" cstate="print"/>
                                <a:stretch>
                                  <a:fillRect/>
                                </a:stretch>
                              </pic:blipFill>
                              <pic:spPr>
                                <a:xfrm>
                                  <a:off x="0" y="0"/>
                                  <a:ext cx="2872353" cy="2109787"/>
                                </a:xfrm>
                                <a:prstGeom prst="rect">
                                  <a:avLst/>
                                </a:prstGeom>
                              </pic:spPr>
                            </pic:pic>
                          </wpg:wgp>
                        </a:graphicData>
                      </a:graphic>
                    </wp:anchor>
                  </w:drawing>
                </mc:Choice>
                <mc:Fallback>
                  <w:pict>
                    <v:group style="position:absolute;margin-left:38.789196pt;margin-top:-10.297951pt;width:225.95pt;height:166pt;mso-position-horizontal-relative:column;mso-position-vertical-relative:paragraph;z-index:-21848576" id="docshapegroup42" coordorigin="776,-206" coordsize="4519,3320">
                      <v:shape style="position:absolute;left:775;top:-206;width:4524;height:3323" type="#_x0000_t75" id="docshape43" stroked="false">
                        <v:imagedata r:id="rId49" o:title=""/>
                      </v:shape>
                      <w10:wrap type="none"/>
                    </v:group>
                  </w:pict>
                </mc:Fallback>
              </mc:AlternateContent>
            </w:r>
            <w:r>
              <w:rPr>
                <w:rFonts w:ascii="Arial MT"/>
                <w:spacing w:val="-5"/>
                <w:w w:val="105"/>
                <w:sz w:val="14"/>
              </w:rPr>
              <w:t>100</w:t>
            </w: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rPr>
                <w:sz w:val="18"/>
              </w:rPr>
            </w:pPr>
          </w:p>
        </w:tc>
        <w:tc>
          <w:tcPr>
            <w:tcW w:w="1857" w:type="dxa"/>
          </w:tcPr>
          <w:p>
            <w:pPr>
              <w:pStyle w:val="TableParagraph"/>
              <w:spacing w:before="22"/>
              <w:ind w:left="833"/>
              <w:rPr>
                <w:rFonts w:ascii="Arial MT"/>
                <w:sz w:val="18"/>
              </w:rPr>
            </w:pPr>
            <w:r>
              <w:rPr>
                <w:rFonts w:ascii="Arial MT"/>
                <w:spacing w:val="-5"/>
                <w:sz w:val="18"/>
              </w:rPr>
              <w:t>IR</w:t>
            </w:r>
            <w:r>
              <w:rPr>
                <w:rFonts w:ascii="Arial MT"/>
                <w:spacing w:val="-16"/>
                <w:sz w:val="18"/>
              </w:rPr>
              <w:t> </w:t>
            </w:r>
            <w:r>
              <w:rPr>
                <w:rFonts w:ascii="Arial MT"/>
                <w:spacing w:val="-5"/>
                <w:sz w:val="18"/>
              </w:rPr>
              <w:t>LED</w:t>
            </w:r>
          </w:p>
        </w:tc>
      </w:tr>
      <w:tr>
        <w:trPr>
          <w:trHeight w:val="572" w:hRule="atLeast"/>
        </w:trPr>
        <w:tc>
          <w:tcPr>
            <w:tcW w:w="937" w:type="dxa"/>
          </w:tcPr>
          <w:p>
            <w:pPr>
              <w:pStyle w:val="TableParagraph"/>
              <w:spacing w:before="104"/>
              <w:rPr>
                <w:sz w:val="13"/>
              </w:rPr>
            </w:pPr>
          </w:p>
          <w:p>
            <w:pPr>
              <w:pStyle w:val="TableParagraph"/>
              <w:ind w:right="306"/>
              <w:jc w:val="right"/>
              <w:rPr>
                <w:rFonts w:ascii="Arial MT"/>
                <w:sz w:val="13"/>
              </w:rPr>
            </w:pPr>
            <w:r>
              <w:rPr>
                <w:rFonts w:ascii="Arial MT"/>
                <w:spacing w:val="-5"/>
                <w:w w:val="105"/>
                <w:sz w:val="13"/>
              </w:rPr>
              <w:t>80</w:t>
            </w: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rPr>
                <w:sz w:val="18"/>
              </w:rPr>
            </w:pP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spacing w:before="57"/>
              <w:rPr>
                <w:sz w:val="14"/>
              </w:rPr>
            </w:pPr>
          </w:p>
          <w:p>
            <w:pPr>
              <w:pStyle w:val="TableParagraph"/>
              <w:ind w:right="320"/>
              <w:jc w:val="right"/>
              <w:rPr>
                <w:rFonts w:ascii="Arial MT"/>
                <w:sz w:val="14"/>
              </w:rPr>
            </w:pPr>
            <w:r>
              <w:rPr>
                <w:rFonts w:ascii="Arial MT"/>
                <w:spacing w:val="-5"/>
                <w:sz w:val="14"/>
              </w:rPr>
              <w:t>80</w:t>
            </w: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rPr>
                <w:sz w:val="18"/>
              </w:rPr>
            </w:pP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spacing w:before="150"/>
              <w:ind w:right="293"/>
              <w:jc w:val="right"/>
              <w:rPr>
                <w:rFonts w:ascii="Arial MT"/>
                <w:sz w:val="14"/>
              </w:rPr>
            </w:pPr>
            <w:r>
              <w:rPr>
                <w:rFonts w:ascii="Arial MT"/>
                <w:spacing w:val="-5"/>
                <w:w w:val="105"/>
                <w:sz w:val="14"/>
              </w:rPr>
              <w:t>80</w:t>
            </w: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rPr>
                <w:sz w:val="18"/>
              </w:rPr>
            </w:pPr>
          </w:p>
        </w:tc>
        <w:tc>
          <w:tcPr>
            <w:tcW w:w="1857" w:type="dxa"/>
          </w:tcPr>
          <w:p>
            <w:pPr>
              <w:pStyle w:val="TableParagraph"/>
              <w:rPr>
                <w:sz w:val="18"/>
              </w:rPr>
            </w:pPr>
          </w:p>
        </w:tc>
      </w:tr>
      <w:tr>
        <w:trPr>
          <w:trHeight w:val="572" w:hRule="atLeast"/>
        </w:trPr>
        <w:tc>
          <w:tcPr>
            <w:tcW w:w="937" w:type="dxa"/>
          </w:tcPr>
          <w:p>
            <w:pPr>
              <w:pStyle w:val="TableParagraph"/>
              <w:spacing w:before="85"/>
              <w:rPr>
                <w:sz w:val="13"/>
              </w:rPr>
            </w:pPr>
          </w:p>
          <w:p>
            <w:pPr>
              <w:pStyle w:val="TableParagraph"/>
              <w:ind w:right="306"/>
              <w:jc w:val="right"/>
              <w:rPr>
                <w:rFonts w:ascii="Arial MT"/>
                <w:sz w:val="13"/>
              </w:rPr>
            </w:pPr>
            <w:r>
              <w:rPr>
                <w:rFonts w:ascii="Arial MT"/>
                <w:spacing w:val="-5"/>
                <w:w w:val="105"/>
                <w:sz w:val="13"/>
              </w:rPr>
              <w:t>60</w:t>
            </w: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rPr>
                <w:sz w:val="18"/>
              </w:rPr>
            </w:pP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spacing w:before="55"/>
              <w:rPr>
                <w:sz w:val="14"/>
              </w:rPr>
            </w:pPr>
          </w:p>
          <w:p>
            <w:pPr>
              <w:pStyle w:val="TableParagraph"/>
              <w:ind w:right="320"/>
              <w:jc w:val="right"/>
              <w:rPr>
                <w:rFonts w:ascii="Arial MT"/>
                <w:sz w:val="14"/>
              </w:rPr>
            </w:pPr>
            <w:r>
              <w:rPr>
                <w:rFonts w:ascii="Arial MT"/>
                <w:spacing w:val="-5"/>
                <w:sz w:val="14"/>
              </w:rPr>
              <w:t>60</w:t>
            </w: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rPr>
                <w:sz w:val="18"/>
              </w:rPr>
            </w:pP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spacing w:before="7"/>
              <w:rPr>
                <w:sz w:val="14"/>
              </w:rPr>
            </w:pPr>
          </w:p>
          <w:p>
            <w:pPr>
              <w:pStyle w:val="TableParagraph"/>
              <w:spacing w:before="1"/>
              <w:ind w:right="293"/>
              <w:jc w:val="right"/>
              <w:rPr>
                <w:rFonts w:ascii="Arial MT"/>
                <w:sz w:val="14"/>
              </w:rPr>
            </w:pPr>
            <w:r>
              <w:rPr>
                <w:rFonts w:ascii="Arial MT"/>
                <w:spacing w:val="-5"/>
                <w:w w:val="105"/>
                <w:sz w:val="14"/>
              </w:rPr>
              <w:t>60</w:t>
            </w: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rPr>
                <w:sz w:val="18"/>
              </w:rPr>
            </w:pPr>
          </w:p>
        </w:tc>
        <w:tc>
          <w:tcPr>
            <w:tcW w:w="1857" w:type="dxa"/>
          </w:tcPr>
          <w:p>
            <w:pPr>
              <w:pStyle w:val="TableParagraph"/>
              <w:rPr>
                <w:sz w:val="18"/>
              </w:rPr>
            </w:pPr>
          </w:p>
        </w:tc>
      </w:tr>
      <w:tr>
        <w:trPr>
          <w:trHeight w:val="571" w:hRule="atLeast"/>
        </w:trPr>
        <w:tc>
          <w:tcPr>
            <w:tcW w:w="937" w:type="dxa"/>
          </w:tcPr>
          <w:p>
            <w:pPr>
              <w:pStyle w:val="TableParagraph"/>
              <w:spacing w:before="66"/>
              <w:rPr>
                <w:sz w:val="13"/>
              </w:rPr>
            </w:pPr>
          </w:p>
          <w:p>
            <w:pPr>
              <w:pStyle w:val="TableParagraph"/>
              <w:spacing w:before="1"/>
              <w:ind w:right="306"/>
              <w:jc w:val="right"/>
              <w:rPr>
                <w:rFonts w:ascii="Arial MT"/>
                <w:sz w:val="13"/>
              </w:rPr>
            </w:pPr>
            <w:r>
              <w:rPr>
                <w:rFonts w:ascii="Arial MT"/>
                <w:spacing w:val="-5"/>
                <w:w w:val="105"/>
                <w:sz w:val="13"/>
              </w:rPr>
              <w:t>40</w:t>
            </w: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rPr>
                <w:sz w:val="18"/>
              </w:rPr>
            </w:pP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spacing w:before="53"/>
              <w:rPr>
                <w:sz w:val="14"/>
              </w:rPr>
            </w:pPr>
          </w:p>
          <w:p>
            <w:pPr>
              <w:pStyle w:val="TableParagraph"/>
              <w:ind w:right="320"/>
              <w:jc w:val="right"/>
              <w:rPr>
                <w:rFonts w:ascii="Arial MT"/>
                <w:sz w:val="14"/>
              </w:rPr>
            </w:pPr>
            <w:r>
              <w:rPr>
                <w:rFonts w:ascii="Arial MT"/>
                <w:spacing w:val="-5"/>
                <w:sz w:val="14"/>
              </w:rPr>
              <w:t>40</w:t>
            </w: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rPr>
                <w:sz w:val="18"/>
              </w:rPr>
            </w:pP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spacing w:before="26"/>
              <w:rPr>
                <w:sz w:val="14"/>
              </w:rPr>
            </w:pPr>
          </w:p>
          <w:p>
            <w:pPr>
              <w:pStyle w:val="TableParagraph"/>
              <w:ind w:right="293"/>
              <w:jc w:val="right"/>
              <w:rPr>
                <w:rFonts w:ascii="Arial MT"/>
                <w:sz w:val="14"/>
              </w:rPr>
            </w:pPr>
            <w:r>
              <w:rPr>
                <w:rFonts w:ascii="Arial MT"/>
                <w:spacing w:val="-5"/>
                <w:w w:val="105"/>
                <w:sz w:val="14"/>
              </w:rPr>
              <w:t>40</w:t>
            </w: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rPr>
                <w:sz w:val="18"/>
              </w:rPr>
            </w:pPr>
          </w:p>
        </w:tc>
        <w:tc>
          <w:tcPr>
            <w:tcW w:w="1857" w:type="dxa"/>
          </w:tcPr>
          <w:p>
            <w:pPr>
              <w:pStyle w:val="TableParagraph"/>
              <w:rPr>
                <w:sz w:val="18"/>
              </w:rPr>
            </w:pPr>
          </w:p>
        </w:tc>
      </w:tr>
      <w:tr>
        <w:trPr>
          <w:trHeight w:val="561" w:hRule="atLeast"/>
        </w:trPr>
        <w:tc>
          <w:tcPr>
            <w:tcW w:w="937" w:type="dxa"/>
          </w:tcPr>
          <w:p>
            <w:pPr>
              <w:pStyle w:val="TableParagraph"/>
              <w:spacing w:before="47"/>
              <w:rPr>
                <w:sz w:val="13"/>
              </w:rPr>
            </w:pPr>
          </w:p>
          <w:p>
            <w:pPr>
              <w:pStyle w:val="TableParagraph"/>
              <w:spacing w:before="1"/>
              <w:ind w:right="306"/>
              <w:jc w:val="right"/>
              <w:rPr>
                <w:rFonts w:ascii="Arial MT"/>
                <w:sz w:val="13"/>
              </w:rPr>
            </w:pPr>
            <w:r>
              <w:rPr>
                <w:rFonts w:ascii="Arial MT"/>
                <w:spacing w:val="-5"/>
                <w:w w:val="105"/>
                <w:sz w:val="13"/>
              </w:rPr>
              <w:t>20</w:t>
            </w: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rPr>
                <w:sz w:val="18"/>
              </w:rPr>
            </w:pP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spacing w:before="51"/>
              <w:rPr>
                <w:sz w:val="14"/>
              </w:rPr>
            </w:pPr>
          </w:p>
          <w:p>
            <w:pPr>
              <w:pStyle w:val="TableParagraph"/>
              <w:ind w:right="320"/>
              <w:jc w:val="right"/>
              <w:rPr>
                <w:rFonts w:ascii="Arial MT"/>
                <w:sz w:val="14"/>
              </w:rPr>
            </w:pPr>
            <w:r>
              <w:rPr>
                <w:rFonts w:ascii="Arial MT"/>
                <w:spacing w:val="-5"/>
                <w:sz w:val="14"/>
              </w:rPr>
              <w:t>20</w:t>
            </w: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rPr>
                <w:sz w:val="18"/>
              </w:rPr>
            </w:pP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spacing w:before="44"/>
              <w:rPr>
                <w:sz w:val="14"/>
              </w:rPr>
            </w:pPr>
          </w:p>
          <w:p>
            <w:pPr>
              <w:pStyle w:val="TableParagraph"/>
              <w:ind w:right="293"/>
              <w:jc w:val="right"/>
              <w:rPr>
                <w:rFonts w:ascii="Arial MT"/>
                <w:sz w:val="14"/>
              </w:rPr>
            </w:pPr>
            <w:r>
              <w:rPr>
                <w:rFonts w:ascii="Arial MT"/>
                <w:spacing w:val="-5"/>
                <w:w w:val="105"/>
                <w:sz w:val="14"/>
              </w:rPr>
              <w:t>20</w:t>
            </w: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rPr>
                <w:sz w:val="18"/>
              </w:rPr>
            </w:pPr>
          </w:p>
        </w:tc>
        <w:tc>
          <w:tcPr>
            <w:tcW w:w="1857" w:type="dxa"/>
          </w:tcPr>
          <w:p>
            <w:pPr>
              <w:pStyle w:val="TableParagraph"/>
              <w:rPr>
                <w:sz w:val="18"/>
              </w:rPr>
            </w:pPr>
          </w:p>
        </w:tc>
      </w:tr>
      <w:tr>
        <w:trPr>
          <w:trHeight w:val="566" w:hRule="atLeast"/>
        </w:trPr>
        <w:tc>
          <w:tcPr>
            <w:tcW w:w="937" w:type="dxa"/>
          </w:tcPr>
          <w:p>
            <w:pPr>
              <w:pStyle w:val="TableParagraph"/>
              <w:spacing w:before="40"/>
              <w:rPr>
                <w:sz w:val="13"/>
              </w:rPr>
            </w:pPr>
          </w:p>
          <w:p>
            <w:pPr>
              <w:pStyle w:val="TableParagraph"/>
              <w:ind w:left="561"/>
              <w:rPr>
                <w:rFonts w:ascii="Arial MT"/>
                <w:sz w:val="13"/>
              </w:rPr>
            </w:pPr>
            <w:r>
              <w:rPr>
                <w:rFonts w:ascii="Arial MT"/>
                <w:spacing w:val="-10"/>
                <w:w w:val="105"/>
                <w:sz w:val="13"/>
              </w:rPr>
              <w:t>0</w:t>
            </w:r>
          </w:p>
          <w:p>
            <w:pPr>
              <w:pStyle w:val="TableParagraph"/>
              <w:spacing w:before="14"/>
              <w:ind w:left="628"/>
              <w:rPr>
                <w:rFonts w:ascii="Arial MT"/>
                <w:sz w:val="13"/>
              </w:rPr>
            </w:pPr>
            <w:r>
              <w:rPr>
                <w:rFonts w:ascii="Arial MT"/>
                <w:spacing w:val="-5"/>
                <w:w w:val="105"/>
                <w:sz w:val="13"/>
              </w:rPr>
              <w:t>540</w:t>
            </w:r>
          </w:p>
        </w:tc>
        <w:tc>
          <w:tcPr>
            <w:tcW w:w="407" w:type="dxa"/>
          </w:tcPr>
          <w:p>
            <w:pPr>
              <w:pStyle w:val="TableParagraph"/>
              <w:rPr>
                <w:sz w:val="13"/>
              </w:rPr>
            </w:pPr>
          </w:p>
          <w:p>
            <w:pPr>
              <w:pStyle w:val="TableParagraph"/>
              <w:spacing w:before="54"/>
              <w:rPr>
                <w:sz w:val="13"/>
              </w:rPr>
            </w:pPr>
          </w:p>
          <w:p>
            <w:pPr>
              <w:pStyle w:val="TableParagraph"/>
              <w:ind w:left="99"/>
              <w:rPr>
                <w:rFonts w:ascii="Arial MT"/>
                <w:sz w:val="13"/>
              </w:rPr>
            </w:pPr>
            <w:r>
              <w:rPr>
                <w:rFonts w:ascii="Arial MT"/>
                <w:spacing w:val="-5"/>
                <w:w w:val="105"/>
                <w:sz w:val="13"/>
              </w:rPr>
              <w:t>550</w:t>
            </w:r>
          </w:p>
        </w:tc>
        <w:tc>
          <w:tcPr>
            <w:tcW w:w="407" w:type="dxa"/>
          </w:tcPr>
          <w:p>
            <w:pPr>
              <w:pStyle w:val="TableParagraph"/>
              <w:rPr>
                <w:sz w:val="13"/>
              </w:rPr>
            </w:pPr>
          </w:p>
          <w:p>
            <w:pPr>
              <w:pStyle w:val="TableParagraph"/>
              <w:spacing w:before="54"/>
              <w:rPr>
                <w:sz w:val="13"/>
              </w:rPr>
            </w:pPr>
          </w:p>
          <w:p>
            <w:pPr>
              <w:pStyle w:val="TableParagraph"/>
              <w:ind w:left="99"/>
              <w:rPr>
                <w:rFonts w:ascii="Arial MT"/>
                <w:sz w:val="13"/>
              </w:rPr>
            </w:pPr>
            <w:r>
              <w:rPr>
                <w:rFonts w:ascii="Arial MT"/>
                <w:spacing w:val="-5"/>
                <w:w w:val="105"/>
                <w:sz w:val="13"/>
              </w:rPr>
              <w:t>560</w:t>
            </w:r>
          </w:p>
        </w:tc>
        <w:tc>
          <w:tcPr>
            <w:tcW w:w="407" w:type="dxa"/>
          </w:tcPr>
          <w:p>
            <w:pPr>
              <w:pStyle w:val="TableParagraph"/>
              <w:rPr>
                <w:sz w:val="13"/>
              </w:rPr>
            </w:pPr>
          </w:p>
          <w:p>
            <w:pPr>
              <w:pStyle w:val="TableParagraph"/>
              <w:spacing w:before="54"/>
              <w:rPr>
                <w:sz w:val="13"/>
              </w:rPr>
            </w:pPr>
          </w:p>
          <w:p>
            <w:pPr>
              <w:pStyle w:val="TableParagraph"/>
              <w:ind w:left="99"/>
              <w:rPr>
                <w:rFonts w:ascii="Arial MT"/>
                <w:sz w:val="13"/>
              </w:rPr>
            </w:pPr>
            <w:r>
              <w:rPr>
                <w:rFonts w:ascii="Arial MT"/>
                <w:spacing w:val="-5"/>
                <w:w w:val="105"/>
                <w:sz w:val="13"/>
              </w:rPr>
              <w:t>570</w:t>
            </w:r>
          </w:p>
        </w:tc>
        <w:tc>
          <w:tcPr>
            <w:tcW w:w="1224" w:type="dxa"/>
          </w:tcPr>
          <w:p>
            <w:pPr>
              <w:pStyle w:val="TableParagraph"/>
              <w:rPr>
                <w:sz w:val="13"/>
              </w:rPr>
            </w:pPr>
          </w:p>
          <w:p>
            <w:pPr>
              <w:pStyle w:val="TableParagraph"/>
              <w:spacing w:before="54"/>
              <w:rPr>
                <w:sz w:val="13"/>
              </w:rPr>
            </w:pPr>
          </w:p>
          <w:p>
            <w:pPr>
              <w:pStyle w:val="TableParagraph"/>
              <w:ind w:left="100"/>
              <w:rPr>
                <w:rFonts w:ascii="Arial MT"/>
                <w:sz w:val="13"/>
              </w:rPr>
            </w:pPr>
            <w:r>
              <w:rPr>
                <w:rFonts w:ascii="Arial MT"/>
                <w:w w:val="105"/>
                <w:sz w:val="13"/>
              </w:rPr>
              <w:t>580</w:t>
            </w:r>
            <w:r>
              <w:rPr>
                <w:rFonts w:ascii="Arial MT"/>
                <w:spacing w:val="51"/>
                <w:w w:val="105"/>
                <w:sz w:val="13"/>
              </w:rPr>
              <w:t>  </w:t>
            </w:r>
            <w:r>
              <w:rPr>
                <w:rFonts w:ascii="Arial MT"/>
                <w:w w:val="105"/>
                <w:sz w:val="13"/>
              </w:rPr>
              <w:t>590</w:t>
            </w:r>
            <w:r>
              <w:rPr>
                <w:rFonts w:ascii="Arial MT"/>
                <w:spacing w:val="51"/>
                <w:w w:val="105"/>
                <w:sz w:val="13"/>
              </w:rPr>
              <w:t>  </w:t>
            </w:r>
            <w:r>
              <w:rPr>
                <w:rFonts w:ascii="Arial MT"/>
                <w:spacing w:val="-5"/>
                <w:w w:val="105"/>
                <w:sz w:val="13"/>
              </w:rPr>
              <w:t>600</w:t>
            </w:r>
          </w:p>
        </w:tc>
        <w:tc>
          <w:tcPr>
            <w:tcW w:w="407" w:type="dxa"/>
          </w:tcPr>
          <w:p>
            <w:pPr>
              <w:pStyle w:val="TableParagraph"/>
              <w:rPr>
                <w:sz w:val="13"/>
              </w:rPr>
            </w:pPr>
          </w:p>
          <w:p>
            <w:pPr>
              <w:pStyle w:val="TableParagraph"/>
              <w:spacing w:before="54"/>
              <w:rPr>
                <w:sz w:val="13"/>
              </w:rPr>
            </w:pPr>
          </w:p>
          <w:p>
            <w:pPr>
              <w:pStyle w:val="TableParagraph"/>
              <w:ind w:left="100"/>
              <w:rPr>
                <w:rFonts w:ascii="Arial MT"/>
                <w:sz w:val="13"/>
              </w:rPr>
            </w:pPr>
            <w:r>
              <w:rPr>
                <w:rFonts w:ascii="Arial MT"/>
                <w:spacing w:val="-5"/>
                <w:w w:val="105"/>
                <w:sz w:val="13"/>
              </w:rPr>
              <w:t>610</w:t>
            </w:r>
          </w:p>
        </w:tc>
        <w:tc>
          <w:tcPr>
            <w:tcW w:w="1264" w:type="dxa"/>
          </w:tcPr>
          <w:p>
            <w:pPr>
              <w:pStyle w:val="TableParagraph"/>
              <w:rPr>
                <w:sz w:val="13"/>
              </w:rPr>
            </w:pPr>
          </w:p>
          <w:p>
            <w:pPr>
              <w:pStyle w:val="TableParagraph"/>
              <w:spacing w:before="54"/>
              <w:rPr>
                <w:sz w:val="13"/>
              </w:rPr>
            </w:pPr>
          </w:p>
          <w:p>
            <w:pPr>
              <w:pStyle w:val="TableParagraph"/>
              <w:ind w:left="51" w:right="96"/>
              <w:jc w:val="center"/>
              <w:rPr>
                <w:rFonts w:ascii="Arial MT"/>
                <w:sz w:val="13"/>
              </w:rPr>
            </w:pPr>
            <w:r>
              <w:rPr>
                <w:rFonts w:ascii="Arial MT"/>
                <w:w w:val="105"/>
                <w:sz w:val="13"/>
              </w:rPr>
              <w:t>620</w:t>
            </w:r>
            <w:r>
              <w:rPr>
                <w:rFonts w:ascii="Arial MT"/>
                <w:spacing w:val="50"/>
                <w:w w:val="105"/>
                <w:sz w:val="13"/>
              </w:rPr>
              <w:t>  </w:t>
            </w:r>
            <w:r>
              <w:rPr>
                <w:rFonts w:ascii="Arial MT"/>
                <w:w w:val="105"/>
                <w:sz w:val="13"/>
              </w:rPr>
              <w:t>630</w:t>
            </w:r>
            <w:r>
              <w:rPr>
                <w:rFonts w:ascii="Arial MT"/>
                <w:spacing w:val="51"/>
                <w:w w:val="105"/>
                <w:sz w:val="13"/>
              </w:rPr>
              <w:t>  </w:t>
            </w:r>
            <w:r>
              <w:rPr>
                <w:rFonts w:ascii="Arial MT"/>
                <w:spacing w:val="-5"/>
                <w:w w:val="105"/>
                <w:sz w:val="13"/>
              </w:rPr>
              <w:t>640</w:t>
            </w:r>
          </w:p>
        </w:tc>
        <w:tc>
          <w:tcPr>
            <w:tcW w:w="1082" w:type="dxa"/>
          </w:tcPr>
          <w:p>
            <w:pPr>
              <w:pStyle w:val="TableParagraph"/>
              <w:spacing w:before="60"/>
              <w:rPr>
                <w:sz w:val="14"/>
              </w:rPr>
            </w:pPr>
          </w:p>
          <w:p>
            <w:pPr>
              <w:pStyle w:val="TableParagraph"/>
              <w:spacing w:before="1"/>
              <w:ind w:left="689"/>
              <w:rPr>
                <w:rFonts w:ascii="Arial MT"/>
                <w:sz w:val="14"/>
              </w:rPr>
            </w:pPr>
            <w:r>
              <w:rPr>
                <w:rFonts w:ascii="Arial MT"/>
                <w:spacing w:val="-10"/>
                <w:sz w:val="14"/>
              </w:rPr>
              <w:t>0</w:t>
            </w:r>
          </w:p>
          <w:p>
            <w:pPr>
              <w:pStyle w:val="TableParagraph"/>
              <w:spacing w:line="156" w:lineRule="exact" w:before="8"/>
              <w:ind w:left="759"/>
              <w:rPr>
                <w:rFonts w:ascii="Arial MT"/>
                <w:sz w:val="14"/>
              </w:rPr>
            </w:pPr>
            <w:r>
              <w:rPr>
                <w:rFonts w:ascii="Arial MT"/>
                <w:spacing w:val="-5"/>
                <w:sz w:val="14"/>
              </w:rPr>
              <w:t>420</w:t>
            </w:r>
          </w:p>
        </w:tc>
        <w:tc>
          <w:tcPr>
            <w:tcW w:w="428" w:type="dxa"/>
          </w:tcPr>
          <w:p>
            <w:pPr>
              <w:pStyle w:val="TableParagraph"/>
              <w:rPr>
                <w:sz w:val="14"/>
              </w:rPr>
            </w:pPr>
          </w:p>
          <w:p>
            <w:pPr>
              <w:pStyle w:val="TableParagraph"/>
              <w:spacing w:before="68"/>
              <w:rPr>
                <w:sz w:val="14"/>
              </w:rPr>
            </w:pPr>
          </w:p>
          <w:p>
            <w:pPr>
              <w:pStyle w:val="TableParagraph"/>
              <w:spacing w:line="156" w:lineRule="exact" w:before="1"/>
              <w:ind w:left="106"/>
              <w:rPr>
                <w:rFonts w:ascii="Arial MT"/>
                <w:sz w:val="14"/>
              </w:rPr>
            </w:pPr>
            <w:r>
              <w:rPr>
                <w:rFonts w:ascii="Arial MT"/>
                <w:spacing w:val="-5"/>
                <w:sz w:val="14"/>
              </w:rPr>
              <w:t>430</w:t>
            </w:r>
          </w:p>
        </w:tc>
        <w:tc>
          <w:tcPr>
            <w:tcW w:w="428" w:type="dxa"/>
          </w:tcPr>
          <w:p>
            <w:pPr>
              <w:pStyle w:val="TableParagraph"/>
              <w:rPr>
                <w:sz w:val="14"/>
              </w:rPr>
            </w:pPr>
          </w:p>
          <w:p>
            <w:pPr>
              <w:pStyle w:val="TableParagraph"/>
              <w:spacing w:before="68"/>
              <w:rPr>
                <w:sz w:val="14"/>
              </w:rPr>
            </w:pPr>
          </w:p>
          <w:p>
            <w:pPr>
              <w:pStyle w:val="TableParagraph"/>
              <w:spacing w:line="156" w:lineRule="exact" w:before="1"/>
              <w:ind w:left="106"/>
              <w:rPr>
                <w:rFonts w:ascii="Arial MT"/>
                <w:sz w:val="14"/>
              </w:rPr>
            </w:pPr>
            <w:r>
              <w:rPr>
                <w:rFonts w:ascii="Arial MT"/>
                <w:spacing w:val="-5"/>
                <w:sz w:val="14"/>
              </w:rPr>
              <w:t>440</w:t>
            </w:r>
          </w:p>
        </w:tc>
        <w:tc>
          <w:tcPr>
            <w:tcW w:w="428" w:type="dxa"/>
          </w:tcPr>
          <w:p>
            <w:pPr>
              <w:pStyle w:val="TableParagraph"/>
              <w:rPr>
                <w:sz w:val="14"/>
              </w:rPr>
            </w:pPr>
          </w:p>
          <w:p>
            <w:pPr>
              <w:pStyle w:val="TableParagraph"/>
              <w:spacing w:before="68"/>
              <w:rPr>
                <w:sz w:val="14"/>
              </w:rPr>
            </w:pPr>
          </w:p>
          <w:p>
            <w:pPr>
              <w:pStyle w:val="TableParagraph"/>
              <w:spacing w:line="156" w:lineRule="exact" w:before="1"/>
              <w:ind w:left="106"/>
              <w:rPr>
                <w:rFonts w:ascii="Arial MT"/>
                <w:sz w:val="14"/>
              </w:rPr>
            </w:pPr>
            <w:r>
              <w:rPr>
                <w:rFonts w:ascii="Arial MT"/>
                <w:spacing w:val="-5"/>
                <w:sz w:val="14"/>
              </w:rPr>
              <w:t>450</w:t>
            </w:r>
          </w:p>
        </w:tc>
        <w:tc>
          <w:tcPr>
            <w:tcW w:w="1286" w:type="dxa"/>
          </w:tcPr>
          <w:p>
            <w:pPr>
              <w:pStyle w:val="TableParagraph"/>
              <w:rPr>
                <w:sz w:val="14"/>
              </w:rPr>
            </w:pPr>
          </w:p>
          <w:p>
            <w:pPr>
              <w:pStyle w:val="TableParagraph"/>
              <w:spacing w:before="68"/>
              <w:rPr>
                <w:sz w:val="14"/>
              </w:rPr>
            </w:pPr>
          </w:p>
          <w:p>
            <w:pPr>
              <w:pStyle w:val="TableParagraph"/>
              <w:tabs>
                <w:tab w:pos="536" w:val="left" w:leader="none"/>
                <w:tab w:pos="964" w:val="left" w:leader="none"/>
              </w:tabs>
              <w:spacing w:line="156" w:lineRule="exact" w:before="1"/>
              <w:ind w:left="106"/>
              <w:rPr>
                <w:rFonts w:ascii="Arial MT"/>
                <w:sz w:val="14"/>
              </w:rPr>
            </w:pPr>
            <w:r>
              <w:rPr>
                <w:rFonts w:ascii="Arial MT"/>
                <w:spacing w:val="-5"/>
                <w:sz w:val="14"/>
              </w:rPr>
              <w:t>460</w:t>
            </w:r>
            <w:r>
              <w:rPr>
                <w:rFonts w:ascii="Arial MT"/>
                <w:sz w:val="14"/>
              </w:rPr>
              <w:tab/>
            </w:r>
            <w:r>
              <w:rPr>
                <w:rFonts w:ascii="Arial MT"/>
                <w:spacing w:val="-5"/>
                <w:sz w:val="14"/>
              </w:rPr>
              <w:t>470</w:t>
            </w:r>
            <w:r>
              <w:rPr>
                <w:rFonts w:ascii="Arial MT"/>
                <w:sz w:val="14"/>
              </w:rPr>
              <w:tab/>
            </w:r>
            <w:r>
              <w:rPr>
                <w:rFonts w:ascii="Arial MT"/>
                <w:spacing w:val="-5"/>
                <w:sz w:val="14"/>
              </w:rPr>
              <w:t>480</w:t>
            </w:r>
          </w:p>
        </w:tc>
        <w:tc>
          <w:tcPr>
            <w:tcW w:w="428" w:type="dxa"/>
          </w:tcPr>
          <w:p>
            <w:pPr>
              <w:pStyle w:val="TableParagraph"/>
              <w:rPr>
                <w:sz w:val="14"/>
              </w:rPr>
            </w:pPr>
          </w:p>
          <w:p>
            <w:pPr>
              <w:pStyle w:val="TableParagraph"/>
              <w:spacing w:before="68"/>
              <w:rPr>
                <w:sz w:val="14"/>
              </w:rPr>
            </w:pPr>
          </w:p>
          <w:p>
            <w:pPr>
              <w:pStyle w:val="TableParagraph"/>
              <w:spacing w:line="156" w:lineRule="exact" w:before="1"/>
              <w:ind w:left="107"/>
              <w:rPr>
                <w:rFonts w:ascii="Arial MT"/>
                <w:sz w:val="14"/>
              </w:rPr>
            </w:pPr>
            <w:r>
              <w:rPr>
                <w:rFonts w:ascii="Arial MT"/>
                <w:spacing w:val="-5"/>
                <w:sz w:val="14"/>
              </w:rPr>
              <w:t>490</w:t>
            </w:r>
          </w:p>
        </w:tc>
        <w:tc>
          <w:tcPr>
            <w:tcW w:w="950" w:type="dxa"/>
          </w:tcPr>
          <w:p>
            <w:pPr>
              <w:pStyle w:val="TableParagraph"/>
              <w:rPr>
                <w:sz w:val="14"/>
              </w:rPr>
            </w:pPr>
          </w:p>
          <w:p>
            <w:pPr>
              <w:pStyle w:val="TableParagraph"/>
              <w:spacing w:before="68"/>
              <w:rPr>
                <w:sz w:val="14"/>
              </w:rPr>
            </w:pPr>
          </w:p>
          <w:p>
            <w:pPr>
              <w:pStyle w:val="TableParagraph"/>
              <w:tabs>
                <w:tab w:pos="535" w:val="left" w:leader="none"/>
              </w:tabs>
              <w:spacing w:line="156" w:lineRule="exact" w:before="1"/>
              <w:ind w:left="107"/>
              <w:rPr>
                <w:rFonts w:ascii="Arial MT"/>
                <w:sz w:val="14"/>
              </w:rPr>
            </w:pPr>
            <w:r>
              <w:rPr>
                <w:rFonts w:ascii="Arial MT"/>
                <w:spacing w:val="-5"/>
                <w:sz w:val="14"/>
              </w:rPr>
              <w:t>500</w:t>
            </w:r>
            <w:r>
              <w:rPr>
                <w:rFonts w:ascii="Arial MT"/>
                <w:sz w:val="14"/>
              </w:rPr>
              <w:tab/>
            </w:r>
            <w:r>
              <w:rPr>
                <w:rFonts w:ascii="Arial MT"/>
                <w:spacing w:val="-5"/>
                <w:sz w:val="14"/>
              </w:rPr>
              <w:t>510</w:t>
            </w:r>
          </w:p>
        </w:tc>
        <w:tc>
          <w:tcPr>
            <w:tcW w:w="322" w:type="dxa"/>
          </w:tcPr>
          <w:p>
            <w:pPr>
              <w:pStyle w:val="TableParagraph"/>
              <w:rPr>
                <w:sz w:val="14"/>
              </w:rPr>
            </w:pPr>
          </w:p>
          <w:p>
            <w:pPr>
              <w:pStyle w:val="TableParagraph"/>
              <w:spacing w:before="68"/>
              <w:rPr>
                <w:sz w:val="14"/>
              </w:rPr>
            </w:pPr>
          </w:p>
          <w:p>
            <w:pPr>
              <w:pStyle w:val="TableParagraph"/>
              <w:spacing w:line="156" w:lineRule="exact" w:before="1"/>
              <w:ind w:left="13"/>
              <w:rPr>
                <w:rFonts w:ascii="Arial MT"/>
                <w:sz w:val="14"/>
              </w:rPr>
            </w:pPr>
            <w:r>
              <w:rPr>
                <w:rFonts w:ascii="Arial MT"/>
                <w:spacing w:val="-5"/>
                <w:sz w:val="14"/>
              </w:rPr>
              <w:t>520</w:t>
            </w:r>
          </w:p>
        </w:tc>
        <w:tc>
          <w:tcPr>
            <w:tcW w:w="1031" w:type="dxa"/>
          </w:tcPr>
          <w:p>
            <w:pPr>
              <w:pStyle w:val="TableParagraph"/>
              <w:spacing w:before="74"/>
              <w:rPr>
                <w:sz w:val="14"/>
              </w:rPr>
            </w:pPr>
          </w:p>
          <w:p>
            <w:pPr>
              <w:pStyle w:val="TableParagraph"/>
              <w:ind w:left="662"/>
              <w:rPr>
                <w:rFonts w:ascii="Arial MT"/>
                <w:sz w:val="14"/>
              </w:rPr>
            </w:pPr>
            <w:r>
              <w:rPr>
                <w:rFonts w:ascii="Arial MT"/>
                <w:spacing w:val="-10"/>
                <w:w w:val="105"/>
                <w:sz w:val="14"/>
              </w:rPr>
              <w:t>0</w:t>
            </w:r>
          </w:p>
          <w:p>
            <w:pPr>
              <w:pStyle w:val="TableParagraph"/>
              <w:spacing w:line="137" w:lineRule="exact" w:before="14"/>
              <w:ind w:left="735"/>
              <w:rPr>
                <w:rFonts w:ascii="Arial MT"/>
                <w:sz w:val="14"/>
              </w:rPr>
            </w:pPr>
            <w:r>
              <w:rPr>
                <w:rFonts w:ascii="Arial MT"/>
                <w:spacing w:val="-5"/>
                <w:w w:val="105"/>
                <w:sz w:val="14"/>
              </w:rPr>
              <w:t>820</w:t>
            </w:r>
          </w:p>
        </w:tc>
        <w:tc>
          <w:tcPr>
            <w:tcW w:w="370" w:type="dxa"/>
          </w:tcPr>
          <w:p>
            <w:pPr>
              <w:pStyle w:val="TableParagraph"/>
              <w:rPr>
                <w:sz w:val="14"/>
              </w:rPr>
            </w:pPr>
          </w:p>
          <w:p>
            <w:pPr>
              <w:pStyle w:val="TableParagraph"/>
              <w:spacing w:before="88"/>
              <w:rPr>
                <w:sz w:val="14"/>
              </w:rPr>
            </w:pPr>
          </w:p>
          <w:p>
            <w:pPr>
              <w:pStyle w:val="TableParagraph"/>
              <w:spacing w:line="137" w:lineRule="exact"/>
              <w:ind w:left="75"/>
              <w:rPr>
                <w:rFonts w:ascii="Arial MT"/>
                <w:sz w:val="14"/>
              </w:rPr>
            </w:pPr>
            <w:r>
              <w:rPr>
                <w:rFonts w:ascii="Arial MT"/>
                <w:spacing w:val="-5"/>
                <w:w w:val="105"/>
                <w:sz w:val="14"/>
              </w:rPr>
              <w:t>840</w:t>
            </w:r>
          </w:p>
        </w:tc>
        <w:tc>
          <w:tcPr>
            <w:tcW w:w="370" w:type="dxa"/>
          </w:tcPr>
          <w:p>
            <w:pPr>
              <w:pStyle w:val="TableParagraph"/>
              <w:rPr>
                <w:sz w:val="14"/>
              </w:rPr>
            </w:pPr>
          </w:p>
          <w:p>
            <w:pPr>
              <w:pStyle w:val="TableParagraph"/>
              <w:spacing w:before="88"/>
              <w:rPr>
                <w:sz w:val="14"/>
              </w:rPr>
            </w:pPr>
          </w:p>
          <w:p>
            <w:pPr>
              <w:pStyle w:val="TableParagraph"/>
              <w:spacing w:line="137" w:lineRule="exact"/>
              <w:ind w:left="74"/>
              <w:rPr>
                <w:rFonts w:ascii="Arial MT"/>
                <w:sz w:val="14"/>
              </w:rPr>
            </w:pPr>
            <w:r>
              <w:rPr>
                <w:rFonts w:ascii="Arial MT"/>
                <w:spacing w:val="-5"/>
                <w:w w:val="105"/>
                <w:sz w:val="14"/>
              </w:rPr>
              <w:t>860</w:t>
            </w:r>
          </w:p>
        </w:tc>
        <w:tc>
          <w:tcPr>
            <w:tcW w:w="370" w:type="dxa"/>
          </w:tcPr>
          <w:p>
            <w:pPr>
              <w:pStyle w:val="TableParagraph"/>
              <w:rPr>
                <w:sz w:val="14"/>
              </w:rPr>
            </w:pPr>
          </w:p>
          <w:p>
            <w:pPr>
              <w:pStyle w:val="TableParagraph"/>
              <w:spacing w:before="88"/>
              <w:rPr>
                <w:sz w:val="14"/>
              </w:rPr>
            </w:pPr>
          </w:p>
          <w:p>
            <w:pPr>
              <w:pStyle w:val="TableParagraph"/>
              <w:spacing w:line="137" w:lineRule="exact"/>
              <w:ind w:left="75"/>
              <w:rPr>
                <w:rFonts w:ascii="Arial MT"/>
                <w:sz w:val="14"/>
              </w:rPr>
            </w:pPr>
            <w:r>
              <w:rPr>
                <w:rFonts w:ascii="Arial MT"/>
                <w:spacing w:val="-5"/>
                <w:w w:val="105"/>
                <w:sz w:val="14"/>
              </w:rPr>
              <w:t>880</w:t>
            </w:r>
          </w:p>
        </w:tc>
        <w:tc>
          <w:tcPr>
            <w:tcW w:w="370" w:type="dxa"/>
          </w:tcPr>
          <w:p>
            <w:pPr>
              <w:pStyle w:val="TableParagraph"/>
              <w:rPr>
                <w:sz w:val="14"/>
              </w:rPr>
            </w:pPr>
          </w:p>
          <w:p>
            <w:pPr>
              <w:pStyle w:val="TableParagraph"/>
              <w:spacing w:before="88"/>
              <w:rPr>
                <w:sz w:val="14"/>
              </w:rPr>
            </w:pPr>
          </w:p>
          <w:p>
            <w:pPr>
              <w:pStyle w:val="TableParagraph"/>
              <w:spacing w:line="137" w:lineRule="exact"/>
              <w:ind w:left="74"/>
              <w:rPr>
                <w:rFonts w:ascii="Arial MT"/>
                <w:sz w:val="14"/>
              </w:rPr>
            </w:pPr>
            <w:r>
              <w:rPr>
                <w:rFonts w:ascii="Arial MT"/>
                <w:spacing w:val="-5"/>
                <w:w w:val="105"/>
                <w:sz w:val="14"/>
              </w:rPr>
              <w:t>900</w:t>
            </w:r>
          </w:p>
        </w:tc>
        <w:tc>
          <w:tcPr>
            <w:tcW w:w="1111" w:type="dxa"/>
          </w:tcPr>
          <w:p>
            <w:pPr>
              <w:pStyle w:val="TableParagraph"/>
              <w:rPr>
                <w:sz w:val="14"/>
              </w:rPr>
            </w:pPr>
          </w:p>
          <w:p>
            <w:pPr>
              <w:pStyle w:val="TableParagraph"/>
              <w:spacing w:before="88"/>
              <w:rPr>
                <w:sz w:val="14"/>
              </w:rPr>
            </w:pPr>
          </w:p>
          <w:p>
            <w:pPr>
              <w:pStyle w:val="TableParagraph"/>
              <w:spacing w:line="137" w:lineRule="exact"/>
              <w:ind w:left="74"/>
              <w:rPr>
                <w:rFonts w:ascii="Arial MT"/>
                <w:sz w:val="14"/>
              </w:rPr>
            </w:pPr>
            <w:r>
              <w:rPr>
                <w:rFonts w:ascii="Arial MT"/>
                <w:w w:val="105"/>
                <w:sz w:val="14"/>
              </w:rPr>
              <w:t>920</w:t>
            </w:r>
            <w:r>
              <w:rPr>
                <w:rFonts w:ascii="Arial MT"/>
                <w:spacing w:val="63"/>
                <w:w w:val="150"/>
                <w:sz w:val="14"/>
              </w:rPr>
              <w:t> </w:t>
            </w:r>
            <w:r>
              <w:rPr>
                <w:rFonts w:ascii="Arial MT"/>
                <w:w w:val="105"/>
                <w:sz w:val="14"/>
              </w:rPr>
              <w:t>940</w:t>
            </w:r>
            <w:r>
              <w:rPr>
                <w:rFonts w:ascii="Arial MT"/>
                <w:spacing w:val="79"/>
                <w:w w:val="105"/>
                <w:sz w:val="14"/>
              </w:rPr>
              <w:t> </w:t>
            </w:r>
            <w:r>
              <w:rPr>
                <w:rFonts w:ascii="Arial MT"/>
                <w:spacing w:val="-5"/>
                <w:w w:val="105"/>
                <w:sz w:val="14"/>
              </w:rPr>
              <w:t>960</w:t>
            </w:r>
          </w:p>
        </w:tc>
        <w:tc>
          <w:tcPr>
            <w:tcW w:w="1857" w:type="dxa"/>
          </w:tcPr>
          <w:p>
            <w:pPr>
              <w:pStyle w:val="TableParagraph"/>
              <w:rPr>
                <w:sz w:val="14"/>
              </w:rPr>
            </w:pPr>
          </w:p>
          <w:p>
            <w:pPr>
              <w:pStyle w:val="TableParagraph"/>
              <w:spacing w:before="88"/>
              <w:rPr>
                <w:sz w:val="14"/>
              </w:rPr>
            </w:pPr>
          </w:p>
          <w:p>
            <w:pPr>
              <w:pStyle w:val="TableParagraph"/>
              <w:spacing w:line="137" w:lineRule="exact"/>
              <w:ind w:left="74"/>
              <w:rPr>
                <w:rFonts w:ascii="Arial MT"/>
                <w:sz w:val="14"/>
              </w:rPr>
            </w:pPr>
            <w:r>
              <w:rPr>
                <w:rFonts w:ascii="Arial MT"/>
                <w:spacing w:val="-2"/>
                <w:w w:val="105"/>
                <w:sz w:val="14"/>
              </w:rPr>
              <w:t>980</w:t>
            </w:r>
            <w:r>
              <w:rPr>
                <w:rFonts w:ascii="Arial MT"/>
                <w:spacing w:val="35"/>
                <w:w w:val="105"/>
                <w:sz w:val="14"/>
              </w:rPr>
              <w:t> </w:t>
            </w:r>
            <w:r>
              <w:rPr>
                <w:rFonts w:ascii="Arial MT"/>
                <w:spacing w:val="-2"/>
                <w:w w:val="105"/>
                <w:sz w:val="14"/>
              </w:rPr>
              <w:t>1000</w:t>
            </w:r>
            <w:r>
              <w:rPr>
                <w:rFonts w:ascii="Arial MT"/>
                <w:spacing w:val="9"/>
                <w:w w:val="105"/>
                <w:sz w:val="14"/>
              </w:rPr>
              <w:t> </w:t>
            </w:r>
            <w:r>
              <w:rPr>
                <w:rFonts w:ascii="Arial MT"/>
                <w:spacing w:val="-2"/>
                <w:w w:val="105"/>
                <w:sz w:val="14"/>
              </w:rPr>
              <w:t>1020</w:t>
            </w:r>
            <w:r>
              <w:rPr>
                <w:rFonts w:ascii="Arial MT"/>
                <w:spacing w:val="9"/>
                <w:w w:val="105"/>
                <w:sz w:val="14"/>
              </w:rPr>
              <w:t> </w:t>
            </w:r>
            <w:r>
              <w:rPr>
                <w:rFonts w:ascii="Arial MT"/>
                <w:spacing w:val="-2"/>
                <w:w w:val="105"/>
                <w:sz w:val="14"/>
              </w:rPr>
              <w:t>1040</w:t>
            </w:r>
            <w:r>
              <w:rPr>
                <w:rFonts w:ascii="Arial MT"/>
                <w:spacing w:val="10"/>
                <w:w w:val="105"/>
                <w:sz w:val="14"/>
              </w:rPr>
              <w:t> </w:t>
            </w:r>
            <w:r>
              <w:rPr>
                <w:rFonts w:ascii="Arial MT"/>
                <w:spacing w:val="-4"/>
                <w:w w:val="105"/>
                <w:sz w:val="14"/>
              </w:rPr>
              <w:t>1060</w:t>
            </w:r>
          </w:p>
        </w:tc>
      </w:tr>
      <w:tr>
        <w:trPr>
          <w:trHeight w:val="270" w:hRule="atLeast"/>
        </w:trPr>
        <w:tc>
          <w:tcPr>
            <w:tcW w:w="93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spacing w:line="180" w:lineRule="exact"/>
              <w:ind w:left="250"/>
              <w:rPr>
                <w:rFonts w:ascii="Arial MT"/>
                <w:sz w:val="16"/>
              </w:rPr>
            </w:pPr>
            <w:r>
              <w:rPr>
                <w:rFonts w:ascii="Arial MT"/>
                <w:spacing w:val="-6"/>
                <w:sz w:val="16"/>
              </w:rPr>
              <w:t>Wave</w:t>
            </w:r>
            <w:r>
              <w:rPr>
                <w:rFonts w:ascii="Arial MT"/>
                <w:spacing w:val="-7"/>
                <w:sz w:val="16"/>
              </w:rPr>
              <w:t> </w:t>
            </w:r>
            <w:r>
              <w:rPr>
                <w:rFonts w:ascii="Arial MT"/>
                <w:spacing w:val="-4"/>
                <w:sz w:val="16"/>
              </w:rPr>
              <w:t>[nm]</w:t>
            </w: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spacing w:before="40"/>
              <w:ind w:left="264"/>
              <w:rPr>
                <w:rFonts w:ascii="Arial MT"/>
                <w:sz w:val="17"/>
              </w:rPr>
            </w:pPr>
            <w:r>
              <w:rPr>
                <w:rFonts w:ascii="Arial MT"/>
                <w:spacing w:val="-7"/>
                <w:sz w:val="17"/>
              </w:rPr>
              <w:t>Wave</w:t>
            </w:r>
            <w:r>
              <w:rPr>
                <w:rFonts w:ascii="Arial MT"/>
                <w:spacing w:val="-8"/>
                <w:sz w:val="17"/>
              </w:rPr>
              <w:t> </w:t>
            </w:r>
            <w:r>
              <w:rPr>
                <w:rFonts w:ascii="Arial MT"/>
                <w:spacing w:val="-4"/>
                <w:sz w:val="17"/>
              </w:rPr>
              <w:t>[nm]</w:t>
            </w: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spacing w:line="192" w:lineRule="exact" w:before="58"/>
              <w:ind w:left="163"/>
              <w:rPr>
                <w:rFonts w:ascii="Arial MT"/>
                <w:sz w:val="18"/>
              </w:rPr>
            </w:pPr>
            <w:r>
              <w:rPr>
                <w:rFonts w:ascii="Arial MT"/>
                <w:spacing w:val="-9"/>
                <w:sz w:val="18"/>
              </w:rPr>
              <w:t>Wave</w:t>
            </w:r>
            <w:r>
              <w:rPr>
                <w:rFonts w:ascii="Arial MT"/>
                <w:spacing w:val="-11"/>
                <w:sz w:val="18"/>
              </w:rPr>
              <w:t> </w:t>
            </w:r>
            <w:r>
              <w:rPr>
                <w:rFonts w:ascii="Arial MT"/>
                <w:spacing w:val="-4"/>
                <w:sz w:val="18"/>
              </w:rPr>
              <w:t>[nm]</w:t>
            </w:r>
          </w:p>
        </w:tc>
        <w:tc>
          <w:tcPr>
            <w:tcW w:w="1857" w:type="dxa"/>
          </w:tcPr>
          <w:p>
            <w:pPr>
              <w:pStyle w:val="TableParagraph"/>
              <w:rPr>
                <w:sz w:val="18"/>
              </w:rPr>
            </w:pPr>
          </w:p>
        </w:tc>
      </w:tr>
      <w:tr>
        <w:trPr>
          <w:trHeight w:val="526" w:hRule="atLeast"/>
        </w:trPr>
        <w:tc>
          <w:tcPr>
            <w:tcW w:w="93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407" w:type="dxa"/>
          </w:tcPr>
          <w:p>
            <w:pPr>
              <w:pStyle w:val="TableParagraph"/>
              <w:rPr>
                <w:sz w:val="18"/>
              </w:rPr>
            </w:pPr>
          </w:p>
        </w:tc>
        <w:tc>
          <w:tcPr>
            <w:tcW w:w="1224" w:type="dxa"/>
          </w:tcPr>
          <w:p>
            <w:pPr>
              <w:pStyle w:val="TableParagraph"/>
              <w:spacing w:line="316" w:lineRule="exact"/>
              <w:ind w:left="230"/>
              <w:rPr>
                <w:b/>
                <w:sz w:val="28"/>
              </w:rPr>
            </w:pPr>
            <w:r>
              <w:rPr>
                <w:b/>
                <w:spacing w:val="-10"/>
                <w:sz w:val="28"/>
              </w:rPr>
              <w:t>a</w:t>
            </w:r>
          </w:p>
        </w:tc>
        <w:tc>
          <w:tcPr>
            <w:tcW w:w="407" w:type="dxa"/>
          </w:tcPr>
          <w:p>
            <w:pPr>
              <w:pStyle w:val="TableParagraph"/>
              <w:rPr>
                <w:sz w:val="18"/>
              </w:rPr>
            </w:pPr>
          </w:p>
        </w:tc>
        <w:tc>
          <w:tcPr>
            <w:tcW w:w="1264" w:type="dxa"/>
          </w:tcPr>
          <w:p>
            <w:pPr>
              <w:pStyle w:val="TableParagraph"/>
              <w:rPr>
                <w:sz w:val="18"/>
              </w:rPr>
            </w:pPr>
          </w:p>
        </w:tc>
        <w:tc>
          <w:tcPr>
            <w:tcW w:w="1082"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428" w:type="dxa"/>
          </w:tcPr>
          <w:p>
            <w:pPr>
              <w:pStyle w:val="TableParagraph"/>
              <w:rPr>
                <w:sz w:val="18"/>
              </w:rPr>
            </w:pPr>
          </w:p>
        </w:tc>
        <w:tc>
          <w:tcPr>
            <w:tcW w:w="1286" w:type="dxa"/>
          </w:tcPr>
          <w:p>
            <w:pPr>
              <w:pStyle w:val="TableParagraph"/>
              <w:spacing w:line="316" w:lineRule="exact"/>
              <w:ind w:left="194"/>
              <w:rPr>
                <w:b/>
                <w:sz w:val="28"/>
              </w:rPr>
            </w:pPr>
            <w:r>
              <w:rPr>
                <w:b/>
                <w:spacing w:val="-10"/>
                <w:sz w:val="28"/>
              </w:rPr>
              <w:t>b</w:t>
            </w:r>
          </w:p>
        </w:tc>
        <w:tc>
          <w:tcPr>
            <w:tcW w:w="428" w:type="dxa"/>
          </w:tcPr>
          <w:p>
            <w:pPr>
              <w:pStyle w:val="TableParagraph"/>
              <w:rPr>
                <w:sz w:val="18"/>
              </w:rPr>
            </w:pPr>
          </w:p>
        </w:tc>
        <w:tc>
          <w:tcPr>
            <w:tcW w:w="950" w:type="dxa"/>
          </w:tcPr>
          <w:p>
            <w:pPr>
              <w:pStyle w:val="TableParagraph"/>
              <w:rPr>
                <w:sz w:val="18"/>
              </w:rPr>
            </w:pPr>
          </w:p>
        </w:tc>
        <w:tc>
          <w:tcPr>
            <w:tcW w:w="322" w:type="dxa"/>
          </w:tcPr>
          <w:p>
            <w:pPr>
              <w:pStyle w:val="TableParagraph"/>
              <w:rPr>
                <w:sz w:val="18"/>
              </w:rPr>
            </w:pPr>
          </w:p>
        </w:tc>
        <w:tc>
          <w:tcPr>
            <w:tcW w:w="1031"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370" w:type="dxa"/>
          </w:tcPr>
          <w:p>
            <w:pPr>
              <w:pStyle w:val="TableParagraph"/>
              <w:rPr>
                <w:sz w:val="18"/>
              </w:rPr>
            </w:pPr>
          </w:p>
        </w:tc>
        <w:tc>
          <w:tcPr>
            <w:tcW w:w="1111" w:type="dxa"/>
          </w:tcPr>
          <w:p>
            <w:pPr>
              <w:pStyle w:val="TableParagraph"/>
              <w:spacing w:before="68"/>
              <w:ind w:left="169"/>
              <w:rPr>
                <w:b/>
                <w:sz w:val="28"/>
              </w:rPr>
            </w:pPr>
            <w:r>
              <w:rPr>
                <w:b/>
                <w:spacing w:val="-10"/>
                <w:sz w:val="28"/>
              </w:rPr>
              <w:t>c</w:t>
            </w:r>
          </w:p>
        </w:tc>
        <w:tc>
          <w:tcPr>
            <w:tcW w:w="1857" w:type="dxa"/>
          </w:tcPr>
          <w:p>
            <w:pPr>
              <w:pStyle w:val="TableParagraph"/>
              <w:rPr>
                <w:sz w:val="18"/>
              </w:rPr>
            </w:pPr>
          </w:p>
        </w:tc>
      </w:tr>
      <w:tr>
        <w:trPr>
          <w:trHeight w:val="69" w:hRule="atLeast"/>
        </w:trPr>
        <w:tc>
          <w:tcPr>
            <w:tcW w:w="5053" w:type="dxa"/>
            <w:gridSpan w:val="7"/>
          </w:tcPr>
          <w:p>
            <w:pPr>
              <w:pStyle w:val="TableParagraph"/>
              <w:rPr>
                <w:sz w:val="2"/>
              </w:rPr>
            </w:pPr>
          </w:p>
        </w:tc>
        <w:tc>
          <w:tcPr>
            <w:tcW w:w="5352" w:type="dxa"/>
            <w:gridSpan w:val="8"/>
          </w:tcPr>
          <w:p>
            <w:pPr>
              <w:pStyle w:val="TableParagraph"/>
              <w:rPr>
                <w:sz w:val="2"/>
              </w:rPr>
            </w:pPr>
          </w:p>
        </w:tc>
        <w:tc>
          <w:tcPr>
            <w:tcW w:w="5479" w:type="dxa"/>
            <w:gridSpan w:val="7"/>
          </w:tcPr>
          <w:p>
            <w:pPr>
              <w:pStyle w:val="TableParagraph"/>
              <w:rPr>
                <w:sz w:val="2"/>
              </w:rPr>
            </w:pPr>
          </w:p>
        </w:tc>
      </w:tr>
      <w:tr>
        <w:trPr>
          <w:trHeight w:val="138" w:hRule="atLeast"/>
        </w:trPr>
        <w:tc>
          <w:tcPr>
            <w:tcW w:w="5053" w:type="dxa"/>
            <w:gridSpan w:val="7"/>
          </w:tcPr>
          <w:p>
            <w:pPr>
              <w:pStyle w:val="TableParagraph"/>
              <w:rPr>
                <w:sz w:val="8"/>
              </w:rPr>
            </w:pPr>
          </w:p>
        </w:tc>
        <w:tc>
          <w:tcPr>
            <w:tcW w:w="5352" w:type="dxa"/>
            <w:gridSpan w:val="8"/>
          </w:tcPr>
          <w:p>
            <w:pPr>
              <w:pStyle w:val="TableParagraph"/>
              <w:rPr>
                <w:sz w:val="8"/>
              </w:rPr>
            </w:pPr>
          </w:p>
        </w:tc>
        <w:tc>
          <w:tcPr>
            <w:tcW w:w="5479" w:type="dxa"/>
            <w:gridSpan w:val="7"/>
          </w:tcPr>
          <w:p>
            <w:pPr>
              <w:pStyle w:val="TableParagraph"/>
              <w:rPr>
                <w:sz w:val="8"/>
              </w:rPr>
            </w:pPr>
          </w:p>
        </w:tc>
      </w:tr>
      <w:tr>
        <w:trPr>
          <w:trHeight w:val="5022" w:hRule="atLeast"/>
        </w:trPr>
        <w:tc>
          <w:tcPr>
            <w:tcW w:w="15884" w:type="dxa"/>
            <w:gridSpan w:val="22"/>
          </w:tcPr>
          <w:p>
            <w:pPr>
              <w:pStyle w:val="TableParagraph"/>
              <w:spacing w:before="21"/>
              <w:ind w:left="5119"/>
              <w:rPr>
                <w:rFonts w:ascii="Arial MT"/>
                <w:sz w:val="17"/>
              </w:rPr>
            </w:pPr>
            <w:r>
              <w:rPr>
                <w:rFonts w:ascii="Arial MT"/>
                <w:sz w:val="17"/>
              </w:rPr>
              <mc:AlternateContent>
                <mc:Choice Requires="wps">
                  <w:drawing>
                    <wp:anchor distT="0" distB="0" distL="0" distR="0" allowOverlap="1" layoutInCell="1" locked="0" behindDoc="1" simplePos="0" relativeHeight="481468416">
                      <wp:simplePos x="0" y="0"/>
                      <wp:positionH relativeFrom="column">
                        <wp:posOffset>3443954</wp:posOffset>
                      </wp:positionH>
                      <wp:positionV relativeFrom="paragraph">
                        <wp:posOffset>-137617</wp:posOffset>
                      </wp:positionV>
                      <wp:extent cx="3310254" cy="248348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3310254" cy="2483485"/>
                                <a:chExt cx="3310254" cy="2483485"/>
                              </a:xfrm>
                            </wpg:grpSpPr>
                            <pic:pic>
                              <pic:nvPicPr>
                                <pic:cNvPr id="76" name="Image 76"/>
                                <pic:cNvPicPr/>
                              </pic:nvPicPr>
                              <pic:blipFill>
                                <a:blip r:embed="rId50" cstate="print"/>
                                <a:stretch>
                                  <a:fillRect/>
                                </a:stretch>
                              </pic:blipFill>
                              <pic:spPr>
                                <a:xfrm>
                                  <a:off x="0" y="0"/>
                                  <a:ext cx="3307054" cy="2481262"/>
                                </a:xfrm>
                                <a:prstGeom prst="rect">
                                  <a:avLst/>
                                </a:prstGeom>
                              </pic:spPr>
                            </pic:pic>
                          </wpg:wgp>
                        </a:graphicData>
                      </a:graphic>
                    </wp:anchor>
                  </w:drawing>
                </mc:Choice>
                <mc:Fallback>
                  <w:pict>
                    <v:group style="position:absolute;margin-left:271.177521pt;margin-top:-10.835999pt;width:260.6500pt;height:195.55pt;mso-position-horizontal-relative:column;mso-position-vertical-relative:paragraph;z-index:-21848064" id="docshapegroup44" coordorigin="5424,-217" coordsize="5213,3911">
                      <v:shape style="position:absolute;left:5423;top:-217;width:5208;height:3908" type="#_x0000_t75" id="docshape45" stroked="false">
                        <v:imagedata r:id="rId50" o:title=""/>
                      </v:shape>
                      <w10:wrap type="none"/>
                    </v:group>
                  </w:pict>
                </mc:Fallback>
              </mc:AlternateContent>
            </w:r>
            <w:r>
              <w:rPr>
                <w:rFonts w:ascii="Arial MT"/>
                <w:spacing w:val="-5"/>
                <w:sz w:val="17"/>
              </w:rPr>
              <w:t>100</w:t>
            </w:r>
          </w:p>
          <w:p>
            <w:pPr>
              <w:pStyle w:val="TableParagraph"/>
              <w:rPr>
                <w:sz w:val="17"/>
              </w:rPr>
            </w:pPr>
          </w:p>
          <w:p>
            <w:pPr>
              <w:pStyle w:val="TableParagraph"/>
              <w:spacing w:before="110"/>
              <w:rPr>
                <w:sz w:val="17"/>
              </w:rPr>
            </w:pPr>
          </w:p>
          <w:p>
            <w:pPr>
              <w:pStyle w:val="TableParagraph"/>
              <w:ind w:left="5204"/>
              <w:rPr>
                <w:rFonts w:ascii="Arial MT"/>
                <w:sz w:val="17"/>
              </w:rPr>
            </w:pPr>
            <w:r>
              <w:rPr>
                <w:rFonts w:ascii="Arial MT"/>
                <w:spacing w:val="-5"/>
                <w:sz w:val="17"/>
              </w:rPr>
              <w:t>80</w:t>
            </w:r>
          </w:p>
          <w:p>
            <w:pPr>
              <w:pStyle w:val="TableParagraph"/>
              <w:rPr>
                <w:sz w:val="17"/>
              </w:rPr>
            </w:pPr>
          </w:p>
          <w:p>
            <w:pPr>
              <w:pStyle w:val="TableParagraph"/>
              <w:spacing w:before="109"/>
              <w:rPr>
                <w:sz w:val="17"/>
              </w:rPr>
            </w:pPr>
          </w:p>
          <w:p>
            <w:pPr>
              <w:pStyle w:val="TableParagraph"/>
              <w:spacing w:before="1"/>
              <w:ind w:left="5204"/>
              <w:rPr>
                <w:rFonts w:ascii="Arial MT"/>
                <w:sz w:val="17"/>
              </w:rPr>
            </w:pPr>
            <w:r>
              <w:rPr>
                <w:rFonts w:ascii="Arial MT"/>
                <w:spacing w:val="-5"/>
                <w:sz w:val="17"/>
              </w:rPr>
              <w:t>60</w:t>
            </w:r>
          </w:p>
          <w:p>
            <w:pPr>
              <w:pStyle w:val="TableParagraph"/>
              <w:rPr>
                <w:sz w:val="17"/>
              </w:rPr>
            </w:pPr>
          </w:p>
          <w:p>
            <w:pPr>
              <w:pStyle w:val="TableParagraph"/>
              <w:spacing w:before="109"/>
              <w:rPr>
                <w:sz w:val="17"/>
              </w:rPr>
            </w:pPr>
          </w:p>
          <w:p>
            <w:pPr>
              <w:pStyle w:val="TableParagraph"/>
              <w:ind w:left="5204"/>
              <w:rPr>
                <w:rFonts w:ascii="Arial MT"/>
                <w:sz w:val="17"/>
              </w:rPr>
            </w:pPr>
            <w:r>
              <w:rPr>
                <w:rFonts w:ascii="Arial MT"/>
                <w:spacing w:val="-5"/>
                <w:sz w:val="17"/>
              </w:rPr>
              <w:t>40</w:t>
            </w:r>
          </w:p>
          <w:p>
            <w:pPr>
              <w:pStyle w:val="TableParagraph"/>
              <w:rPr>
                <w:sz w:val="17"/>
              </w:rPr>
            </w:pPr>
          </w:p>
          <w:p>
            <w:pPr>
              <w:pStyle w:val="TableParagraph"/>
              <w:spacing w:before="110"/>
              <w:rPr>
                <w:sz w:val="17"/>
              </w:rPr>
            </w:pPr>
          </w:p>
          <w:p>
            <w:pPr>
              <w:pStyle w:val="TableParagraph"/>
              <w:ind w:left="5204"/>
              <w:rPr>
                <w:rFonts w:ascii="Arial MT"/>
                <w:sz w:val="17"/>
              </w:rPr>
            </w:pPr>
            <w:r>
              <w:rPr>
                <w:rFonts w:ascii="Arial MT"/>
                <w:spacing w:val="-5"/>
                <w:sz w:val="17"/>
              </w:rPr>
              <w:t>20</w:t>
            </w:r>
          </w:p>
          <w:p>
            <w:pPr>
              <w:pStyle w:val="TableParagraph"/>
              <w:rPr>
                <w:sz w:val="17"/>
              </w:rPr>
            </w:pPr>
          </w:p>
          <w:p>
            <w:pPr>
              <w:pStyle w:val="TableParagraph"/>
              <w:spacing w:before="109"/>
              <w:rPr>
                <w:sz w:val="17"/>
              </w:rPr>
            </w:pPr>
          </w:p>
          <w:p>
            <w:pPr>
              <w:pStyle w:val="TableParagraph"/>
              <w:ind w:left="5288"/>
              <w:rPr>
                <w:rFonts w:ascii="Arial MT"/>
                <w:sz w:val="17"/>
              </w:rPr>
            </w:pPr>
            <w:r>
              <w:rPr>
                <w:rFonts w:ascii="Arial MT"/>
                <w:spacing w:val="-10"/>
                <w:sz w:val="17"/>
              </w:rPr>
              <w:t>0</w:t>
            </w:r>
          </w:p>
          <w:p>
            <w:pPr>
              <w:pStyle w:val="TableParagraph"/>
              <w:tabs>
                <w:tab w:pos="6104" w:val="left" w:leader="none"/>
                <w:tab w:pos="6836" w:val="left" w:leader="none"/>
                <w:tab w:pos="7568" w:val="left" w:leader="none"/>
                <w:tab w:pos="8301" w:val="left" w:leader="none"/>
                <w:tab w:pos="9033" w:val="left" w:leader="none"/>
                <w:tab w:pos="9723" w:val="left" w:leader="none"/>
                <w:tab w:pos="10455" w:val="left" w:leader="none"/>
              </w:tabs>
              <w:spacing w:before="11"/>
              <w:ind w:left="5372"/>
              <w:rPr>
                <w:rFonts w:ascii="Arial MT"/>
                <w:sz w:val="17"/>
              </w:rPr>
            </w:pPr>
            <w:r>
              <w:rPr>
                <w:rFonts w:ascii="Arial MT"/>
                <w:spacing w:val="-5"/>
                <w:sz w:val="17"/>
              </w:rPr>
              <w:t>400</w:t>
            </w:r>
            <w:r>
              <w:rPr>
                <w:rFonts w:ascii="Arial MT"/>
                <w:sz w:val="17"/>
              </w:rPr>
              <w:tab/>
            </w:r>
            <w:r>
              <w:rPr>
                <w:rFonts w:ascii="Arial MT"/>
                <w:spacing w:val="-5"/>
                <w:sz w:val="17"/>
              </w:rPr>
              <w:t>500</w:t>
            </w:r>
            <w:r>
              <w:rPr>
                <w:rFonts w:ascii="Arial MT"/>
                <w:sz w:val="17"/>
              </w:rPr>
              <w:tab/>
            </w:r>
            <w:r>
              <w:rPr>
                <w:rFonts w:ascii="Arial MT"/>
                <w:spacing w:val="-5"/>
                <w:sz w:val="17"/>
              </w:rPr>
              <w:t>600</w:t>
            </w:r>
            <w:r>
              <w:rPr>
                <w:rFonts w:ascii="Arial MT"/>
                <w:sz w:val="17"/>
              </w:rPr>
              <w:tab/>
            </w:r>
            <w:r>
              <w:rPr>
                <w:rFonts w:ascii="Arial MT"/>
                <w:spacing w:val="-5"/>
                <w:sz w:val="17"/>
              </w:rPr>
              <w:t>700</w:t>
            </w:r>
            <w:r>
              <w:rPr>
                <w:rFonts w:ascii="Arial MT"/>
                <w:sz w:val="17"/>
              </w:rPr>
              <w:tab/>
            </w:r>
            <w:r>
              <w:rPr>
                <w:rFonts w:ascii="Arial MT"/>
                <w:spacing w:val="-5"/>
                <w:sz w:val="17"/>
              </w:rPr>
              <w:t>800</w:t>
            </w:r>
            <w:r>
              <w:rPr>
                <w:rFonts w:ascii="Arial MT"/>
                <w:sz w:val="17"/>
              </w:rPr>
              <w:tab/>
            </w:r>
            <w:r>
              <w:rPr>
                <w:rFonts w:ascii="Arial MT"/>
                <w:spacing w:val="-5"/>
                <w:sz w:val="17"/>
              </w:rPr>
              <w:t>900</w:t>
            </w:r>
            <w:r>
              <w:rPr>
                <w:rFonts w:ascii="Arial MT"/>
                <w:sz w:val="17"/>
              </w:rPr>
              <w:tab/>
            </w:r>
            <w:r>
              <w:rPr>
                <w:rFonts w:ascii="Arial MT"/>
                <w:spacing w:val="-4"/>
                <w:sz w:val="17"/>
              </w:rPr>
              <w:t>1000</w:t>
            </w:r>
            <w:r>
              <w:rPr>
                <w:rFonts w:ascii="Arial MT"/>
                <w:sz w:val="17"/>
              </w:rPr>
              <w:tab/>
            </w:r>
            <w:r>
              <w:rPr>
                <w:rFonts w:ascii="Arial MT"/>
                <w:spacing w:val="-4"/>
                <w:sz w:val="17"/>
              </w:rPr>
              <w:t>1100</w:t>
            </w:r>
          </w:p>
          <w:p>
            <w:pPr>
              <w:pStyle w:val="TableParagraph"/>
              <w:tabs>
                <w:tab w:pos="10930" w:val="left" w:leader="none"/>
              </w:tabs>
              <w:spacing w:before="64"/>
              <w:ind w:left="7611"/>
              <w:rPr>
                <w:b/>
                <w:position w:val="-10"/>
                <w:sz w:val="28"/>
              </w:rPr>
            </w:pPr>
            <w:r>
              <w:rPr>
                <w:rFonts w:ascii="Arial MT"/>
                <w:spacing w:val="-11"/>
                <w:sz w:val="21"/>
              </w:rPr>
              <w:t>Wave</w:t>
            </w:r>
            <w:r>
              <w:rPr>
                <w:rFonts w:ascii="Arial MT"/>
                <w:spacing w:val="-15"/>
                <w:sz w:val="21"/>
              </w:rPr>
              <w:t> </w:t>
            </w:r>
            <w:r>
              <w:rPr>
                <w:rFonts w:ascii="Arial MT"/>
                <w:spacing w:val="-4"/>
                <w:sz w:val="21"/>
              </w:rPr>
              <w:t>[nm]</w:t>
            </w:r>
            <w:r>
              <w:rPr>
                <w:rFonts w:ascii="Arial MT"/>
                <w:sz w:val="21"/>
              </w:rPr>
              <w:tab/>
            </w:r>
            <w:r>
              <w:rPr>
                <w:b/>
                <w:spacing w:val="-10"/>
                <w:position w:val="-10"/>
                <w:sz w:val="28"/>
              </w:rPr>
              <w:t>d</w:t>
            </w:r>
          </w:p>
          <w:p>
            <w:pPr>
              <w:pStyle w:val="TableParagraph"/>
              <w:spacing w:before="22"/>
              <w:ind w:right="56"/>
              <w:jc w:val="center"/>
              <w:rPr>
                <w:sz w:val="28"/>
              </w:rPr>
            </w:pPr>
            <w:r>
              <w:rPr>
                <w:sz w:val="28"/>
              </w:rPr>
              <w:t>Рисунок</w:t>
            </w:r>
            <w:r>
              <w:rPr>
                <w:spacing w:val="-9"/>
                <w:sz w:val="28"/>
              </w:rPr>
              <w:t> </w:t>
            </w:r>
            <w:r>
              <w:rPr>
                <w:sz w:val="28"/>
              </w:rPr>
              <w:t>28</w:t>
            </w:r>
            <w:r>
              <w:rPr>
                <w:spacing w:val="-5"/>
                <w:sz w:val="28"/>
              </w:rPr>
              <w:t> </w:t>
            </w:r>
            <w:r>
              <w:rPr>
                <w:rFonts w:ascii="Arial MT" w:hAnsi="Arial MT"/>
                <w:color w:val="454545"/>
                <w:sz w:val="21"/>
              </w:rPr>
              <w:t>—</w:t>
            </w:r>
            <w:r>
              <w:rPr>
                <w:rFonts w:ascii="Arial MT" w:hAnsi="Arial MT"/>
                <w:color w:val="454545"/>
                <w:spacing w:val="-3"/>
                <w:sz w:val="21"/>
              </w:rPr>
              <w:t> </w:t>
            </w:r>
            <w:r>
              <w:rPr>
                <w:sz w:val="28"/>
              </w:rPr>
              <w:t>Длина</w:t>
            </w:r>
            <w:r>
              <w:rPr>
                <w:spacing w:val="-7"/>
                <w:sz w:val="28"/>
              </w:rPr>
              <w:t> </w:t>
            </w:r>
            <w:r>
              <w:rPr>
                <w:sz w:val="28"/>
              </w:rPr>
              <w:t>волны</w:t>
            </w:r>
            <w:r>
              <w:rPr>
                <w:spacing w:val="-5"/>
                <w:sz w:val="28"/>
              </w:rPr>
              <w:t> </w:t>
            </w:r>
            <w:r>
              <w:rPr>
                <w:sz w:val="28"/>
              </w:rPr>
              <w:t>и</w:t>
            </w:r>
            <w:r>
              <w:rPr>
                <w:spacing w:val="-3"/>
                <w:sz w:val="28"/>
              </w:rPr>
              <w:t> </w:t>
            </w:r>
            <w:r>
              <w:rPr>
                <w:sz w:val="28"/>
              </w:rPr>
              <w:t>интенсивность</w:t>
            </w:r>
            <w:r>
              <w:rPr>
                <w:spacing w:val="-5"/>
                <w:sz w:val="28"/>
              </w:rPr>
              <w:t> </w:t>
            </w:r>
            <w:r>
              <w:rPr>
                <w:sz w:val="28"/>
              </w:rPr>
              <w:t>применяемых</w:t>
            </w:r>
            <w:r>
              <w:rPr>
                <w:spacing w:val="-5"/>
                <w:sz w:val="28"/>
              </w:rPr>
              <w:t> </w:t>
            </w:r>
            <w:r>
              <w:rPr>
                <w:sz w:val="28"/>
              </w:rPr>
              <w:t>ЭМИ</w:t>
            </w:r>
            <w:r>
              <w:rPr>
                <w:spacing w:val="-3"/>
                <w:sz w:val="28"/>
              </w:rPr>
              <w:t> </w:t>
            </w:r>
            <w:r>
              <w:rPr>
                <w:spacing w:val="-10"/>
                <w:sz w:val="28"/>
              </w:rPr>
              <w:t>:</w:t>
            </w:r>
          </w:p>
          <w:p>
            <w:pPr>
              <w:pStyle w:val="TableParagraph"/>
              <w:spacing w:line="302" w:lineRule="exact" w:before="21"/>
              <w:ind w:left="6" w:right="56"/>
              <w:jc w:val="center"/>
              <w:rPr>
                <w:sz w:val="28"/>
              </w:rPr>
            </w:pPr>
            <w:r>
              <w:rPr>
                <w:sz w:val="28"/>
              </w:rPr>
              <w:t>а</w:t>
            </w:r>
            <w:r>
              <w:rPr>
                <w:spacing w:val="-5"/>
                <w:sz w:val="28"/>
              </w:rPr>
              <w:t> </w:t>
            </w:r>
            <w:r>
              <w:rPr>
                <w:sz w:val="28"/>
              </w:rPr>
              <w:t>–</w:t>
            </w:r>
            <w:r>
              <w:rPr>
                <w:spacing w:val="-3"/>
                <w:sz w:val="28"/>
              </w:rPr>
              <w:t> </w:t>
            </w:r>
            <w:r>
              <w:rPr>
                <w:sz w:val="28"/>
              </w:rPr>
              <w:t>желтый</w:t>
            </w:r>
            <w:r>
              <w:rPr>
                <w:spacing w:val="-4"/>
                <w:sz w:val="28"/>
              </w:rPr>
              <w:t> </w:t>
            </w:r>
            <w:r>
              <w:rPr>
                <w:sz w:val="28"/>
              </w:rPr>
              <w:t>светодиод;</w:t>
            </w:r>
            <w:r>
              <w:rPr>
                <w:spacing w:val="-3"/>
                <w:sz w:val="28"/>
              </w:rPr>
              <w:t> </w:t>
            </w:r>
            <w:r>
              <w:rPr>
                <w:sz w:val="28"/>
              </w:rPr>
              <w:t>b</w:t>
            </w:r>
            <w:r>
              <w:rPr>
                <w:spacing w:val="-3"/>
                <w:sz w:val="28"/>
              </w:rPr>
              <w:t> </w:t>
            </w:r>
            <w:r>
              <w:rPr>
                <w:sz w:val="28"/>
              </w:rPr>
              <w:t>-</w:t>
            </w:r>
            <w:r>
              <w:rPr>
                <w:spacing w:val="-5"/>
                <w:sz w:val="28"/>
              </w:rPr>
              <w:t> </w:t>
            </w:r>
            <w:r>
              <w:rPr>
                <w:sz w:val="28"/>
              </w:rPr>
              <w:t>синий</w:t>
            </w:r>
            <w:r>
              <w:rPr>
                <w:spacing w:val="-3"/>
                <w:sz w:val="28"/>
              </w:rPr>
              <w:t> </w:t>
            </w:r>
            <w:r>
              <w:rPr>
                <w:sz w:val="28"/>
              </w:rPr>
              <w:t>светодиод;</w:t>
            </w:r>
            <w:r>
              <w:rPr>
                <w:spacing w:val="-3"/>
                <w:sz w:val="28"/>
              </w:rPr>
              <w:t> </w:t>
            </w:r>
            <w:r>
              <w:rPr>
                <w:sz w:val="28"/>
              </w:rPr>
              <w:t>c</w:t>
            </w:r>
            <w:r>
              <w:rPr>
                <w:spacing w:val="-6"/>
                <w:sz w:val="28"/>
              </w:rPr>
              <w:t> </w:t>
            </w:r>
            <w:r>
              <w:rPr>
                <w:sz w:val="28"/>
              </w:rPr>
              <w:t>–</w:t>
            </w:r>
            <w:r>
              <w:rPr>
                <w:spacing w:val="-4"/>
                <w:sz w:val="28"/>
              </w:rPr>
              <w:t> </w:t>
            </w:r>
            <w:r>
              <w:rPr>
                <w:sz w:val="28"/>
              </w:rPr>
              <w:t>инфракрасный</w:t>
            </w:r>
            <w:r>
              <w:rPr>
                <w:spacing w:val="-3"/>
                <w:sz w:val="28"/>
              </w:rPr>
              <w:t> </w:t>
            </w:r>
            <w:r>
              <w:rPr>
                <w:sz w:val="28"/>
              </w:rPr>
              <w:t>светодиод;</w:t>
            </w:r>
            <w:r>
              <w:rPr>
                <w:spacing w:val="-5"/>
                <w:sz w:val="28"/>
              </w:rPr>
              <w:t> </w:t>
            </w:r>
            <w:r>
              <w:rPr>
                <w:sz w:val="28"/>
              </w:rPr>
              <w:t>d</w:t>
            </w:r>
            <w:r>
              <w:rPr>
                <w:spacing w:val="-4"/>
                <w:sz w:val="28"/>
              </w:rPr>
              <w:t> </w:t>
            </w:r>
            <w:r>
              <w:rPr>
                <w:sz w:val="28"/>
              </w:rPr>
              <w:t>–</w:t>
            </w:r>
            <w:r>
              <w:rPr>
                <w:spacing w:val="-3"/>
                <w:sz w:val="28"/>
              </w:rPr>
              <w:t> </w:t>
            </w:r>
            <w:r>
              <w:rPr>
                <w:sz w:val="28"/>
              </w:rPr>
              <w:t>сводный</w:t>
            </w:r>
            <w:r>
              <w:rPr>
                <w:spacing w:val="-3"/>
                <w:sz w:val="28"/>
              </w:rPr>
              <w:t> </w:t>
            </w:r>
            <w:r>
              <w:rPr>
                <w:spacing w:val="-2"/>
                <w:sz w:val="28"/>
              </w:rPr>
              <w:t>график</w:t>
            </w:r>
          </w:p>
        </w:tc>
      </w:tr>
    </w:tbl>
    <w:p>
      <w:pPr>
        <w:pStyle w:val="TableParagraph"/>
        <w:spacing w:after="0" w:line="302" w:lineRule="exact"/>
        <w:jc w:val="center"/>
        <w:rPr>
          <w:sz w:val="28"/>
        </w:rPr>
        <w:sectPr>
          <w:pgSz w:w="16840" w:h="11910" w:orient="landscape"/>
          <w:pgMar w:header="0" w:footer="1002" w:top="900" w:bottom="1200" w:left="566" w:right="283"/>
        </w:sectPr>
      </w:pPr>
    </w:p>
    <w:p>
      <w:pPr>
        <w:pStyle w:val="Heading2"/>
        <w:numPr>
          <w:ilvl w:val="2"/>
          <w:numId w:val="4"/>
        </w:numPr>
        <w:tabs>
          <w:tab w:pos="1751" w:val="left" w:leader="none"/>
        </w:tabs>
        <w:spacing w:line="256" w:lineRule="auto" w:before="72" w:after="0"/>
        <w:ind w:left="144" w:right="422" w:firstLine="707"/>
        <w:jc w:val="both"/>
      </w:pPr>
      <w:r>
        <w:rPr/>
        <w:t>Влияние монохроматического, лазерного и инфракрасного излучений на подвижность сперматозоидов человека</w:t>
      </w:r>
    </w:p>
    <w:p>
      <w:pPr>
        <w:pStyle w:val="BodyText"/>
        <w:spacing w:line="256" w:lineRule="auto"/>
        <w:ind w:left="144" w:right="418" w:firstLine="707"/>
      </w:pPr>
      <w:r>
        <w:rPr/>
        <w:t>Для оценки влияния ЭМИ на подвижность сперматозоидов использовали CASA-анализатор.</w:t>
      </w:r>
      <w:r>
        <w:rPr>
          <w:spacing w:val="80"/>
        </w:rPr>
        <w:t> </w:t>
      </w:r>
      <w:r>
        <w:rPr/>
        <w:t>Использовали биоматериал 48 мужчин в возрасте от 25 до 61</w:t>
      </w:r>
      <w:r>
        <w:rPr>
          <w:spacing w:val="40"/>
        </w:rPr>
        <w:t> </w:t>
      </w:r>
      <w:r>
        <w:rPr/>
        <w:t>лет, имеющих заключение об астенозооспермии. Подсчитывали не менее 200 сперматозоидов в каждом образце. В том случае если, объем эякулята позволял разделить образец на 2 раунда «эксперимент-контроль», с одного образца получали данные по 2 экспериментам (24 образца от 12 пациентов), в большинстве случаев 1 образец спермы был использован на 1 раунд «эксперимент-контроль» (36 образцов от 36 пациентов). Подвижность сперматозоидов ранжировали на 3 категории, а именно: прогрессивно-подвижные (PR), малоподвижные (NP) и неподвижные (IM) (см.</w:t>
      </w:r>
      <w:r>
        <w:rPr>
          <w:spacing w:val="28"/>
        </w:rPr>
        <w:t>  </w:t>
      </w:r>
      <w:r>
        <w:rPr/>
        <w:t>рисунки</w:t>
      </w:r>
      <w:r>
        <w:rPr>
          <w:spacing w:val="28"/>
        </w:rPr>
        <w:t>  </w:t>
      </w:r>
      <w:r>
        <w:rPr/>
        <w:t>29-32).</w:t>
      </w:r>
      <w:r>
        <w:rPr>
          <w:spacing w:val="29"/>
        </w:rPr>
        <w:t>  </w:t>
      </w:r>
      <w:r>
        <w:rPr/>
        <w:t>При</w:t>
      </w:r>
      <w:r>
        <w:rPr>
          <w:spacing w:val="28"/>
        </w:rPr>
        <w:t>  </w:t>
      </w:r>
      <w:r>
        <w:rPr/>
        <w:t>увеличении</w:t>
      </w:r>
      <w:r>
        <w:rPr>
          <w:spacing w:val="29"/>
        </w:rPr>
        <w:t>  </w:t>
      </w:r>
      <w:r>
        <w:rPr/>
        <w:t>подвижности</w:t>
      </w:r>
      <w:r>
        <w:rPr>
          <w:spacing w:val="29"/>
        </w:rPr>
        <w:t>  </w:t>
      </w:r>
      <w:r>
        <w:rPr/>
        <w:t>сперматозоидов</w:t>
      </w:r>
      <w:r>
        <w:rPr>
          <w:spacing w:val="28"/>
        </w:rPr>
        <w:t>  </w:t>
      </w:r>
      <w:r>
        <w:rPr>
          <w:spacing w:val="-2"/>
        </w:rPr>
        <w:t>протокол</w:t>
      </w:r>
    </w:p>
    <w:p>
      <w:pPr>
        <w:pStyle w:val="BodyText"/>
        <w:spacing w:line="256" w:lineRule="auto" w:before="4"/>
        <w:ind w:left="144" w:right="419"/>
      </w:pPr>
      <w:r>
        <w:rPr/>
        <w:t>«эксперимент-контроль» повторяли ещё 14 раз. Результаты заносили в таблицу. Пятнадцатикратное повторение эксперимента в совокупности с подсчетом не менее 200 сперматозоидов в эксперименте позволило оценить подвижность не менее 3000 сперматозоидов для каждого из вариантов воздействия ЭМИ на эякулят (первичные данные с ошибкой среднего см. в Приложение В).</w:t>
      </w:r>
      <w:r>
        <w:rPr>
          <w:spacing w:val="40"/>
        </w:rPr>
        <w:t> </w:t>
      </w:r>
      <w:r>
        <w:rPr/>
        <w:t>Ниже в таблице 9 представлены средние значения экспериментов и контролей, энергетические и волновые характеристики применяемых ЭМИ.</w:t>
      </w:r>
    </w:p>
    <w:p>
      <w:pPr>
        <w:pStyle w:val="BodyText"/>
        <w:spacing w:before="21"/>
        <w:jc w:val="left"/>
      </w:pPr>
    </w:p>
    <w:p>
      <w:pPr>
        <w:pStyle w:val="BodyText"/>
        <w:ind w:left="859"/>
        <w:jc w:val="left"/>
      </w:pPr>
      <w:r>
        <w:rPr/>
        <w:t>Таблица</w:t>
      </w:r>
      <w:r>
        <w:rPr>
          <w:spacing w:val="-8"/>
        </w:rPr>
        <w:t> </w:t>
      </w:r>
      <w:r>
        <w:rPr/>
        <w:t>9</w:t>
      </w:r>
      <w:r>
        <w:rPr>
          <w:spacing w:val="-6"/>
        </w:rPr>
        <w:t> </w:t>
      </w:r>
      <w:r>
        <w:rPr>
          <w:rFonts w:ascii="Arial MT" w:hAnsi="Arial MT"/>
          <w:color w:val="454545"/>
          <w:sz w:val="21"/>
        </w:rPr>
        <w:t>—</w:t>
      </w:r>
      <w:r>
        <w:rPr>
          <w:rFonts w:ascii="Arial MT" w:hAnsi="Arial MT"/>
          <w:color w:val="454545"/>
          <w:spacing w:val="-5"/>
          <w:sz w:val="21"/>
        </w:rPr>
        <w:t> </w:t>
      </w:r>
      <w:r>
        <w:rPr/>
        <w:t>Средние</w:t>
      </w:r>
      <w:r>
        <w:rPr>
          <w:spacing w:val="-6"/>
        </w:rPr>
        <w:t> </w:t>
      </w:r>
      <w:r>
        <w:rPr/>
        <w:t>значения</w:t>
      </w:r>
      <w:r>
        <w:rPr>
          <w:spacing w:val="-5"/>
        </w:rPr>
        <w:t> </w:t>
      </w:r>
      <w:r>
        <w:rPr/>
        <w:t>подвижности</w:t>
      </w:r>
      <w:r>
        <w:rPr>
          <w:spacing w:val="-5"/>
        </w:rPr>
        <w:t> </w:t>
      </w:r>
      <w:r>
        <w:rPr/>
        <w:t>экспериментов</w:t>
      </w:r>
      <w:r>
        <w:rPr>
          <w:spacing w:val="-8"/>
        </w:rPr>
        <w:t> </w:t>
      </w:r>
      <w:r>
        <w:rPr/>
        <w:t>и</w:t>
      </w:r>
      <w:r>
        <w:rPr>
          <w:spacing w:val="-4"/>
        </w:rPr>
        <w:t> </w:t>
      </w:r>
      <w:r>
        <w:rPr>
          <w:spacing w:val="-2"/>
        </w:rPr>
        <w:t>контролей</w:t>
      </w:r>
    </w:p>
    <w:p>
      <w:pPr>
        <w:pStyle w:val="BodyText"/>
        <w:spacing w:before="134"/>
        <w:jc w:val="left"/>
        <w:rPr>
          <w:sz w:val="20"/>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37"/>
        <w:gridCol w:w="869"/>
        <w:gridCol w:w="867"/>
        <w:gridCol w:w="869"/>
        <w:gridCol w:w="869"/>
        <w:gridCol w:w="953"/>
        <w:gridCol w:w="809"/>
        <w:gridCol w:w="1116"/>
        <w:gridCol w:w="850"/>
        <w:gridCol w:w="862"/>
      </w:tblGrid>
      <w:tr>
        <w:trPr>
          <w:trHeight w:val="539" w:hRule="atLeast"/>
        </w:trPr>
        <w:tc>
          <w:tcPr>
            <w:tcW w:w="1272" w:type="dxa"/>
            <w:vMerge w:val="restart"/>
          </w:tcPr>
          <w:p>
            <w:pPr>
              <w:pStyle w:val="TableParagraph"/>
              <w:spacing w:before="3"/>
              <w:ind w:left="107"/>
              <w:rPr>
                <w:sz w:val="22"/>
              </w:rPr>
            </w:pPr>
            <w:r>
              <w:rPr>
                <w:spacing w:val="-2"/>
                <w:sz w:val="22"/>
              </w:rPr>
              <w:t>Источник</w:t>
            </w:r>
          </w:p>
        </w:tc>
        <w:tc>
          <w:tcPr>
            <w:tcW w:w="737" w:type="dxa"/>
            <w:vMerge w:val="restart"/>
          </w:tcPr>
          <w:p>
            <w:pPr>
              <w:pStyle w:val="TableParagraph"/>
              <w:spacing w:line="254" w:lineRule="auto" w:before="3"/>
              <w:ind w:left="105" w:right="122"/>
              <w:rPr>
                <w:sz w:val="22"/>
              </w:rPr>
            </w:pPr>
            <w:r>
              <w:rPr>
                <w:spacing w:val="-4"/>
                <w:sz w:val="22"/>
              </w:rPr>
              <w:t>Длин </w:t>
            </w:r>
            <w:r>
              <w:rPr>
                <w:spacing w:val="-10"/>
                <w:sz w:val="22"/>
              </w:rPr>
              <w:t>а </w:t>
            </w:r>
            <w:r>
              <w:rPr>
                <w:spacing w:val="-4"/>
                <w:sz w:val="22"/>
              </w:rPr>
              <w:t>волн</w:t>
            </w:r>
          </w:p>
          <w:p>
            <w:pPr>
              <w:pStyle w:val="TableParagraph"/>
              <w:spacing w:line="248" w:lineRule="exact" w:before="4"/>
              <w:ind w:left="105"/>
              <w:rPr>
                <w:sz w:val="22"/>
              </w:rPr>
            </w:pPr>
            <w:r>
              <w:rPr>
                <w:sz w:val="22"/>
              </w:rPr>
              <w:t>ы, </w:t>
            </w:r>
            <w:r>
              <w:rPr>
                <w:spacing w:val="-5"/>
                <w:sz w:val="22"/>
              </w:rPr>
              <w:t>нм</w:t>
            </w:r>
          </w:p>
        </w:tc>
        <w:tc>
          <w:tcPr>
            <w:tcW w:w="869" w:type="dxa"/>
            <w:vMerge w:val="restart"/>
          </w:tcPr>
          <w:p>
            <w:pPr>
              <w:pStyle w:val="TableParagraph"/>
              <w:spacing w:line="254" w:lineRule="auto" w:before="3"/>
              <w:ind w:left="107"/>
              <w:rPr>
                <w:sz w:val="22"/>
              </w:rPr>
            </w:pPr>
            <w:r>
              <w:rPr>
                <w:spacing w:val="-4"/>
                <w:sz w:val="22"/>
              </w:rPr>
              <w:t>Мощн </w:t>
            </w:r>
            <w:r>
              <w:rPr>
                <w:spacing w:val="-2"/>
                <w:sz w:val="22"/>
              </w:rPr>
              <w:t>ость, </w:t>
            </w:r>
            <w:r>
              <w:rPr>
                <w:spacing w:val="-4"/>
                <w:sz w:val="22"/>
              </w:rPr>
              <w:t>мВт</w:t>
            </w:r>
          </w:p>
        </w:tc>
        <w:tc>
          <w:tcPr>
            <w:tcW w:w="867" w:type="dxa"/>
            <w:vMerge w:val="restart"/>
          </w:tcPr>
          <w:p>
            <w:pPr>
              <w:pStyle w:val="TableParagraph"/>
              <w:spacing w:line="254" w:lineRule="auto" w:before="3"/>
              <w:ind w:left="105" w:right="134"/>
              <w:jc w:val="both"/>
              <w:rPr>
                <w:sz w:val="22"/>
              </w:rPr>
            </w:pPr>
            <w:r>
              <w:rPr>
                <w:spacing w:val="-2"/>
                <w:sz w:val="22"/>
              </w:rPr>
              <w:t>Время экспоз иции,</w:t>
            </w:r>
          </w:p>
          <w:p>
            <w:pPr>
              <w:pStyle w:val="TableParagraph"/>
              <w:spacing w:line="248" w:lineRule="exact" w:before="4"/>
              <w:ind w:left="105"/>
              <w:rPr>
                <w:sz w:val="22"/>
              </w:rPr>
            </w:pPr>
            <w:r>
              <w:rPr>
                <w:spacing w:val="-4"/>
                <w:sz w:val="22"/>
              </w:rPr>
              <w:t>мин.</w:t>
            </w:r>
          </w:p>
        </w:tc>
        <w:tc>
          <w:tcPr>
            <w:tcW w:w="869" w:type="dxa"/>
            <w:vMerge w:val="restart"/>
          </w:tcPr>
          <w:p>
            <w:pPr>
              <w:pStyle w:val="TableParagraph"/>
              <w:spacing w:line="254" w:lineRule="auto" w:before="3"/>
              <w:ind w:left="106" w:right="94"/>
              <w:rPr>
                <w:sz w:val="22"/>
              </w:rPr>
            </w:pPr>
            <w:r>
              <w:rPr>
                <w:spacing w:val="-2"/>
                <w:sz w:val="22"/>
              </w:rPr>
              <w:t>Сообщ </w:t>
            </w:r>
            <w:r>
              <w:rPr>
                <w:spacing w:val="-4"/>
                <w:sz w:val="22"/>
              </w:rPr>
              <w:t>аемая </w:t>
            </w:r>
            <w:r>
              <w:rPr>
                <w:spacing w:val="-2"/>
                <w:sz w:val="22"/>
              </w:rPr>
              <w:t>энерги</w:t>
            </w:r>
          </w:p>
          <w:p>
            <w:pPr>
              <w:pStyle w:val="TableParagraph"/>
              <w:spacing w:line="248" w:lineRule="exact" w:before="4"/>
              <w:ind w:left="106"/>
              <w:rPr>
                <w:sz w:val="22"/>
              </w:rPr>
            </w:pPr>
            <w:r>
              <w:rPr>
                <w:sz w:val="22"/>
              </w:rPr>
              <w:t>я,</w:t>
            </w:r>
            <w:r>
              <w:rPr>
                <w:spacing w:val="-1"/>
                <w:sz w:val="22"/>
              </w:rPr>
              <w:t> </w:t>
            </w:r>
            <w:r>
              <w:rPr>
                <w:spacing w:val="-5"/>
                <w:sz w:val="22"/>
              </w:rPr>
              <w:t>Дж</w:t>
            </w:r>
          </w:p>
        </w:tc>
        <w:tc>
          <w:tcPr>
            <w:tcW w:w="1822" w:type="dxa"/>
            <w:gridSpan w:val="2"/>
          </w:tcPr>
          <w:p>
            <w:pPr>
              <w:pStyle w:val="TableParagraph"/>
              <w:spacing w:before="3"/>
              <w:ind w:left="106"/>
              <w:rPr>
                <w:sz w:val="22"/>
              </w:rPr>
            </w:pPr>
            <w:r>
              <w:rPr>
                <w:sz w:val="22"/>
              </w:rPr>
              <w:t>Прогрессивно-</w:t>
            </w:r>
          </w:p>
          <w:p>
            <w:pPr>
              <w:pStyle w:val="TableParagraph"/>
              <w:spacing w:line="248" w:lineRule="exact" w:before="16"/>
              <w:ind w:left="106"/>
              <w:rPr>
                <w:sz w:val="22"/>
              </w:rPr>
            </w:pPr>
            <w:r>
              <w:rPr>
                <w:sz w:val="22"/>
              </w:rPr>
              <w:t>подвижные,</w:t>
            </w:r>
            <w:r>
              <w:rPr>
                <w:spacing w:val="-6"/>
                <w:sz w:val="22"/>
              </w:rPr>
              <w:t> </w:t>
            </w:r>
            <w:r>
              <w:rPr>
                <w:spacing w:val="-10"/>
                <w:sz w:val="22"/>
              </w:rPr>
              <w:t>%</w:t>
            </w:r>
          </w:p>
        </w:tc>
        <w:tc>
          <w:tcPr>
            <w:tcW w:w="1925" w:type="dxa"/>
            <w:gridSpan w:val="2"/>
          </w:tcPr>
          <w:p>
            <w:pPr>
              <w:pStyle w:val="TableParagraph"/>
              <w:spacing w:before="3"/>
              <w:ind w:left="103"/>
              <w:rPr>
                <w:sz w:val="22"/>
              </w:rPr>
            </w:pPr>
            <w:r>
              <w:rPr>
                <w:sz w:val="22"/>
              </w:rPr>
              <w:t>Непрогрессивно-</w:t>
            </w:r>
          </w:p>
          <w:p>
            <w:pPr>
              <w:pStyle w:val="TableParagraph"/>
              <w:spacing w:line="248" w:lineRule="exact" w:before="16"/>
              <w:ind w:left="103"/>
              <w:rPr>
                <w:sz w:val="22"/>
              </w:rPr>
            </w:pPr>
            <w:r>
              <w:rPr>
                <w:sz w:val="22"/>
              </w:rPr>
              <w:t>подвижные,</w:t>
            </w:r>
            <w:r>
              <w:rPr>
                <w:spacing w:val="-6"/>
                <w:sz w:val="22"/>
              </w:rPr>
              <w:t> </w:t>
            </w:r>
            <w:r>
              <w:rPr>
                <w:spacing w:val="-10"/>
                <w:sz w:val="22"/>
              </w:rPr>
              <w:t>%</w:t>
            </w:r>
          </w:p>
        </w:tc>
        <w:tc>
          <w:tcPr>
            <w:tcW w:w="1712" w:type="dxa"/>
            <w:gridSpan w:val="2"/>
          </w:tcPr>
          <w:p>
            <w:pPr>
              <w:pStyle w:val="TableParagraph"/>
              <w:spacing w:before="3"/>
              <w:ind w:left="106"/>
              <w:rPr>
                <w:sz w:val="22"/>
              </w:rPr>
            </w:pPr>
            <w:r>
              <w:rPr>
                <w:spacing w:val="-2"/>
                <w:sz w:val="22"/>
              </w:rPr>
              <w:t>Неподвижные,</w:t>
            </w:r>
          </w:p>
          <w:p>
            <w:pPr>
              <w:pStyle w:val="TableParagraph"/>
              <w:spacing w:line="248" w:lineRule="exact" w:before="16"/>
              <w:ind w:left="106"/>
              <w:rPr>
                <w:sz w:val="22"/>
              </w:rPr>
            </w:pPr>
            <w:r>
              <w:rPr>
                <w:spacing w:val="-10"/>
                <w:sz w:val="22"/>
              </w:rPr>
              <w:t>%</w:t>
            </w:r>
          </w:p>
        </w:tc>
      </w:tr>
      <w:tr>
        <w:trPr>
          <w:trHeight w:val="530" w:hRule="atLeast"/>
        </w:trPr>
        <w:tc>
          <w:tcPr>
            <w:tcW w:w="1272" w:type="dxa"/>
            <w:vMerge/>
            <w:tcBorders>
              <w:top w:val="nil"/>
            </w:tcBorders>
          </w:tcPr>
          <w:p>
            <w:pPr>
              <w:rPr>
                <w:sz w:val="2"/>
                <w:szCs w:val="2"/>
              </w:rPr>
            </w:pPr>
          </w:p>
        </w:tc>
        <w:tc>
          <w:tcPr>
            <w:tcW w:w="737" w:type="dxa"/>
            <w:vMerge/>
            <w:tcBorders>
              <w:top w:val="nil"/>
            </w:tcBorders>
          </w:tcPr>
          <w:p>
            <w:pPr>
              <w:rPr>
                <w:sz w:val="2"/>
                <w:szCs w:val="2"/>
              </w:rPr>
            </w:pPr>
          </w:p>
        </w:tc>
        <w:tc>
          <w:tcPr>
            <w:tcW w:w="869" w:type="dxa"/>
            <w:vMerge/>
            <w:tcBorders>
              <w:top w:val="nil"/>
            </w:tcBorders>
          </w:tcPr>
          <w:p>
            <w:pPr>
              <w:rPr>
                <w:sz w:val="2"/>
                <w:szCs w:val="2"/>
              </w:rPr>
            </w:pPr>
          </w:p>
        </w:tc>
        <w:tc>
          <w:tcPr>
            <w:tcW w:w="867" w:type="dxa"/>
            <w:vMerge/>
            <w:tcBorders>
              <w:top w:val="nil"/>
            </w:tcBorders>
          </w:tcPr>
          <w:p>
            <w:pPr>
              <w:rPr>
                <w:sz w:val="2"/>
                <w:szCs w:val="2"/>
              </w:rPr>
            </w:pPr>
          </w:p>
        </w:tc>
        <w:tc>
          <w:tcPr>
            <w:tcW w:w="869" w:type="dxa"/>
            <w:vMerge/>
            <w:tcBorders>
              <w:top w:val="nil"/>
            </w:tcBorders>
          </w:tcPr>
          <w:p>
            <w:pPr>
              <w:rPr>
                <w:sz w:val="2"/>
                <w:szCs w:val="2"/>
              </w:rPr>
            </w:pPr>
          </w:p>
        </w:tc>
        <w:tc>
          <w:tcPr>
            <w:tcW w:w="869" w:type="dxa"/>
          </w:tcPr>
          <w:p>
            <w:pPr>
              <w:pStyle w:val="TableParagraph"/>
              <w:spacing w:before="3"/>
              <w:ind w:left="106"/>
              <w:rPr>
                <w:sz w:val="22"/>
              </w:rPr>
            </w:pPr>
            <w:r>
              <w:rPr>
                <w:spacing w:val="-4"/>
                <w:sz w:val="22"/>
              </w:rPr>
              <w:t>Опыт</w:t>
            </w:r>
          </w:p>
        </w:tc>
        <w:tc>
          <w:tcPr>
            <w:tcW w:w="953" w:type="dxa"/>
          </w:tcPr>
          <w:p>
            <w:pPr>
              <w:pStyle w:val="TableParagraph"/>
              <w:spacing w:before="3"/>
              <w:ind w:left="103"/>
              <w:rPr>
                <w:sz w:val="22"/>
              </w:rPr>
            </w:pPr>
            <w:r>
              <w:rPr>
                <w:spacing w:val="-2"/>
                <w:sz w:val="22"/>
              </w:rPr>
              <w:t>Контр.</w:t>
            </w:r>
          </w:p>
        </w:tc>
        <w:tc>
          <w:tcPr>
            <w:tcW w:w="809" w:type="dxa"/>
          </w:tcPr>
          <w:p>
            <w:pPr>
              <w:pStyle w:val="TableParagraph"/>
              <w:spacing w:before="3"/>
              <w:ind w:left="103"/>
              <w:rPr>
                <w:sz w:val="22"/>
              </w:rPr>
            </w:pPr>
            <w:r>
              <w:rPr>
                <w:spacing w:val="-4"/>
                <w:sz w:val="22"/>
              </w:rPr>
              <w:t>Опыт</w:t>
            </w:r>
          </w:p>
        </w:tc>
        <w:tc>
          <w:tcPr>
            <w:tcW w:w="1116" w:type="dxa"/>
          </w:tcPr>
          <w:p>
            <w:pPr>
              <w:pStyle w:val="TableParagraph"/>
              <w:spacing w:before="3"/>
              <w:ind w:left="106"/>
              <w:rPr>
                <w:sz w:val="22"/>
              </w:rPr>
            </w:pPr>
            <w:r>
              <w:rPr>
                <w:spacing w:val="-2"/>
                <w:sz w:val="22"/>
              </w:rPr>
              <w:t>Контр.</w:t>
            </w:r>
          </w:p>
        </w:tc>
        <w:tc>
          <w:tcPr>
            <w:tcW w:w="850" w:type="dxa"/>
          </w:tcPr>
          <w:p>
            <w:pPr>
              <w:pStyle w:val="TableParagraph"/>
              <w:spacing w:before="3"/>
              <w:ind w:left="106"/>
              <w:rPr>
                <w:sz w:val="22"/>
              </w:rPr>
            </w:pPr>
            <w:r>
              <w:rPr>
                <w:spacing w:val="-4"/>
                <w:sz w:val="22"/>
              </w:rPr>
              <w:t>Опыт</w:t>
            </w:r>
          </w:p>
        </w:tc>
        <w:tc>
          <w:tcPr>
            <w:tcW w:w="862" w:type="dxa"/>
          </w:tcPr>
          <w:p>
            <w:pPr>
              <w:pStyle w:val="TableParagraph"/>
              <w:spacing w:before="3"/>
              <w:ind w:left="105"/>
              <w:rPr>
                <w:sz w:val="22"/>
              </w:rPr>
            </w:pPr>
            <w:r>
              <w:rPr>
                <w:spacing w:val="-2"/>
                <w:sz w:val="22"/>
              </w:rPr>
              <w:t>Контр.</w:t>
            </w:r>
          </w:p>
        </w:tc>
      </w:tr>
      <w:tr>
        <w:trPr>
          <w:trHeight w:val="539" w:hRule="atLeast"/>
        </w:trPr>
        <w:tc>
          <w:tcPr>
            <w:tcW w:w="1272" w:type="dxa"/>
          </w:tcPr>
          <w:p>
            <w:pPr>
              <w:pStyle w:val="TableParagraph"/>
              <w:spacing w:before="1"/>
              <w:ind w:left="107"/>
              <w:rPr>
                <w:sz w:val="22"/>
              </w:rPr>
            </w:pPr>
            <w:r>
              <w:rPr>
                <w:spacing w:val="-2"/>
                <w:sz w:val="22"/>
              </w:rPr>
              <w:t>Светодиод</w:t>
            </w:r>
          </w:p>
        </w:tc>
        <w:tc>
          <w:tcPr>
            <w:tcW w:w="737" w:type="dxa"/>
          </w:tcPr>
          <w:p>
            <w:pPr>
              <w:pStyle w:val="TableParagraph"/>
              <w:spacing w:line="275" w:lineRule="exact"/>
              <w:ind w:left="105"/>
              <w:rPr>
                <w:sz w:val="24"/>
              </w:rPr>
            </w:pPr>
            <w:r>
              <w:rPr>
                <w:spacing w:val="-5"/>
                <w:sz w:val="24"/>
              </w:rPr>
              <w:t>630</w:t>
            </w:r>
          </w:p>
        </w:tc>
        <w:tc>
          <w:tcPr>
            <w:tcW w:w="869" w:type="dxa"/>
          </w:tcPr>
          <w:p>
            <w:pPr>
              <w:pStyle w:val="TableParagraph"/>
              <w:spacing w:line="275" w:lineRule="exact"/>
              <w:ind w:left="107"/>
              <w:rPr>
                <w:sz w:val="24"/>
              </w:rPr>
            </w:pPr>
            <w:r>
              <w:rPr>
                <w:sz w:val="24"/>
              </w:rPr>
              <w:t>≤ </w:t>
            </w:r>
            <w:r>
              <w:rPr>
                <w:spacing w:val="-4"/>
                <w:sz w:val="24"/>
              </w:rPr>
              <w:t>0,07</w:t>
            </w:r>
          </w:p>
        </w:tc>
        <w:tc>
          <w:tcPr>
            <w:tcW w:w="867" w:type="dxa"/>
          </w:tcPr>
          <w:p>
            <w:pPr>
              <w:pStyle w:val="TableParagraph"/>
              <w:spacing w:line="275" w:lineRule="exact"/>
              <w:ind w:left="105"/>
              <w:rPr>
                <w:sz w:val="24"/>
              </w:rPr>
            </w:pPr>
            <w:r>
              <w:rPr>
                <w:spacing w:val="-10"/>
                <w:sz w:val="24"/>
              </w:rPr>
              <w:t>5</w:t>
            </w:r>
          </w:p>
        </w:tc>
        <w:tc>
          <w:tcPr>
            <w:tcW w:w="869" w:type="dxa"/>
          </w:tcPr>
          <w:p>
            <w:pPr>
              <w:pStyle w:val="TableParagraph"/>
              <w:spacing w:line="275" w:lineRule="exact"/>
              <w:ind w:left="106"/>
              <w:rPr>
                <w:sz w:val="24"/>
              </w:rPr>
            </w:pPr>
            <w:r>
              <w:rPr>
                <w:spacing w:val="-4"/>
                <w:sz w:val="24"/>
              </w:rPr>
              <w:t>0,02</w:t>
            </w:r>
          </w:p>
        </w:tc>
        <w:tc>
          <w:tcPr>
            <w:tcW w:w="869" w:type="dxa"/>
          </w:tcPr>
          <w:p>
            <w:pPr>
              <w:pStyle w:val="TableParagraph"/>
              <w:spacing w:line="275" w:lineRule="exact"/>
              <w:ind w:left="106"/>
              <w:rPr>
                <w:sz w:val="24"/>
              </w:rPr>
            </w:pPr>
            <w:r>
              <w:rPr>
                <w:spacing w:val="-2"/>
                <w:sz w:val="24"/>
              </w:rPr>
              <w:t>13,65</w:t>
            </w:r>
          </w:p>
          <w:p>
            <w:pPr>
              <w:pStyle w:val="TableParagraph"/>
              <w:spacing w:line="224" w:lineRule="exact" w:before="20"/>
              <w:ind w:left="106"/>
              <w:rPr>
                <w:sz w:val="20"/>
              </w:rPr>
            </w:pPr>
            <w:r>
              <w:rPr>
                <w:spacing w:val="-2"/>
                <w:sz w:val="20"/>
              </w:rPr>
              <w:t>±3,11</w:t>
            </w:r>
          </w:p>
        </w:tc>
        <w:tc>
          <w:tcPr>
            <w:tcW w:w="953" w:type="dxa"/>
          </w:tcPr>
          <w:p>
            <w:pPr>
              <w:pStyle w:val="TableParagraph"/>
              <w:spacing w:line="275" w:lineRule="exact"/>
              <w:ind w:left="103"/>
              <w:rPr>
                <w:sz w:val="24"/>
              </w:rPr>
            </w:pPr>
            <w:r>
              <w:rPr>
                <w:spacing w:val="-2"/>
                <w:sz w:val="24"/>
              </w:rPr>
              <w:t>12,09</w:t>
            </w:r>
          </w:p>
          <w:p>
            <w:pPr>
              <w:pStyle w:val="TableParagraph"/>
              <w:spacing w:line="224" w:lineRule="exact" w:before="20"/>
              <w:ind w:left="103"/>
              <w:rPr>
                <w:sz w:val="20"/>
              </w:rPr>
            </w:pPr>
            <w:r>
              <w:rPr>
                <w:spacing w:val="-2"/>
                <w:sz w:val="20"/>
              </w:rPr>
              <w:t>±2,62</w:t>
            </w:r>
          </w:p>
        </w:tc>
        <w:tc>
          <w:tcPr>
            <w:tcW w:w="809" w:type="dxa"/>
          </w:tcPr>
          <w:p>
            <w:pPr>
              <w:pStyle w:val="TableParagraph"/>
              <w:spacing w:line="275" w:lineRule="exact"/>
              <w:ind w:left="103"/>
              <w:rPr>
                <w:sz w:val="24"/>
              </w:rPr>
            </w:pPr>
            <w:r>
              <w:rPr>
                <w:spacing w:val="-2"/>
                <w:sz w:val="24"/>
              </w:rPr>
              <w:t>10,66</w:t>
            </w:r>
          </w:p>
          <w:p>
            <w:pPr>
              <w:pStyle w:val="TableParagraph"/>
              <w:spacing w:line="224" w:lineRule="exact" w:before="20"/>
              <w:ind w:left="103"/>
              <w:rPr>
                <w:sz w:val="20"/>
              </w:rPr>
            </w:pPr>
            <w:r>
              <w:rPr>
                <w:spacing w:val="-2"/>
                <w:sz w:val="20"/>
              </w:rPr>
              <w:t>±3,01</w:t>
            </w:r>
          </w:p>
        </w:tc>
        <w:tc>
          <w:tcPr>
            <w:tcW w:w="1116" w:type="dxa"/>
          </w:tcPr>
          <w:p>
            <w:pPr>
              <w:pStyle w:val="TableParagraph"/>
              <w:spacing w:line="275" w:lineRule="exact"/>
              <w:ind w:left="106"/>
              <w:rPr>
                <w:sz w:val="24"/>
              </w:rPr>
            </w:pPr>
            <w:r>
              <w:rPr>
                <w:spacing w:val="-4"/>
                <w:sz w:val="24"/>
              </w:rPr>
              <w:t>9,31</w:t>
            </w:r>
          </w:p>
          <w:p>
            <w:pPr>
              <w:pStyle w:val="TableParagraph"/>
              <w:spacing w:line="224" w:lineRule="exact" w:before="20"/>
              <w:ind w:left="106"/>
              <w:rPr>
                <w:sz w:val="20"/>
              </w:rPr>
            </w:pPr>
            <w:r>
              <w:rPr>
                <w:spacing w:val="-2"/>
                <w:sz w:val="20"/>
              </w:rPr>
              <w:t>±3,62</w:t>
            </w:r>
          </w:p>
        </w:tc>
        <w:tc>
          <w:tcPr>
            <w:tcW w:w="850" w:type="dxa"/>
          </w:tcPr>
          <w:p>
            <w:pPr>
              <w:pStyle w:val="TableParagraph"/>
              <w:spacing w:line="275" w:lineRule="exact"/>
              <w:ind w:left="106"/>
              <w:rPr>
                <w:sz w:val="24"/>
              </w:rPr>
            </w:pPr>
            <w:r>
              <w:rPr>
                <w:spacing w:val="-2"/>
                <w:sz w:val="24"/>
              </w:rPr>
              <w:t>75,69</w:t>
            </w:r>
          </w:p>
          <w:p>
            <w:pPr>
              <w:pStyle w:val="TableParagraph"/>
              <w:spacing w:line="224" w:lineRule="exact" w:before="20"/>
              <w:ind w:left="106"/>
              <w:rPr>
                <w:sz w:val="20"/>
              </w:rPr>
            </w:pPr>
            <w:r>
              <w:rPr>
                <w:spacing w:val="-2"/>
                <w:sz w:val="20"/>
              </w:rPr>
              <w:t>±5,27</w:t>
            </w:r>
          </w:p>
        </w:tc>
        <w:tc>
          <w:tcPr>
            <w:tcW w:w="862" w:type="dxa"/>
          </w:tcPr>
          <w:p>
            <w:pPr>
              <w:pStyle w:val="TableParagraph"/>
              <w:spacing w:line="275" w:lineRule="exact"/>
              <w:ind w:left="105"/>
              <w:rPr>
                <w:sz w:val="24"/>
              </w:rPr>
            </w:pPr>
            <w:r>
              <w:rPr>
                <w:spacing w:val="-4"/>
                <w:sz w:val="24"/>
              </w:rPr>
              <w:t>78,6</w:t>
            </w:r>
          </w:p>
          <w:p>
            <w:pPr>
              <w:pStyle w:val="TableParagraph"/>
              <w:spacing w:line="224" w:lineRule="exact" w:before="20"/>
              <w:ind w:left="105"/>
              <w:rPr>
                <w:sz w:val="20"/>
              </w:rPr>
            </w:pPr>
            <w:r>
              <w:rPr>
                <w:spacing w:val="-2"/>
                <w:sz w:val="20"/>
              </w:rPr>
              <w:t>±4,75</w:t>
            </w:r>
          </w:p>
        </w:tc>
      </w:tr>
      <w:tr>
        <w:trPr>
          <w:trHeight w:val="590" w:hRule="atLeast"/>
        </w:trPr>
        <w:tc>
          <w:tcPr>
            <w:tcW w:w="1272" w:type="dxa"/>
          </w:tcPr>
          <w:p>
            <w:pPr>
              <w:pStyle w:val="TableParagraph"/>
              <w:spacing w:before="3"/>
              <w:ind w:left="107"/>
              <w:rPr>
                <w:sz w:val="22"/>
              </w:rPr>
            </w:pPr>
            <w:r>
              <w:rPr>
                <w:spacing w:val="-2"/>
                <w:sz w:val="22"/>
              </w:rPr>
              <w:t>Светодиод</w:t>
            </w:r>
          </w:p>
          <w:p>
            <w:pPr>
              <w:pStyle w:val="TableParagraph"/>
              <w:spacing w:before="16"/>
              <w:ind w:left="107"/>
              <w:rPr>
                <w:sz w:val="22"/>
              </w:rPr>
            </w:pPr>
            <w:r>
              <w:rPr>
                <w:sz w:val="22"/>
              </w:rPr>
              <w:t>, </w:t>
            </w:r>
            <w:r>
              <w:rPr>
                <w:spacing w:val="-4"/>
                <w:sz w:val="22"/>
              </w:rPr>
              <w:t>лазер</w:t>
            </w:r>
          </w:p>
        </w:tc>
        <w:tc>
          <w:tcPr>
            <w:tcW w:w="737" w:type="dxa"/>
          </w:tcPr>
          <w:p>
            <w:pPr>
              <w:pStyle w:val="TableParagraph"/>
              <w:spacing w:before="1"/>
              <w:ind w:left="105"/>
              <w:rPr>
                <w:sz w:val="24"/>
              </w:rPr>
            </w:pPr>
            <w:r>
              <w:rPr>
                <w:spacing w:val="-4"/>
                <w:sz w:val="24"/>
              </w:rPr>
              <w:t>630,</w:t>
            </w:r>
          </w:p>
          <w:p>
            <w:pPr>
              <w:pStyle w:val="TableParagraph"/>
              <w:spacing w:before="17"/>
              <w:ind w:left="105"/>
              <w:rPr>
                <w:sz w:val="24"/>
              </w:rPr>
            </w:pPr>
            <w:r>
              <w:rPr>
                <w:spacing w:val="-5"/>
                <w:sz w:val="24"/>
              </w:rPr>
              <w:t>651</w:t>
            </w:r>
          </w:p>
        </w:tc>
        <w:tc>
          <w:tcPr>
            <w:tcW w:w="869" w:type="dxa"/>
          </w:tcPr>
          <w:p>
            <w:pPr>
              <w:pStyle w:val="TableParagraph"/>
              <w:spacing w:before="1"/>
              <w:ind w:left="107"/>
              <w:rPr>
                <w:sz w:val="24"/>
              </w:rPr>
            </w:pPr>
            <w:r>
              <w:rPr>
                <w:spacing w:val="-4"/>
                <w:sz w:val="24"/>
              </w:rPr>
              <w:t>0,68</w:t>
            </w:r>
          </w:p>
        </w:tc>
        <w:tc>
          <w:tcPr>
            <w:tcW w:w="867" w:type="dxa"/>
          </w:tcPr>
          <w:p>
            <w:pPr>
              <w:pStyle w:val="TableParagraph"/>
              <w:spacing w:before="1"/>
              <w:ind w:left="105"/>
              <w:rPr>
                <w:sz w:val="24"/>
              </w:rPr>
            </w:pPr>
            <w:r>
              <w:rPr>
                <w:spacing w:val="-10"/>
                <w:sz w:val="24"/>
              </w:rPr>
              <w:t>5</w:t>
            </w:r>
          </w:p>
        </w:tc>
        <w:tc>
          <w:tcPr>
            <w:tcW w:w="869" w:type="dxa"/>
          </w:tcPr>
          <w:p>
            <w:pPr>
              <w:pStyle w:val="TableParagraph"/>
              <w:spacing w:before="1"/>
              <w:ind w:left="106"/>
              <w:rPr>
                <w:sz w:val="24"/>
              </w:rPr>
            </w:pPr>
            <w:r>
              <w:rPr>
                <w:spacing w:val="-4"/>
                <w:sz w:val="24"/>
              </w:rPr>
              <w:t>0,20</w:t>
            </w:r>
          </w:p>
        </w:tc>
        <w:tc>
          <w:tcPr>
            <w:tcW w:w="869" w:type="dxa"/>
          </w:tcPr>
          <w:p>
            <w:pPr>
              <w:pStyle w:val="TableParagraph"/>
              <w:spacing w:before="1"/>
              <w:ind w:left="106"/>
              <w:rPr>
                <w:sz w:val="24"/>
              </w:rPr>
            </w:pPr>
            <w:r>
              <w:rPr>
                <w:spacing w:val="-4"/>
                <w:sz w:val="24"/>
              </w:rPr>
              <w:t>3,44</w:t>
            </w:r>
          </w:p>
          <w:p>
            <w:pPr>
              <w:pStyle w:val="TableParagraph"/>
              <w:spacing w:before="18"/>
              <w:ind w:left="106"/>
              <w:rPr>
                <w:sz w:val="20"/>
              </w:rPr>
            </w:pPr>
            <w:r>
              <w:rPr>
                <w:spacing w:val="-2"/>
                <w:sz w:val="20"/>
              </w:rPr>
              <w:t>±0,71</w:t>
            </w:r>
          </w:p>
        </w:tc>
        <w:tc>
          <w:tcPr>
            <w:tcW w:w="953" w:type="dxa"/>
          </w:tcPr>
          <w:p>
            <w:pPr>
              <w:pStyle w:val="TableParagraph"/>
              <w:spacing w:before="1"/>
              <w:ind w:left="103"/>
              <w:rPr>
                <w:sz w:val="24"/>
              </w:rPr>
            </w:pPr>
            <w:r>
              <w:rPr>
                <w:spacing w:val="-4"/>
                <w:sz w:val="24"/>
              </w:rPr>
              <w:t>2,88</w:t>
            </w:r>
          </w:p>
          <w:p>
            <w:pPr>
              <w:pStyle w:val="TableParagraph"/>
              <w:spacing w:before="18"/>
              <w:ind w:left="103"/>
              <w:rPr>
                <w:sz w:val="20"/>
              </w:rPr>
            </w:pPr>
            <w:r>
              <w:rPr>
                <w:spacing w:val="-2"/>
                <w:sz w:val="20"/>
              </w:rPr>
              <w:t>±0,68</w:t>
            </w:r>
          </w:p>
        </w:tc>
        <w:tc>
          <w:tcPr>
            <w:tcW w:w="809" w:type="dxa"/>
          </w:tcPr>
          <w:p>
            <w:pPr>
              <w:pStyle w:val="TableParagraph"/>
              <w:spacing w:before="1"/>
              <w:ind w:left="103"/>
              <w:rPr>
                <w:sz w:val="24"/>
              </w:rPr>
            </w:pPr>
            <w:r>
              <w:rPr>
                <w:spacing w:val="-4"/>
                <w:sz w:val="24"/>
              </w:rPr>
              <w:t>3,88</w:t>
            </w:r>
          </w:p>
          <w:p>
            <w:pPr>
              <w:pStyle w:val="TableParagraph"/>
              <w:spacing w:before="18"/>
              <w:ind w:left="103"/>
              <w:rPr>
                <w:sz w:val="20"/>
              </w:rPr>
            </w:pPr>
            <w:r>
              <w:rPr>
                <w:spacing w:val="-2"/>
                <w:sz w:val="20"/>
              </w:rPr>
              <w:t>±1,02</w:t>
            </w:r>
          </w:p>
        </w:tc>
        <w:tc>
          <w:tcPr>
            <w:tcW w:w="1116" w:type="dxa"/>
          </w:tcPr>
          <w:p>
            <w:pPr>
              <w:pStyle w:val="TableParagraph"/>
              <w:spacing w:before="1"/>
              <w:ind w:left="106"/>
              <w:rPr>
                <w:sz w:val="24"/>
              </w:rPr>
            </w:pPr>
            <w:r>
              <w:rPr>
                <w:spacing w:val="-4"/>
                <w:sz w:val="24"/>
              </w:rPr>
              <w:t>1,28</w:t>
            </w:r>
          </w:p>
          <w:p>
            <w:pPr>
              <w:pStyle w:val="TableParagraph"/>
              <w:spacing w:before="18"/>
              <w:ind w:left="106"/>
              <w:rPr>
                <w:sz w:val="20"/>
              </w:rPr>
            </w:pPr>
            <w:r>
              <w:rPr>
                <w:spacing w:val="-2"/>
                <w:sz w:val="20"/>
              </w:rPr>
              <w:t>±0,53</w:t>
            </w:r>
          </w:p>
        </w:tc>
        <w:tc>
          <w:tcPr>
            <w:tcW w:w="850" w:type="dxa"/>
          </w:tcPr>
          <w:p>
            <w:pPr>
              <w:pStyle w:val="TableParagraph"/>
              <w:spacing w:before="1"/>
              <w:ind w:left="106"/>
              <w:rPr>
                <w:sz w:val="24"/>
              </w:rPr>
            </w:pPr>
            <w:r>
              <w:rPr>
                <w:spacing w:val="-2"/>
                <w:sz w:val="24"/>
              </w:rPr>
              <w:t>92,68</w:t>
            </w:r>
          </w:p>
          <w:p>
            <w:pPr>
              <w:pStyle w:val="TableParagraph"/>
              <w:spacing w:before="18"/>
              <w:ind w:left="106"/>
              <w:rPr>
                <w:sz w:val="20"/>
              </w:rPr>
            </w:pPr>
            <w:r>
              <w:rPr>
                <w:spacing w:val="-2"/>
                <w:sz w:val="20"/>
              </w:rPr>
              <w:t>±1,51</w:t>
            </w:r>
          </w:p>
        </w:tc>
        <w:tc>
          <w:tcPr>
            <w:tcW w:w="862" w:type="dxa"/>
          </w:tcPr>
          <w:p>
            <w:pPr>
              <w:pStyle w:val="TableParagraph"/>
              <w:spacing w:before="1"/>
              <w:ind w:left="105"/>
              <w:rPr>
                <w:sz w:val="24"/>
              </w:rPr>
            </w:pPr>
            <w:r>
              <w:rPr>
                <w:spacing w:val="-2"/>
                <w:sz w:val="24"/>
              </w:rPr>
              <w:t>95,84</w:t>
            </w:r>
          </w:p>
          <w:p>
            <w:pPr>
              <w:pStyle w:val="TableParagraph"/>
              <w:spacing w:before="18"/>
              <w:ind w:left="105"/>
              <w:rPr>
                <w:sz w:val="20"/>
              </w:rPr>
            </w:pPr>
            <w:r>
              <w:rPr>
                <w:spacing w:val="-2"/>
                <w:sz w:val="20"/>
              </w:rPr>
              <w:t>±0,88</w:t>
            </w:r>
          </w:p>
        </w:tc>
      </w:tr>
      <w:tr>
        <w:trPr>
          <w:trHeight w:val="1470" w:hRule="atLeast"/>
        </w:trPr>
        <w:tc>
          <w:tcPr>
            <w:tcW w:w="1272" w:type="dxa"/>
          </w:tcPr>
          <w:p>
            <w:pPr>
              <w:pStyle w:val="TableParagraph"/>
              <w:tabs>
                <w:tab w:pos="606" w:val="left" w:leader="none"/>
              </w:tabs>
              <w:spacing w:line="256" w:lineRule="auto" w:before="1"/>
              <w:ind w:left="107" w:right="93"/>
              <w:rPr>
                <w:sz w:val="22"/>
              </w:rPr>
            </w:pPr>
            <w:r>
              <w:rPr>
                <w:spacing w:val="-2"/>
                <w:sz w:val="22"/>
              </w:rPr>
              <w:t>Светодиод </w:t>
            </w:r>
            <w:r>
              <w:rPr>
                <w:spacing w:val="-6"/>
                <w:sz w:val="22"/>
              </w:rPr>
              <w:t>ы,</w:t>
            </w:r>
            <w:r>
              <w:rPr>
                <w:sz w:val="22"/>
              </w:rPr>
              <w:tab/>
            </w:r>
            <w:r>
              <w:rPr>
                <w:spacing w:val="-2"/>
                <w:sz w:val="22"/>
              </w:rPr>
              <w:t>лазер, инфракрас </w:t>
            </w:r>
            <w:r>
              <w:rPr>
                <w:spacing w:val="-4"/>
                <w:sz w:val="22"/>
              </w:rPr>
              <w:t>ный </w:t>
            </w:r>
            <w:r>
              <w:rPr>
                <w:spacing w:val="-2"/>
                <w:sz w:val="22"/>
              </w:rPr>
              <w:t>светодиод</w:t>
            </w:r>
          </w:p>
        </w:tc>
        <w:tc>
          <w:tcPr>
            <w:tcW w:w="737" w:type="dxa"/>
          </w:tcPr>
          <w:p>
            <w:pPr>
              <w:pStyle w:val="TableParagraph"/>
              <w:spacing w:line="275" w:lineRule="exact"/>
              <w:ind w:left="105"/>
              <w:rPr>
                <w:sz w:val="24"/>
              </w:rPr>
            </w:pPr>
            <w:r>
              <w:rPr>
                <w:sz w:val="24"/>
              </w:rPr>
              <w:t>400-</w:t>
            </w:r>
          </w:p>
          <w:p>
            <w:pPr>
              <w:pStyle w:val="TableParagraph"/>
              <w:spacing w:before="19"/>
              <w:ind w:left="105"/>
              <w:rPr>
                <w:sz w:val="24"/>
              </w:rPr>
            </w:pPr>
            <w:r>
              <w:rPr>
                <w:spacing w:val="-4"/>
                <w:sz w:val="24"/>
              </w:rPr>
              <w:t>750,</w:t>
            </w:r>
          </w:p>
          <w:p>
            <w:pPr>
              <w:pStyle w:val="TableParagraph"/>
              <w:spacing w:before="17"/>
              <w:ind w:left="105"/>
              <w:rPr>
                <w:sz w:val="24"/>
              </w:rPr>
            </w:pPr>
            <w:r>
              <w:rPr>
                <w:spacing w:val="-4"/>
                <w:sz w:val="24"/>
              </w:rPr>
              <w:t>651,</w:t>
            </w:r>
          </w:p>
          <w:p>
            <w:pPr>
              <w:pStyle w:val="TableParagraph"/>
              <w:spacing w:before="19"/>
              <w:ind w:left="105"/>
              <w:rPr>
                <w:sz w:val="24"/>
              </w:rPr>
            </w:pPr>
            <w:r>
              <w:rPr>
                <w:spacing w:val="-5"/>
                <w:sz w:val="24"/>
              </w:rPr>
              <w:t>933</w:t>
            </w:r>
          </w:p>
        </w:tc>
        <w:tc>
          <w:tcPr>
            <w:tcW w:w="869" w:type="dxa"/>
          </w:tcPr>
          <w:p>
            <w:pPr>
              <w:pStyle w:val="TableParagraph"/>
              <w:spacing w:line="275" w:lineRule="exact"/>
              <w:ind w:left="107"/>
              <w:rPr>
                <w:sz w:val="24"/>
              </w:rPr>
            </w:pPr>
            <w:r>
              <w:rPr>
                <w:spacing w:val="-4"/>
                <w:sz w:val="24"/>
              </w:rPr>
              <w:t>4,46</w:t>
            </w:r>
          </w:p>
        </w:tc>
        <w:tc>
          <w:tcPr>
            <w:tcW w:w="867" w:type="dxa"/>
          </w:tcPr>
          <w:p>
            <w:pPr>
              <w:pStyle w:val="TableParagraph"/>
              <w:spacing w:line="275" w:lineRule="exact"/>
              <w:ind w:left="105"/>
              <w:rPr>
                <w:sz w:val="24"/>
              </w:rPr>
            </w:pPr>
            <w:r>
              <w:rPr>
                <w:spacing w:val="-10"/>
                <w:sz w:val="24"/>
              </w:rPr>
              <w:t>5</w:t>
            </w:r>
          </w:p>
        </w:tc>
        <w:tc>
          <w:tcPr>
            <w:tcW w:w="869" w:type="dxa"/>
          </w:tcPr>
          <w:p>
            <w:pPr>
              <w:pStyle w:val="TableParagraph"/>
              <w:spacing w:line="275" w:lineRule="exact"/>
              <w:ind w:left="106"/>
              <w:rPr>
                <w:sz w:val="24"/>
              </w:rPr>
            </w:pPr>
            <w:r>
              <w:rPr>
                <w:spacing w:val="-4"/>
                <w:sz w:val="24"/>
              </w:rPr>
              <w:t>1,34</w:t>
            </w:r>
          </w:p>
        </w:tc>
        <w:tc>
          <w:tcPr>
            <w:tcW w:w="869" w:type="dxa"/>
          </w:tcPr>
          <w:p>
            <w:pPr>
              <w:pStyle w:val="TableParagraph"/>
              <w:spacing w:line="275" w:lineRule="exact"/>
              <w:ind w:left="106"/>
              <w:rPr>
                <w:sz w:val="24"/>
              </w:rPr>
            </w:pPr>
            <w:r>
              <w:rPr>
                <w:spacing w:val="-4"/>
                <w:sz w:val="24"/>
              </w:rPr>
              <w:t>9,33</w:t>
            </w:r>
          </w:p>
          <w:p>
            <w:pPr>
              <w:pStyle w:val="TableParagraph"/>
              <w:spacing w:before="20"/>
              <w:ind w:left="106"/>
              <w:rPr>
                <w:sz w:val="20"/>
              </w:rPr>
            </w:pPr>
            <w:r>
              <w:rPr>
                <w:spacing w:val="-2"/>
                <w:sz w:val="20"/>
              </w:rPr>
              <w:t>±1,61</w:t>
            </w:r>
          </w:p>
        </w:tc>
        <w:tc>
          <w:tcPr>
            <w:tcW w:w="953" w:type="dxa"/>
          </w:tcPr>
          <w:p>
            <w:pPr>
              <w:pStyle w:val="TableParagraph"/>
              <w:spacing w:line="275" w:lineRule="exact"/>
              <w:ind w:left="103"/>
              <w:rPr>
                <w:sz w:val="24"/>
              </w:rPr>
            </w:pPr>
            <w:r>
              <w:rPr>
                <w:spacing w:val="-5"/>
                <w:sz w:val="24"/>
              </w:rPr>
              <w:t>6,8</w:t>
            </w:r>
          </w:p>
          <w:p>
            <w:pPr>
              <w:pStyle w:val="TableParagraph"/>
              <w:spacing w:before="20"/>
              <w:ind w:left="103"/>
              <w:rPr>
                <w:sz w:val="20"/>
              </w:rPr>
            </w:pPr>
            <w:r>
              <w:rPr>
                <w:spacing w:val="-2"/>
                <w:sz w:val="20"/>
              </w:rPr>
              <w:t>±1,03</w:t>
            </w:r>
          </w:p>
        </w:tc>
        <w:tc>
          <w:tcPr>
            <w:tcW w:w="809" w:type="dxa"/>
          </w:tcPr>
          <w:p>
            <w:pPr>
              <w:pStyle w:val="TableParagraph"/>
              <w:spacing w:line="275" w:lineRule="exact"/>
              <w:ind w:left="103"/>
              <w:rPr>
                <w:sz w:val="24"/>
              </w:rPr>
            </w:pPr>
            <w:r>
              <w:rPr>
                <w:spacing w:val="-4"/>
                <w:sz w:val="24"/>
              </w:rPr>
              <w:t>4,82</w:t>
            </w:r>
          </w:p>
          <w:p>
            <w:pPr>
              <w:pStyle w:val="TableParagraph"/>
              <w:spacing w:before="20"/>
              <w:ind w:left="103"/>
              <w:rPr>
                <w:sz w:val="20"/>
              </w:rPr>
            </w:pPr>
            <w:r>
              <w:rPr>
                <w:spacing w:val="-2"/>
                <w:sz w:val="20"/>
              </w:rPr>
              <w:t>±1,71</w:t>
            </w:r>
          </w:p>
        </w:tc>
        <w:tc>
          <w:tcPr>
            <w:tcW w:w="1116" w:type="dxa"/>
          </w:tcPr>
          <w:p>
            <w:pPr>
              <w:pStyle w:val="TableParagraph"/>
              <w:spacing w:line="275" w:lineRule="exact"/>
              <w:ind w:left="106"/>
              <w:rPr>
                <w:sz w:val="24"/>
              </w:rPr>
            </w:pPr>
            <w:r>
              <w:rPr>
                <w:spacing w:val="-4"/>
                <w:sz w:val="24"/>
              </w:rPr>
              <w:t>2,36</w:t>
            </w:r>
          </w:p>
          <w:p>
            <w:pPr>
              <w:pStyle w:val="TableParagraph"/>
              <w:spacing w:before="20"/>
              <w:ind w:left="106"/>
              <w:rPr>
                <w:sz w:val="20"/>
              </w:rPr>
            </w:pPr>
            <w:r>
              <w:rPr>
                <w:spacing w:val="-2"/>
                <w:sz w:val="20"/>
              </w:rPr>
              <w:t>±0,93</w:t>
            </w:r>
          </w:p>
        </w:tc>
        <w:tc>
          <w:tcPr>
            <w:tcW w:w="850" w:type="dxa"/>
          </w:tcPr>
          <w:p>
            <w:pPr>
              <w:pStyle w:val="TableParagraph"/>
              <w:spacing w:line="275" w:lineRule="exact"/>
              <w:ind w:left="106"/>
              <w:rPr>
                <w:sz w:val="24"/>
              </w:rPr>
            </w:pPr>
            <w:r>
              <w:rPr>
                <w:spacing w:val="-2"/>
                <w:sz w:val="24"/>
              </w:rPr>
              <w:t>85,85</w:t>
            </w:r>
          </w:p>
          <w:p>
            <w:pPr>
              <w:pStyle w:val="TableParagraph"/>
              <w:spacing w:before="20"/>
              <w:ind w:left="106"/>
              <w:rPr>
                <w:sz w:val="20"/>
              </w:rPr>
            </w:pPr>
            <w:r>
              <w:rPr>
                <w:spacing w:val="-2"/>
                <w:sz w:val="20"/>
              </w:rPr>
              <w:t>±2,63</w:t>
            </w:r>
          </w:p>
        </w:tc>
        <w:tc>
          <w:tcPr>
            <w:tcW w:w="862" w:type="dxa"/>
          </w:tcPr>
          <w:p>
            <w:pPr>
              <w:pStyle w:val="TableParagraph"/>
              <w:spacing w:line="275" w:lineRule="exact"/>
              <w:ind w:left="105"/>
              <w:rPr>
                <w:sz w:val="24"/>
              </w:rPr>
            </w:pPr>
            <w:r>
              <w:rPr>
                <w:spacing w:val="-2"/>
                <w:sz w:val="24"/>
              </w:rPr>
              <w:t>90,85</w:t>
            </w:r>
          </w:p>
          <w:p>
            <w:pPr>
              <w:pStyle w:val="TableParagraph"/>
              <w:spacing w:before="20"/>
              <w:ind w:left="105"/>
              <w:rPr>
                <w:sz w:val="20"/>
              </w:rPr>
            </w:pPr>
            <w:r>
              <w:rPr>
                <w:spacing w:val="-2"/>
                <w:sz w:val="20"/>
              </w:rPr>
              <w:t>±1,66</w:t>
            </w:r>
          </w:p>
        </w:tc>
      </w:tr>
      <w:tr>
        <w:trPr>
          <w:trHeight w:val="1350" w:hRule="atLeast"/>
        </w:trPr>
        <w:tc>
          <w:tcPr>
            <w:tcW w:w="1272" w:type="dxa"/>
          </w:tcPr>
          <w:p>
            <w:pPr>
              <w:pStyle w:val="TableParagraph"/>
              <w:spacing w:line="256" w:lineRule="auto" w:before="1"/>
              <w:ind w:left="107" w:right="93"/>
              <w:jc w:val="both"/>
              <w:rPr>
                <w:sz w:val="22"/>
              </w:rPr>
            </w:pPr>
            <w:r>
              <w:rPr>
                <w:spacing w:val="-2"/>
                <w:sz w:val="22"/>
              </w:rPr>
              <w:t>Светодиод </w:t>
            </w:r>
            <w:r>
              <w:rPr>
                <w:sz w:val="22"/>
              </w:rPr>
              <w:t>ы, </w:t>
            </w:r>
            <w:r>
              <w:rPr>
                <w:sz w:val="22"/>
              </w:rPr>
              <w:t>лазер, </w:t>
            </w:r>
            <w:r>
              <w:rPr>
                <w:spacing w:val="-2"/>
                <w:sz w:val="22"/>
              </w:rPr>
              <w:t>инфракрас </w:t>
            </w:r>
            <w:r>
              <w:rPr>
                <w:spacing w:val="-4"/>
                <w:sz w:val="22"/>
              </w:rPr>
              <w:t>ный</w:t>
            </w:r>
          </w:p>
          <w:p>
            <w:pPr>
              <w:pStyle w:val="TableParagraph"/>
              <w:spacing w:line="247" w:lineRule="exact"/>
              <w:ind w:left="107"/>
              <w:rPr>
                <w:sz w:val="22"/>
              </w:rPr>
            </w:pPr>
            <w:r>
              <w:rPr>
                <w:spacing w:val="-2"/>
                <w:sz w:val="22"/>
              </w:rPr>
              <w:t>светодиод</w:t>
            </w:r>
          </w:p>
        </w:tc>
        <w:tc>
          <w:tcPr>
            <w:tcW w:w="737" w:type="dxa"/>
          </w:tcPr>
          <w:p>
            <w:pPr>
              <w:pStyle w:val="TableParagraph"/>
              <w:spacing w:line="275" w:lineRule="exact"/>
              <w:ind w:left="105"/>
              <w:rPr>
                <w:sz w:val="24"/>
              </w:rPr>
            </w:pPr>
            <w:r>
              <w:rPr>
                <w:sz w:val="24"/>
              </w:rPr>
              <w:t>400-</w:t>
            </w:r>
          </w:p>
          <w:p>
            <w:pPr>
              <w:pStyle w:val="TableParagraph"/>
              <w:spacing w:before="19"/>
              <w:ind w:left="105"/>
              <w:rPr>
                <w:sz w:val="24"/>
              </w:rPr>
            </w:pPr>
            <w:r>
              <w:rPr>
                <w:spacing w:val="-4"/>
                <w:sz w:val="24"/>
              </w:rPr>
              <w:t>750,</w:t>
            </w:r>
          </w:p>
          <w:p>
            <w:pPr>
              <w:pStyle w:val="TableParagraph"/>
              <w:spacing w:before="19"/>
              <w:ind w:left="105"/>
              <w:rPr>
                <w:sz w:val="24"/>
              </w:rPr>
            </w:pPr>
            <w:r>
              <w:rPr>
                <w:spacing w:val="-4"/>
                <w:sz w:val="24"/>
              </w:rPr>
              <w:t>651,</w:t>
            </w:r>
          </w:p>
          <w:p>
            <w:pPr>
              <w:pStyle w:val="TableParagraph"/>
              <w:spacing w:before="17"/>
              <w:ind w:left="105"/>
              <w:rPr>
                <w:sz w:val="24"/>
              </w:rPr>
            </w:pPr>
            <w:r>
              <w:rPr>
                <w:spacing w:val="-5"/>
                <w:sz w:val="24"/>
              </w:rPr>
              <w:t>933</w:t>
            </w:r>
          </w:p>
        </w:tc>
        <w:tc>
          <w:tcPr>
            <w:tcW w:w="869" w:type="dxa"/>
          </w:tcPr>
          <w:p>
            <w:pPr>
              <w:pStyle w:val="TableParagraph"/>
              <w:spacing w:line="275" w:lineRule="exact"/>
              <w:ind w:left="107"/>
              <w:rPr>
                <w:sz w:val="24"/>
              </w:rPr>
            </w:pPr>
            <w:r>
              <w:rPr>
                <w:spacing w:val="-4"/>
                <w:sz w:val="24"/>
              </w:rPr>
              <w:t>4,46</w:t>
            </w:r>
          </w:p>
        </w:tc>
        <w:tc>
          <w:tcPr>
            <w:tcW w:w="867" w:type="dxa"/>
          </w:tcPr>
          <w:p>
            <w:pPr>
              <w:pStyle w:val="TableParagraph"/>
              <w:spacing w:line="275" w:lineRule="exact"/>
              <w:ind w:left="105"/>
              <w:rPr>
                <w:sz w:val="24"/>
              </w:rPr>
            </w:pPr>
            <w:r>
              <w:rPr>
                <w:spacing w:val="-5"/>
                <w:sz w:val="24"/>
              </w:rPr>
              <w:t>15</w:t>
            </w:r>
          </w:p>
        </w:tc>
        <w:tc>
          <w:tcPr>
            <w:tcW w:w="869" w:type="dxa"/>
          </w:tcPr>
          <w:p>
            <w:pPr>
              <w:pStyle w:val="TableParagraph"/>
              <w:spacing w:line="275" w:lineRule="exact"/>
              <w:ind w:left="106"/>
              <w:rPr>
                <w:sz w:val="24"/>
              </w:rPr>
            </w:pPr>
            <w:r>
              <w:rPr>
                <w:spacing w:val="-4"/>
                <w:sz w:val="24"/>
              </w:rPr>
              <w:t>4,01</w:t>
            </w:r>
          </w:p>
        </w:tc>
        <w:tc>
          <w:tcPr>
            <w:tcW w:w="869" w:type="dxa"/>
          </w:tcPr>
          <w:p>
            <w:pPr>
              <w:pStyle w:val="TableParagraph"/>
              <w:spacing w:line="275" w:lineRule="exact"/>
              <w:ind w:left="106"/>
              <w:rPr>
                <w:sz w:val="24"/>
              </w:rPr>
            </w:pPr>
            <w:r>
              <w:rPr>
                <w:spacing w:val="-4"/>
                <w:sz w:val="24"/>
              </w:rPr>
              <w:t>9,54</w:t>
            </w:r>
          </w:p>
          <w:p>
            <w:pPr>
              <w:pStyle w:val="TableParagraph"/>
              <w:spacing w:before="20"/>
              <w:ind w:left="106"/>
              <w:rPr>
                <w:sz w:val="20"/>
              </w:rPr>
            </w:pPr>
            <w:r>
              <w:rPr>
                <w:spacing w:val="-2"/>
                <w:sz w:val="20"/>
              </w:rPr>
              <w:t>±1,88</w:t>
            </w:r>
          </w:p>
        </w:tc>
        <w:tc>
          <w:tcPr>
            <w:tcW w:w="953" w:type="dxa"/>
          </w:tcPr>
          <w:p>
            <w:pPr>
              <w:pStyle w:val="TableParagraph"/>
              <w:spacing w:line="275" w:lineRule="exact"/>
              <w:ind w:left="103"/>
              <w:rPr>
                <w:sz w:val="24"/>
              </w:rPr>
            </w:pPr>
            <w:r>
              <w:rPr>
                <w:spacing w:val="-4"/>
                <w:sz w:val="24"/>
              </w:rPr>
              <w:t>6,71</w:t>
            </w:r>
          </w:p>
          <w:p>
            <w:pPr>
              <w:pStyle w:val="TableParagraph"/>
              <w:spacing w:before="20"/>
              <w:ind w:left="103"/>
              <w:rPr>
                <w:sz w:val="20"/>
              </w:rPr>
            </w:pPr>
            <w:r>
              <w:rPr>
                <w:spacing w:val="-2"/>
                <w:sz w:val="20"/>
              </w:rPr>
              <w:t>±1,54</w:t>
            </w:r>
          </w:p>
        </w:tc>
        <w:tc>
          <w:tcPr>
            <w:tcW w:w="809" w:type="dxa"/>
          </w:tcPr>
          <w:p>
            <w:pPr>
              <w:pStyle w:val="TableParagraph"/>
              <w:spacing w:line="275" w:lineRule="exact"/>
              <w:ind w:left="103"/>
              <w:rPr>
                <w:sz w:val="24"/>
              </w:rPr>
            </w:pPr>
            <w:r>
              <w:rPr>
                <w:spacing w:val="-4"/>
                <w:sz w:val="24"/>
              </w:rPr>
              <w:t>5,44</w:t>
            </w:r>
          </w:p>
          <w:p>
            <w:pPr>
              <w:pStyle w:val="TableParagraph"/>
              <w:spacing w:before="20"/>
              <w:ind w:left="103"/>
              <w:rPr>
                <w:sz w:val="20"/>
              </w:rPr>
            </w:pPr>
            <w:r>
              <w:rPr>
                <w:spacing w:val="-2"/>
                <w:sz w:val="20"/>
              </w:rPr>
              <w:t>±1,34</w:t>
            </w:r>
          </w:p>
        </w:tc>
        <w:tc>
          <w:tcPr>
            <w:tcW w:w="1116" w:type="dxa"/>
          </w:tcPr>
          <w:p>
            <w:pPr>
              <w:pStyle w:val="TableParagraph"/>
              <w:spacing w:line="275" w:lineRule="exact"/>
              <w:ind w:left="106"/>
              <w:rPr>
                <w:sz w:val="24"/>
              </w:rPr>
            </w:pPr>
            <w:r>
              <w:rPr>
                <w:spacing w:val="-4"/>
                <w:sz w:val="24"/>
              </w:rPr>
              <w:t>4,11</w:t>
            </w:r>
          </w:p>
          <w:p>
            <w:pPr>
              <w:pStyle w:val="TableParagraph"/>
              <w:spacing w:before="20"/>
              <w:ind w:left="106"/>
              <w:rPr>
                <w:sz w:val="20"/>
              </w:rPr>
            </w:pPr>
            <w:r>
              <w:rPr>
                <w:spacing w:val="-2"/>
                <w:sz w:val="20"/>
              </w:rPr>
              <w:t>±0,99</w:t>
            </w:r>
          </w:p>
        </w:tc>
        <w:tc>
          <w:tcPr>
            <w:tcW w:w="850" w:type="dxa"/>
          </w:tcPr>
          <w:p>
            <w:pPr>
              <w:pStyle w:val="TableParagraph"/>
              <w:spacing w:line="275" w:lineRule="exact"/>
              <w:ind w:left="106"/>
              <w:rPr>
                <w:sz w:val="24"/>
              </w:rPr>
            </w:pPr>
            <w:r>
              <w:rPr>
                <w:spacing w:val="-2"/>
                <w:sz w:val="24"/>
              </w:rPr>
              <w:t>85,03</w:t>
            </w:r>
          </w:p>
          <w:p>
            <w:pPr>
              <w:pStyle w:val="TableParagraph"/>
              <w:spacing w:before="20"/>
              <w:ind w:left="106"/>
              <w:rPr>
                <w:sz w:val="20"/>
              </w:rPr>
            </w:pPr>
            <w:r>
              <w:rPr>
                <w:spacing w:val="-2"/>
                <w:sz w:val="20"/>
              </w:rPr>
              <w:t>±2,79</w:t>
            </w:r>
          </w:p>
        </w:tc>
        <w:tc>
          <w:tcPr>
            <w:tcW w:w="862" w:type="dxa"/>
          </w:tcPr>
          <w:p>
            <w:pPr>
              <w:pStyle w:val="TableParagraph"/>
              <w:spacing w:line="275" w:lineRule="exact"/>
              <w:ind w:left="105"/>
              <w:rPr>
                <w:sz w:val="24"/>
              </w:rPr>
            </w:pPr>
            <w:r>
              <w:rPr>
                <w:spacing w:val="-2"/>
                <w:sz w:val="24"/>
              </w:rPr>
              <w:t>89,18</w:t>
            </w:r>
          </w:p>
          <w:p>
            <w:pPr>
              <w:pStyle w:val="TableParagraph"/>
              <w:spacing w:before="20"/>
              <w:ind w:left="105"/>
              <w:rPr>
                <w:sz w:val="20"/>
              </w:rPr>
            </w:pPr>
            <w:r>
              <w:rPr>
                <w:spacing w:val="-4"/>
                <w:sz w:val="20"/>
              </w:rPr>
              <w:t>±2,2</w:t>
            </w:r>
          </w:p>
        </w:tc>
      </w:tr>
    </w:tbl>
    <w:p>
      <w:pPr>
        <w:pStyle w:val="BodyText"/>
        <w:spacing w:before="23"/>
        <w:jc w:val="left"/>
      </w:pPr>
    </w:p>
    <w:p>
      <w:pPr>
        <w:pStyle w:val="BodyText"/>
        <w:spacing w:line="256" w:lineRule="auto"/>
        <w:ind w:left="143" w:right="420" w:firstLine="707"/>
      </w:pPr>
      <w:r>
        <w:rPr/>
        <w:t>При облучении эякулята 630 нм светодиодным ЭМИ на протяжении 5 минут доля прогрессивно-подвижных сперматозоидов в среднем увеличивалась на 12,9% (1,56% в абсолютном выражении) по сравнению с контролем. Доля непрогрессивно-подвижных сперматозоидов увеличивалась на 14,5% (абсолютное увеличение на 1,35%). Число неподвижных сперматозоидов уменьшалось на 3,84%, или на 2,91% в</w:t>
      </w:r>
    </w:p>
    <w:p>
      <w:pPr>
        <w:pStyle w:val="BodyText"/>
        <w:spacing w:after="0" w:line="256" w:lineRule="auto"/>
        <w:sectPr>
          <w:footerReference w:type="default" r:id="rId51"/>
          <w:pgSz w:w="11910" w:h="16840"/>
          <w:pgMar w:header="0" w:footer="990" w:top="680" w:bottom="1180" w:left="708" w:right="425"/>
        </w:sectPr>
      </w:pPr>
    </w:p>
    <w:p>
      <w:pPr>
        <w:pStyle w:val="BodyText"/>
        <w:spacing w:line="256" w:lineRule="auto" w:before="69"/>
        <w:ind w:left="144" w:right="419"/>
      </w:pPr>
      <w:r>
        <w:rPr/>
        <w:t>абсолютном выражении (рис. 29). Парный t-критерий Стьюдента равен 1,30; 0,78 и 1,26 соответственно. Статистически достоверной разницы между экспериментом и контролем не получили (p ≥ 0,215). Ровно так же как не получили статистически значимой разницы увеличения подвижности сперматозоидов применяя 463, 572,</w:t>
      </w:r>
      <w:r>
        <w:rPr>
          <w:spacing w:val="40"/>
        </w:rPr>
        <w:t> </w:t>
      </w:r>
      <w:r>
        <w:rPr/>
        <w:t>589, 651 и 933 нм диоды. Белый свет с диапазоном длин 400-750 нм также не влиял статистически значимо на подвижность сперматозоидов (t=5 мин).</w:t>
      </w:r>
    </w:p>
    <w:p>
      <w:pPr>
        <w:pStyle w:val="BodyText"/>
        <w:spacing w:before="120"/>
        <w:jc w:val="left"/>
        <w:rPr>
          <w:sz w:val="20"/>
        </w:rPr>
      </w:pPr>
      <w:r>
        <w:rPr>
          <w:sz w:val="20"/>
        </w:rPr>
        <w:drawing>
          <wp:anchor distT="0" distB="0" distL="0" distR="0" allowOverlap="1" layoutInCell="1" locked="0" behindDoc="1" simplePos="0" relativeHeight="487610368">
            <wp:simplePos x="0" y="0"/>
            <wp:positionH relativeFrom="page">
              <wp:posOffset>549911</wp:posOffset>
            </wp:positionH>
            <wp:positionV relativeFrom="paragraph">
              <wp:posOffset>237962</wp:posOffset>
            </wp:positionV>
            <wp:extent cx="6456570" cy="3886200"/>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52" cstate="print"/>
                    <a:stretch>
                      <a:fillRect/>
                    </a:stretch>
                  </pic:blipFill>
                  <pic:spPr>
                    <a:xfrm>
                      <a:off x="0" y="0"/>
                      <a:ext cx="6456570" cy="3886200"/>
                    </a:xfrm>
                    <a:prstGeom prst="rect">
                      <a:avLst/>
                    </a:prstGeom>
                  </pic:spPr>
                </pic:pic>
              </a:graphicData>
            </a:graphic>
          </wp:anchor>
        </w:drawing>
      </w:r>
    </w:p>
    <w:p>
      <w:pPr>
        <w:pStyle w:val="BodyText"/>
        <w:spacing w:line="256" w:lineRule="auto" w:before="49"/>
        <w:ind w:left="3396" w:right="66" w:hanging="3250"/>
        <w:jc w:val="left"/>
      </w:pPr>
      <w:r>
        <w:rPr/>
        <w:t>Рисунок</w:t>
      </w:r>
      <w:r>
        <w:rPr>
          <w:spacing w:val="-6"/>
        </w:rPr>
        <w:t> </w:t>
      </w:r>
      <w:r>
        <w:rPr/>
        <w:t>29</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3"/>
        </w:rPr>
        <w:t> </w:t>
      </w:r>
      <w:r>
        <w:rPr/>
        <w:t>облучения</w:t>
      </w:r>
      <w:r>
        <w:rPr>
          <w:spacing w:val="-4"/>
        </w:rPr>
        <w:t> </w:t>
      </w:r>
      <w:r>
        <w:rPr/>
        <w:t>сперматозоидов</w:t>
      </w:r>
      <w:r>
        <w:rPr>
          <w:spacing w:val="-4"/>
        </w:rPr>
        <w:t> </w:t>
      </w:r>
      <w:r>
        <w:rPr/>
        <w:t>человека</w:t>
      </w:r>
      <w:r>
        <w:rPr>
          <w:spacing w:val="-4"/>
        </w:rPr>
        <w:t> </w:t>
      </w:r>
      <w:r>
        <w:rPr/>
        <w:t>красным</w:t>
      </w:r>
      <w:r>
        <w:rPr>
          <w:spacing w:val="-4"/>
        </w:rPr>
        <w:t> </w:t>
      </w:r>
      <w:r>
        <w:rPr/>
        <w:t>светодиодом 630 нм на протяжении 5 минут</w:t>
      </w:r>
    </w:p>
    <w:p>
      <w:pPr>
        <w:pStyle w:val="BodyText"/>
        <w:spacing w:before="24"/>
        <w:jc w:val="left"/>
        <w:rPr>
          <w:sz w:val="20"/>
        </w:rPr>
      </w:pPr>
    </w:p>
    <w:p>
      <w:pPr>
        <w:pStyle w:val="BodyText"/>
        <w:spacing w:after="0"/>
        <w:jc w:val="left"/>
        <w:rPr>
          <w:sz w:val="20"/>
        </w:rPr>
        <w:sectPr>
          <w:pgSz w:w="11910" w:h="16840"/>
          <w:pgMar w:header="0" w:footer="990" w:top="340" w:bottom="1200" w:left="708" w:right="425"/>
        </w:sectPr>
      </w:pPr>
    </w:p>
    <w:p>
      <w:pPr>
        <w:pStyle w:val="BodyText"/>
        <w:spacing w:before="89"/>
        <w:ind w:left="851"/>
        <w:jc w:val="left"/>
      </w:pPr>
      <w:r>
        <w:rPr/>
        <w:t>Суммарную</w:t>
      </w:r>
      <w:r>
        <w:rPr>
          <w:spacing w:val="-9"/>
        </w:rPr>
        <w:t> </w:t>
      </w:r>
      <w:r>
        <w:rPr/>
        <w:t>сообщаемую</w:t>
      </w:r>
      <w:r>
        <w:rPr>
          <w:spacing w:val="-8"/>
        </w:rPr>
        <w:t> </w:t>
      </w:r>
      <w:r>
        <w:rPr/>
        <w:t>энергию</w:t>
      </w:r>
      <w:r>
        <w:rPr>
          <w:spacing w:val="-8"/>
        </w:rPr>
        <w:t> </w:t>
      </w:r>
      <w:r>
        <w:rPr/>
        <w:t>рассчитывали</w:t>
      </w:r>
      <w:r>
        <w:rPr>
          <w:spacing w:val="-6"/>
        </w:rPr>
        <w:t> </w:t>
      </w:r>
      <w:r>
        <w:rPr/>
        <w:t>по</w:t>
      </w:r>
      <w:r>
        <w:rPr>
          <w:spacing w:val="-6"/>
        </w:rPr>
        <w:t> </w:t>
      </w:r>
      <w:r>
        <w:rPr/>
        <w:t>формуле</w:t>
      </w:r>
      <w:r>
        <w:rPr>
          <w:spacing w:val="-6"/>
        </w:rPr>
        <w:t> </w:t>
      </w:r>
      <w:r>
        <w:rPr>
          <w:spacing w:val="-4"/>
        </w:rPr>
        <w:t>(3):</w:t>
      </w:r>
    </w:p>
    <w:p>
      <w:pPr>
        <w:pStyle w:val="BodyText"/>
        <w:spacing w:before="42"/>
        <w:jc w:val="left"/>
      </w:pPr>
    </w:p>
    <w:p>
      <w:pPr>
        <w:spacing w:before="1"/>
        <w:ind w:left="3832" w:right="0" w:firstLine="0"/>
        <w:jc w:val="left"/>
        <w:rPr>
          <w:b/>
          <w:position w:val="-3"/>
          <w:sz w:val="34"/>
        </w:rPr>
      </w:pPr>
      <w:r>
        <w:rPr>
          <w:b/>
          <w:sz w:val="52"/>
        </w:rPr>
        <w:t>E</w:t>
      </w:r>
      <w:r>
        <w:rPr>
          <w:b/>
          <w:position w:val="-3"/>
          <w:sz w:val="34"/>
        </w:rPr>
        <w:t>Дж</w:t>
      </w:r>
      <w:r>
        <w:rPr>
          <w:b/>
          <w:spacing w:val="41"/>
          <w:position w:val="-3"/>
          <w:sz w:val="34"/>
        </w:rPr>
        <w:t> </w:t>
      </w:r>
      <w:r>
        <w:rPr>
          <w:b/>
          <w:sz w:val="52"/>
        </w:rPr>
        <w:t>= P</w:t>
      </w:r>
      <w:r>
        <w:rPr>
          <w:b/>
          <w:position w:val="-3"/>
          <w:sz w:val="34"/>
        </w:rPr>
        <w:t>Вт</w:t>
      </w:r>
      <w:r>
        <w:rPr>
          <w:b/>
          <w:spacing w:val="41"/>
          <w:position w:val="-3"/>
          <w:sz w:val="34"/>
        </w:rPr>
        <w:t> </w:t>
      </w:r>
      <w:r>
        <w:rPr>
          <w:rFonts w:ascii="Cambria Math" w:hAnsi="Cambria Math"/>
          <w:sz w:val="52"/>
        </w:rPr>
        <w:t>⋅</w:t>
      </w:r>
      <w:r>
        <w:rPr>
          <w:rFonts w:ascii="Cambria Math" w:hAnsi="Cambria Math"/>
          <w:spacing w:val="14"/>
          <w:sz w:val="52"/>
        </w:rPr>
        <w:t> </w:t>
      </w:r>
      <w:r>
        <w:rPr>
          <w:b/>
          <w:spacing w:val="-5"/>
          <w:sz w:val="52"/>
        </w:rPr>
        <w:t>t</w:t>
      </w:r>
      <w:r>
        <w:rPr>
          <w:b/>
          <w:spacing w:val="-5"/>
          <w:position w:val="-3"/>
          <w:sz w:val="34"/>
        </w:rPr>
        <w:t>с</w:t>
      </w:r>
    </w:p>
    <w:p>
      <w:pPr>
        <w:pStyle w:val="BodyText"/>
        <w:spacing w:before="110"/>
        <w:jc w:val="left"/>
        <w:rPr>
          <w:b/>
        </w:rPr>
      </w:pPr>
      <w:r>
        <w:rPr/>
        <w:br w:type="column"/>
      </w:r>
      <w:r>
        <w:rPr>
          <w:b/>
        </w:rPr>
      </w:r>
    </w:p>
    <w:p>
      <w:pPr>
        <w:pStyle w:val="BodyText"/>
        <w:ind w:left="851"/>
        <w:jc w:val="left"/>
      </w:pPr>
      <w:r>
        <w:rPr>
          <w:spacing w:val="-5"/>
        </w:rPr>
        <w:t>(3)</w:t>
      </w:r>
    </w:p>
    <w:p>
      <w:pPr>
        <w:pStyle w:val="BodyText"/>
        <w:spacing w:after="0"/>
        <w:jc w:val="left"/>
        <w:sectPr>
          <w:type w:val="continuous"/>
          <w:pgSz w:w="11910" w:h="16840"/>
          <w:pgMar w:header="0" w:footer="990" w:top="1040" w:bottom="280" w:left="708" w:right="425"/>
          <w:cols w:num="2" w:equalWidth="0">
            <w:col w:w="8701" w:space="470"/>
            <w:col w:w="1606"/>
          </w:cols>
        </w:sectPr>
      </w:pPr>
    </w:p>
    <w:p>
      <w:pPr>
        <w:pStyle w:val="BodyText"/>
        <w:jc w:val="left"/>
      </w:pPr>
    </w:p>
    <w:p>
      <w:pPr>
        <w:pStyle w:val="BodyText"/>
        <w:spacing w:before="35"/>
        <w:jc w:val="left"/>
      </w:pPr>
    </w:p>
    <w:p>
      <w:pPr>
        <w:pStyle w:val="BodyText"/>
        <w:ind w:left="144"/>
        <w:jc w:val="left"/>
      </w:pPr>
      <w:r>
        <w:rPr/>
        <mc:AlternateContent>
          <mc:Choice Requires="wps">
            <w:drawing>
              <wp:anchor distT="0" distB="0" distL="0" distR="0" allowOverlap="1" layoutInCell="1" locked="0" behindDoc="0" simplePos="0" relativeHeight="15751680">
                <wp:simplePos x="0" y="0"/>
                <wp:positionH relativeFrom="page">
                  <wp:posOffset>1185925</wp:posOffset>
                </wp:positionH>
                <wp:positionV relativeFrom="paragraph">
                  <wp:posOffset>46764</wp:posOffset>
                </wp:positionV>
                <wp:extent cx="2200910" cy="63881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200910" cy="6388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
                              <w:gridCol w:w="2790"/>
                            </w:tblGrid>
                            <w:tr>
                              <w:trPr>
                                <w:trHeight w:val="331" w:hRule="atLeast"/>
                              </w:trPr>
                              <w:tc>
                                <w:tcPr>
                                  <w:tcW w:w="555" w:type="dxa"/>
                                </w:tcPr>
                                <w:p>
                                  <w:pPr>
                                    <w:pStyle w:val="TableParagraph"/>
                                    <w:spacing w:line="311" w:lineRule="exact"/>
                                    <w:ind w:left="24" w:right="141"/>
                                    <w:jc w:val="center"/>
                                    <w:rPr>
                                      <w:sz w:val="28"/>
                                    </w:rPr>
                                  </w:pPr>
                                  <w:r>
                                    <w:rPr>
                                      <w:sz w:val="28"/>
                                    </w:rPr>
                                    <w:t>Е </w:t>
                                  </w:r>
                                  <w:r>
                                    <w:rPr>
                                      <w:spacing w:val="-10"/>
                                      <w:sz w:val="28"/>
                                    </w:rPr>
                                    <w:t>-</w:t>
                                  </w:r>
                                </w:p>
                              </w:tc>
                              <w:tc>
                                <w:tcPr>
                                  <w:tcW w:w="2790" w:type="dxa"/>
                                </w:tcPr>
                                <w:p>
                                  <w:pPr>
                                    <w:pStyle w:val="TableParagraph"/>
                                    <w:spacing w:line="311" w:lineRule="exact"/>
                                    <w:ind w:left="169"/>
                                    <w:rPr>
                                      <w:sz w:val="28"/>
                                    </w:rPr>
                                  </w:pPr>
                                  <w:r>
                                    <w:rPr>
                                      <w:spacing w:val="-2"/>
                                      <w:sz w:val="28"/>
                                    </w:rPr>
                                    <w:t>энергия,</w:t>
                                  </w:r>
                                </w:p>
                              </w:tc>
                            </w:tr>
                            <w:tr>
                              <w:trPr>
                                <w:trHeight w:val="348" w:hRule="atLeast"/>
                              </w:trPr>
                              <w:tc>
                                <w:tcPr>
                                  <w:tcW w:w="555" w:type="dxa"/>
                                </w:tcPr>
                                <w:p>
                                  <w:pPr>
                                    <w:pStyle w:val="TableParagraph"/>
                                    <w:spacing w:line="318" w:lineRule="exact" w:before="9"/>
                                    <w:ind w:left="8" w:right="141"/>
                                    <w:jc w:val="center"/>
                                    <w:rPr>
                                      <w:sz w:val="28"/>
                                    </w:rPr>
                                  </w:pPr>
                                  <w:r>
                                    <w:rPr>
                                      <w:sz w:val="28"/>
                                    </w:rPr>
                                    <w:t>P</w:t>
                                  </w:r>
                                  <w:r>
                                    <w:rPr>
                                      <w:spacing w:val="-1"/>
                                      <w:sz w:val="28"/>
                                    </w:rPr>
                                    <w:t> </w:t>
                                  </w:r>
                                  <w:r>
                                    <w:rPr>
                                      <w:spacing w:val="-12"/>
                                      <w:sz w:val="28"/>
                                    </w:rPr>
                                    <w:t>-</w:t>
                                  </w:r>
                                </w:p>
                              </w:tc>
                              <w:tc>
                                <w:tcPr>
                                  <w:tcW w:w="2790" w:type="dxa"/>
                                </w:tcPr>
                                <w:p>
                                  <w:pPr>
                                    <w:pStyle w:val="TableParagraph"/>
                                    <w:spacing w:line="318" w:lineRule="exact" w:before="9"/>
                                    <w:ind w:left="169"/>
                                    <w:rPr>
                                      <w:sz w:val="28"/>
                                    </w:rPr>
                                  </w:pPr>
                                  <w:r>
                                    <w:rPr>
                                      <w:sz w:val="28"/>
                                    </w:rPr>
                                    <w:t>мощность</w:t>
                                  </w:r>
                                  <w:r>
                                    <w:rPr>
                                      <w:spacing w:val="-7"/>
                                      <w:sz w:val="28"/>
                                    </w:rPr>
                                    <w:t> </w:t>
                                  </w:r>
                                  <w:r>
                                    <w:rPr>
                                      <w:spacing w:val="-2"/>
                                      <w:sz w:val="28"/>
                                    </w:rPr>
                                    <w:t>излучения,</w:t>
                                  </w:r>
                                </w:p>
                              </w:tc>
                            </w:tr>
                            <w:tr>
                              <w:trPr>
                                <w:trHeight w:val="327" w:hRule="atLeast"/>
                              </w:trPr>
                              <w:tc>
                                <w:tcPr>
                                  <w:tcW w:w="555" w:type="dxa"/>
                                </w:tcPr>
                                <w:p>
                                  <w:pPr>
                                    <w:pStyle w:val="TableParagraph"/>
                                    <w:spacing w:line="302" w:lineRule="exact" w:before="5"/>
                                    <w:ind w:right="141"/>
                                    <w:jc w:val="center"/>
                                    <w:rPr>
                                      <w:sz w:val="28"/>
                                    </w:rPr>
                                  </w:pPr>
                                  <w:r>
                                    <w:rPr>
                                      <w:sz w:val="28"/>
                                    </w:rPr>
                                    <w:t>t</w:t>
                                  </w:r>
                                  <w:r>
                                    <w:rPr>
                                      <w:spacing w:val="70"/>
                                      <w:sz w:val="28"/>
                                    </w:rPr>
                                    <w:t> </w:t>
                                  </w:r>
                                  <w:r>
                                    <w:rPr>
                                      <w:spacing w:val="-10"/>
                                      <w:sz w:val="28"/>
                                    </w:rPr>
                                    <w:t>-</w:t>
                                  </w:r>
                                </w:p>
                              </w:tc>
                              <w:tc>
                                <w:tcPr>
                                  <w:tcW w:w="2790" w:type="dxa"/>
                                </w:tcPr>
                                <w:p>
                                  <w:pPr>
                                    <w:pStyle w:val="TableParagraph"/>
                                    <w:spacing w:line="302" w:lineRule="exact" w:before="5"/>
                                    <w:ind w:left="169"/>
                                    <w:rPr>
                                      <w:sz w:val="28"/>
                                    </w:rPr>
                                  </w:pPr>
                                  <w:r>
                                    <w:rPr>
                                      <w:sz w:val="28"/>
                                    </w:rPr>
                                    <w:t>время</w:t>
                                  </w:r>
                                  <w:r>
                                    <w:rPr>
                                      <w:spacing w:val="-1"/>
                                      <w:sz w:val="28"/>
                                    </w:rPr>
                                    <w:t> </w:t>
                                  </w:r>
                                  <w:r>
                                    <w:rPr>
                                      <w:spacing w:val="-2"/>
                                      <w:sz w:val="28"/>
                                    </w:rPr>
                                    <w:t>экспозиции</w:t>
                                  </w:r>
                                </w:p>
                              </w:tc>
                            </w:tr>
                          </w:tbl>
                          <w:p>
                            <w:pPr>
                              <w:pStyle w:val="BodyText"/>
                              <w:jc w:val="left"/>
                            </w:pPr>
                          </w:p>
                        </w:txbxContent>
                      </wps:txbx>
                      <wps:bodyPr wrap="square" lIns="0" tIns="0" rIns="0" bIns="0" rtlCol="0">
                        <a:noAutofit/>
                      </wps:bodyPr>
                    </wps:wsp>
                  </a:graphicData>
                </a:graphic>
              </wp:anchor>
            </w:drawing>
          </mc:Choice>
          <mc:Fallback>
            <w:pict>
              <v:shape style="position:absolute;margin-left:93.379997pt;margin-top:3.682228pt;width:173.3pt;height:50.3pt;mso-position-horizontal-relative:page;mso-position-vertical-relative:paragraph;z-index:15751680" type="#_x0000_t202" id="docshape4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
                        <w:gridCol w:w="2790"/>
                      </w:tblGrid>
                      <w:tr>
                        <w:trPr>
                          <w:trHeight w:val="331" w:hRule="atLeast"/>
                        </w:trPr>
                        <w:tc>
                          <w:tcPr>
                            <w:tcW w:w="555" w:type="dxa"/>
                          </w:tcPr>
                          <w:p>
                            <w:pPr>
                              <w:pStyle w:val="TableParagraph"/>
                              <w:spacing w:line="311" w:lineRule="exact"/>
                              <w:ind w:left="24" w:right="141"/>
                              <w:jc w:val="center"/>
                              <w:rPr>
                                <w:sz w:val="28"/>
                              </w:rPr>
                            </w:pPr>
                            <w:r>
                              <w:rPr>
                                <w:sz w:val="28"/>
                              </w:rPr>
                              <w:t>Е </w:t>
                            </w:r>
                            <w:r>
                              <w:rPr>
                                <w:spacing w:val="-10"/>
                                <w:sz w:val="28"/>
                              </w:rPr>
                              <w:t>-</w:t>
                            </w:r>
                          </w:p>
                        </w:tc>
                        <w:tc>
                          <w:tcPr>
                            <w:tcW w:w="2790" w:type="dxa"/>
                          </w:tcPr>
                          <w:p>
                            <w:pPr>
                              <w:pStyle w:val="TableParagraph"/>
                              <w:spacing w:line="311" w:lineRule="exact"/>
                              <w:ind w:left="169"/>
                              <w:rPr>
                                <w:sz w:val="28"/>
                              </w:rPr>
                            </w:pPr>
                            <w:r>
                              <w:rPr>
                                <w:spacing w:val="-2"/>
                                <w:sz w:val="28"/>
                              </w:rPr>
                              <w:t>энергия,</w:t>
                            </w:r>
                          </w:p>
                        </w:tc>
                      </w:tr>
                      <w:tr>
                        <w:trPr>
                          <w:trHeight w:val="348" w:hRule="atLeast"/>
                        </w:trPr>
                        <w:tc>
                          <w:tcPr>
                            <w:tcW w:w="555" w:type="dxa"/>
                          </w:tcPr>
                          <w:p>
                            <w:pPr>
                              <w:pStyle w:val="TableParagraph"/>
                              <w:spacing w:line="318" w:lineRule="exact" w:before="9"/>
                              <w:ind w:left="8" w:right="141"/>
                              <w:jc w:val="center"/>
                              <w:rPr>
                                <w:sz w:val="28"/>
                              </w:rPr>
                            </w:pPr>
                            <w:r>
                              <w:rPr>
                                <w:sz w:val="28"/>
                              </w:rPr>
                              <w:t>P</w:t>
                            </w:r>
                            <w:r>
                              <w:rPr>
                                <w:spacing w:val="-1"/>
                                <w:sz w:val="28"/>
                              </w:rPr>
                              <w:t> </w:t>
                            </w:r>
                            <w:r>
                              <w:rPr>
                                <w:spacing w:val="-12"/>
                                <w:sz w:val="28"/>
                              </w:rPr>
                              <w:t>-</w:t>
                            </w:r>
                          </w:p>
                        </w:tc>
                        <w:tc>
                          <w:tcPr>
                            <w:tcW w:w="2790" w:type="dxa"/>
                          </w:tcPr>
                          <w:p>
                            <w:pPr>
                              <w:pStyle w:val="TableParagraph"/>
                              <w:spacing w:line="318" w:lineRule="exact" w:before="9"/>
                              <w:ind w:left="169"/>
                              <w:rPr>
                                <w:sz w:val="28"/>
                              </w:rPr>
                            </w:pPr>
                            <w:r>
                              <w:rPr>
                                <w:sz w:val="28"/>
                              </w:rPr>
                              <w:t>мощность</w:t>
                            </w:r>
                            <w:r>
                              <w:rPr>
                                <w:spacing w:val="-7"/>
                                <w:sz w:val="28"/>
                              </w:rPr>
                              <w:t> </w:t>
                            </w:r>
                            <w:r>
                              <w:rPr>
                                <w:spacing w:val="-2"/>
                                <w:sz w:val="28"/>
                              </w:rPr>
                              <w:t>излучения,</w:t>
                            </w:r>
                          </w:p>
                        </w:tc>
                      </w:tr>
                      <w:tr>
                        <w:trPr>
                          <w:trHeight w:val="327" w:hRule="atLeast"/>
                        </w:trPr>
                        <w:tc>
                          <w:tcPr>
                            <w:tcW w:w="555" w:type="dxa"/>
                          </w:tcPr>
                          <w:p>
                            <w:pPr>
                              <w:pStyle w:val="TableParagraph"/>
                              <w:spacing w:line="302" w:lineRule="exact" w:before="5"/>
                              <w:ind w:right="141"/>
                              <w:jc w:val="center"/>
                              <w:rPr>
                                <w:sz w:val="28"/>
                              </w:rPr>
                            </w:pPr>
                            <w:r>
                              <w:rPr>
                                <w:sz w:val="28"/>
                              </w:rPr>
                              <w:t>t</w:t>
                            </w:r>
                            <w:r>
                              <w:rPr>
                                <w:spacing w:val="70"/>
                                <w:sz w:val="28"/>
                              </w:rPr>
                              <w:t> </w:t>
                            </w:r>
                            <w:r>
                              <w:rPr>
                                <w:spacing w:val="-10"/>
                                <w:sz w:val="28"/>
                              </w:rPr>
                              <w:t>-</w:t>
                            </w:r>
                          </w:p>
                        </w:tc>
                        <w:tc>
                          <w:tcPr>
                            <w:tcW w:w="2790" w:type="dxa"/>
                          </w:tcPr>
                          <w:p>
                            <w:pPr>
                              <w:pStyle w:val="TableParagraph"/>
                              <w:spacing w:line="302" w:lineRule="exact" w:before="5"/>
                              <w:ind w:left="169"/>
                              <w:rPr>
                                <w:sz w:val="28"/>
                              </w:rPr>
                            </w:pPr>
                            <w:r>
                              <w:rPr>
                                <w:sz w:val="28"/>
                              </w:rPr>
                              <w:t>время</w:t>
                            </w:r>
                            <w:r>
                              <w:rPr>
                                <w:spacing w:val="-1"/>
                                <w:sz w:val="28"/>
                              </w:rPr>
                              <w:t> </w:t>
                            </w:r>
                            <w:r>
                              <w:rPr>
                                <w:spacing w:val="-2"/>
                                <w:sz w:val="28"/>
                              </w:rPr>
                              <w:t>экспозиции</w:t>
                            </w:r>
                          </w:p>
                        </w:tc>
                      </w:tr>
                    </w:tbl>
                    <w:p>
                      <w:pPr>
                        <w:pStyle w:val="BodyText"/>
                        <w:jc w:val="left"/>
                      </w:pPr>
                    </w:p>
                  </w:txbxContent>
                </v:textbox>
                <w10:wrap type="none"/>
              </v:shape>
            </w:pict>
          </mc:Fallback>
        </mc:AlternateContent>
      </w:r>
      <w:r>
        <w:rPr>
          <w:spacing w:val="-5"/>
        </w:rPr>
        <w:t>где</w:t>
      </w:r>
    </w:p>
    <w:p>
      <w:pPr>
        <w:pStyle w:val="BodyText"/>
        <w:jc w:val="left"/>
      </w:pPr>
    </w:p>
    <w:p>
      <w:pPr>
        <w:pStyle w:val="BodyText"/>
        <w:jc w:val="left"/>
      </w:pPr>
    </w:p>
    <w:p>
      <w:pPr>
        <w:pStyle w:val="BodyText"/>
        <w:spacing w:before="84"/>
        <w:jc w:val="left"/>
      </w:pPr>
    </w:p>
    <w:p>
      <w:pPr>
        <w:pStyle w:val="BodyText"/>
        <w:spacing w:line="256" w:lineRule="auto"/>
        <w:ind w:left="143" w:right="420" w:firstLine="707"/>
      </w:pPr>
      <w:r>
        <w:rPr/>
        <w:t>Таким образом, в варианте облучения красным светодиодом (630 нм) на протяжении 5 минут эякуляту было сообщено 0,02 Дж энергии.</w:t>
      </w:r>
    </w:p>
    <w:p>
      <w:pPr>
        <w:pStyle w:val="BodyText"/>
        <w:spacing w:line="256" w:lineRule="auto"/>
        <w:ind w:left="144" w:right="419" w:firstLine="707"/>
      </w:pPr>
      <w:r>
        <w:rPr/>
        <w:t>Изменение сочетания длин волн и времени экспозиции, а, следовательно, и общей сообщаемой энергии позволило наблюдать увеличение долей как прогрессивно-подвижных, так и малоподвижных сперматозоидов (рис. 30). Так, например,</w:t>
      </w:r>
      <w:r>
        <w:rPr>
          <w:spacing w:val="40"/>
        </w:rPr>
        <w:t> </w:t>
      </w:r>
      <w:r>
        <w:rPr/>
        <w:t>после</w:t>
      </w:r>
      <w:r>
        <w:rPr>
          <w:spacing w:val="40"/>
        </w:rPr>
        <w:t> </w:t>
      </w:r>
      <w:r>
        <w:rPr/>
        <w:t>облучения</w:t>
      </w:r>
      <w:r>
        <w:rPr>
          <w:spacing w:val="40"/>
        </w:rPr>
        <w:t> </w:t>
      </w:r>
      <w:r>
        <w:rPr/>
        <w:t>эякулята</w:t>
      </w:r>
      <w:r>
        <w:rPr>
          <w:spacing w:val="40"/>
        </w:rPr>
        <w:t> </w:t>
      </w:r>
      <w:r>
        <w:rPr/>
        <w:t>сочетанием</w:t>
      </w:r>
      <w:r>
        <w:rPr>
          <w:spacing w:val="40"/>
        </w:rPr>
        <w:t> </w:t>
      </w:r>
      <w:r>
        <w:rPr/>
        <w:t>630</w:t>
      </w:r>
      <w:r>
        <w:rPr>
          <w:spacing w:val="40"/>
        </w:rPr>
        <w:t> </w:t>
      </w:r>
      <w:r>
        <w:rPr/>
        <w:t>нм</w:t>
      </w:r>
      <w:r>
        <w:rPr>
          <w:spacing w:val="40"/>
        </w:rPr>
        <w:t> </w:t>
      </w:r>
      <w:r>
        <w:rPr/>
        <w:t>светодиодного</w:t>
      </w:r>
      <w:r>
        <w:rPr>
          <w:spacing w:val="40"/>
        </w:rPr>
        <w:t> </w:t>
      </w:r>
      <w:r>
        <w:rPr/>
        <w:t>и</w:t>
      </w:r>
      <w:r>
        <w:rPr>
          <w:spacing w:val="40"/>
        </w:rPr>
        <w:t> </w:t>
      </w:r>
      <w:r>
        <w:rPr/>
        <w:t>651</w:t>
      </w:r>
      <w:r>
        <w:rPr>
          <w:spacing w:val="40"/>
        </w:rPr>
        <w:t> </w:t>
      </w:r>
      <w:r>
        <w:rPr/>
        <w:t>нм</w:t>
      </w:r>
    </w:p>
    <w:p>
      <w:pPr>
        <w:pStyle w:val="BodyText"/>
        <w:spacing w:after="0" w:line="256" w:lineRule="auto"/>
        <w:sectPr>
          <w:type w:val="continuous"/>
          <w:pgSz w:w="11910" w:h="16840"/>
          <w:pgMar w:header="0" w:footer="990" w:top="1040" w:bottom="280" w:left="708" w:right="425"/>
        </w:sectPr>
      </w:pPr>
    </w:p>
    <w:p>
      <w:pPr>
        <w:pStyle w:val="BodyText"/>
        <w:spacing w:line="256" w:lineRule="auto" w:before="69"/>
        <w:ind w:left="143" w:right="419"/>
      </w:pPr>
      <w:r>
        <w:rPr/>
        <w:t>лазерного ЭМИ на протяжении 5 минут доля прогрессивно-подвижных сперматозоидов в среднем увеличивалась на 19,44% (0,56% в абсолютном выражении по сравнению с контролем). Доля непрогрессивно-подвижных сперматозоидов увеличивалась на 203% (2,6% в абсолютном выражении), а число неподвижных сперматозоидов уменьшалось на 3,41% (3,16% в абсолютном выражении). Парный t-критерий Стьюдента равен 1,13 (p=0,276); 3,26 (p=0,006) и 2,73 (p=0,016) соответственно. Получено статистически значимое увеличение доли непрогрессивно-подвижных сперматозоидов на фоне уменьшения доли неподвижных</w:t>
      </w:r>
      <w:r>
        <w:rPr>
          <w:spacing w:val="-2"/>
        </w:rPr>
        <w:t> </w:t>
      </w:r>
      <w:r>
        <w:rPr/>
        <w:t>сперматозоидов.</w:t>
      </w:r>
      <w:r>
        <w:rPr>
          <w:spacing w:val="-3"/>
        </w:rPr>
        <w:t> </w:t>
      </w:r>
      <w:r>
        <w:rPr/>
        <w:t>Эякуляту</w:t>
      </w:r>
      <w:r>
        <w:rPr>
          <w:spacing w:val="-2"/>
        </w:rPr>
        <w:t> </w:t>
      </w:r>
      <w:r>
        <w:rPr/>
        <w:t>было</w:t>
      </w:r>
      <w:r>
        <w:rPr>
          <w:spacing w:val="-2"/>
        </w:rPr>
        <w:t> </w:t>
      </w:r>
      <w:r>
        <w:rPr/>
        <w:t>сообщено</w:t>
      </w:r>
      <w:r>
        <w:rPr>
          <w:spacing w:val="-2"/>
        </w:rPr>
        <w:t> </w:t>
      </w:r>
      <w:r>
        <w:rPr/>
        <w:t>0,2</w:t>
      </w:r>
      <w:r>
        <w:rPr>
          <w:spacing w:val="-2"/>
        </w:rPr>
        <w:t> </w:t>
      </w:r>
      <w:r>
        <w:rPr/>
        <w:t>Дж</w:t>
      </w:r>
      <w:r>
        <w:rPr>
          <w:spacing w:val="-2"/>
        </w:rPr>
        <w:t> </w:t>
      </w:r>
      <w:r>
        <w:rPr/>
        <w:t>энергии</w:t>
      </w:r>
      <w:r>
        <w:rPr>
          <w:spacing w:val="-2"/>
        </w:rPr>
        <w:t> </w:t>
      </w:r>
      <w:r>
        <w:rPr/>
        <w:t>(см.рис</w:t>
      </w:r>
      <w:r>
        <w:rPr>
          <w:spacing w:val="-3"/>
        </w:rPr>
        <w:t> </w:t>
      </w:r>
      <w:r>
        <w:rPr/>
        <w:t>30). Обработка эякулята сочетанием светодиодов белого, желтого, зеленого, синего, красного цветов с инфракрасным, а также лазерным излучениями на протяжении 5 минут привела к увеличению доли прогрессивно-подвижных сперматозоидов на 37,2% (абсолютно на 2,53%) по сравнению с контролем. Общая сообщаемая энергия эякуляту составила 1,34 Дж (плотность 0,354 мВт/см</w:t>
      </w:r>
      <w:r>
        <w:rPr>
          <w:vertAlign w:val="superscript"/>
        </w:rPr>
        <w:t>2</w:t>
      </w:r>
      <w:r>
        <w:rPr>
          <w:vertAlign w:val="baseline"/>
        </w:rPr>
        <w:t>). Доля непрогрессивно-подвижных сперматозоидов</w:t>
      </w:r>
      <w:r>
        <w:rPr>
          <w:spacing w:val="-4"/>
          <w:vertAlign w:val="baseline"/>
        </w:rPr>
        <w:t> </w:t>
      </w:r>
      <w:r>
        <w:rPr>
          <w:vertAlign w:val="baseline"/>
        </w:rPr>
        <w:t>увеличивалась</w:t>
      </w:r>
      <w:r>
        <w:rPr>
          <w:spacing w:val="-2"/>
          <w:vertAlign w:val="baseline"/>
        </w:rPr>
        <w:t> </w:t>
      </w:r>
      <w:r>
        <w:rPr>
          <w:vertAlign w:val="baseline"/>
        </w:rPr>
        <w:t>на</w:t>
      </w:r>
      <w:r>
        <w:rPr>
          <w:spacing w:val="-1"/>
          <w:vertAlign w:val="baseline"/>
        </w:rPr>
        <w:t> </w:t>
      </w:r>
      <w:r>
        <w:rPr>
          <w:vertAlign w:val="baseline"/>
        </w:rPr>
        <w:t>104,23% (2,46% в</w:t>
      </w:r>
      <w:r>
        <w:rPr>
          <w:spacing w:val="-2"/>
          <w:vertAlign w:val="baseline"/>
        </w:rPr>
        <w:t> </w:t>
      </w:r>
      <w:r>
        <w:rPr>
          <w:vertAlign w:val="baseline"/>
        </w:rPr>
        <w:t>абсолютной</w:t>
      </w:r>
      <w:r>
        <w:rPr>
          <w:spacing w:val="-1"/>
          <w:vertAlign w:val="baseline"/>
        </w:rPr>
        <w:t> </w:t>
      </w:r>
      <w:r>
        <w:rPr>
          <w:vertAlign w:val="baseline"/>
        </w:rPr>
        <w:t>доле),</w:t>
      </w:r>
      <w:r>
        <w:rPr>
          <w:spacing w:val="-2"/>
          <w:vertAlign w:val="baseline"/>
        </w:rPr>
        <w:t> </w:t>
      </w:r>
      <w:r>
        <w:rPr>
          <w:vertAlign w:val="baseline"/>
        </w:rPr>
        <w:t>а число неподвижных сперматозоидов уменьшилось на 5,82% (5% в абсолютной</w:t>
      </w:r>
      <w:r>
        <w:rPr>
          <w:spacing w:val="40"/>
          <w:vertAlign w:val="baseline"/>
        </w:rPr>
        <w:t> </w:t>
      </w:r>
      <w:r>
        <w:rPr>
          <w:spacing w:val="-2"/>
          <w:vertAlign w:val="baseline"/>
        </w:rPr>
        <w:t>доле).</w:t>
      </w:r>
    </w:p>
    <w:p>
      <w:pPr>
        <w:pStyle w:val="BodyText"/>
        <w:spacing w:before="69"/>
        <w:jc w:val="left"/>
        <w:rPr>
          <w:sz w:val="20"/>
        </w:rPr>
      </w:pPr>
      <w:r>
        <w:rPr>
          <w:sz w:val="20"/>
        </w:rPr>
        <w:drawing>
          <wp:anchor distT="0" distB="0" distL="0" distR="0" allowOverlap="1" layoutInCell="1" locked="0" behindDoc="1" simplePos="0" relativeHeight="487611392">
            <wp:simplePos x="0" y="0"/>
            <wp:positionH relativeFrom="page">
              <wp:posOffset>804227</wp:posOffset>
            </wp:positionH>
            <wp:positionV relativeFrom="paragraph">
              <wp:posOffset>205611</wp:posOffset>
            </wp:positionV>
            <wp:extent cx="5917524" cy="3505200"/>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53" cstate="print"/>
                    <a:stretch>
                      <a:fillRect/>
                    </a:stretch>
                  </pic:blipFill>
                  <pic:spPr>
                    <a:xfrm>
                      <a:off x="0" y="0"/>
                      <a:ext cx="5917524" cy="3505200"/>
                    </a:xfrm>
                    <a:prstGeom prst="rect">
                      <a:avLst/>
                    </a:prstGeom>
                  </pic:spPr>
                </pic:pic>
              </a:graphicData>
            </a:graphic>
          </wp:anchor>
        </w:drawing>
      </w:r>
    </w:p>
    <w:p>
      <w:pPr>
        <w:pStyle w:val="BodyText"/>
        <w:spacing w:line="256" w:lineRule="auto" w:before="57"/>
        <w:ind w:left="1588" w:hanging="1443"/>
        <w:jc w:val="left"/>
      </w:pPr>
      <w:r>
        <w:rPr/>
        <w:t>Рисунок</w:t>
      </w:r>
      <w:r>
        <w:rPr>
          <w:spacing w:val="-6"/>
        </w:rPr>
        <w:t> </w:t>
      </w:r>
      <w:r>
        <w:rPr/>
        <w:t>30</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3"/>
        </w:rPr>
        <w:t> </w:t>
      </w:r>
      <w:r>
        <w:rPr/>
        <w:t>облучения</w:t>
      </w:r>
      <w:r>
        <w:rPr>
          <w:spacing w:val="-4"/>
        </w:rPr>
        <w:t> </w:t>
      </w:r>
      <w:r>
        <w:rPr/>
        <w:t>сперматозоидов</w:t>
      </w:r>
      <w:r>
        <w:rPr>
          <w:spacing w:val="-4"/>
        </w:rPr>
        <w:t> </w:t>
      </w:r>
      <w:r>
        <w:rPr/>
        <w:t>человека</w:t>
      </w:r>
      <w:r>
        <w:rPr>
          <w:spacing w:val="-4"/>
        </w:rPr>
        <w:t> </w:t>
      </w:r>
      <w:r>
        <w:rPr/>
        <w:t>красным</w:t>
      </w:r>
      <w:r>
        <w:rPr>
          <w:spacing w:val="-4"/>
        </w:rPr>
        <w:t> </w:t>
      </w:r>
      <w:r>
        <w:rPr/>
        <w:t>светодиодом (630 нм) и красным лазером (651 нм) на протяжении 5 минут</w:t>
      </w:r>
    </w:p>
    <w:p>
      <w:pPr>
        <w:pStyle w:val="BodyText"/>
        <w:spacing w:before="21"/>
        <w:jc w:val="left"/>
      </w:pPr>
    </w:p>
    <w:p>
      <w:pPr>
        <w:pStyle w:val="BodyText"/>
        <w:spacing w:line="256" w:lineRule="auto"/>
        <w:ind w:left="143" w:right="420" w:firstLine="707"/>
      </w:pPr>
      <w:r>
        <w:rPr/>
        <w:t>Стоит отметить, что доля непрогрессивных сперматозоидов увеличилась существенно, в 2 раза. Парный t-критерий Стьюдента равен 2,23 (p=0,042); 2,24 (p=0,042) и 2,90 (p=0,012) соответственно. Таким образом, получено статистически значимое увеличение долей прогрессивных и непрогрессивно-подвижных сперматозоидов по сравнению с контролем (см.рис. 31).</w:t>
      </w:r>
    </w:p>
    <w:p>
      <w:pPr>
        <w:pStyle w:val="BodyText"/>
        <w:spacing w:after="0" w:line="256" w:lineRule="auto"/>
        <w:sectPr>
          <w:pgSz w:w="11910" w:h="16840"/>
          <w:pgMar w:header="0" w:footer="990" w:top="340" w:bottom="1200" w:left="708" w:right="425"/>
        </w:sectPr>
      </w:pPr>
    </w:p>
    <w:p>
      <w:pPr>
        <w:spacing w:line="240" w:lineRule="auto"/>
        <w:ind w:left="565" w:right="0" w:firstLine="0"/>
        <w:rPr>
          <w:sz w:val="20"/>
        </w:rPr>
      </w:pPr>
      <w:r>
        <w:rPr>
          <w:sz w:val="20"/>
        </w:rPr>
        <w:drawing>
          <wp:inline distT="0" distB="0" distL="0" distR="0">
            <wp:extent cx="5937116" cy="3971925"/>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54" cstate="print"/>
                    <a:stretch>
                      <a:fillRect/>
                    </a:stretch>
                  </pic:blipFill>
                  <pic:spPr>
                    <a:xfrm>
                      <a:off x="0" y="0"/>
                      <a:ext cx="5937116" cy="3971925"/>
                    </a:xfrm>
                    <a:prstGeom prst="rect">
                      <a:avLst/>
                    </a:prstGeom>
                  </pic:spPr>
                </pic:pic>
              </a:graphicData>
            </a:graphic>
          </wp:inline>
        </w:drawing>
      </w:r>
      <w:r>
        <w:rPr>
          <w:sz w:val="20"/>
        </w:rPr>
      </w:r>
    </w:p>
    <w:p>
      <w:pPr>
        <w:pStyle w:val="BodyText"/>
        <w:spacing w:line="256" w:lineRule="auto" w:before="22"/>
        <w:ind w:left="242" w:right="524" w:firstLine="3"/>
        <w:jc w:val="center"/>
      </w:pPr>
      <w:r>
        <w:rPr/>
        <w:t>Рисунок 31 </w:t>
      </w:r>
      <w:r>
        <w:rPr>
          <w:rFonts w:ascii="Arial MT" w:hAnsi="Arial MT"/>
          <w:color w:val="454545"/>
          <w:sz w:val="21"/>
        </w:rPr>
        <w:t>— </w:t>
      </w:r>
      <w:r>
        <w:rPr/>
        <w:t>Результаты облучения сперматозоидов человека светодиодами в диапазоне</w:t>
      </w:r>
      <w:r>
        <w:rPr>
          <w:spacing w:val="-3"/>
        </w:rPr>
        <w:t> </w:t>
      </w:r>
      <w:r>
        <w:rPr/>
        <w:t>400-750</w:t>
      </w:r>
      <w:r>
        <w:rPr>
          <w:spacing w:val="-4"/>
        </w:rPr>
        <w:t> </w:t>
      </w:r>
      <w:r>
        <w:rPr/>
        <w:t>нм,</w:t>
      </w:r>
      <w:r>
        <w:rPr>
          <w:spacing w:val="-3"/>
        </w:rPr>
        <w:t> </w:t>
      </w:r>
      <w:r>
        <w:rPr/>
        <w:t>красным</w:t>
      </w:r>
      <w:r>
        <w:rPr>
          <w:spacing w:val="-3"/>
        </w:rPr>
        <w:t> </w:t>
      </w:r>
      <w:r>
        <w:rPr/>
        <w:t>лазером</w:t>
      </w:r>
      <w:r>
        <w:rPr>
          <w:spacing w:val="-5"/>
        </w:rPr>
        <w:t> </w:t>
      </w:r>
      <w:r>
        <w:rPr/>
        <w:t>(651</w:t>
      </w:r>
      <w:r>
        <w:rPr>
          <w:spacing w:val="-4"/>
        </w:rPr>
        <w:t> </w:t>
      </w:r>
      <w:r>
        <w:rPr/>
        <w:t>нм)</w:t>
      </w:r>
      <w:r>
        <w:rPr>
          <w:spacing w:val="-3"/>
        </w:rPr>
        <w:t> </w:t>
      </w:r>
      <w:r>
        <w:rPr/>
        <w:t>и</w:t>
      </w:r>
      <w:r>
        <w:rPr>
          <w:spacing w:val="-4"/>
        </w:rPr>
        <w:t> </w:t>
      </w:r>
      <w:r>
        <w:rPr/>
        <w:t>инфракрасным</w:t>
      </w:r>
      <w:r>
        <w:rPr>
          <w:spacing w:val="-3"/>
        </w:rPr>
        <w:t> </w:t>
      </w:r>
      <w:r>
        <w:rPr/>
        <w:t>диодом</w:t>
      </w:r>
      <w:r>
        <w:rPr>
          <w:spacing w:val="-3"/>
        </w:rPr>
        <w:t> </w:t>
      </w:r>
      <w:r>
        <w:rPr/>
        <w:t>(933</w:t>
      </w:r>
      <w:r>
        <w:rPr>
          <w:spacing w:val="-2"/>
        </w:rPr>
        <w:t> </w:t>
      </w:r>
      <w:r>
        <w:rPr/>
        <w:t>нм) на протяжении 5 минут</w:t>
      </w:r>
    </w:p>
    <w:p>
      <w:pPr>
        <w:pStyle w:val="BodyText"/>
        <w:spacing w:before="20"/>
        <w:jc w:val="left"/>
      </w:pPr>
    </w:p>
    <w:p>
      <w:pPr>
        <w:pStyle w:val="BodyText"/>
        <w:tabs>
          <w:tab w:pos="1639" w:val="left" w:leader="none"/>
          <w:tab w:pos="1795" w:val="left" w:leader="none"/>
          <w:tab w:pos="2277" w:val="left" w:leader="none"/>
          <w:tab w:pos="2373" w:val="left" w:leader="none"/>
          <w:tab w:pos="3218" w:val="left" w:leader="none"/>
          <w:tab w:pos="3621" w:val="left" w:leader="none"/>
          <w:tab w:pos="3722" w:val="left" w:leader="none"/>
          <w:tab w:pos="4000" w:val="left" w:leader="none"/>
          <w:tab w:pos="5205" w:val="left" w:leader="none"/>
          <w:tab w:pos="5857" w:val="left" w:leader="none"/>
          <w:tab w:pos="6904" w:val="left" w:leader="none"/>
          <w:tab w:pos="6949" w:val="left" w:leader="none"/>
          <w:tab w:pos="7981" w:val="left" w:leader="none"/>
          <w:tab w:pos="8015" w:val="left" w:leader="none"/>
          <w:tab w:pos="8627" w:val="left" w:leader="none"/>
          <w:tab w:pos="9234" w:val="left" w:leader="none"/>
          <w:tab w:pos="10199" w:val="left" w:leader="none"/>
        </w:tabs>
        <w:spacing w:line="256" w:lineRule="auto"/>
        <w:ind w:left="144" w:right="418" w:firstLine="707"/>
        <w:jc w:val="right"/>
      </w:pPr>
      <w:r>
        <w:rPr>
          <w:spacing w:val="-2"/>
        </w:rPr>
        <w:t>Облучение</w:t>
      </w:r>
      <w:r>
        <w:rPr/>
        <w:tab/>
        <w:tab/>
      </w:r>
      <w:r>
        <w:rPr>
          <w:spacing w:val="-2"/>
        </w:rPr>
        <w:t>эякулята</w:t>
      </w:r>
      <w:r>
        <w:rPr/>
        <w:tab/>
      </w:r>
      <w:r>
        <w:rPr>
          <w:spacing w:val="-2"/>
        </w:rPr>
        <w:t>сочетанием</w:t>
      </w:r>
      <w:r>
        <w:rPr/>
        <w:tab/>
      </w:r>
      <w:r>
        <w:rPr>
          <w:spacing w:val="-69"/>
        </w:rPr>
        <w:t> </w:t>
      </w:r>
      <w:r>
        <w:rPr>
          <w:spacing w:val="-2"/>
        </w:rPr>
        <w:t>светодиодов</w:t>
      </w:r>
      <w:r>
        <w:rPr/>
        <w:tab/>
      </w:r>
      <w:r>
        <w:rPr>
          <w:spacing w:val="-2"/>
        </w:rPr>
        <w:t>белого,</w:t>
      </w:r>
      <w:r>
        <w:rPr/>
        <w:tab/>
      </w:r>
      <w:r>
        <w:rPr>
          <w:spacing w:val="-2"/>
        </w:rPr>
        <w:t>желтого,</w:t>
      </w:r>
      <w:r>
        <w:rPr/>
        <w:tab/>
      </w:r>
      <w:r>
        <w:rPr>
          <w:spacing w:val="-2"/>
        </w:rPr>
        <w:t>зеленого, </w:t>
      </w:r>
      <w:r>
        <w:rPr/>
        <w:t>синего,</w:t>
      </w:r>
      <w:r>
        <w:rPr>
          <w:spacing w:val="80"/>
        </w:rPr>
        <w:t> </w:t>
      </w:r>
      <w:r>
        <w:rPr/>
        <w:t>красного</w:t>
      </w:r>
      <w:r>
        <w:rPr>
          <w:spacing w:val="80"/>
        </w:rPr>
        <w:t> </w:t>
      </w:r>
      <w:r>
        <w:rPr/>
        <w:t>цветов</w:t>
      </w:r>
      <w:r>
        <w:rPr>
          <w:spacing w:val="80"/>
        </w:rPr>
        <w:t> </w:t>
      </w:r>
      <w:r>
        <w:rPr/>
        <w:t>с</w:t>
      </w:r>
      <w:r>
        <w:rPr>
          <w:spacing w:val="80"/>
        </w:rPr>
        <w:t> </w:t>
      </w:r>
      <w:r>
        <w:rPr/>
        <w:t>инфракрасным,</w:t>
      </w:r>
      <w:r>
        <w:rPr>
          <w:spacing w:val="80"/>
        </w:rPr>
        <w:t> </w:t>
      </w:r>
      <w:r>
        <w:rPr/>
        <w:t>а</w:t>
      </w:r>
      <w:r>
        <w:rPr>
          <w:spacing w:val="80"/>
        </w:rPr>
        <w:t> </w:t>
      </w:r>
      <w:r>
        <w:rPr/>
        <w:t>также</w:t>
      </w:r>
      <w:r>
        <w:rPr>
          <w:spacing w:val="80"/>
        </w:rPr>
        <w:t> </w:t>
      </w:r>
      <w:r>
        <w:rPr/>
        <w:t>лазерным</w:t>
      </w:r>
      <w:r>
        <w:rPr>
          <w:spacing w:val="80"/>
        </w:rPr>
        <w:t> </w:t>
      </w:r>
      <w:r>
        <w:rPr/>
        <w:t>излучениями</w:t>
      </w:r>
      <w:r>
        <w:rPr>
          <w:spacing w:val="80"/>
        </w:rPr>
        <w:t> </w:t>
      </w:r>
      <w:r>
        <w:rPr/>
        <w:t>на</w:t>
      </w:r>
      <w:r>
        <w:rPr>
          <w:spacing w:val="80"/>
        </w:rPr>
        <w:t> </w:t>
      </w:r>
      <w:r>
        <w:rPr>
          <w:spacing w:val="-2"/>
        </w:rPr>
        <w:t>протяжении</w:t>
      </w:r>
      <w:r>
        <w:rPr/>
        <w:tab/>
        <w:tab/>
      </w:r>
      <w:r>
        <w:rPr>
          <w:spacing w:val="-6"/>
        </w:rPr>
        <w:t>15</w:t>
      </w:r>
      <w:r>
        <w:rPr/>
        <w:tab/>
      </w:r>
      <w:r>
        <w:rPr>
          <w:spacing w:val="-2"/>
        </w:rPr>
        <w:t>минут</w:t>
      </w:r>
      <w:r>
        <w:rPr/>
        <w:tab/>
      </w:r>
      <w:r>
        <w:rPr>
          <w:spacing w:val="-4"/>
        </w:rPr>
        <w:t>(4,01</w:t>
      </w:r>
      <w:r>
        <w:rPr/>
        <w:tab/>
        <w:t>Дж)</w:t>
      </w:r>
      <w:r>
        <w:rPr>
          <w:spacing w:val="80"/>
        </w:rPr>
        <w:t> </w:t>
      </w:r>
      <w:r>
        <w:rPr/>
        <w:t>привело</w:t>
        <w:tab/>
        <w:t>к</w:t>
      </w:r>
      <w:r>
        <w:rPr>
          <w:spacing w:val="80"/>
        </w:rPr>
        <w:t> </w:t>
      </w:r>
      <w:r>
        <w:rPr/>
        <w:t>увеличению</w:t>
      </w:r>
      <w:r>
        <w:rPr>
          <w:spacing w:val="80"/>
        </w:rPr>
        <w:t> </w:t>
      </w:r>
      <w:r>
        <w:rPr/>
        <w:t>доли</w:t>
        <w:tab/>
        <w:t>прогрессивно-подвижных сперматозоидов на 42,18% (абсолютной доли на 2,83%) по сравнению с контролем.</w:t>
      </w:r>
      <w:r>
        <w:rPr>
          <w:spacing w:val="80"/>
        </w:rPr>
        <w:t> </w:t>
      </w:r>
      <w:r>
        <w:rPr/>
        <w:t>доля</w:t>
      </w:r>
      <w:r>
        <w:rPr>
          <w:spacing w:val="80"/>
        </w:rPr>
        <w:t> </w:t>
      </w:r>
      <w:r>
        <w:rPr/>
        <w:t>непрогрессивно-подвижных</w:t>
      </w:r>
      <w:r>
        <w:rPr>
          <w:spacing w:val="80"/>
        </w:rPr>
        <w:t> </w:t>
      </w:r>
      <w:r>
        <w:rPr/>
        <w:t>сперматозоидов</w:t>
      </w:r>
      <w:r>
        <w:rPr>
          <w:spacing w:val="80"/>
        </w:rPr>
        <w:t> </w:t>
      </w:r>
      <w:r>
        <w:rPr/>
        <w:t>увеличивалась</w:t>
      </w:r>
      <w:r>
        <w:rPr>
          <w:spacing w:val="80"/>
        </w:rPr>
        <w:t> </w:t>
      </w:r>
      <w:r>
        <w:rPr/>
        <w:t>на 32,36%</w:t>
      </w:r>
      <w:r>
        <w:rPr>
          <w:spacing w:val="40"/>
        </w:rPr>
        <w:t> </w:t>
      </w:r>
      <w:r>
        <w:rPr/>
        <w:t>(абсолютное</w:t>
      </w:r>
      <w:r>
        <w:rPr>
          <w:spacing w:val="40"/>
        </w:rPr>
        <w:t> </w:t>
      </w:r>
      <w:r>
        <w:rPr/>
        <w:t>увеличение</w:t>
      </w:r>
      <w:r>
        <w:rPr>
          <w:spacing w:val="40"/>
        </w:rPr>
        <w:t> </w:t>
      </w:r>
      <w:r>
        <w:rPr/>
        <w:t>на</w:t>
      </w:r>
      <w:r>
        <w:rPr>
          <w:spacing w:val="40"/>
        </w:rPr>
        <w:t> </w:t>
      </w:r>
      <w:r>
        <w:rPr/>
        <w:t>1,33%).</w:t>
      </w:r>
      <w:r>
        <w:rPr>
          <w:spacing w:val="40"/>
        </w:rPr>
        <w:t> </w:t>
      </w:r>
      <w:r>
        <w:rPr/>
        <w:t>Число</w:t>
      </w:r>
      <w:r>
        <w:rPr>
          <w:spacing w:val="40"/>
        </w:rPr>
        <w:t> </w:t>
      </w:r>
      <w:r>
        <w:rPr/>
        <w:t>неподвижных</w:t>
      </w:r>
      <w:r>
        <w:rPr>
          <w:spacing w:val="40"/>
        </w:rPr>
        <w:t> </w:t>
      </w:r>
      <w:r>
        <w:rPr/>
        <w:t>сперматозоидов уменьшалось на 4,88% (абсолютно на 4,15%). Парный t-критерий Стьюдента равен 4,55</w:t>
      </w:r>
      <w:r>
        <w:rPr>
          <w:spacing w:val="80"/>
        </w:rPr>
        <w:t> </w:t>
      </w:r>
      <w:r>
        <w:rPr/>
        <w:t>(p=0,001);</w:t>
      </w:r>
      <w:r>
        <w:rPr>
          <w:spacing w:val="80"/>
        </w:rPr>
        <w:t> </w:t>
      </w:r>
      <w:r>
        <w:rPr/>
        <w:t>3,20</w:t>
      </w:r>
      <w:r>
        <w:rPr>
          <w:spacing w:val="80"/>
        </w:rPr>
        <w:t> </w:t>
      </w:r>
      <w:r>
        <w:rPr/>
        <w:t>(p=0,006)</w:t>
      </w:r>
      <w:r>
        <w:rPr>
          <w:spacing w:val="80"/>
        </w:rPr>
        <w:t> </w:t>
      </w:r>
      <w:r>
        <w:rPr/>
        <w:t>и</w:t>
      </w:r>
      <w:r>
        <w:rPr>
          <w:spacing w:val="80"/>
        </w:rPr>
        <w:t> </w:t>
      </w:r>
      <w:r>
        <w:rPr/>
        <w:t>4,69</w:t>
      </w:r>
      <w:r>
        <w:rPr>
          <w:spacing w:val="80"/>
        </w:rPr>
        <w:t> </w:t>
      </w:r>
      <w:r>
        <w:rPr/>
        <w:t>(p=0,001)</w:t>
      </w:r>
      <w:r>
        <w:rPr>
          <w:spacing w:val="80"/>
        </w:rPr>
        <w:t> </w:t>
      </w:r>
      <w:r>
        <w:rPr/>
        <w:t>соответственно.</w:t>
      </w:r>
      <w:r>
        <w:rPr>
          <w:spacing w:val="80"/>
        </w:rPr>
        <w:t> </w:t>
      </w:r>
      <w:r>
        <w:rPr/>
        <w:t>Таким</w:t>
      </w:r>
      <w:r>
        <w:rPr>
          <w:spacing w:val="80"/>
        </w:rPr>
        <w:t> </w:t>
      </w:r>
      <w:r>
        <w:rPr/>
        <w:t>образом, </w:t>
      </w:r>
      <w:r>
        <w:rPr>
          <w:spacing w:val="-2"/>
        </w:rPr>
        <w:t>получено</w:t>
      </w:r>
      <w:r>
        <w:rPr/>
        <w:tab/>
      </w:r>
      <w:r>
        <w:rPr>
          <w:spacing w:val="-2"/>
        </w:rPr>
        <w:t>статистически</w:t>
      </w:r>
      <w:r>
        <w:rPr/>
        <w:tab/>
        <w:tab/>
      </w:r>
      <w:r>
        <w:rPr>
          <w:spacing w:val="-2"/>
        </w:rPr>
        <w:t>значимое</w:t>
      </w:r>
      <w:r>
        <w:rPr/>
        <w:tab/>
      </w:r>
      <w:r>
        <w:rPr>
          <w:spacing w:val="-2"/>
        </w:rPr>
        <w:t>увеличение</w:t>
      </w:r>
      <w:r>
        <w:rPr/>
        <w:tab/>
        <w:tab/>
      </w:r>
      <w:r>
        <w:rPr>
          <w:spacing w:val="-2"/>
        </w:rPr>
        <w:t>долей</w:t>
      </w:r>
      <w:r>
        <w:rPr/>
        <w:tab/>
        <w:tab/>
      </w:r>
      <w:r>
        <w:rPr>
          <w:spacing w:val="-2"/>
        </w:rPr>
        <w:t>прогрессивных</w:t>
      </w:r>
      <w:r>
        <w:rPr/>
        <w:tab/>
      </w:r>
      <w:r>
        <w:rPr>
          <w:spacing w:val="-10"/>
        </w:rPr>
        <w:t>и </w:t>
      </w:r>
      <w:r>
        <w:rPr/>
        <w:t>непрогрессивно-подвижных сперматозоидов по сравнению</w:t>
      </w:r>
      <w:r>
        <w:rPr>
          <w:spacing w:val="-1"/>
        </w:rPr>
        <w:t> </w:t>
      </w:r>
      <w:r>
        <w:rPr/>
        <w:t>с контролем (см.рис. 32). Как</w:t>
      </w:r>
      <w:r>
        <w:rPr>
          <w:spacing w:val="40"/>
        </w:rPr>
        <w:t> </w:t>
      </w:r>
      <w:r>
        <w:rPr/>
        <w:t>и</w:t>
      </w:r>
      <w:r>
        <w:rPr>
          <w:spacing w:val="40"/>
        </w:rPr>
        <w:t> </w:t>
      </w:r>
      <w:r>
        <w:rPr/>
        <w:t>в</w:t>
      </w:r>
      <w:r>
        <w:rPr>
          <w:spacing w:val="40"/>
        </w:rPr>
        <w:t> </w:t>
      </w:r>
      <w:r>
        <w:rPr/>
        <w:t>предыдущих</w:t>
      </w:r>
      <w:r>
        <w:rPr>
          <w:spacing w:val="40"/>
        </w:rPr>
        <w:t> </w:t>
      </w:r>
      <w:r>
        <w:rPr/>
        <w:t>вариантах</w:t>
      </w:r>
      <w:r>
        <w:rPr>
          <w:spacing w:val="40"/>
        </w:rPr>
        <w:t> </w:t>
      </w:r>
      <w:r>
        <w:rPr/>
        <w:t>воздействия</w:t>
      </w:r>
      <w:r>
        <w:rPr>
          <w:spacing w:val="40"/>
        </w:rPr>
        <w:t> </w:t>
      </w:r>
      <w:r>
        <w:rPr/>
        <w:t>ЭМИ</w:t>
      </w:r>
      <w:r>
        <w:rPr>
          <w:spacing w:val="40"/>
        </w:rPr>
        <w:t> </w:t>
      </w:r>
      <w:r>
        <w:rPr/>
        <w:t>на</w:t>
      </w:r>
      <w:r>
        <w:rPr>
          <w:spacing w:val="40"/>
        </w:rPr>
        <w:t> </w:t>
      </w:r>
      <w:r>
        <w:rPr/>
        <w:t>эякулят,</w:t>
      </w:r>
      <w:r>
        <w:rPr>
          <w:spacing w:val="40"/>
        </w:rPr>
        <w:t> </w:t>
      </w:r>
      <w:r>
        <w:rPr/>
        <w:t>увеличение</w:t>
      </w:r>
      <w:r>
        <w:rPr>
          <w:spacing w:val="80"/>
        </w:rPr>
        <w:t> </w:t>
      </w:r>
      <w:r>
        <w:rPr/>
        <w:t>абсолютных</w:t>
      </w:r>
      <w:r>
        <w:rPr>
          <w:spacing w:val="61"/>
        </w:rPr>
        <w:t> </w:t>
      </w:r>
      <w:r>
        <w:rPr/>
        <w:t>долей</w:t>
      </w:r>
      <w:r>
        <w:rPr>
          <w:spacing w:val="61"/>
        </w:rPr>
        <w:t> </w:t>
      </w:r>
      <w:r>
        <w:rPr/>
        <w:t>PR</w:t>
      </w:r>
      <w:r>
        <w:rPr>
          <w:spacing w:val="62"/>
        </w:rPr>
        <w:t> </w:t>
      </w:r>
      <w:r>
        <w:rPr/>
        <w:t>и</w:t>
      </w:r>
      <w:r>
        <w:rPr>
          <w:spacing w:val="61"/>
        </w:rPr>
        <w:t> </w:t>
      </w:r>
      <w:r>
        <w:rPr/>
        <w:t>NP</w:t>
      </w:r>
      <w:r>
        <w:rPr>
          <w:spacing w:val="62"/>
        </w:rPr>
        <w:t> </w:t>
      </w:r>
      <w:r>
        <w:rPr/>
        <w:t>наблюдалось</w:t>
      </w:r>
      <w:r>
        <w:rPr>
          <w:spacing w:val="61"/>
        </w:rPr>
        <w:t> </w:t>
      </w:r>
      <w:r>
        <w:rPr/>
        <w:t>за</w:t>
      </w:r>
      <w:r>
        <w:rPr>
          <w:spacing w:val="62"/>
        </w:rPr>
        <w:t> </w:t>
      </w:r>
      <w:r>
        <w:rPr/>
        <w:t>счет</w:t>
      </w:r>
      <w:r>
        <w:rPr>
          <w:spacing w:val="62"/>
        </w:rPr>
        <w:t> </w:t>
      </w:r>
      <w:r>
        <w:rPr/>
        <w:t>уменьшения</w:t>
      </w:r>
      <w:r>
        <w:rPr>
          <w:spacing w:val="63"/>
        </w:rPr>
        <w:t> </w:t>
      </w:r>
      <w:r>
        <w:rPr/>
        <w:t>абсолютной</w:t>
      </w:r>
      <w:r>
        <w:rPr>
          <w:spacing w:val="62"/>
        </w:rPr>
        <w:t> </w:t>
      </w:r>
      <w:r>
        <w:rPr>
          <w:spacing w:val="-4"/>
        </w:rPr>
        <w:t>доли</w:t>
      </w:r>
    </w:p>
    <w:p>
      <w:pPr>
        <w:pStyle w:val="BodyText"/>
        <w:spacing w:line="308" w:lineRule="exact"/>
        <w:ind w:left="144"/>
      </w:pPr>
      <w:r>
        <w:rPr/>
        <w:t>неподвижных</w:t>
      </w:r>
      <w:r>
        <w:rPr>
          <w:spacing w:val="-7"/>
        </w:rPr>
        <w:t> </w:t>
      </w:r>
      <w:r>
        <w:rPr/>
        <w:t>сперматозоидов.</w:t>
      </w:r>
      <w:r>
        <w:rPr>
          <w:spacing w:val="-5"/>
        </w:rPr>
        <w:t> </w:t>
      </w:r>
      <w:r>
        <w:rPr/>
        <w:t>В</w:t>
      </w:r>
      <w:r>
        <w:rPr>
          <w:spacing w:val="-7"/>
        </w:rPr>
        <w:t> </w:t>
      </w:r>
      <w:r>
        <w:rPr/>
        <w:t>данном</w:t>
      </w:r>
      <w:r>
        <w:rPr>
          <w:spacing w:val="-5"/>
        </w:rPr>
        <w:t> </w:t>
      </w:r>
      <w:r>
        <w:rPr/>
        <w:t>случае</w:t>
      </w:r>
      <w:r>
        <w:rPr>
          <w:spacing w:val="-5"/>
        </w:rPr>
        <w:t> </w:t>
      </w:r>
      <w:r>
        <w:rPr/>
        <w:t>с</w:t>
      </w:r>
      <w:r>
        <w:rPr>
          <w:spacing w:val="-7"/>
        </w:rPr>
        <w:t> </w:t>
      </w:r>
      <w:r>
        <w:rPr/>
        <w:t>89,18%</w:t>
      </w:r>
      <w:r>
        <w:rPr>
          <w:spacing w:val="-4"/>
        </w:rPr>
        <w:t> </w:t>
      </w:r>
      <w:r>
        <w:rPr/>
        <w:t>до</w:t>
      </w:r>
      <w:r>
        <w:rPr>
          <w:spacing w:val="-4"/>
        </w:rPr>
        <w:t> </w:t>
      </w:r>
      <w:r>
        <w:rPr>
          <w:spacing w:val="-2"/>
        </w:rPr>
        <w:t>85,03%.</w:t>
      </w:r>
    </w:p>
    <w:p>
      <w:pPr>
        <w:pStyle w:val="BodyText"/>
        <w:spacing w:line="256" w:lineRule="auto" w:before="21"/>
        <w:ind w:left="144" w:right="418" w:firstLine="707"/>
      </w:pPr>
      <w:r>
        <w:rPr/>
        <w:t>Исходя из вышесказанного, следует вывод о том, что ЭМИ имеет влияние на подвижность сперматозоидов. Причем решающую роль в биологическом эффекте играет не время воздействия на сперматозоиды, а длина волны и суммарная единовременно сообщаемая энергия. Так, например, при воздействии сочетания белого (400-750 нм), желтого (589), зеленого (572), синего (463), красного (630) цветов</w:t>
      </w:r>
      <w:r>
        <w:rPr>
          <w:spacing w:val="-1"/>
        </w:rPr>
        <w:t> </w:t>
      </w:r>
      <w:r>
        <w:rPr/>
        <w:t>с инфракрасным</w:t>
      </w:r>
      <w:r>
        <w:rPr>
          <w:spacing w:val="-1"/>
        </w:rPr>
        <w:t> </w:t>
      </w:r>
      <w:r>
        <w:rPr/>
        <w:t>(933), а также лазерным</w:t>
      </w:r>
      <w:r>
        <w:rPr>
          <w:spacing w:val="-1"/>
        </w:rPr>
        <w:t> </w:t>
      </w:r>
      <w:r>
        <w:rPr/>
        <w:t>излучениями (651) на протяжении 5 и 15 минут не наблюдалось увеличения подвижности сперматозоидов пропорционально времени экспозиции.</w:t>
      </w:r>
    </w:p>
    <w:p>
      <w:pPr>
        <w:pStyle w:val="BodyText"/>
        <w:spacing w:after="0" w:line="256" w:lineRule="auto"/>
        <w:sectPr>
          <w:pgSz w:w="11910" w:h="16840"/>
          <w:pgMar w:header="0" w:footer="990" w:top="400" w:bottom="1200" w:left="708" w:right="425"/>
        </w:sectPr>
      </w:pPr>
    </w:p>
    <w:p>
      <w:pPr>
        <w:spacing w:line="240" w:lineRule="auto"/>
        <w:ind w:left="755" w:right="0" w:firstLine="0"/>
        <w:rPr>
          <w:sz w:val="20"/>
        </w:rPr>
      </w:pPr>
      <w:r>
        <w:rPr>
          <w:sz w:val="20"/>
        </w:rPr>
        <w:drawing>
          <wp:inline distT="0" distB="0" distL="0" distR="0">
            <wp:extent cx="5667051" cy="3714750"/>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55" cstate="print"/>
                    <a:stretch>
                      <a:fillRect/>
                    </a:stretch>
                  </pic:blipFill>
                  <pic:spPr>
                    <a:xfrm>
                      <a:off x="0" y="0"/>
                      <a:ext cx="5667051" cy="3714750"/>
                    </a:xfrm>
                    <a:prstGeom prst="rect">
                      <a:avLst/>
                    </a:prstGeom>
                  </pic:spPr>
                </pic:pic>
              </a:graphicData>
            </a:graphic>
          </wp:inline>
        </w:drawing>
      </w:r>
      <w:r>
        <w:rPr>
          <w:sz w:val="20"/>
        </w:rPr>
      </w:r>
    </w:p>
    <w:p>
      <w:pPr>
        <w:pStyle w:val="BodyText"/>
        <w:spacing w:line="256" w:lineRule="auto" w:before="62"/>
        <w:ind w:left="242" w:right="524" w:firstLine="3"/>
        <w:jc w:val="center"/>
      </w:pPr>
      <w:r>
        <w:rPr/>
        <w:t>Рисунок 32 </w:t>
      </w:r>
      <w:r>
        <w:rPr>
          <w:rFonts w:ascii="Arial MT" w:hAnsi="Arial MT"/>
          <w:color w:val="454545"/>
          <w:sz w:val="21"/>
        </w:rPr>
        <w:t>— </w:t>
      </w:r>
      <w:r>
        <w:rPr/>
        <w:t>Результаты облучения сперматозоидов человека светодиодами в диапазоне</w:t>
      </w:r>
      <w:r>
        <w:rPr>
          <w:spacing w:val="-3"/>
        </w:rPr>
        <w:t> </w:t>
      </w:r>
      <w:r>
        <w:rPr/>
        <w:t>400-750</w:t>
      </w:r>
      <w:r>
        <w:rPr>
          <w:spacing w:val="-4"/>
        </w:rPr>
        <w:t> </w:t>
      </w:r>
      <w:r>
        <w:rPr/>
        <w:t>нм,</w:t>
      </w:r>
      <w:r>
        <w:rPr>
          <w:spacing w:val="-3"/>
        </w:rPr>
        <w:t> </w:t>
      </w:r>
      <w:r>
        <w:rPr/>
        <w:t>красным</w:t>
      </w:r>
      <w:r>
        <w:rPr>
          <w:spacing w:val="-3"/>
        </w:rPr>
        <w:t> </w:t>
      </w:r>
      <w:r>
        <w:rPr/>
        <w:t>лазером</w:t>
      </w:r>
      <w:r>
        <w:rPr>
          <w:spacing w:val="-5"/>
        </w:rPr>
        <w:t> </w:t>
      </w:r>
      <w:r>
        <w:rPr/>
        <w:t>(651</w:t>
      </w:r>
      <w:r>
        <w:rPr>
          <w:spacing w:val="-4"/>
        </w:rPr>
        <w:t> </w:t>
      </w:r>
      <w:r>
        <w:rPr/>
        <w:t>нм)</w:t>
      </w:r>
      <w:r>
        <w:rPr>
          <w:spacing w:val="-3"/>
        </w:rPr>
        <w:t> </w:t>
      </w:r>
      <w:r>
        <w:rPr/>
        <w:t>и</w:t>
      </w:r>
      <w:r>
        <w:rPr>
          <w:spacing w:val="-4"/>
        </w:rPr>
        <w:t> </w:t>
      </w:r>
      <w:r>
        <w:rPr/>
        <w:t>инфракрасным</w:t>
      </w:r>
      <w:r>
        <w:rPr>
          <w:spacing w:val="-3"/>
        </w:rPr>
        <w:t> </w:t>
      </w:r>
      <w:r>
        <w:rPr/>
        <w:t>диодом</w:t>
      </w:r>
      <w:r>
        <w:rPr>
          <w:spacing w:val="-3"/>
        </w:rPr>
        <w:t> </w:t>
      </w:r>
      <w:r>
        <w:rPr/>
        <w:t>(933</w:t>
      </w:r>
      <w:r>
        <w:rPr>
          <w:spacing w:val="-2"/>
        </w:rPr>
        <w:t> </w:t>
      </w:r>
      <w:r>
        <w:rPr/>
        <w:t>нм) на протяжении 15 минут</w:t>
      </w:r>
    </w:p>
    <w:p>
      <w:pPr>
        <w:pStyle w:val="BodyText"/>
        <w:spacing w:before="20"/>
        <w:jc w:val="left"/>
      </w:pPr>
    </w:p>
    <w:p>
      <w:pPr>
        <w:pStyle w:val="BodyText"/>
        <w:spacing w:line="256" w:lineRule="auto"/>
        <w:ind w:left="144" w:right="419" w:firstLine="707"/>
      </w:pPr>
      <w:r>
        <w:rPr/>
        <w:t>Поскольку известно, что фотостимуляция вызывает увеличение электрохимического протонного градиента и экстрасинтез АТФ, а также показано, что внутримитохондриальное количество АТФ (около 1 мкмоль/мг митохондриального белка) увеличивается при облучении ЭМИ [2,146], нами видвигается гипотеза о том, что увеличение подвижности сперматозоидов происходит по причине индуцированного экстрасинтеза АТФ. Остается непонятным, сопровождается ли экстрасинтез АТФ увеличением его доступности в </w:t>
      </w:r>
      <w:r>
        <w:rPr>
          <w:spacing w:val="-2"/>
        </w:rPr>
        <w:t>цитозоле.</w:t>
      </w:r>
    </w:p>
    <w:p>
      <w:pPr>
        <w:pStyle w:val="BodyText"/>
        <w:spacing w:line="256" w:lineRule="auto"/>
        <w:ind w:left="143" w:right="417" w:firstLine="708"/>
      </w:pPr>
      <w:r>
        <w:rPr/>
        <w:t>Увеличение подвижности сперматозоидов под влиянием ЭМИ может быть вызвано стимуляцией их капацитации и гиперактивации под воздействием света. Капацитация характеризуется удалением холестерина с плазматической мембраны сперматозоида, повышением текучести мембраны, изменением мембранного потенциала, интенсификацией тирозинового фосфорилирования, а также полимеризацией</w:t>
      </w:r>
      <w:r>
        <w:rPr>
          <w:spacing w:val="-1"/>
        </w:rPr>
        <w:t> </w:t>
      </w:r>
      <w:r>
        <w:rPr/>
        <w:t>актина</w:t>
      </w:r>
      <w:r>
        <w:rPr>
          <w:spacing w:val="-1"/>
        </w:rPr>
        <w:t> </w:t>
      </w:r>
      <w:r>
        <w:rPr/>
        <w:t>и</w:t>
      </w:r>
      <w:r>
        <w:rPr>
          <w:spacing w:val="-1"/>
        </w:rPr>
        <w:t> </w:t>
      </w:r>
      <w:r>
        <w:rPr/>
        <w:t>другими</w:t>
      </w:r>
      <w:r>
        <w:rPr>
          <w:spacing w:val="-1"/>
        </w:rPr>
        <w:t> </w:t>
      </w:r>
      <w:r>
        <w:rPr/>
        <w:t>биохимическими</w:t>
      </w:r>
      <w:r>
        <w:rPr>
          <w:spacing w:val="-1"/>
        </w:rPr>
        <w:t> </w:t>
      </w:r>
      <w:r>
        <w:rPr/>
        <w:t>событиями</w:t>
      </w:r>
      <w:r>
        <w:rPr>
          <w:spacing w:val="-1"/>
        </w:rPr>
        <w:t> </w:t>
      </w:r>
      <w:r>
        <w:rPr/>
        <w:t>[184-188].</w:t>
      </w:r>
      <w:r>
        <w:rPr>
          <w:spacing w:val="-2"/>
        </w:rPr>
        <w:t> </w:t>
      </w:r>
      <w:r>
        <w:rPr/>
        <w:t>Известно, что световое облучение индуцирует продукцию АФК в митохондриях. В свою очередь, АФК активируют напряжение – зависимые от Са</w:t>
      </w:r>
      <w:r>
        <w:rPr>
          <w:vertAlign w:val="superscript"/>
        </w:rPr>
        <w:t>2+</w:t>
      </w:r>
      <w:r>
        <w:rPr>
          <w:vertAlign w:val="baseline"/>
        </w:rPr>
        <w:t> каналы, вызывающие повышение уровня внутриклеточного кальция. Ca</w:t>
      </w:r>
      <w:r>
        <w:rPr>
          <w:vertAlign w:val="superscript"/>
        </w:rPr>
        <w:t>2+</w:t>
      </w:r>
      <w:r>
        <w:rPr>
          <w:vertAlign w:val="baseline"/>
        </w:rPr>
        <w:t> активирует растворимую аденилатциклазу (sAC), что приводит к образованию цАМФ и активации протеинкиназы А (PKA). PKA активирует Src-киназу (Src), которая фосфорилирует рецептор эпидермального фактора роста (EGFR) и гельсолин, что приводит к повышенной полимеризации и гиперактивации актина, которая является конечным</w:t>
      </w:r>
    </w:p>
    <w:p>
      <w:pPr>
        <w:pStyle w:val="BodyText"/>
        <w:spacing w:after="0" w:line="256" w:lineRule="auto"/>
        <w:sectPr>
          <w:pgSz w:w="11910" w:h="16840"/>
          <w:pgMar w:header="0" w:footer="990" w:top="780" w:bottom="1200" w:left="708" w:right="425"/>
        </w:sectPr>
      </w:pPr>
    </w:p>
    <w:p>
      <w:pPr>
        <w:pStyle w:val="BodyText"/>
        <w:spacing w:line="256" w:lineRule="auto" w:before="69"/>
        <w:ind w:left="144" w:right="420"/>
      </w:pPr>
      <w:r>
        <w:rPr/>
        <w:t>условием капацитации сперматозоида [196]. Перечисленные выше события</w:t>
      </w:r>
      <w:r>
        <w:rPr>
          <w:spacing w:val="40"/>
        </w:rPr>
        <w:t> </w:t>
      </w:r>
      <w:r>
        <w:rPr/>
        <w:t>приводят к изменению скорости и характера движения сперматозоидов, которые могли быть обнаружены нами при помощи CASA анализатора после облучения эякулята ЭМИ.</w:t>
      </w:r>
    </w:p>
    <w:p>
      <w:pPr>
        <w:pStyle w:val="Heading2"/>
        <w:numPr>
          <w:ilvl w:val="2"/>
          <w:numId w:val="4"/>
        </w:numPr>
        <w:tabs>
          <w:tab w:pos="1751" w:val="left" w:leader="none"/>
        </w:tabs>
        <w:spacing w:line="256" w:lineRule="auto" w:before="0" w:after="0"/>
        <w:ind w:left="144" w:right="422" w:firstLine="707"/>
        <w:jc w:val="both"/>
      </w:pPr>
      <w:r>
        <w:rPr/>
        <w:t>Влияние монохроматического, лазерного и инфракрасного излучений на ультраструктуры сперматозоидов человека</w:t>
      </w:r>
    </w:p>
    <w:p>
      <w:pPr>
        <w:pStyle w:val="BodyText"/>
        <w:spacing w:line="256" w:lineRule="auto"/>
        <w:ind w:left="143" w:right="419" w:firstLine="708"/>
      </w:pPr>
      <w:r>
        <w:rPr/>
        <w:drawing>
          <wp:anchor distT="0" distB="0" distL="0" distR="0" allowOverlap="1" layoutInCell="1" locked="0" behindDoc="0" simplePos="0" relativeHeight="15752704">
            <wp:simplePos x="0" y="0"/>
            <wp:positionH relativeFrom="page">
              <wp:posOffset>675322</wp:posOffset>
            </wp:positionH>
            <wp:positionV relativeFrom="paragraph">
              <wp:posOffset>2830103</wp:posOffset>
            </wp:positionV>
            <wp:extent cx="6178951" cy="4367674"/>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56" cstate="print"/>
                    <a:stretch>
                      <a:fillRect/>
                    </a:stretch>
                  </pic:blipFill>
                  <pic:spPr>
                    <a:xfrm>
                      <a:off x="0" y="0"/>
                      <a:ext cx="6178951" cy="4367674"/>
                    </a:xfrm>
                    <a:prstGeom prst="rect">
                      <a:avLst/>
                    </a:prstGeom>
                  </pic:spPr>
                </pic:pic>
              </a:graphicData>
            </a:graphic>
          </wp:anchor>
        </w:drawing>
      </w:r>
      <w:r>
        <w:rPr/>
        <w:t>Эякулят подвергали облучению в режиме монохроматического светодиодного ЭМИ в сочетании с лазером 651 нм и инфракрасным 933 нм излучениями на протяжении 15 минут. Мощности указаны в таблице 9. После чего готовили препараты и проводили трансмиссионную электронную микроскопию. Нами исследовано 38 ультраструктурных морфологических критерия сперматозоидов (см. таблицу 10). Оценивалось содержание интактных головок нормальной формы с нормальным строением хроматина и акросомы в эксперименте и контроле. В морфометрическом исследовании для определения статуса головок сперматозоидов оценивали: площадь, длину, ширину, периметр, эксцентриситет, соотношение</w:t>
      </w:r>
      <w:r>
        <w:rPr>
          <w:spacing w:val="40"/>
        </w:rPr>
        <w:t> </w:t>
      </w:r>
      <w:r>
        <w:rPr/>
        <w:t>длины к ширине, площадь акросомы (%). Для определения статуса шейки и хвоста сперматозоидов оценивали длину, угол отклонения и плоскостную симметричность. Изучены комплексные индексы: индекс</w:t>
      </w:r>
      <w:r>
        <w:rPr>
          <w:spacing w:val="-1"/>
        </w:rPr>
        <w:t> </w:t>
      </w:r>
      <w:r>
        <w:rPr/>
        <w:t>эллиптичности, индекс вытянутости, индекс регулярности и другие параметры (см. рисунок 33, таблицу 10).</w:t>
      </w: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168"/>
        <w:jc w:val="left"/>
      </w:pPr>
    </w:p>
    <w:p>
      <w:pPr>
        <w:pStyle w:val="BodyText"/>
        <w:spacing w:line="256" w:lineRule="auto" w:before="1"/>
        <w:ind w:left="304" w:right="584" w:hanging="1"/>
        <w:jc w:val="center"/>
      </w:pPr>
      <w:r>
        <w:rPr/>
        <w:t>Рисунок 33</w:t>
      </w:r>
      <w:r>
        <w:rPr>
          <w:rFonts w:ascii="Arial MT" w:hAnsi="Arial MT"/>
          <w:color w:val="454545"/>
          <w:sz w:val="21"/>
        </w:rPr>
        <w:t>— </w:t>
      </w:r>
      <w:r>
        <w:rPr/>
        <w:t>Электронные микрофотографии головок, шеек, хвостов сперматозоидов:</w:t>
      </w:r>
      <w:r>
        <w:rPr>
          <w:spacing w:val="-2"/>
        </w:rPr>
        <w:t> </w:t>
      </w:r>
      <w:r>
        <w:rPr/>
        <w:t>A,</w:t>
      </w:r>
      <w:r>
        <w:rPr>
          <w:spacing w:val="-6"/>
        </w:rPr>
        <w:t> </w:t>
      </w:r>
      <w:r>
        <w:rPr/>
        <w:t>B,</w:t>
      </w:r>
      <w:r>
        <w:rPr>
          <w:spacing w:val="-4"/>
        </w:rPr>
        <w:t> </w:t>
      </w:r>
      <w:r>
        <w:rPr/>
        <w:t>C</w:t>
      </w:r>
      <w:r>
        <w:rPr>
          <w:spacing w:val="-3"/>
        </w:rPr>
        <w:t> </w:t>
      </w:r>
      <w:r>
        <w:rPr/>
        <w:t>–</w:t>
      </w:r>
      <w:r>
        <w:rPr>
          <w:spacing w:val="-2"/>
        </w:rPr>
        <w:t> </w:t>
      </w:r>
      <w:r>
        <w:rPr/>
        <w:t>после</w:t>
      </w:r>
      <w:r>
        <w:rPr>
          <w:spacing w:val="-3"/>
        </w:rPr>
        <w:t> </w:t>
      </w:r>
      <w:r>
        <w:rPr/>
        <w:t>воздействия</w:t>
      </w:r>
      <w:r>
        <w:rPr>
          <w:spacing w:val="-2"/>
        </w:rPr>
        <w:t> </w:t>
      </w:r>
      <w:r>
        <w:rPr/>
        <w:t>ЭМИ;</w:t>
      </w:r>
      <w:r>
        <w:rPr>
          <w:spacing w:val="-4"/>
        </w:rPr>
        <w:t> </w:t>
      </w:r>
      <w:r>
        <w:rPr/>
        <w:t>D,E,F</w:t>
      </w:r>
      <w:r>
        <w:rPr>
          <w:spacing w:val="-3"/>
        </w:rPr>
        <w:t> </w:t>
      </w:r>
      <w:r>
        <w:rPr/>
        <w:t>–</w:t>
      </w:r>
      <w:r>
        <w:rPr>
          <w:spacing w:val="-4"/>
        </w:rPr>
        <w:t> </w:t>
      </w:r>
      <w:r>
        <w:rPr/>
        <w:t>контроль.</w:t>
      </w:r>
      <w:r>
        <w:rPr>
          <w:spacing w:val="-4"/>
        </w:rPr>
        <w:t> </w:t>
      </w:r>
      <w:r>
        <w:rPr/>
        <w:t>Увеличение х4000–25000. Окраска ацетат уранила, цитрат свинца</w:t>
      </w:r>
    </w:p>
    <w:p>
      <w:pPr>
        <w:pStyle w:val="BodyText"/>
        <w:spacing w:after="0" w:line="256" w:lineRule="auto"/>
        <w:jc w:val="center"/>
        <w:sectPr>
          <w:pgSz w:w="11910" w:h="16840"/>
          <w:pgMar w:header="0" w:footer="990" w:top="340" w:bottom="1200" w:left="708" w:right="425"/>
        </w:sectPr>
      </w:pPr>
    </w:p>
    <w:p>
      <w:pPr>
        <w:pStyle w:val="BodyText"/>
        <w:spacing w:before="69"/>
        <w:ind w:left="852"/>
      </w:pPr>
      <w:r>
        <w:rPr/>
        <w:t>Оценивали</w:t>
      </w:r>
      <w:r>
        <w:rPr>
          <w:spacing w:val="76"/>
        </w:rPr>
        <w:t> </w:t>
      </w:r>
      <w:r>
        <w:rPr/>
        <w:t>содержание</w:t>
      </w:r>
      <w:r>
        <w:rPr>
          <w:spacing w:val="79"/>
        </w:rPr>
        <w:t> </w:t>
      </w:r>
      <w:r>
        <w:rPr/>
        <w:t>сперматозоидов</w:t>
      </w:r>
      <w:r>
        <w:rPr>
          <w:spacing w:val="78"/>
        </w:rPr>
        <w:t> </w:t>
      </w:r>
      <w:r>
        <w:rPr/>
        <w:t>с</w:t>
      </w:r>
      <w:r>
        <w:rPr>
          <w:spacing w:val="79"/>
        </w:rPr>
        <w:t> </w:t>
      </w:r>
      <w:r>
        <w:rPr/>
        <w:t>недостаточно</w:t>
      </w:r>
      <w:r>
        <w:rPr>
          <w:spacing w:val="78"/>
        </w:rPr>
        <w:t> </w:t>
      </w:r>
      <w:r>
        <w:rPr>
          <w:spacing w:val="-2"/>
        </w:rPr>
        <w:t>конденсированным</w:t>
      </w:r>
    </w:p>
    <w:p>
      <w:pPr>
        <w:pStyle w:val="BodyText"/>
        <w:spacing w:line="256" w:lineRule="auto" w:before="21"/>
        <w:ind w:left="144" w:right="419"/>
      </w:pPr>
      <w:r>
        <w:rPr/>
        <w:t>«незрелым» хроматином. Изучали наличие вакуолей в нуклеосоме, а также деградацию хроматина (рис 34). Определяли число сперматозоидов с цитоплазматической каплей на головке или шейке, число сперматозоидов с гипоплазией акросомы и число сперматозоидов с прореагировавшей акросомой. Оценено содержимое акросомы.</w:t>
      </w:r>
      <w:r>
        <w:rPr>
          <w:spacing w:val="40"/>
        </w:rPr>
        <w:t> </w:t>
      </w:r>
      <w:r>
        <w:rPr/>
        <w:t>Изучена морфология жгутика, его аксонемы и так назывемых ручек жгутика. Исследовались митохондрии сперматозоидов, а именно их форма, укладка и матрикс (рис 33-35). Оценивали фиброзный слой жгутика. Попутно обнаруживались капсиды вирусов группы герпеса.</w:t>
      </w:r>
    </w:p>
    <w:p>
      <w:pPr>
        <w:pStyle w:val="BodyText"/>
        <w:spacing w:line="256" w:lineRule="auto"/>
        <w:ind w:left="144" w:right="419" w:firstLine="707"/>
      </w:pPr>
      <w:r>
        <w:rPr/>
        <w:t>На материале 4 пациентов с астенозооспермией оценено не менее 400 сперматозоидов</w:t>
      </w:r>
      <w:r>
        <w:rPr>
          <w:spacing w:val="11"/>
        </w:rPr>
        <w:t> </w:t>
      </w:r>
      <w:r>
        <w:rPr/>
        <w:t>в</w:t>
      </w:r>
      <w:r>
        <w:rPr>
          <w:spacing w:val="11"/>
        </w:rPr>
        <w:t> </w:t>
      </w:r>
      <w:r>
        <w:rPr/>
        <w:t>эксперименте</w:t>
      </w:r>
      <w:r>
        <w:rPr>
          <w:spacing w:val="13"/>
        </w:rPr>
        <w:t> </w:t>
      </w:r>
      <w:r>
        <w:rPr/>
        <w:t>и</w:t>
      </w:r>
      <w:r>
        <w:rPr>
          <w:spacing w:val="10"/>
        </w:rPr>
        <w:t> </w:t>
      </w:r>
      <w:r>
        <w:rPr/>
        <w:t>не</w:t>
      </w:r>
      <w:r>
        <w:rPr>
          <w:spacing w:val="11"/>
        </w:rPr>
        <w:t> </w:t>
      </w:r>
      <w:r>
        <w:rPr/>
        <w:t>менее</w:t>
      </w:r>
      <w:r>
        <w:rPr>
          <w:spacing w:val="10"/>
        </w:rPr>
        <w:t> </w:t>
      </w:r>
      <w:r>
        <w:rPr/>
        <w:t>400</w:t>
      </w:r>
      <w:r>
        <w:rPr>
          <w:spacing w:val="11"/>
        </w:rPr>
        <w:t> </w:t>
      </w:r>
      <w:r>
        <w:rPr/>
        <w:t>сперматозоидов</w:t>
      </w:r>
      <w:r>
        <w:rPr>
          <w:spacing w:val="12"/>
        </w:rPr>
        <w:t> </w:t>
      </w:r>
      <w:r>
        <w:rPr/>
        <w:t>в</w:t>
      </w:r>
      <w:r>
        <w:rPr>
          <w:spacing w:val="11"/>
        </w:rPr>
        <w:t> </w:t>
      </w:r>
      <w:r>
        <w:rPr/>
        <w:t>контроле.</w:t>
      </w:r>
      <w:r>
        <w:rPr>
          <w:spacing w:val="12"/>
        </w:rPr>
        <w:t> </w:t>
      </w:r>
      <w:r>
        <w:rPr/>
        <w:t>В</w:t>
      </w:r>
      <w:r>
        <w:rPr>
          <w:spacing w:val="9"/>
        </w:rPr>
        <w:t> </w:t>
      </w:r>
      <w:r>
        <w:rPr/>
        <w:t>23</w:t>
      </w:r>
      <w:r>
        <w:rPr>
          <w:spacing w:val="14"/>
        </w:rPr>
        <w:t> </w:t>
      </w:r>
      <w:r>
        <w:rPr>
          <w:spacing w:val="-5"/>
        </w:rPr>
        <w:t>из</w:t>
      </w:r>
    </w:p>
    <w:p>
      <w:pPr>
        <w:pStyle w:val="BodyText"/>
        <w:spacing w:line="256" w:lineRule="auto"/>
        <w:ind w:left="143" w:right="420"/>
      </w:pPr>
      <w:r>
        <w:rPr/>
        <w:t>38 ультраструктурных морфологических признаках наблюдали количественное преимущество эксперимента над контролем. Для проведения статистической обработки полученных данных был выбран метод точного критерия Фишера, так</w:t>
      </w:r>
      <w:r>
        <w:rPr>
          <w:spacing w:val="80"/>
        </w:rPr>
        <w:t> </w:t>
      </w:r>
      <w:r>
        <w:rPr/>
        <w:t>как он корректен для малых выборок и бинарных данных. Для того, чтобы избежать ложных находок из-за 38 тестов, была применена поправка на множественные сравнения (поправка Бенджамини–Хохберга (FDR)), она, в отличии от поправки Бонферрони, позволяет сохранить чувствительность теста. Данная поправка применяется и воизбежание чрезмерной потери в мощности теста.</w:t>
      </w:r>
    </w:p>
    <w:p>
      <w:pPr>
        <w:pStyle w:val="BodyText"/>
        <w:spacing w:line="256" w:lineRule="auto" w:before="179"/>
        <w:ind w:left="144" w:right="419" w:firstLine="707"/>
      </w:pPr>
      <w:r>
        <w:rPr/>
        <w:t>Статистическая</w:t>
      </w:r>
      <w:r>
        <w:rPr>
          <w:spacing w:val="-4"/>
        </w:rPr>
        <w:t> </w:t>
      </w:r>
      <w:r>
        <w:rPr/>
        <w:t>значимость</w:t>
      </w:r>
      <w:r>
        <w:rPr>
          <w:spacing w:val="-3"/>
        </w:rPr>
        <w:t> </w:t>
      </w:r>
      <w:r>
        <w:rPr/>
        <w:t>в</w:t>
      </w:r>
      <w:r>
        <w:rPr>
          <w:spacing w:val="-3"/>
        </w:rPr>
        <w:t> </w:t>
      </w:r>
      <w:r>
        <w:rPr/>
        <w:t>эксперименте</w:t>
      </w:r>
      <w:r>
        <w:rPr>
          <w:spacing w:val="-5"/>
        </w:rPr>
        <w:t> </w:t>
      </w:r>
      <w:r>
        <w:rPr/>
        <w:t>и</w:t>
      </w:r>
      <w:r>
        <w:rPr>
          <w:spacing w:val="-2"/>
        </w:rPr>
        <w:t> </w:t>
      </w:r>
      <w:r>
        <w:rPr/>
        <w:t>контроле</w:t>
      </w:r>
      <w:r>
        <w:rPr>
          <w:spacing w:val="-2"/>
        </w:rPr>
        <w:t> </w:t>
      </w:r>
      <w:r>
        <w:rPr/>
        <w:t>зарегистрирована</w:t>
      </w:r>
      <w:r>
        <w:rPr>
          <w:spacing w:val="-2"/>
        </w:rPr>
        <w:t> </w:t>
      </w:r>
      <w:r>
        <w:rPr/>
        <w:t>для</w:t>
      </w:r>
      <w:r>
        <w:rPr>
          <w:spacing w:val="-5"/>
        </w:rPr>
        <w:t> </w:t>
      </w:r>
      <w:r>
        <w:rPr/>
        <w:t>5 из 38 ультраструктурных маркеров: «нормальный фиброзный слой», «нормальная форма</w:t>
      </w:r>
      <w:r>
        <w:rPr>
          <w:spacing w:val="71"/>
        </w:rPr>
        <w:t> </w:t>
      </w:r>
      <w:r>
        <w:rPr/>
        <w:t>митохондрий»,</w:t>
      </w:r>
      <w:r>
        <w:rPr>
          <w:spacing w:val="70"/>
        </w:rPr>
        <w:t> </w:t>
      </w:r>
      <w:r>
        <w:rPr/>
        <w:t>«присутствие</w:t>
      </w:r>
      <w:r>
        <w:rPr>
          <w:spacing w:val="71"/>
        </w:rPr>
        <w:t> </w:t>
      </w:r>
      <w:r>
        <w:rPr/>
        <w:t>акросомы»,</w:t>
      </w:r>
      <w:r>
        <w:rPr>
          <w:spacing w:val="71"/>
        </w:rPr>
        <w:t> </w:t>
      </w:r>
      <w:r>
        <w:rPr/>
        <w:t>«аномальный</w:t>
      </w:r>
      <w:r>
        <w:rPr>
          <w:spacing w:val="74"/>
        </w:rPr>
        <w:t> </w:t>
      </w:r>
      <w:r>
        <w:rPr/>
        <w:t>фиброзный</w:t>
      </w:r>
      <w:r>
        <w:rPr>
          <w:spacing w:val="72"/>
        </w:rPr>
        <w:t> </w:t>
      </w:r>
      <w:r>
        <w:rPr>
          <w:spacing w:val="-2"/>
        </w:rPr>
        <w:t>слой»,</w:t>
      </w:r>
    </w:p>
    <w:p>
      <w:pPr>
        <w:pStyle w:val="BodyText"/>
        <w:spacing w:line="256" w:lineRule="auto"/>
        <w:ind w:left="144" w:right="419"/>
      </w:pPr>
      <w:r>
        <w:rPr/>
        <w:t>«нормальная форма акросомы». Преимущество контроля над экспериментом наблюдали при исследовании ультраструктурных маркеров таких как: «нормальная форма митохондрий» (98 сперматозоидов против 97, p=0,027), «присутствие акросомы» (302 сперматозоида против 297, р=0,036), «аномальный фиброзный</w:t>
      </w:r>
      <w:r>
        <w:rPr>
          <w:spacing w:val="40"/>
        </w:rPr>
        <w:t> </w:t>
      </w:r>
      <w:r>
        <w:rPr/>
        <w:t>слой» (14 сперматозоидов против 15, р=0,041). Преимущество эксперимента над контролем наблюдали при регистрации ультраструктурных маркеров: «нормальный фиброзный слой» (522 сперматозоида против 508, р=0,011) и «нормальная форма акросомы» (131 против 129, р=0,048).</w:t>
      </w:r>
    </w:p>
    <w:p>
      <w:pPr>
        <w:pStyle w:val="BodyText"/>
        <w:spacing w:after="0" w:line="256" w:lineRule="auto"/>
        <w:sectPr>
          <w:pgSz w:w="11910" w:h="16840"/>
          <w:pgMar w:header="0" w:footer="990" w:top="340" w:bottom="1200" w:left="708" w:right="425"/>
        </w:sectPr>
      </w:pPr>
    </w:p>
    <w:p>
      <w:pPr>
        <w:spacing w:line="240" w:lineRule="auto"/>
        <w:ind w:left="370" w:right="0" w:firstLine="0"/>
        <w:rPr>
          <w:sz w:val="20"/>
        </w:rPr>
      </w:pPr>
      <w:r>
        <w:rPr>
          <w:sz w:val="20"/>
        </w:rPr>
        <w:drawing>
          <wp:inline distT="0" distB="0" distL="0" distR="0">
            <wp:extent cx="6217154" cy="3467861"/>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57" cstate="print"/>
                    <a:stretch>
                      <a:fillRect/>
                    </a:stretch>
                  </pic:blipFill>
                  <pic:spPr>
                    <a:xfrm>
                      <a:off x="0" y="0"/>
                      <a:ext cx="6217154" cy="3467861"/>
                    </a:xfrm>
                    <a:prstGeom prst="rect">
                      <a:avLst/>
                    </a:prstGeom>
                  </pic:spPr>
                </pic:pic>
              </a:graphicData>
            </a:graphic>
          </wp:inline>
        </w:drawing>
      </w:r>
      <w:r>
        <w:rPr>
          <w:sz w:val="20"/>
        </w:rPr>
      </w:r>
    </w:p>
    <w:p>
      <w:pPr>
        <w:pStyle w:val="BodyText"/>
        <w:spacing w:line="256" w:lineRule="auto" w:before="201"/>
        <w:ind w:left="175" w:right="455" w:hanging="1"/>
        <w:jc w:val="center"/>
      </w:pPr>
      <w:r>
        <w:rPr/>
        <w:t>Рисунок 34 </w:t>
      </w:r>
      <w:r>
        <w:rPr>
          <w:rFonts w:ascii="Arial MT" w:hAnsi="Arial MT"/>
          <w:color w:val="454545"/>
          <w:sz w:val="21"/>
        </w:rPr>
        <w:t>— </w:t>
      </w:r>
      <w:r>
        <w:rPr/>
        <w:t>Электронные микрофотографии сперматозоидов с патологическими вакуолями:</w:t>
      </w:r>
      <w:r>
        <w:rPr>
          <w:spacing w:val="-4"/>
        </w:rPr>
        <w:t> </w:t>
      </w:r>
      <w:r>
        <w:rPr/>
        <w:t>A,</w:t>
      </w:r>
      <w:r>
        <w:rPr>
          <w:spacing w:val="-3"/>
        </w:rPr>
        <w:t> </w:t>
      </w:r>
      <w:r>
        <w:rPr/>
        <w:t>B,</w:t>
      </w:r>
      <w:r>
        <w:rPr>
          <w:spacing w:val="-4"/>
        </w:rPr>
        <w:t> </w:t>
      </w:r>
      <w:r>
        <w:rPr/>
        <w:t>C</w:t>
      </w:r>
      <w:r>
        <w:rPr>
          <w:spacing w:val="-3"/>
        </w:rPr>
        <w:t> </w:t>
      </w:r>
      <w:r>
        <w:rPr/>
        <w:t>–</w:t>
      </w:r>
      <w:r>
        <w:rPr>
          <w:spacing w:val="-2"/>
        </w:rPr>
        <w:t> </w:t>
      </w:r>
      <w:r>
        <w:rPr/>
        <w:t>после</w:t>
      </w:r>
      <w:r>
        <w:rPr>
          <w:spacing w:val="-3"/>
        </w:rPr>
        <w:t> </w:t>
      </w:r>
      <w:r>
        <w:rPr/>
        <w:t>воздействия</w:t>
      </w:r>
      <w:r>
        <w:rPr>
          <w:spacing w:val="-5"/>
        </w:rPr>
        <w:t> </w:t>
      </w:r>
      <w:r>
        <w:rPr/>
        <w:t>ЭМИ;</w:t>
      </w:r>
      <w:r>
        <w:rPr>
          <w:spacing w:val="-4"/>
        </w:rPr>
        <w:t> </w:t>
      </w:r>
      <w:r>
        <w:rPr/>
        <w:t>D,E,F</w:t>
      </w:r>
      <w:r>
        <w:rPr>
          <w:spacing w:val="-3"/>
        </w:rPr>
        <w:t> </w:t>
      </w:r>
      <w:r>
        <w:rPr/>
        <w:t>–</w:t>
      </w:r>
      <w:r>
        <w:rPr>
          <w:spacing w:val="-2"/>
        </w:rPr>
        <w:t> </w:t>
      </w:r>
      <w:r>
        <w:rPr/>
        <w:t>контроль.</w:t>
      </w:r>
      <w:r>
        <w:rPr>
          <w:spacing w:val="-3"/>
        </w:rPr>
        <w:t> </w:t>
      </w:r>
      <w:r>
        <w:rPr/>
        <w:t>Увеличение</w:t>
      </w:r>
      <w:r>
        <w:rPr>
          <w:spacing w:val="-5"/>
        </w:rPr>
        <w:t> </w:t>
      </w:r>
      <w:r>
        <w:rPr/>
        <w:t>х6000–15000. Окраска ацетат уранила, цитрат свинца</w:t>
      </w:r>
    </w:p>
    <w:p>
      <w:pPr>
        <w:pStyle w:val="BodyText"/>
        <w:spacing w:line="256" w:lineRule="auto" w:before="198"/>
        <w:ind w:left="143" w:right="419" w:firstLine="708"/>
      </w:pPr>
      <w:r>
        <w:rPr/>
        <w:t>Частота встречаемости ультраструктурных аномалий головок сперматозоидов до</w:t>
      </w:r>
      <w:r>
        <w:rPr>
          <w:spacing w:val="-1"/>
        </w:rPr>
        <w:t> </w:t>
      </w:r>
      <w:r>
        <w:rPr/>
        <w:t>и</w:t>
      </w:r>
      <w:r>
        <w:rPr>
          <w:spacing w:val="-3"/>
        </w:rPr>
        <w:t> </w:t>
      </w:r>
      <w:r>
        <w:rPr/>
        <w:t>после</w:t>
      </w:r>
      <w:r>
        <w:rPr>
          <w:spacing w:val="-4"/>
        </w:rPr>
        <w:t> </w:t>
      </w:r>
      <w:r>
        <w:rPr/>
        <w:t>облучения</w:t>
      </w:r>
      <w:r>
        <w:rPr>
          <w:spacing w:val="-1"/>
        </w:rPr>
        <w:t> </w:t>
      </w:r>
      <w:r>
        <w:rPr/>
        <w:t>ЭМИ</w:t>
      </w:r>
      <w:r>
        <w:rPr>
          <w:spacing w:val="-1"/>
        </w:rPr>
        <w:t> </w:t>
      </w:r>
      <w:r>
        <w:rPr/>
        <w:t>в</w:t>
      </w:r>
      <w:r>
        <w:rPr>
          <w:spacing w:val="-2"/>
        </w:rPr>
        <w:t> </w:t>
      </w:r>
      <w:r>
        <w:rPr/>
        <w:t>режиме</w:t>
      </w:r>
      <w:r>
        <w:rPr>
          <w:spacing w:val="-1"/>
        </w:rPr>
        <w:t> </w:t>
      </w:r>
      <w:r>
        <w:rPr/>
        <w:t>Full</w:t>
      </w:r>
      <w:r>
        <w:rPr>
          <w:spacing w:val="-1"/>
        </w:rPr>
        <w:t> </w:t>
      </w:r>
      <w:r>
        <w:rPr/>
        <w:t>15</w:t>
      </w:r>
      <w:r>
        <w:rPr>
          <w:spacing w:val="-1"/>
        </w:rPr>
        <w:t> </w:t>
      </w:r>
      <w:r>
        <w:rPr/>
        <w:t>минут,</w:t>
      </w:r>
      <w:r>
        <w:rPr>
          <w:spacing w:val="-2"/>
        </w:rPr>
        <w:t> </w:t>
      </w:r>
      <w:r>
        <w:rPr/>
        <w:t>4,02</w:t>
      </w:r>
      <w:r>
        <w:rPr>
          <w:spacing w:val="-1"/>
        </w:rPr>
        <w:t> </w:t>
      </w:r>
      <w:r>
        <w:rPr/>
        <w:t>Дж,</w:t>
      </w:r>
      <w:r>
        <w:rPr>
          <w:spacing w:val="-2"/>
        </w:rPr>
        <w:t> </w:t>
      </w:r>
      <w:r>
        <w:rPr/>
        <w:t>не</w:t>
      </w:r>
      <w:r>
        <w:rPr>
          <w:spacing w:val="-2"/>
        </w:rPr>
        <w:t> </w:t>
      </w:r>
      <w:r>
        <w:rPr/>
        <w:t>имеет</w:t>
      </w:r>
      <w:r>
        <w:rPr>
          <w:spacing w:val="-2"/>
        </w:rPr>
        <w:t> </w:t>
      </w:r>
      <w:r>
        <w:rPr/>
        <w:t>статистически достоверной разницы, за исключением парметра «нормальная форма акросомы» (р=0,048). Количественное преимущество эксперимента над контролем в таких ультраструктурных параметрах как форма головки, аксонемы, строение фиброзного слоя и наличие вирусных капсидов, на наш взгляд, не является следствием воздействия ЭМИ, так как не имеется даже теоретических оснований для того,</w:t>
      </w:r>
      <w:r>
        <w:rPr>
          <w:spacing w:val="40"/>
        </w:rPr>
        <w:t> </w:t>
      </w:r>
      <w:r>
        <w:rPr/>
        <w:t>чтобы данные параматры менялись под влиянием ЭМИ. Так же маловероятным следствием воздействия ЭМИ могло быть улучшение таких ультраструктурных показателей как форма нуклеосомы и локализация цитоплазматических капель, так как процесс формирования этих признаков занимает длительное время и его ход не мог существенно измениться за время эксперимента (15 минут). Однако такие признаки, как положение акросомы, её форма и содержимое – признаки динамические и нельзя исключать положительного воздействия избранного режима облучения, что требует дополнительных исследований. Поскольку ранее</w:t>
      </w:r>
      <w:r>
        <w:rPr>
          <w:spacing w:val="40"/>
        </w:rPr>
        <w:t> </w:t>
      </w:r>
      <w:r>
        <w:rPr/>
        <w:t>сообщалось о том, что, в экспериментальных условиях, с помощью электронной микроскопии зафиксировано наличие изменений митохондриальных конформаций [2, 146], то о влиянии ЭМИ на такие ультраструктурные признаки сперматозоидов как укладка митохондрий и качество их матрикса остановимся подробнее.</w:t>
      </w:r>
    </w:p>
    <w:p>
      <w:pPr>
        <w:pStyle w:val="BodyText"/>
        <w:spacing w:after="0" w:line="256" w:lineRule="auto"/>
        <w:sectPr>
          <w:pgSz w:w="11910" w:h="16840"/>
          <w:pgMar w:header="0" w:footer="990" w:top="400" w:bottom="1200" w:left="708" w:right="425"/>
        </w:sectPr>
      </w:pPr>
    </w:p>
    <w:p>
      <w:pPr>
        <w:spacing w:line="240" w:lineRule="auto"/>
        <w:ind w:left="143" w:right="0" w:firstLine="0"/>
        <w:rPr>
          <w:sz w:val="20"/>
        </w:rPr>
      </w:pPr>
      <w:r>
        <w:rPr>
          <w:sz w:val="20"/>
        </w:rPr>
        <w:drawing>
          <wp:inline distT="0" distB="0" distL="0" distR="0">
            <wp:extent cx="6499113" cy="3185159"/>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58" cstate="print"/>
                    <a:stretch>
                      <a:fillRect/>
                    </a:stretch>
                  </pic:blipFill>
                  <pic:spPr>
                    <a:xfrm>
                      <a:off x="0" y="0"/>
                      <a:ext cx="6499113" cy="3185159"/>
                    </a:xfrm>
                    <a:prstGeom prst="rect">
                      <a:avLst/>
                    </a:prstGeom>
                  </pic:spPr>
                </pic:pic>
              </a:graphicData>
            </a:graphic>
          </wp:inline>
        </w:drawing>
      </w:r>
      <w:r>
        <w:rPr>
          <w:sz w:val="20"/>
        </w:rPr>
      </w:r>
    </w:p>
    <w:p>
      <w:pPr>
        <w:pStyle w:val="BodyText"/>
        <w:spacing w:before="52"/>
        <w:ind w:left="71" w:right="348"/>
        <w:jc w:val="center"/>
      </w:pPr>
      <w:r>
        <w:rPr/>
        <w:t>Рисунок</w:t>
      </w:r>
      <w:r>
        <w:rPr>
          <w:spacing w:val="-9"/>
        </w:rPr>
        <w:t> </w:t>
      </w:r>
      <w:r>
        <w:rPr/>
        <w:t>35</w:t>
      </w:r>
      <w:r>
        <w:rPr>
          <w:spacing w:val="-5"/>
        </w:rPr>
        <w:t> </w:t>
      </w:r>
      <w:r>
        <w:rPr>
          <w:rFonts w:ascii="Arial MT" w:hAnsi="Arial MT"/>
          <w:color w:val="454545"/>
          <w:sz w:val="21"/>
        </w:rPr>
        <w:t>—</w:t>
      </w:r>
      <w:r>
        <w:rPr>
          <w:rFonts w:ascii="Arial MT" w:hAnsi="Arial MT"/>
          <w:color w:val="454545"/>
          <w:spacing w:val="50"/>
          <w:sz w:val="21"/>
        </w:rPr>
        <w:t> </w:t>
      </w:r>
      <w:r>
        <w:rPr/>
        <w:t>Электронные</w:t>
      </w:r>
      <w:r>
        <w:rPr>
          <w:spacing w:val="-5"/>
        </w:rPr>
        <w:t> </w:t>
      </w:r>
      <w:r>
        <w:rPr/>
        <w:t>микрофотографии</w:t>
      </w:r>
      <w:r>
        <w:rPr>
          <w:spacing w:val="-5"/>
        </w:rPr>
        <w:t> </w:t>
      </w:r>
      <w:r>
        <w:rPr/>
        <w:t>хвостов</w:t>
      </w:r>
      <w:r>
        <w:rPr>
          <w:spacing w:val="-4"/>
        </w:rPr>
        <w:t> </w:t>
      </w:r>
      <w:r>
        <w:rPr>
          <w:spacing w:val="-2"/>
        </w:rPr>
        <w:t>сперматозоидов</w:t>
      </w:r>
    </w:p>
    <w:p>
      <w:pPr>
        <w:pStyle w:val="BodyText"/>
        <w:spacing w:before="24"/>
        <w:ind w:left="71" w:right="348"/>
        <w:jc w:val="center"/>
      </w:pPr>
      <w:r>
        <w:rPr/>
        <w:t>A,</w:t>
      </w:r>
      <w:r>
        <w:rPr>
          <w:spacing w:val="-6"/>
        </w:rPr>
        <w:t> </w:t>
      </w:r>
      <w:r>
        <w:rPr/>
        <w:t>B,</w:t>
      </w:r>
      <w:r>
        <w:rPr>
          <w:spacing w:val="-4"/>
        </w:rPr>
        <w:t> </w:t>
      </w:r>
      <w:r>
        <w:rPr/>
        <w:t>C</w:t>
      </w:r>
      <w:r>
        <w:rPr>
          <w:spacing w:val="-3"/>
        </w:rPr>
        <w:t> </w:t>
      </w:r>
      <w:r>
        <w:rPr/>
        <w:t>-</w:t>
      </w:r>
      <w:r>
        <w:rPr>
          <w:spacing w:val="-4"/>
        </w:rPr>
        <w:t> </w:t>
      </w:r>
      <w:r>
        <w:rPr/>
        <w:t>после</w:t>
      </w:r>
      <w:r>
        <w:rPr>
          <w:spacing w:val="-3"/>
        </w:rPr>
        <w:t> </w:t>
      </w:r>
      <w:r>
        <w:rPr/>
        <w:t>воздействия</w:t>
      </w:r>
      <w:r>
        <w:rPr>
          <w:spacing w:val="-3"/>
        </w:rPr>
        <w:t> </w:t>
      </w:r>
      <w:r>
        <w:rPr/>
        <w:t>ЭМИ;</w:t>
      </w:r>
      <w:r>
        <w:rPr>
          <w:spacing w:val="-5"/>
        </w:rPr>
        <w:t> </w:t>
      </w:r>
      <w:r>
        <w:rPr/>
        <w:t>D,E,F</w:t>
      </w:r>
      <w:r>
        <w:rPr>
          <w:spacing w:val="-5"/>
        </w:rPr>
        <w:t> </w:t>
      </w:r>
      <w:r>
        <w:rPr/>
        <w:t>–</w:t>
      </w:r>
      <w:r>
        <w:rPr>
          <w:spacing w:val="-3"/>
        </w:rPr>
        <w:t> </w:t>
      </w:r>
      <w:r>
        <w:rPr/>
        <w:t>контроль.</w:t>
      </w:r>
      <w:r>
        <w:rPr>
          <w:spacing w:val="63"/>
        </w:rPr>
        <w:t> </w:t>
      </w:r>
      <w:r>
        <w:rPr/>
        <w:t>Увеличение</w:t>
      </w:r>
      <w:r>
        <w:rPr>
          <w:spacing w:val="-3"/>
        </w:rPr>
        <w:t> </w:t>
      </w:r>
      <w:r>
        <w:rPr/>
        <w:t>х6000–</w:t>
      </w:r>
      <w:r>
        <w:rPr>
          <w:spacing w:val="-2"/>
        </w:rPr>
        <w:t>15000.</w:t>
      </w:r>
    </w:p>
    <w:p>
      <w:pPr>
        <w:pStyle w:val="BodyText"/>
        <w:spacing w:before="21"/>
        <w:ind w:left="70" w:right="348"/>
        <w:jc w:val="center"/>
      </w:pPr>
      <w:r>
        <w:rPr/>
        <w:t>Окраска</w:t>
      </w:r>
      <w:r>
        <w:rPr>
          <w:spacing w:val="-5"/>
        </w:rPr>
        <w:t> </w:t>
      </w:r>
      <w:r>
        <w:rPr/>
        <w:t>ацетат</w:t>
      </w:r>
      <w:r>
        <w:rPr>
          <w:spacing w:val="-5"/>
        </w:rPr>
        <w:t> </w:t>
      </w:r>
      <w:r>
        <w:rPr/>
        <w:t>уранила,</w:t>
      </w:r>
      <w:r>
        <w:rPr>
          <w:spacing w:val="-5"/>
        </w:rPr>
        <w:t> </w:t>
      </w:r>
      <w:r>
        <w:rPr/>
        <w:t>цитрат</w:t>
      </w:r>
      <w:r>
        <w:rPr>
          <w:spacing w:val="-5"/>
        </w:rPr>
        <w:t> </w:t>
      </w:r>
      <w:r>
        <w:rPr>
          <w:spacing w:val="-2"/>
        </w:rPr>
        <w:t>свинца</w:t>
      </w:r>
    </w:p>
    <w:p>
      <w:pPr>
        <w:pStyle w:val="BodyText"/>
        <w:spacing w:line="256" w:lineRule="auto" w:before="314"/>
        <w:ind w:left="144" w:right="419" w:firstLine="707"/>
      </w:pPr>
      <w:r>
        <w:rPr/>
        <w:t>После облучения сперматозоидов ЭМИ наблюдали разницу между опытом и контролем по признаку нормальной укладки митохондрий (85 и 77 сперматозоидов соответственно). Уменьшение нерегулярной укладки митохондрий зафиксированно на уровне 11 сперматозоидов (11 в опыте, 22 в контроле). Нормальный матрикс митохондрий наблюдали в 96 сперматозоидах экспермента, в то время как в контрольной группе этот показатель наблюдали в 91 сперматозоиде. Матрикс митохондрий темного цвета был обнаружен в 8 сперматозоидах котрольной группы, в то время как в экспериментальной группе этот признак обнаружен не был.</w:t>
      </w:r>
      <w:r>
        <w:rPr>
          <w:spacing w:val="40"/>
        </w:rPr>
        <w:t> </w:t>
      </w:r>
      <w:r>
        <w:rPr/>
        <w:t>Это может свидетельствовать о том, что ЭМИ имеет влияние на ультраструктуру митохондрий, механизм которого еще предстоит исследовать. Перечисленные выше морфологические маркеры состояния митохондрий имели численную, не подтвержденную статистически разницу, за исключением маркера «нормальная форма митохондрий» (p=0,027) и могут указывать только на тренды влияния ЭМИ на ультраструктуры митохондрий, что требует дополнительных исследований (см. таблицу 10).</w:t>
      </w:r>
    </w:p>
    <w:p>
      <w:pPr>
        <w:pStyle w:val="BodyText"/>
        <w:spacing w:after="0" w:line="256" w:lineRule="auto"/>
        <w:sectPr>
          <w:pgSz w:w="11910" w:h="16840"/>
          <w:pgMar w:header="0" w:footer="990" w:top="400" w:bottom="1200" w:left="708" w:right="425"/>
        </w:sectPr>
      </w:pPr>
    </w:p>
    <w:p>
      <w:pPr>
        <w:pStyle w:val="BodyText"/>
        <w:spacing w:line="256" w:lineRule="auto" w:before="69" w:after="15"/>
        <w:ind w:left="3731" w:hanging="2888"/>
        <w:jc w:val="left"/>
      </w:pPr>
      <w:r>
        <w:rPr/>
        <w:t>Таблица</w:t>
      </w:r>
      <w:r>
        <w:rPr>
          <w:spacing w:val="-4"/>
        </w:rPr>
        <w:t> </w:t>
      </w:r>
      <w:r>
        <w:rPr/>
        <w:t>10</w:t>
      </w:r>
      <w:r>
        <w:rPr>
          <w:spacing w:val="-3"/>
        </w:rPr>
        <w:t> </w:t>
      </w:r>
      <w:r>
        <w:rPr>
          <w:rFonts w:ascii="Arial MT" w:hAnsi="Arial MT"/>
          <w:color w:val="454545"/>
          <w:sz w:val="21"/>
        </w:rPr>
        <w:t>—</w:t>
      </w:r>
      <w:r>
        <w:rPr>
          <w:rFonts w:ascii="Arial MT" w:hAnsi="Arial MT"/>
          <w:color w:val="454545"/>
          <w:spacing w:val="-4"/>
          <w:sz w:val="21"/>
        </w:rPr>
        <w:t> </w:t>
      </w:r>
      <w:r>
        <w:rPr/>
        <w:t>Ультраструктурные</w:t>
      </w:r>
      <w:r>
        <w:rPr>
          <w:spacing w:val="-4"/>
        </w:rPr>
        <w:t> </w:t>
      </w:r>
      <w:r>
        <w:rPr/>
        <w:t>маркеры</w:t>
      </w:r>
      <w:r>
        <w:rPr>
          <w:spacing w:val="-3"/>
        </w:rPr>
        <w:t> </w:t>
      </w:r>
      <w:r>
        <w:rPr/>
        <w:t>сперматозоидов</w:t>
      </w:r>
      <w:r>
        <w:rPr>
          <w:spacing w:val="-7"/>
        </w:rPr>
        <w:t> </w:t>
      </w:r>
      <w:r>
        <w:rPr/>
        <w:t>человека</w:t>
      </w:r>
      <w:r>
        <w:rPr>
          <w:spacing w:val="-4"/>
        </w:rPr>
        <w:t> </w:t>
      </w:r>
      <w:r>
        <w:rPr/>
        <w:t>при эксперименте и контроле</w:t>
      </w:r>
    </w:p>
    <w:tbl>
      <w:tblPr>
        <w:tblW w:w="0" w:type="auto"/>
        <w:jc w:val="left"/>
        <w:tblInd w:w="163"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CellMar>
          <w:top w:w="0" w:type="dxa"/>
          <w:left w:w="0" w:type="dxa"/>
          <w:bottom w:w="0" w:type="dxa"/>
          <w:right w:w="0" w:type="dxa"/>
        </w:tblCellMar>
        <w:tblLook w:val="01E0"/>
      </w:tblPr>
      <w:tblGrid>
        <w:gridCol w:w="418"/>
        <w:gridCol w:w="1559"/>
        <w:gridCol w:w="2411"/>
        <w:gridCol w:w="991"/>
        <w:gridCol w:w="1121"/>
        <w:gridCol w:w="1431"/>
        <w:gridCol w:w="1419"/>
        <w:gridCol w:w="886"/>
      </w:tblGrid>
      <w:tr>
        <w:trPr>
          <w:trHeight w:val="2963" w:hRule="atLeast"/>
        </w:trPr>
        <w:tc>
          <w:tcPr>
            <w:tcW w:w="418" w:type="dxa"/>
            <w:tcBorders>
              <w:bottom w:val="double" w:sz="6" w:space="0" w:color="000000"/>
              <w:right w:val="double" w:sz="6"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237"/>
              <w:rPr>
                <w:sz w:val="24"/>
              </w:rPr>
            </w:pPr>
          </w:p>
          <w:p>
            <w:pPr>
              <w:pStyle w:val="TableParagraph"/>
              <w:ind w:right="14"/>
              <w:jc w:val="right"/>
              <w:rPr>
                <w:b/>
                <w:sz w:val="24"/>
              </w:rPr>
            </w:pPr>
            <w:r>
              <w:rPr>
                <w:b/>
                <w:spacing w:val="-10"/>
                <w:sz w:val="24"/>
              </w:rPr>
              <w:t>№</w:t>
            </w:r>
          </w:p>
        </w:tc>
        <w:tc>
          <w:tcPr>
            <w:tcW w:w="1559"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237"/>
              <w:rPr>
                <w:sz w:val="24"/>
              </w:rPr>
            </w:pPr>
          </w:p>
          <w:p>
            <w:pPr>
              <w:pStyle w:val="TableParagraph"/>
              <w:ind w:left="33" w:right="23"/>
              <w:jc w:val="center"/>
              <w:rPr>
                <w:b/>
                <w:sz w:val="24"/>
              </w:rPr>
            </w:pPr>
            <w:r>
              <w:rPr>
                <w:b/>
                <w:spacing w:val="-2"/>
                <w:sz w:val="24"/>
              </w:rPr>
              <w:t>Морфологич </w:t>
            </w:r>
            <w:r>
              <w:rPr>
                <w:b/>
                <w:spacing w:val="-4"/>
                <w:sz w:val="24"/>
              </w:rPr>
              <w:t>еский </w:t>
            </w:r>
            <w:r>
              <w:rPr>
                <w:b/>
                <w:spacing w:val="-2"/>
                <w:sz w:val="24"/>
              </w:rPr>
              <w:t>признак</w:t>
            </w:r>
          </w:p>
        </w:tc>
        <w:tc>
          <w:tcPr>
            <w:tcW w:w="2411" w:type="dxa"/>
            <w:tcBorders>
              <w:left w:val="double" w:sz="6" w:space="0" w:color="000000"/>
              <w:bottom w:val="double" w:sz="6" w:space="0" w:color="000000"/>
              <w:right w:val="double" w:sz="6" w:space="0" w:color="000000"/>
            </w:tcBorders>
          </w:tcPr>
          <w:p>
            <w:pPr>
              <w:pStyle w:val="TableParagraph"/>
              <w:spacing w:line="256" w:lineRule="auto" w:before="16"/>
              <w:ind w:left="128" w:right="116" w:firstLine="1"/>
              <w:jc w:val="center"/>
              <w:rPr>
                <w:b/>
                <w:sz w:val="24"/>
              </w:rPr>
            </w:pPr>
            <w:r>
              <w:rPr>
                <w:b/>
                <w:spacing w:val="-2"/>
                <w:sz w:val="24"/>
              </w:rPr>
              <w:t>Эксперимент </w:t>
            </w:r>
            <w:r>
              <w:rPr>
                <w:b/>
                <w:sz w:val="24"/>
              </w:rPr>
              <w:t>(светодиоды,</w:t>
            </w:r>
            <w:r>
              <w:rPr>
                <w:b/>
                <w:spacing w:val="-15"/>
                <w:sz w:val="24"/>
              </w:rPr>
              <w:t> </w:t>
            </w:r>
            <w:r>
              <w:rPr>
                <w:b/>
                <w:sz w:val="24"/>
              </w:rPr>
              <w:t>лазер, </w:t>
            </w:r>
            <w:r>
              <w:rPr>
                <w:b/>
                <w:spacing w:val="-2"/>
                <w:sz w:val="24"/>
              </w:rPr>
              <w:t>инфракрасный </w:t>
            </w:r>
            <w:r>
              <w:rPr>
                <w:b/>
                <w:sz w:val="24"/>
              </w:rPr>
              <w:t>светодиод 400-750,</w:t>
            </w:r>
          </w:p>
          <w:p>
            <w:pPr>
              <w:pStyle w:val="TableParagraph"/>
              <w:spacing w:line="271" w:lineRule="exact"/>
              <w:ind w:left="10" w:right="3"/>
              <w:jc w:val="center"/>
              <w:rPr>
                <w:b/>
                <w:sz w:val="24"/>
              </w:rPr>
            </w:pPr>
            <w:r>
              <w:rPr>
                <w:b/>
                <w:sz w:val="24"/>
              </w:rPr>
              <w:t>651, 933 </w:t>
            </w:r>
            <w:r>
              <w:rPr>
                <w:b/>
                <w:spacing w:val="-5"/>
                <w:sz w:val="24"/>
              </w:rPr>
              <w:t>нм,</w:t>
            </w:r>
          </w:p>
          <w:p>
            <w:pPr>
              <w:pStyle w:val="TableParagraph"/>
              <w:spacing w:line="256" w:lineRule="auto" w:before="19"/>
              <w:ind w:left="10" w:right="1"/>
              <w:jc w:val="center"/>
              <w:rPr>
                <w:b/>
                <w:sz w:val="24"/>
              </w:rPr>
            </w:pPr>
            <w:r>
              <w:rPr>
                <w:b/>
                <w:sz w:val="24"/>
              </w:rPr>
              <w:t>мощность</w:t>
            </w:r>
            <w:r>
              <w:rPr>
                <w:b/>
                <w:spacing w:val="-15"/>
                <w:sz w:val="24"/>
              </w:rPr>
              <w:t> </w:t>
            </w:r>
            <w:r>
              <w:rPr>
                <w:b/>
                <w:sz w:val="24"/>
              </w:rPr>
              <w:t>4,46</w:t>
            </w:r>
            <w:r>
              <w:rPr>
                <w:b/>
                <w:spacing w:val="-15"/>
                <w:sz w:val="24"/>
              </w:rPr>
              <w:t> </w:t>
            </w:r>
            <w:r>
              <w:rPr>
                <w:b/>
                <w:sz w:val="24"/>
              </w:rPr>
              <w:t>мВт, общая сообщаемая энергия 4,01 Дж, время экспозиции</w:t>
            </w:r>
          </w:p>
          <w:p>
            <w:pPr>
              <w:pStyle w:val="TableParagraph"/>
              <w:spacing w:line="273" w:lineRule="exact"/>
              <w:ind w:left="10"/>
              <w:jc w:val="center"/>
              <w:rPr>
                <w:b/>
                <w:sz w:val="24"/>
              </w:rPr>
            </w:pPr>
            <w:r>
              <w:rPr>
                <w:b/>
                <w:sz w:val="24"/>
              </w:rPr>
              <w:t>15 </w:t>
            </w:r>
            <w:r>
              <w:rPr>
                <w:b/>
                <w:spacing w:val="-2"/>
                <w:sz w:val="24"/>
              </w:rPr>
              <w:t>минут)</w:t>
            </w:r>
          </w:p>
        </w:tc>
        <w:tc>
          <w:tcPr>
            <w:tcW w:w="991" w:type="dxa"/>
            <w:tcBorders>
              <w:left w:val="double" w:sz="6" w:space="0" w:color="000000"/>
              <w:bottom w:val="double" w:sz="6" w:space="0" w:color="000000"/>
              <w:right w:val="double" w:sz="6" w:space="0" w:color="000000"/>
            </w:tcBorders>
          </w:tcPr>
          <w:p>
            <w:pPr>
              <w:pStyle w:val="TableParagraph"/>
              <w:spacing w:before="98"/>
              <w:ind w:left="47" w:right="34" w:firstLine="3"/>
              <w:jc w:val="center"/>
              <w:rPr>
                <w:b/>
                <w:sz w:val="24"/>
              </w:rPr>
            </w:pPr>
            <w:r>
              <w:rPr>
                <w:b/>
                <w:spacing w:val="-2"/>
                <w:sz w:val="24"/>
              </w:rPr>
              <w:t>Контро </w:t>
            </w:r>
            <w:r>
              <w:rPr>
                <w:b/>
                <w:spacing w:val="-6"/>
                <w:sz w:val="24"/>
              </w:rPr>
              <w:t>ль </w:t>
            </w:r>
            <w:r>
              <w:rPr>
                <w:spacing w:val="-2"/>
                <w:sz w:val="24"/>
              </w:rPr>
              <w:t>(</w:t>
            </w:r>
            <w:r>
              <w:rPr>
                <w:b/>
                <w:spacing w:val="-2"/>
                <w:sz w:val="24"/>
              </w:rPr>
              <w:t>темная камера, </w:t>
            </w:r>
            <w:r>
              <w:rPr>
                <w:b/>
                <w:sz w:val="24"/>
              </w:rPr>
              <w:t>0</w:t>
            </w:r>
            <w:r>
              <w:rPr>
                <w:b/>
                <w:spacing w:val="-15"/>
                <w:sz w:val="24"/>
              </w:rPr>
              <w:t> </w:t>
            </w:r>
            <w:r>
              <w:rPr>
                <w:b/>
                <w:sz w:val="24"/>
              </w:rPr>
              <w:t>мВт,</w:t>
            </w:r>
            <w:r>
              <w:rPr>
                <w:b/>
                <w:spacing w:val="-15"/>
                <w:sz w:val="24"/>
              </w:rPr>
              <w:t> </w:t>
            </w:r>
            <w:r>
              <w:rPr>
                <w:b/>
                <w:sz w:val="24"/>
              </w:rPr>
              <w:t>0 </w:t>
            </w:r>
            <w:r>
              <w:rPr>
                <w:b/>
                <w:spacing w:val="-4"/>
                <w:sz w:val="24"/>
              </w:rPr>
              <w:t>Дж, </w:t>
            </w:r>
            <w:r>
              <w:rPr>
                <w:b/>
                <w:spacing w:val="-2"/>
                <w:sz w:val="24"/>
              </w:rPr>
              <w:t>время экспози </w:t>
            </w:r>
            <w:r>
              <w:rPr>
                <w:b/>
                <w:sz w:val="24"/>
              </w:rPr>
              <w:t>ции 15 </w:t>
            </w:r>
            <w:r>
              <w:rPr>
                <w:b/>
                <w:spacing w:val="-2"/>
                <w:sz w:val="24"/>
              </w:rPr>
              <w:t>минут)</w:t>
            </w:r>
          </w:p>
        </w:tc>
        <w:tc>
          <w:tcPr>
            <w:tcW w:w="1121"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97"/>
              <w:rPr>
                <w:sz w:val="24"/>
              </w:rPr>
            </w:pPr>
          </w:p>
          <w:p>
            <w:pPr>
              <w:pStyle w:val="TableParagraph"/>
              <w:spacing w:before="1"/>
              <w:ind w:left="42" w:right="29" w:firstLine="2"/>
              <w:jc w:val="center"/>
              <w:rPr>
                <w:b/>
                <w:sz w:val="24"/>
              </w:rPr>
            </w:pPr>
            <w:r>
              <w:rPr>
                <w:b/>
                <w:spacing w:val="-2"/>
                <w:sz w:val="24"/>
              </w:rPr>
              <w:t>Оценка отношен </w:t>
            </w:r>
            <w:r>
              <w:rPr>
                <w:b/>
                <w:spacing w:val="-6"/>
                <w:sz w:val="24"/>
              </w:rPr>
              <w:t>ия </w:t>
            </w:r>
            <w:r>
              <w:rPr>
                <w:b/>
                <w:spacing w:val="-2"/>
                <w:sz w:val="24"/>
              </w:rPr>
              <w:t>шансов (OddsRat </w:t>
            </w:r>
            <w:r>
              <w:rPr>
                <w:b/>
                <w:spacing w:val="-4"/>
                <w:sz w:val="24"/>
              </w:rPr>
              <w:t>io)</w:t>
            </w:r>
          </w:p>
        </w:tc>
        <w:tc>
          <w:tcPr>
            <w:tcW w:w="1431"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10"/>
              <w:jc w:val="center"/>
              <w:rPr>
                <w:b/>
                <w:sz w:val="24"/>
              </w:rPr>
            </w:pPr>
            <w:r>
              <w:rPr>
                <w:b/>
                <w:sz w:val="24"/>
              </w:rPr>
              <w:t>Исходное</w:t>
            </w:r>
            <w:r>
              <w:rPr>
                <w:b/>
                <w:spacing w:val="-15"/>
                <w:sz w:val="24"/>
              </w:rPr>
              <w:t> </w:t>
            </w:r>
            <w:r>
              <w:rPr>
                <w:b/>
                <w:sz w:val="24"/>
              </w:rPr>
              <w:t>p-</w:t>
            </w:r>
            <w:r>
              <w:rPr>
                <w:b/>
                <w:spacing w:val="-2"/>
                <w:sz w:val="24"/>
              </w:rPr>
              <w:t>значение теста Фишера</w:t>
            </w:r>
          </w:p>
        </w:tc>
        <w:tc>
          <w:tcPr>
            <w:tcW w:w="1419"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237"/>
              <w:rPr>
                <w:sz w:val="24"/>
              </w:rPr>
            </w:pPr>
          </w:p>
          <w:p>
            <w:pPr>
              <w:pStyle w:val="TableParagraph"/>
              <w:ind w:left="61" w:right="50" w:hanging="2"/>
              <w:jc w:val="center"/>
              <w:rPr>
                <w:b/>
                <w:sz w:val="24"/>
              </w:rPr>
            </w:pPr>
            <w:r>
              <w:rPr>
                <w:b/>
                <w:spacing w:val="-2"/>
                <w:sz w:val="24"/>
              </w:rPr>
              <w:t>P-значение после поправки Бенджамин и-Хохберга</w:t>
            </w:r>
          </w:p>
        </w:tc>
        <w:tc>
          <w:tcPr>
            <w:tcW w:w="886" w:type="dxa"/>
            <w:tcBorders>
              <w:left w:val="double" w:sz="6" w:space="0" w:color="000000"/>
              <w:bottom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72" w:right="58" w:firstLine="26"/>
              <w:jc w:val="both"/>
              <w:rPr>
                <w:b/>
                <w:sz w:val="24"/>
              </w:rPr>
            </w:pPr>
            <w:r>
              <w:rPr>
                <w:b/>
                <w:spacing w:val="-4"/>
                <w:sz w:val="24"/>
              </w:rPr>
              <w:t>Значи </w:t>
            </w:r>
            <w:r>
              <w:rPr>
                <w:b/>
                <w:spacing w:val="-2"/>
                <w:sz w:val="24"/>
              </w:rPr>
              <w:t>мость (FDR&lt; 0,05)</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10"/>
                <w:sz w:val="24"/>
              </w:rPr>
              <w:t>1</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Нормальный фиброзный </w:t>
            </w:r>
            <w:r>
              <w:rPr>
                <w:spacing w:val="-4"/>
                <w:sz w:val="24"/>
              </w:rPr>
              <w:t>слой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522</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508</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1,05</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0.0003</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0.011</w:t>
            </w:r>
          </w:p>
        </w:tc>
        <w:tc>
          <w:tcPr>
            <w:tcW w:w="886" w:type="dxa"/>
            <w:tcBorders>
              <w:top w:val="double" w:sz="6" w:space="0" w:color="000000"/>
              <w:left w:val="double" w:sz="6" w:space="0" w:color="000000"/>
              <w:bottom w:val="double" w:sz="6" w:space="0" w:color="000000"/>
            </w:tcBorders>
          </w:tcPr>
          <w:p>
            <w:pPr>
              <w:pStyle w:val="TableParagraph"/>
              <w:spacing w:before="1"/>
              <w:rPr>
                <w:sz w:val="24"/>
              </w:rPr>
            </w:pPr>
          </w:p>
          <w:p>
            <w:pPr>
              <w:pStyle w:val="TableParagraph"/>
              <w:ind w:left="15"/>
              <w:jc w:val="center"/>
              <w:rPr>
                <w:rFonts w:ascii="Segoe UI Symbol"/>
                <w:sz w:val="24"/>
              </w:rPr>
            </w:pPr>
            <w:r>
              <w:rPr>
                <w:rFonts w:ascii="Segoe UI Symbol"/>
                <w:spacing w:val="-10"/>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10"/>
                <w:sz w:val="24"/>
              </w:rPr>
              <w:t>2</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Нормальная форма митохондрий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97</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98</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1,00</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0.0024</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0.027</w:t>
            </w:r>
          </w:p>
        </w:tc>
        <w:tc>
          <w:tcPr>
            <w:tcW w:w="886" w:type="dxa"/>
            <w:tcBorders>
              <w:top w:val="double" w:sz="6" w:space="0" w:color="000000"/>
              <w:left w:val="double" w:sz="6" w:space="0" w:color="000000"/>
              <w:bottom w:val="double" w:sz="6" w:space="0" w:color="000000"/>
            </w:tcBorders>
          </w:tcPr>
          <w:p>
            <w:pPr>
              <w:pStyle w:val="TableParagraph"/>
              <w:spacing w:before="1"/>
              <w:rPr>
                <w:sz w:val="24"/>
              </w:rPr>
            </w:pPr>
          </w:p>
          <w:p>
            <w:pPr>
              <w:pStyle w:val="TableParagraph"/>
              <w:ind w:left="15"/>
              <w:jc w:val="center"/>
              <w:rPr>
                <w:rFonts w:ascii="Segoe UI Symbol"/>
                <w:sz w:val="24"/>
              </w:rPr>
            </w:pPr>
            <w:r>
              <w:rPr>
                <w:rFonts w:ascii="Segoe UI Symbol"/>
                <w:spacing w:val="-10"/>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61"/>
              <w:ind w:right="15"/>
              <w:jc w:val="right"/>
              <w:rPr>
                <w:sz w:val="24"/>
              </w:rPr>
            </w:pPr>
            <w:r>
              <w:rPr>
                <w:spacing w:val="-10"/>
                <w:sz w:val="24"/>
              </w:rPr>
              <w:t>3</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Присутствие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5"/>
                <w:sz w:val="24"/>
              </w:rPr>
              <w:t>297</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61"/>
              <w:ind w:left="13"/>
              <w:jc w:val="center"/>
              <w:rPr>
                <w:sz w:val="24"/>
              </w:rPr>
            </w:pPr>
            <w:r>
              <w:rPr>
                <w:spacing w:val="-5"/>
                <w:sz w:val="24"/>
              </w:rPr>
              <w:t>302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jc w:val="center"/>
              <w:rPr>
                <w:sz w:val="24"/>
              </w:rPr>
            </w:pPr>
            <w:r>
              <w:rPr>
                <w:spacing w:val="-4"/>
                <w:sz w:val="24"/>
              </w:rPr>
              <w:t>1,02</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2"/>
                <w:sz w:val="24"/>
              </w:rPr>
              <w:t>0.0048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61"/>
              <w:ind w:left="8"/>
              <w:jc w:val="center"/>
              <w:rPr>
                <w:sz w:val="24"/>
              </w:rPr>
            </w:pPr>
            <w:r>
              <w:rPr>
                <w:spacing w:val="-2"/>
                <w:sz w:val="24"/>
              </w:rPr>
              <w:t>0.036</w:t>
            </w:r>
          </w:p>
        </w:tc>
        <w:tc>
          <w:tcPr>
            <w:tcW w:w="886" w:type="dxa"/>
            <w:tcBorders>
              <w:top w:val="double" w:sz="6" w:space="0" w:color="000000"/>
              <w:left w:val="double" w:sz="6" w:space="0" w:color="000000"/>
              <w:bottom w:val="double" w:sz="6" w:space="0" w:color="000000"/>
            </w:tcBorders>
          </w:tcPr>
          <w:p>
            <w:pPr>
              <w:pStyle w:val="TableParagraph"/>
              <w:spacing w:before="141"/>
              <w:ind w:left="15"/>
              <w:jc w:val="center"/>
              <w:rPr>
                <w:rFonts w:ascii="Segoe UI Symbol"/>
                <w:sz w:val="24"/>
              </w:rPr>
            </w:pPr>
            <w:r>
              <w:rPr>
                <w:rFonts w:ascii="Segoe UI Symbol"/>
                <w:spacing w:val="-10"/>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10"/>
                <w:sz w:val="24"/>
              </w:rPr>
              <w:t>4</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Аномальный фиброзный </w:t>
            </w:r>
            <w:r>
              <w:rPr>
                <w:spacing w:val="-4"/>
                <w:sz w:val="24"/>
              </w:rPr>
              <w:t>слой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15</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14</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1,08</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0.0069</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0.041</w:t>
            </w:r>
          </w:p>
        </w:tc>
        <w:tc>
          <w:tcPr>
            <w:tcW w:w="886" w:type="dxa"/>
            <w:tcBorders>
              <w:top w:val="double" w:sz="6" w:space="0" w:color="000000"/>
              <w:left w:val="double" w:sz="6" w:space="0" w:color="000000"/>
              <w:bottom w:val="double" w:sz="6" w:space="0" w:color="000000"/>
            </w:tcBorders>
          </w:tcPr>
          <w:p>
            <w:pPr>
              <w:pStyle w:val="TableParagraph"/>
              <w:spacing w:before="1"/>
              <w:rPr>
                <w:sz w:val="24"/>
              </w:rPr>
            </w:pPr>
          </w:p>
          <w:p>
            <w:pPr>
              <w:pStyle w:val="TableParagraph"/>
              <w:ind w:left="15"/>
              <w:jc w:val="center"/>
              <w:rPr>
                <w:rFonts w:ascii="Segoe UI Symbol"/>
                <w:sz w:val="24"/>
              </w:rPr>
            </w:pPr>
            <w:r>
              <w:rPr>
                <w:rFonts w:ascii="Segoe UI Symbol"/>
                <w:spacing w:val="-10"/>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10"/>
                <w:sz w:val="24"/>
              </w:rPr>
              <w:t>5</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Нормальная форма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131</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129</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0.0091</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0.048</w:t>
            </w:r>
          </w:p>
        </w:tc>
        <w:tc>
          <w:tcPr>
            <w:tcW w:w="886" w:type="dxa"/>
            <w:tcBorders>
              <w:top w:val="double" w:sz="6" w:space="0" w:color="000000"/>
              <w:left w:val="double" w:sz="6" w:space="0" w:color="000000"/>
              <w:bottom w:val="double" w:sz="6" w:space="0" w:color="000000"/>
            </w:tcBorders>
          </w:tcPr>
          <w:p>
            <w:pPr>
              <w:pStyle w:val="TableParagraph"/>
              <w:spacing w:before="1"/>
              <w:rPr>
                <w:sz w:val="24"/>
              </w:rPr>
            </w:pPr>
          </w:p>
          <w:p>
            <w:pPr>
              <w:pStyle w:val="TableParagraph"/>
              <w:ind w:left="15"/>
              <w:jc w:val="center"/>
              <w:rPr>
                <w:rFonts w:ascii="Segoe UI Symbol"/>
                <w:sz w:val="24"/>
              </w:rPr>
            </w:pPr>
            <w:r>
              <w:rPr>
                <w:rFonts w:ascii="Segoe UI Symbol"/>
                <w:spacing w:val="-10"/>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right="15"/>
              <w:jc w:val="right"/>
              <w:rPr>
                <w:sz w:val="24"/>
              </w:rPr>
            </w:pPr>
            <w:r>
              <w:rPr>
                <w:spacing w:val="-10"/>
                <w:sz w:val="24"/>
              </w:rPr>
              <w:t>6</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Нормальные головки</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14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13</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1,09</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0.012</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0.052</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61"/>
              <w:ind w:right="15"/>
              <w:jc w:val="right"/>
              <w:rPr>
                <w:sz w:val="24"/>
              </w:rPr>
            </w:pPr>
            <w:r>
              <w:rPr>
                <w:spacing w:val="-10"/>
                <w:sz w:val="24"/>
              </w:rPr>
              <w:t>7</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Нормальные фибриллы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5"/>
                <w:sz w:val="24"/>
              </w:rPr>
              <w:t>158</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61"/>
              <w:ind w:left="13"/>
              <w:jc w:val="center"/>
              <w:rPr>
                <w:sz w:val="24"/>
              </w:rPr>
            </w:pPr>
            <w:r>
              <w:rPr>
                <w:spacing w:val="-5"/>
                <w:sz w:val="24"/>
              </w:rPr>
              <w:t>133</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jc w:val="center"/>
              <w:rPr>
                <w:sz w:val="24"/>
              </w:rPr>
            </w:pPr>
            <w:r>
              <w:rPr>
                <w:spacing w:val="-4"/>
                <w:sz w:val="24"/>
              </w:rPr>
              <w:t>1,20</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2"/>
                <w:sz w:val="24"/>
              </w:rPr>
              <w:t>0.017</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61"/>
              <w:ind w:left="8"/>
              <w:jc w:val="center"/>
              <w:rPr>
                <w:sz w:val="24"/>
              </w:rPr>
            </w:pPr>
            <w:r>
              <w:rPr>
                <w:spacing w:val="-2"/>
                <w:sz w:val="24"/>
              </w:rPr>
              <w:t>0.059</w:t>
            </w:r>
          </w:p>
        </w:tc>
        <w:tc>
          <w:tcPr>
            <w:tcW w:w="886" w:type="dxa"/>
            <w:tcBorders>
              <w:top w:val="double" w:sz="6" w:space="0" w:color="000000"/>
              <w:left w:val="double" w:sz="6" w:space="0" w:color="000000"/>
              <w:bottom w:val="double" w:sz="6" w:space="0" w:color="000000"/>
            </w:tcBorders>
          </w:tcPr>
          <w:p>
            <w:pPr>
              <w:pStyle w:val="TableParagraph"/>
              <w:spacing w:before="161"/>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right="15"/>
              <w:jc w:val="right"/>
              <w:rPr>
                <w:sz w:val="24"/>
              </w:rPr>
            </w:pPr>
            <w:r>
              <w:rPr>
                <w:spacing w:val="-10"/>
                <w:sz w:val="24"/>
              </w:rPr>
              <w:t>8</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ight="204"/>
              <w:rPr>
                <w:sz w:val="24"/>
              </w:rPr>
            </w:pPr>
            <w:r>
              <w:rPr>
                <w:spacing w:val="-2"/>
                <w:sz w:val="24"/>
              </w:rPr>
              <w:t>Аксонема </w:t>
            </w:r>
            <w:r>
              <w:rPr>
                <w:sz w:val="24"/>
              </w:rPr>
              <w:t>жгутика</w:t>
            </w:r>
            <w:r>
              <w:rPr>
                <w:spacing w:val="-15"/>
                <w:sz w:val="24"/>
              </w:rPr>
              <w:t> </w:t>
            </w:r>
            <w:r>
              <w:rPr>
                <w:sz w:val="24"/>
              </w:rPr>
              <w:t>9+2</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364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376</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0,98</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0.021</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0.061</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59"/>
              <w:ind w:right="15"/>
              <w:jc w:val="right"/>
              <w:rPr>
                <w:sz w:val="24"/>
              </w:rPr>
            </w:pPr>
            <w:r>
              <w:rPr>
                <w:spacing w:val="-10"/>
                <w:sz w:val="24"/>
              </w:rPr>
              <w:t>9</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ight="501"/>
              <w:rPr>
                <w:sz w:val="24"/>
              </w:rPr>
            </w:pPr>
            <w:r>
              <w:rPr>
                <w:spacing w:val="-2"/>
                <w:sz w:val="24"/>
              </w:rPr>
              <w:t>Зрелый хроматин</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239</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258</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0,94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0.026</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0.068</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right="15"/>
              <w:jc w:val="right"/>
              <w:rPr>
                <w:sz w:val="24"/>
              </w:rPr>
            </w:pPr>
            <w:r>
              <w:rPr>
                <w:spacing w:val="-5"/>
                <w:sz w:val="24"/>
              </w:rPr>
              <w:t>10</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Деградация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101</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100</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1,03</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0.034</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0.075</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5"/>
                <w:sz w:val="24"/>
              </w:rPr>
              <w:t>11</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Нерегулярная укладка митохондрий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11</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22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0,54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0.048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0.089</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right="15"/>
              <w:jc w:val="right"/>
              <w:rPr>
                <w:sz w:val="24"/>
              </w:rPr>
            </w:pPr>
            <w:r>
              <w:rPr>
                <w:spacing w:val="-5"/>
                <w:sz w:val="24"/>
              </w:rPr>
              <w:t>12</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Сферическая форма нуклеосомы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10"/>
                <w:sz w:val="24"/>
              </w:rPr>
              <w:t>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3"/>
              <w:jc w:val="center"/>
              <w:rPr>
                <w:sz w:val="24"/>
              </w:rPr>
            </w:pPr>
            <w:r>
              <w:rPr>
                <w:spacing w:val="-10"/>
                <w:sz w:val="24"/>
              </w:rPr>
              <w:t>9</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jc w:val="center"/>
              <w:rPr>
                <w:sz w:val="24"/>
              </w:rPr>
            </w:pPr>
            <w:r>
              <w:rPr>
                <w:spacing w:val="-4"/>
                <w:sz w:val="24"/>
              </w:rPr>
              <w:t>0,45</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2"/>
                <w:sz w:val="24"/>
              </w:rPr>
              <w:t>0.056</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8"/>
              <w:jc w:val="center"/>
              <w:rPr>
                <w:sz w:val="24"/>
              </w:rPr>
            </w:pPr>
            <w:r>
              <w:rPr>
                <w:spacing w:val="-2"/>
                <w:sz w:val="24"/>
              </w:rPr>
              <w:t>0.094</w:t>
            </w:r>
          </w:p>
        </w:tc>
        <w:tc>
          <w:tcPr>
            <w:tcW w:w="886" w:type="dxa"/>
            <w:tcBorders>
              <w:top w:val="double" w:sz="6" w:space="0" w:color="000000"/>
              <w:left w:val="double" w:sz="6" w:space="0" w:color="000000"/>
              <w:bottom w:val="double" w:sz="6" w:space="0" w:color="000000"/>
            </w:tcBorders>
          </w:tcPr>
          <w:p>
            <w:pPr>
              <w:pStyle w:val="TableParagraph"/>
              <w:spacing w:before="19"/>
              <w:rPr>
                <w:sz w:val="24"/>
              </w:rPr>
            </w:pPr>
          </w:p>
          <w:p>
            <w:pPr>
              <w:pStyle w:val="TableParagraph"/>
              <w:spacing w:before="1"/>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right="15"/>
              <w:jc w:val="right"/>
              <w:rPr>
                <w:sz w:val="24"/>
              </w:rPr>
            </w:pPr>
            <w:r>
              <w:rPr>
                <w:spacing w:val="-5"/>
                <w:sz w:val="24"/>
              </w:rPr>
              <w:t>13</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ight="83"/>
              <w:rPr>
                <w:sz w:val="24"/>
              </w:rPr>
            </w:pPr>
            <w:r>
              <w:rPr>
                <w:spacing w:val="-2"/>
                <w:sz w:val="24"/>
              </w:rPr>
              <w:t>Нормальные ручки жгутика</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10"/>
                <w:sz w:val="24"/>
              </w:rPr>
              <w:t>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10"/>
                <w:sz w:val="24"/>
              </w:rPr>
              <w:t>4</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1,03</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0.065</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0.103</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right="15"/>
              <w:jc w:val="right"/>
              <w:rPr>
                <w:sz w:val="24"/>
              </w:rPr>
            </w:pPr>
            <w:r>
              <w:rPr>
                <w:spacing w:val="-5"/>
                <w:sz w:val="24"/>
              </w:rPr>
              <w:t>14</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Отдельные головки</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394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401</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1,01</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0.070</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0.109</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311" w:hRule="atLeast"/>
        </w:trPr>
        <w:tc>
          <w:tcPr>
            <w:tcW w:w="418" w:type="dxa"/>
            <w:tcBorders>
              <w:top w:val="double" w:sz="6" w:space="0" w:color="000000"/>
              <w:right w:val="double" w:sz="6" w:space="0" w:color="000000"/>
            </w:tcBorders>
          </w:tcPr>
          <w:p>
            <w:pPr>
              <w:pStyle w:val="TableParagraph"/>
              <w:spacing w:line="269" w:lineRule="exact" w:before="22"/>
              <w:ind w:right="15"/>
              <w:jc w:val="right"/>
              <w:rPr>
                <w:sz w:val="24"/>
              </w:rPr>
            </w:pPr>
            <w:r>
              <w:rPr>
                <w:spacing w:val="-5"/>
                <w:sz w:val="24"/>
              </w:rPr>
              <w:t>15</w:t>
            </w:r>
          </w:p>
        </w:tc>
        <w:tc>
          <w:tcPr>
            <w:tcW w:w="1559" w:type="dxa"/>
            <w:tcBorders>
              <w:top w:val="double" w:sz="6" w:space="0" w:color="000000"/>
              <w:left w:val="double" w:sz="6" w:space="0" w:color="000000"/>
              <w:right w:val="double" w:sz="6" w:space="0" w:color="000000"/>
            </w:tcBorders>
          </w:tcPr>
          <w:p>
            <w:pPr>
              <w:pStyle w:val="TableParagraph"/>
              <w:spacing w:line="269" w:lineRule="exact" w:before="22"/>
              <w:ind w:left="28"/>
              <w:rPr>
                <w:sz w:val="24"/>
              </w:rPr>
            </w:pPr>
            <w:r>
              <w:rPr>
                <w:spacing w:val="-2"/>
                <w:sz w:val="24"/>
              </w:rPr>
              <w:t>Изменённая</w:t>
            </w:r>
          </w:p>
        </w:tc>
        <w:tc>
          <w:tcPr>
            <w:tcW w:w="2411" w:type="dxa"/>
            <w:tcBorders>
              <w:top w:val="double" w:sz="6" w:space="0" w:color="000000"/>
              <w:left w:val="double" w:sz="6" w:space="0" w:color="000000"/>
              <w:right w:val="double" w:sz="6" w:space="0" w:color="000000"/>
            </w:tcBorders>
          </w:tcPr>
          <w:p>
            <w:pPr>
              <w:pStyle w:val="TableParagraph"/>
              <w:spacing w:line="269" w:lineRule="exact" w:before="22"/>
              <w:ind w:left="10" w:right="3"/>
              <w:jc w:val="center"/>
              <w:rPr>
                <w:sz w:val="24"/>
              </w:rPr>
            </w:pPr>
            <w:r>
              <w:rPr>
                <w:spacing w:val="-5"/>
                <w:sz w:val="24"/>
              </w:rPr>
              <w:t>166</w:t>
            </w:r>
          </w:p>
        </w:tc>
        <w:tc>
          <w:tcPr>
            <w:tcW w:w="991" w:type="dxa"/>
            <w:tcBorders>
              <w:top w:val="double" w:sz="6" w:space="0" w:color="000000"/>
              <w:left w:val="double" w:sz="6" w:space="0" w:color="000000"/>
              <w:right w:val="double" w:sz="6" w:space="0" w:color="000000"/>
            </w:tcBorders>
          </w:tcPr>
          <w:p>
            <w:pPr>
              <w:pStyle w:val="TableParagraph"/>
              <w:spacing w:line="269" w:lineRule="exact" w:before="22"/>
              <w:ind w:left="13"/>
              <w:jc w:val="center"/>
              <w:rPr>
                <w:sz w:val="24"/>
              </w:rPr>
            </w:pPr>
            <w:r>
              <w:rPr>
                <w:spacing w:val="-5"/>
                <w:sz w:val="24"/>
              </w:rPr>
              <w:t>173</w:t>
            </w:r>
          </w:p>
        </w:tc>
        <w:tc>
          <w:tcPr>
            <w:tcW w:w="1121" w:type="dxa"/>
            <w:tcBorders>
              <w:top w:val="double" w:sz="6" w:space="0" w:color="000000"/>
              <w:left w:val="double" w:sz="6" w:space="0" w:color="000000"/>
              <w:right w:val="double" w:sz="6" w:space="0" w:color="000000"/>
            </w:tcBorders>
          </w:tcPr>
          <w:p>
            <w:pPr>
              <w:pStyle w:val="TableParagraph"/>
              <w:spacing w:line="269" w:lineRule="exact" w:before="22"/>
              <w:ind w:left="10"/>
              <w:jc w:val="center"/>
              <w:rPr>
                <w:sz w:val="24"/>
              </w:rPr>
            </w:pPr>
            <w:r>
              <w:rPr>
                <w:spacing w:val="-4"/>
                <w:sz w:val="24"/>
              </w:rPr>
              <w:t>0,96</w:t>
            </w:r>
          </w:p>
        </w:tc>
        <w:tc>
          <w:tcPr>
            <w:tcW w:w="1431" w:type="dxa"/>
            <w:tcBorders>
              <w:top w:val="double" w:sz="6" w:space="0" w:color="000000"/>
              <w:left w:val="double" w:sz="6" w:space="0" w:color="000000"/>
              <w:right w:val="double" w:sz="6" w:space="0" w:color="000000"/>
            </w:tcBorders>
          </w:tcPr>
          <w:p>
            <w:pPr>
              <w:pStyle w:val="TableParagraph"/>
              <w:spacing w:line="269" w:lineRule="exact" w:before="22"/>
              <w:ind w:left="10" w:right="3"/>
              <w:jc w:val="center"/>
              <w:rPr>
                <w:sz w:val="24"/>
              </w:rPr>
            </w:pPr>
            <w:r>
              <w:rPr>
                <w:spacing w:val="-2"/>
                <w:sz w:val="24"/>
              </w:rPr>
              <w:t>0.078</w:t>
            </w:r>
          </w:p>
        </w:tc>
        <w:tc>
          <w:tcPr>
            <w:tcW w:w="1419" w:type="dxa"/>
            <w:tcBorders>
              <w:top w:val="double" w:sz="6" w:space="0" w:color="000000"/>
              <w:left w:val="double" w:sz="6" w:space="0" w:color="000000"/>
              <w:right w:val="double" w:sz="6" w:space="0" w:color="000000"/>
            </w:tcBorders>
          </w:tcPr>
          <w:p>
            <w:pPr>
              <w:pStyle w:val="TableParagraph"/>
              <w:spacing w:line="269" w:lineRule="exact" w:before="22"/>
              <w:ind w:left="8"/>
              <w:jc w:val="center"/>
              <w:rPr>
                <w:sz w:val="24"/>
              </w:rPr>
            </w:pPr>
            <w:r>
              <w:rPr>
                <w:spacing w:val="-2"/>
                <w:sz w:val="24"/>
              </w:rPr>
              <w:t>0.118</w:t>
            </w:r>
          </w:p>
        </w:tc>
        <w:tc>
          <w:tcPr>
            <w:tcW w:w="886" w:type="dxa"/>
            <w:tcBorders>
              <w:top w:val="double" w:sz="6" w:space="0" w:color="000000"/>
              <w:left w:val="double" w:sz="6" w:space="0" w:color="000000"/>
            </w:tcBorders>
          </w:tcPr>
          <w:p>
            <w:pPr>
              <w:pStyle w:val="TableParagraph"/>
              <w:spacing w:line="269" w:lineRule="exact" w:before="22"/>
              <w:ind w:left="17"/>
              <w:jc w:val="center"/>
              <w:rPr>
                <w:sz w:val="24"/>
              </w:rPr>
            </w:pPr>
            <w:r>
              <w:rPr>
                <w:sz w:val="24"/>
              </w:rPr>
              <w:t>-</w:t>
            </w:r>
          </w:p>
        </w:tc>
      </w:tr>
    </w:tbl>
    <w:p>
      <w:pPr>
        <w:pStyle w:val="TableParagraph"/>
        <w:spacing w:after="0" w:line="269" w:lineRule="exact"/>
        <w:jc w:val="center"/>
        <w:rPr>
          <w:sz w:val="24"/>
        </w:rPr>
        <w:sectPr>
          <w:pgSz w:w="11910" w:h="16840"/>
          <w:pgMar w:header="0" w:footer="990" w:top="340" w:bottom="1200" w:left="708" w:right="425"/>
        </w:sectPr>
      </w:pPr>
    </w:p>
    <w:p>
      <w:pPr>
        <w:pStyle w:val="BodyText"/>
        <w:spacing w:before="3"/>
        <w:jc w:val="left"/>
        <w:rPr>
          <w:sz w:val="2"/>
        </w:rPr>
      </w:pPr>
    </w:p>
    <w:tbl>
      <w:tblPr>
        <w:tblW w:w="0" w:type="auto"/>
        <w:jc w:val="left"/>
        <w:tblInd w:w="163"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CellMar>
          <w:top w:w="0" w:type="dxa"/>
          <w:left w:w="0" w:type="dxa"/>
          <w:bottom w:w="0" w:type="dxa"/>
          <w:right w:w="0" w:type="dxa"/>
        </w:tblCellMar>
        <w:tblLook w:val="01E0"/>
      </w:tblPr>
      <w:tblGrid>
        <w:gridCol w:w="418"/>
        <w:gridCol w:w="1559"/>
        <w:gridCol w:w="2411"/>
        <w:gridCol w:w="991"/>
        <w:gridCol w:w="1121"/>
        <w:gridCol w:w="1431"/>
        <w:gridCol w:w="1419"/>
        <w:gridCol w:w="886"/>
      </w:tblGrid>
      <w:tr>
        <w:trPr>
          <w:trHeight w:val="2963" w:hRule="atLeast"/>
        </w:trPr>
        <w:tc>
          <w:tcPr>
            <w:tcW w:w="418" w:type="dxa"/>
            <w:tcBorders>
              <w:bottom w:val="double" w:sz="6" w:space="0" w:color="000000"/>
              <w:right w:val="double" w:sz="6"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237"/>
              <w:rPr>
                <w:sz w:val="24"/>
              </w:rPr>
            </w:pPr>
          </w:p>
          <w:p>
            <w:pPr>
              <w:pStyle w:val="TableParagraph"/>
              <w:ind w:left="99"/>
              <w:jc w:val="center"/>
              <w:rPr>
                <w:b/>
                <w:sz w:val="24"/>
              </w:rPr>
            </w:pPr>
            <w:r>
              <w:rPr>
                <w:b/>
                <w:spacing w:val="-10"/>
                <w:sz w:val="24"/>
              </w:rPr>
              <w:t>№</w:t>
            </w:r>
          </w:p>
        </w:tc>
        <w:tc>
          <w:tcPr>
            <w:tcW w:w="1559"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237"/>
              <w:rPr>
                <w:sz w:val="24"/>
              </w:rPr>
            </w:pPr>
          </w:p>
          <w:p>
            <w:pPr>
              <w:pStyle w:val="TableParagraph"/>
              <w:ind w:left="33" w:right="23"/>
              <w:jc w:val="center"/>
              <w:rPr>
                <w:b/>
                <w:sz w:val="24"/>
              </w:rPr>
            </w:pPr>
            <w:r>
              <w:rPr>
                <w:b/>
                <w:spacing w:val="-2"/>
                <w:sz w:val="24"/>
              </w:rPr>
              <w:t>Морфологич </w:t>
            </w:r>
            <w:r>
              <w:rPr>
                <w:b/>
                <w:spacing w:val="-4"/>
                <w:sz w:val="24"/>
              </w:rPr>
              <w:t>еский </w:t>
            </w:r>
            <w:r>
              <w:rPr>
                <w:b/>
                <w:spacing w:val="-2"/>
                <w:sz w:val="24"/>
              </w:rPr>
              <w:t>признак</w:t>
            </w:r>
          </w:p>
        </w:tc>
        <w:tc>
          <w:tcPr>
            <w:tcW w:w="2411" w:type="dxa"/>
            <w:tcBorders>
              <w:left w:val="double" w:sz="6" w:space="0" w:color="000000"/>
              <w:bottom w:val="double" w:sz="6" w:space="0" w:color="000000"/>
              <w:right w:val="double" w:sz="6" w:space="0" w:color="000000"/>
            </w:tcBorders>
          </w:tcPr>
          <w:p>
            <w:pPr>
              <w:pStyle w:val="TableParagraph"/>
              <w:spacing w:line="256" w:lineRule="auto" w:before="16"/>
              <w:ind w:left="128" w:right="116" w:firstLine="1"/>
              <w:jc w:val="center"/>
              <w:rPr>
                <w:b/>
                <w:sz w:val="24"/>
              </w:rPr>
            </w:pPr>
            <w:r>
              <w:rPr>
                <w:b/>
                <w:spacing w:val="-2"/>
                <w:sz w:val="24"/>
              </w:rPr>
              <w:t>Эксперимент </w:t>
            </w:r>
            <w:r>
              <w:rPr>
                <w:b/>
                <w:sz w:val="24"/>
              </w:rPr>
              <w:t>(светодиоды,</w:t>
            </w:r>
            <w:r>
              <w:rPr>
                <w:b/>
                <w:spacing w:val="-15"/>
                <w:sz w:val="24"/>
              </w:rPr>
              <w:t> </w:t>
            </w:r>
            <w:r>
              <w:rPr>
                <w:b/>
                <w:sz w:val="24"/>
              </w:rPr>
              <w:t>лазер, </w:t>
            </w:r>
            <w:r>
              <w:rPr>
                <w:b/>
                <w:spacing w:val="-2"/>
                <w:sz w:val="24"/>
              </w:rPr>
              <w:t>инфракрасный </w:t>
            </w:r>
            <w:r>
              <w:rPr>
                <w:b/>
                <w:sz w:val="24"/>
              </w:rPr>
              <w:t>светодиод 400-750,</w:t>
            </w:r>
          </w:p>
          <w:p>
            <w:pPr>
              <w:pStyle w:val="TableParagraph"/>
              <w:spacing w:line="271" w:lineRule="exact"/>
              <w:ind w:left="10" w:right="3"/>
              <w:jc w:val="center"/>
              <w:rPr>
                <w:b/>
                <w:sz w:val="24"/>
              </w:rPr>
            </w:pPr>
            <w:r>
              <w:rPr>
                <w:b/>
                <w:sz w:val="24"/>
              </w:rPr>
              <w:t>651, 933 </w:t>
            </w:r>
            <w:r>
              <w:rPr>
                <w:b/>
                <w:spacing w:val="-5"/>
                <w:sz w:val="24"/>
              </w:rPr>
              <w:t>нм,</w:t>
            </w:r>
          </w:p>
          <w:p>
            <w:pPr>
              <w:pStyle w:val="TableParagraph"/>
              <w:spacing w:line="256" w:lineRule="auto" w:before="19"/>
              <w:ind w:left="10" w:right="1"/>
              <w:jc w:val="center"/>
              <w:rPr>
                <w:b/>
                <w:sz w:val="24"/>
              </w:rPr>
            </w:pPr>
            <w:r>
              <w:rPr>
                <w:b/>
                <w:sz w:val="24"/>
              </w:rPr>
              <w:t>мощность</w:t>
            </w:r>
            <w:r>
              <w:rPr>
                <w:b/>
                <w:spacing w:val="-15"/>
                <w:sz w:val="24"/>
              </w:rPr>
              <w:t> </w:t>
            </w:r>
            <w:r>
              <w:rPr>
                <w:b/>
                <w:sz w:val="24"/>
              </w:rPr>
              <w:t>4,46</w:t>
            </w:r>
            <w:r>
              <w:rPr>
                <w:b/>
                <w:spacing w:val="-15"/>
                <w:sz w:val="24"/>
              </w:rPr>
              <w:t> </w:t>
            </w:r>
            <w:r>
              <w:rPr>
                <w:b/>
                <w:sz w:val="24"/>
              </w:rPr>
              <w:t>мВт, общая сообщаемая энергия 4,01 Дж, время экспозиции</w:t>
            </w:r>
          </w:p>
          <w:p>
            <w:pPr>
              <w:pStyle w:val="TableParagraph"/>
              <w:spacing w:line="271" w:lineRule="exact"/>
              <w:ind w:left="10"/>
              <w:jc w:val="center"/>
              <w:rPr>
                <w:b/>
                <w:sz w:val="24"/>
              </w:rPr>
            </w:pPr>
            <w:r>
              <w:rPr>
                <w:b/>
                <w:sz w:val="24"/>
              </w:rPr>
              <w:t>15 </w:t>
            </w:r>
            <w:r>
              <w:rPr>
                <w:b/>
                <w:spacing w:val="-2"/>
                <w:sz w:val="24"/>
              </w:rPr>
              <w:t>минут)</w:t>
            </w:r>
          </w:p>
        </w:tc>
        <w:tc>
          <w:tcPr>
            <w:tcW w:w="991" w:type="dxa"/>
            <w:tcBorders>
              <w:left w:val="double" w:sz="6" w:space="0" w:color="000000"/>
              <w:bottom w:val="double" w:sz="6" w:space="0" w:color="000000"/>
              <w:right w:val="double" w:sz="6" w:space="0" w:color="000000"/>
            </w:tcBorders>
          </w:tcPr>
          <w:p>
            <w:pPr>
              <w:pStyle w:val="TableParagraph"/>
              <w:spacing w:before="98"/>
              <w:ind w:left="47" w:right="34" w:firstLine="3"/>
              <w:jc w:val="center"/>
              <w:rPr>
                <w:b/>
                <w:sz w:val="24"/>
              </w:rPr>
            </w:pPr>
            <w:r>
              <w:rPr>
                <w:b/>
                <w:spacing w:val="-2"/>
                <w:sz w:val="24"/>
              </w:rPr>
              <w:t>Контро </w:t>
            </w:r>
            <w:r>
              <w:rPr>
                <w:b/>
                <w:spacing w:val="-6"/>
                <w:sz w:val="24"/>
              </w:rPr>
              <w:t>ль </w:t>
            </w:r>
            <w:r>
              <w:rPr>
                <w:spacing w:val="-2"/>
                <w:sz w:val="24"/>
              </w:rPr>
              <w:t>(</w:t>
            </w:r>
            <w:r>
              <w:rPr>
                <w:b/>
                <w:spacing w:val="-2"/>
                <w:sz w:val="24"/>
              </w:rPr>
              <w:t>темная камера, </w:t>
            </w:r>
            <w:r>
              <w:rPr>
                <w:b/>
                <w:sz w:val="24"/>
              </w:rPr>
              <w:t>0</w:t>
            </w:r>
            <w:r>
              <w:rPr>
                <w:b/>
                <w:spacing w:val="-15"/>
                <w:sz w:val="24"/>
              </w:rPr>
              <w:t> </w:t>
            </w:r>
            <w:r>
              <w:rPr>
                <w:b/>
                <w:sz w:val="24"/>
              </w:rPr>
              <w:t>мВт,</w:t>
            </w:r>
            <w:r>
              <w:rPr>
                <w:b/>
                <w:spacing w:val="-15"/>
                <w:sz w:val="24"/>
              </w:rPr>
              <w:t> </w:t>
            </w:r>
            <w:r>
              <w:rPr>
                <w:b/>
                <w:sz w:val="24"/>
              </w:rPr>
              <w:t>0 </w:t>
            </w:r>
            <w:r>
              <w:rPr>
                <w:b/>
                <w:spacing w:val="-4"/>
                <w:sz w:val="24"/>
              </w:rPr>
              <w:t>Дж, </w:t>
            </w:r>
            <w:r>
              <w:rPr>
                <w:b/>
                <w:spacing w:val="-2"/>
                <w:sz w:val="24"/>
              </w:rPr>
              <w:t>время экспози </w:t>
            </w:r>
            <w:r>
              <w:rPr>
                <w:b/>
                <w:sz w:val="24"/>
              </w:rPr>
              <w:t>ции 15 </w:t>
            </w:r>
            <w:r>
              <w:rPr>
                <w:b/>
                <w:spacing w:val="-2"/>
                <w:sz w:val="24"/>
              </w:rPr>
              <w:t>минут)</w:t>
            </w:r>
          </w:p>
        </w:tc>
        <w:tc>
          <w:tcPr>
            <w:tcW w:w="1121"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97"/>
              <w:rPr>
                <w:sz w:val="24"/>
              </w:rPr>
            </w:pPr>
          </w:p>
          <w:p>
            <w:pPr>
              <w:pStyle w:val="TableParagraph"/>
              <w:spacing w:before="1"/>
              <w:ind w:left="42" w:right="29" w:firstLine="2"/>
              <w:jc w:val="center"/>
              <w:rPr>
                <w:b/>
                <w:sz w:val="24"/>
              </w:rPr>
            </w:pPr>
            <w:r>
              <w:rPr>
                <w:b/>
                <w:spacing w:val="-2"/>
                <w:sz w:val="24"/>
              </w:rPr>
              <w:t>Оценка отношен </w:t>
            </w:r>
            <w:r>
              <w:rPr>
                <w:b/>
                <w:spacing w:val="-6"/>
                <w:sz w:val="24"/>
              </w:rPr>
              <w:t>ия </w:t>
            </w:r>
            <w:r>
              <w:rPr>
                <w:b/>
                <w:spacing w:val="-2"/>
                <w:sz w:val="24"/>
              </w:rPr>
              <w:t>шансов (OddsRat </w:t>
            </w:r>
            <w:r>
              <w:rPr>
                <w:b/>
                <w:spacing w:val="-4"/>
                <w:sz w:val="24"/>
              </w:rPr>
              <w:t>io)</w:t>
            </w:r>
          </w:p>
        </w:tc>
        <w:tc>
          <w:tcPr>
            <w:tcW w:w="1431"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10"/>
              <w:jc w:val="center"/>
              <w:rPr>
                <w:b/>
                <w:sz w:val="24"/>
              </w:rPr>
            </w:pPr>
            <w:r>
              <w:rPr>
                <w:b/>
                <w:sz w:val="24"/>
              </w:rPr>
              <w:t>Исходное</w:t>
            </w:r>
            <w:r>
              <w:rPr>
                <w:b/>
                <w:spacing w:val="-15"/>
                <w:sz w:val="24"/>
              </w:rPr>
              <w:t> </w:t>
            </w:r>
            <w:r>
              <w:rPr>
                <w:b/>
                <w:sz w:val="24"/>
              </w:rPr>
              <w:t>p-</w:t>
            </w:r>
            <w:r>
              <w:rPr>
                <w:b/>
                <w:spacing w:val="-2"/>
                <w:sz w:val="24"/>
              </w:rPr>
              <w:t>значение теста Фишера</w:t>
            </w:r>
          </w:p>
        </w:tc>
        <w:tc>
          <w:tcPr>
            <w:tcW w:w="1419"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237"/>
              <w:rPr>
                <w:sz w:val="24"/>
              </w:rPr>
            </w:pPr>
          </w:p>
          <w:p>
            <w:pPr>
              <w:pStyle w:val="TableParagraph"/>
              <w:ind w:left="61" w:right="50" w:hanging="2"/>
              <w:jc w:val="center"/>
              <w:rPr>
                <w:b/>
                <w:sz w:val="24"/>
              </w:rPr>
            </w:pPr>
            <w:r>
              <w:rPr>
                <w:b/>
                <w:spacing w:val="-2"/>
                <w:sz w:val="24"/>
              </w:rPr>
              <w:t>P-значение после поправки Бенджамин и-Хохберга</w:t>
            </w:r>
          </w:p>
        </w:tc>
        <w:tc>
          <w:tcPr>
            <w:tcW w:w="886" w:type="dxa"/>
            <w:tcBorders>
              <w:left w:val="double" w:sz="6" w:space="0" w:color="000000"/>
              <w:bottom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72" w:right="58" w:firstLine="26"/>
              <w:jc w:val="both"/>
              <w:rPr>
                <w:b/>
                <w:sz w:val="24"/>
              </w:rPr>
            </w:pPr>
            <w:r>
              <w:rPr>
                <w:b/>
                <w:spacing w:val="-4"/>
                <w:sz w:val="24"/>
              </w:rPr>
              <w:t>Значи </w:t>
            </w:r>
            <w:r>
              <w:rPr>
                <w:b/>
                <w:spacing w:val="-2"/>
                <w:sz w:val="24"/>
              </w:rPr>
              <w:t>мость (FDR&lt; 0,05)</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rPr>
                <w:sz w:val="24"/>
              </w:rPr>
            </w:pP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ight="479"/>
              <w:rPr>
                <w:sz w:val="24"/>
              </w:rPr>
            </w:pPr>
            <w:r>
              <w:rPr>
                <w:spacing w:val="-2"/>
                <w:sz w:val="24"/>
              </w:rPr>
              <w:t>форма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rPr>
                <w:sz w:val="24"/>
              </w:rPr>
            </w:pPr>
          </w:p>
        </w:tc>
        <w:tc>
          <w:tcPr>
            <w:tcW w:w="991" w:type="dxa"/>
            <w:tcBorders>
              <w:top w:val="double" w:sz="6" w:space="0" w:color="000000"/>
              <w:left w:val="double" w:sz="6" w:space="0" w:color="000000"/>
              <w:bottom w:val="double" w:sz="6" w:space="0" w:color="000000"/>
              <w:right w:val="double" w:sz="6" w:space="0" w:color="000000"/>
            </w:tcBorders>
          </w:tcPr>
          <w:p>
            <w:pPr>
              <w:pStyle w:val="TableParagraph"/>
              <w:rPr>
                <w:sz w:val="24"/>
              </w:rPr>
            </w:pPr>
          </w:p>
        </w:tc>
        <w:tc>
          <w:tcPr>
            <w:tcW w:w="1121" w:type="dxa"/>
            <w:tcBorders>
              <w:top w:val="double" w:sz="6" w:space="0" w:color="000000"/>
              <w:left w:val="double" w:sz="6" w:space="0" w:color="000000"/>
              <w:bottom w:val="double" w:sz="6" w:space="0" w:color="000000"/>
              <w:right w:val="double" w:sz="6" w:space="0" w:color="000000"/>
            </w:tcBorders>
          </w:tcPr>
          <w:p>
            <w:pPr>
              <w:pStyle w:val="TableParagraph"/>
              <w:rPr>
                <w:sz w:val="24"/>
              </w:rPr>
            </w:pPr>
          </w:p>
        </w:tc>
        <w:tc>
          <w:tcPr>
            <w:tcW w:w="1431" w:type="dxa"/>
            <w:tcBorders>
              <w:top w:val="double" w:sz="6" w:space="0" w:color="000000"/>
              <w:left w:val="double" w:sz="6" w:space="0" w:color="000000"/>
              <w:bottom w:val="double" w:sz="6" w:space="0" w:color="000000"/>
              <w:right w:val="double" w:sz="6" w:space="0" w:color="000000"/>
            </w:tcBorders>
          </w:tcPr>
          <w:p>
            <w:pPr>
              <w:pStyle w:val="TableParagraph"/>
              <w:rPr>
                <w:sz w:val="24"/>
              </w:rPr>
            </w:pPr>
          </w:p>
        </w:tc>
        <w:tc>
          <w:tcPr>
            <w:tcW w:w="1419" w:type="dxa"/>
            <w:tcBorders>
              <w:top w:val="double" w:sz="6" w:space="0" w:color="000000"/>
              <w:left w:val="double" w:sz="6" w:space="0" w:color="000000"/>
              <w:bottom w:val="double" w:sz="6" w:space="0" w:color="000000"/>
              <w:right w:val="double" w:sz="6" w:space="0" w:color="000000"/>
            </w:tcBorders>
          </w:tcPr>
          <w:p>
            <w:pPr>
              <w:pStyle w:val="TableParagraph"/>
              <w:rPr>
                <w:sz w:val="24"/>
              </w:rPr>
            </w:pPr>
          </w:p>
        </w:tc>
        <w:tc>
          <w:tcPr>
            <w:tcW w:w="886" w:type="dxa"/>
            <w:tcBorders>
              <w:top w:val="double" w:sz="6" w:space="0" w:color="000000"/>
              <w:left w:val="double" w:sz="6" w:space="0" w:color="000000"/>
              <w:bottom w:val="double" w:sz="6" w:space="0" w:color="000000"/>
            </w:tcBorders>
          </w:tcPr>
          <w:p>
            <w:pPr>
              <w:pStyle w:val="TableParagraph"/>
              <w:rPr>
                <w:sz w:val="24"/>
              </w:rPr>
            </w:pP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16</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ight="471"/>
              <w:rPr>
                <w:sz w:val="24"/>
              </w:rPr>
            </w:pPr>
            <w:r>
              <w:rPr>
                <w:spacing w:val="-2"/>
                <w:sz w:val="24"/>
              </w:rPr>
              <w:t>Незрелый хроматин</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157</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146</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1,09</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0,085</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0,122</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17</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Нормальный матрикс митохондрий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96</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91</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1,08</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0,089</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0,128</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1147" w:hRule="atLeast"/>
        </w:trPr>
        <w:tc>
          <w:tcPr>
            <w:tcW w:w="418" w:type="dxa"/>
            <w:tcBorders>
              <w:top w:val="double" w:sz="6" w:space="0" w:color="000000"/>
              <w:bottom w:val="double" w:sz="6" w:space="0" w:color="000000"/>
              <w:right w:val="double" w:sz="6" w:space="0" w:color="000000"/>
            </w:tcBorders>
          </w:tcPr>
          <w:p>
            <w:pPr>
              <w:pStyle w:val="TableParagraph"/>
              <w:spacing w:before="159"/>
              <w:rPr>
                <w:sz w:val="24"/>
              </w:rPr>
            </w:pPr>
          </w:p>
          <w:p>
            <w:pPr>
              <w:pStyle w:val="TableParagraph"/>
              <w:ind w:left="99" w:right="1"/>
              <w:jc w:val="center"/>
              <w:rPr>
                <w:sz w:val="24"/>
              </w:rPr>
            </w:pPr>
            <w:r>
              <w:rPr>
                <w:spacing w:val="-5"/>
                <w:sz w:val="24"/>
              </w:rPr>
              <w:t>18</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ight="34"/>
              <w:rPr>
                <w:sz w:val="24"/>
              </w:rPr>
            </w:pPr>
            <w:r>
              <w:rPr>
                <w:spacing w:val="-2"/>
                <w:sz w:val="24"/>
              </w:rPr>
              <w:t>Локализация цитоплазмати </w:t>
            </w:r>
            <w:r>
              <w:rPr>
                <w:sz w:val="24"/>
              </w:rPr>
              <w:t>ческих</w:t>
            </w:r>
            <w:r>
              <w:rPr>
                <w:spacing w:val="-15"/>
                <w:sz w:val="24"/>
              </w:rPr>
              <w:t> </w:t>
            </w:r>
            <w:r>
              <w:rPr>
                <w:sz w:val="24"/>
              </w:rPr>
              <w:t>капель на головке</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rPr>
                <w:sz w:val="24"/>
              </w:rPr>
            </w:pPr>
          </w:p>
          <w:p>
            <w:pPr>
              <w:pStyle w:val="TableParagraph"/>
              <w:ind w:left="10" w:right="3"/>
              <w:jc w:val="center"/>
              <w:rPr>
                <w:sz w:val="24"/>
              </w:rPr>
            </w:pPr>
            <w:r>
              <w:rPr>
                <w:spacing w:val="-5"/>
                <w:sz w:val="24"/>
              </w:rPr>
              <w:t>16</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rPr>
                <w:sz w:val="24"/>
              </w:rPr>
            </w:pPr>
          </w:p>
          <w:p>
            <w:pPr>
              <w:pStyle w:val="TableParagraph"/>
              <w:ind w:left="13"/>
              <w:jc w:val="center"/>
              <w:rPr>
                <w:sz w:val="24"/>
              </w:rPr>
            </w:pPr>
            <w:r>
              <w:rPr>
                <w:spacing w:val="-5"/>
                <w:sz w:val="24"/>
              </w:rPr>
              <w:t>36</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rPr>
                <w:sz w:val="24"/>
              </w:rPr>
            </w:pPr>
          </w:p>
          <w:p>
            <w:pPr>
              <w:pStyle w:val="TableParagraph"/>
              <w:ind w:left="10"/>
              <w:jc w:val="center"/>
              <w:rPr>
                <w:sz w:val="24"/>
              </w:rPr>
            </w:pPr>
            <w:r>
              <w:rPr>
                <w:spacing w:val="-4"/>
                <w:sz w:val="24"/>
              </w:rPr>
              <w:t>0,45</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rPr>
                <w:sz w:val="24"/>
              </w:rPr>
            </w:pPr>
          </w:p>
          <w:p>
            <w:pPr>
              <w:pStyle w:val="TableParagraph"/>
              <w:ind w:left="10" w:right="3"/>
              <w:jc w:val="center"/>
              <w:rPr>
                <w:sz w:val="24"/>
              </w:rPr>
            </w:pPr>
            <w:r>
              <w:rPr>
                <w:spacing w:val="-2"/>
                <w:sz w:val="24"/>
              </w:rPr>
              <w:t>0,097</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rPr>
                <w:sz w:val="24"/>
              </w:rPr>
            </w:pPr>
          </w:p>
          <w:p>
            <w:pPr>
              <w:pStyle w:val="TableParagraph"/>
              <w:ind w:left="8"/>
              <w:jc w:val="center"/>
              <w:rPr>
                <w:sz w:val="24"/>
              </w:rPr>
            </w:pPr>
            <w:r>
              <w:rPr>
                <w:spacing w:val="-2"/>
                <w:sz w:val="24"/>
              </w:rPr>
              <w:t>0,132</w:t>
            </w:r>
          </w:p>
        </w:tc>
        <w:tc>
          <w:tcPr>
            <w:tcW w:w="886" w:type="dxa"/>
            <w:tcBorders>
              <w:top w:val="double" w:sz="6" w:space="0" w:color="000000"/>
              <w:left w:val="double" w:sz="6" w:space="0" w:color="000000"/>
              <w:bottom w:val="double" w:sz="6" w:space="0" w:color="000000"/>
            </w:tcBorders>
          </w:tcPr>
          <w:p>
            <w:pPr>
              <w:pStyle w:val="TableParagraph"/>
              <w:spacing w:before="159"/>
              <w:rPr>
                <w:sz w:val="24"/>
              </w:rPr>
            </w:pPr>
          </w:p>
          <w:p>
            <w:pPr>
              <w:pStyle w:val="TableParagraph"/>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19</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Дезорганизац </w:t>
            </w:r>
            <w:r>
              <w:rPr>
                <w:sz w:val="24"/>
              </w:rPr>
              <w:t>ия аксонемы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23</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26</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0,90</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0,102</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0,135</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99" w:right="1"/>
              <w:jc w:val="center"/>
              <w:rPr>
                <w:sz w:val="24"/>
              </w:rPr>
            </w:pPr>
            <w:r>
              <w:rPr>
                <w:spacing w:val="-5"/>
                <w:sz w:val="24"/>
              </w:rPr>
              <w:t>20</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Нормальная форма нуклеосомы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5"/>
                <w:sz w:val="24"/>
              </w:rPr>
              <w:t>76</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3"/>
              <w:jc w:val="center"/>
              <w:rPr>
                <w:sz w:val="24"/>
              </w:rPr>
            </w:pPr>
            <w:r>
              <w:rPr>
                <w:spacing w:val="-5"/>
                <w:sz w:val="24"/>
              </w:rPr>
              <w:t>75</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jc w:val="center"/>
              <w:rPr>
                <w:sz w:val="24"/>
              </w:rPr>
            </w:pPr>
            <w:r>
              <w:rPr>
                <w:spacing w:val="-4"/>
                <w:sz w:val="24"/>
              </w:rPr>
              <w:t>1,04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2"/>
                <w:sz w:val="24"/>
              </w:rPr>
              <w:t>0,110</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8"/>
              <w:jc w:val="center"/>
              <w:rPr>
                <w:sz w:val="24"/>
              </w:rPr>
            </w:pPr>
            <w:r>
              <w:rPr>
                <w:spacing w:val="-2"/>
                <w:sz w:val="24"/>
              </w:rPr>
              <w:t>0,142</w:t>
            </w:r>
          </w:p>
        </w:tc>
        <w:tc>
          <w:tcPr>
            <w:tcW w:w="886" w:type="dxa"/>
            <w:tcBorders>
              <w:top w:val="double" w:sz="6" w:space="0" w:color="000000"/>
              <w:left w:val="double" w:sz="6" w:space="0" w:color="000000"/>
              <w:bottom w:val="double" w:sz="6" w:space="0" w:color="000000"/>
            </w:tcBorders>
          </w:tcPr>
          <w:p>
            <w:pPr>
              <w:pStyle w:val="TableParagraph"/>
              <w:spacing w:before="19"/>
              <w:rPr>
                <w:sz w:val="24"/>
              </w:rPr>
            </w:pPr>
          </w:p>
          <w:p>
            <w:pPr>
              <w:pStyle w:val="TableParagraph"/>
              <w:spacing w:before="1"/>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21</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ight="236"/>
              <w:jc w:val="both"/>
              <w:rPr>
                <w:sz w:val="24"/>
              </w:rPr>
            </w:pPr>
            <w:r>
              <w:rPr>
                <w:spacing w:val="-2"/>
                <w:sz w:val="24"/>
              </w:rPr>
              <w:t>Компактное содержимое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274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270</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0,118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0,149</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99" w:right="1"/>
              <w:jc w:val="center"/>
              <w:rPr>
                <w:sz w:val="24"/>
              </w:rPr>
            </w:pPr>
            <w:r>
              <w:rPr>
                <w:spacing w:val="-5"/>
                <w:sz w:val="24"/>
              </w:rPr>
              <w:t>22</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ight="71"/>
              <w:jc w:val="both"/>
              <w:rPr>
                <w:sz w:val="24"/>
              </w:rPr>
            </w:pPr>
            <w:r>
              <w:rPr>
                <w:spacing w:val="-2"/>
                <w:sz w:val="24"/>
              </w:rPr>
              <w:t>Некомпактно </w:t>
            </w:r>
            <w:r>
              <w:rPr>
                <w:sz w:val="24"/>
              </w:rPr>
              <w:t>е</w:t>
            </w:r>
            <w:r>
              <w:rPr>
                <w:spacing w:val="-15"/>
                <w:sz w:val="24"/>
              </w:rPr>
              <w:t> </w:t>
            </w:r>
            <w:r>
              <w:rPr>
                <w:sz w:val="24"/>
              </w:rPr>
              <w:t>содержимое </w:t>
            </w:r>
            <w:r>
              <w:rPr>
                <w:spacing w:val="-2"/>
                <w:sz w:val="24"/>
              </w:rPr>
              <w:t>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5"/>
                <w:sz w:val="24"/>
              </w:rPr>
              <w:t>23</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3"/>
              <w:jc w:val="center"/>
              <w:rPr>
                <w:sz w:val="24"/>
              </w:rPr>
            </w:pPr>
            <w:r>
              <w:rPr>
                <w:spacing w:val="-5"/>
                <w:sz w:val="24"/>
              </w:rPr>
              <w:t>32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jc w:val="center"/>
              <w:rPr>
                <w:sz w:val="24"/>
              </w:rPr>
            </w:pPr>
            <w:r>
              <w:rPr>
                <w:spacing w:val="-4"/>
                <w:sz w:val="24"/>
              </w:rPr>
              <w:t>0,73</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2"/>
                <w:sz w:val="24"/>
              </w:rPr>
              <w:t>0,134</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8"/>
              <w:jc w:val="center"/>
              <w:rPr>
                <w:sz w:val="24"/>
              </w:rPr>
            </w:pPr>
            <w:r>
              <w:rPr>
                <w:spacing w:val="-2"/>
                <w:sz w:val="24"/>
              </w:rPr>
              <w:t>0,155</w:t>
            </w:r>
          </w:p>
        </w:tc>
        <w:tc>
          <w:tcPr>
            <w:tcW w:w="886" w:type="dxa"/>
            <w:tcBorders>
              <w:top w:val="double" w:sz="6" w:space="0" w:color="000000"/>
              <w:left w:val="double" w:sz="6" w:space="0" w:color="000000"/>
              <w:bottom w:val="double" w:sz="6" w:space="0" w:color="000000"/>
            </w:tcBorders>
          </w:tcPr>
          <w:p>
            <w:pPr>
              <w:pStyle w:val="TableParagraph"/>
              <w:spacing w:before="19"/>
              <w:rPr>
                <w:sz w:val="24"/>
              </w:rPr>
            </w:pPr>
          </w:p>
          <w:p>
            <w:pPr>
              <w:pStyle w:val="TableParagraph"/>
              <w:spacing w:before="1"/>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23</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Нормальная укладка митохондрий</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85</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77</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1,13</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0,142</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0,162</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61"/>
              <w:ind w:left="99" w:right="1"/>
              <w:jc w:val="center"/>
              <w:rPr>
                <w:sz w:val="24"/>
              </w:rPr>
            </w:pPr>
            <w:r>
              <w:rPr>
                <w:spacing w:val="-5"/>
                <w:sz w:val="24"/>
              </w:rPr>
              <w:t>24</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Сдвинутые фибриллы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5"/>
                <w:sz w:val="24"/>
              </w:rPr>
              <w:t>15</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61"/>
              <w:ind w:left="13"/>
              <w:jc w:val="center"/>
              <w:rPr>
                <w:sz w:val="24"/>
              </w:rPr>
            </w:pPr>
            <w:r>
              <w:rPr>
                <w:spacing w:val="-5"/>
                <w:sz w:val="24"/>
              </w:rPr>
              <w:t>13</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jc w:val="center"/>
              <w:rPr>
                <w:sz w:val="24"/>
              </w:rPr>
            </w:pPr>
            <w:r>
              <w:rPr>
                <w:spacing w:val="-4"/>
                <w:sz w:val="24"/>
              </w:rPr>
              <w:t>1,19</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61"/>
              <w:ind w:left="10" w:right="3"/>
              <w:jc w:val="center"/>
              <w:rPr>
                <w:sz w:val="24"/>
              </w:rPr>
            </w:pPr>
            <w:r>
              <w:rPr>
                <w:spacing w:val="-2"/>
                <w:sz w:val="24"/>
              </w:rPr>
              <w:t>0,157</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61"/>
              <w:ind w:left="8"/>
              <w:jc w:val="center"/>
              <w:rPr>
                <w:sz w:val="24"/>
              </w:rPr>
            </w:pPr>
            <w:r>
              <w:rPr>
                <w:spacing w:val="-2"/>
                <w:sz w:val="24"/>
              </w:rPr>
              <w:t>0,171</w:t>
            </w:r>
          </w:p>
        </w:tc>
        <w:tc>
          <w:tcPr>
            <w:tcW w:w="886" w:type="dxa"/>
            <w:tcBorders>
              <w:top w:val="double" w:sz="6" w:space="0" w:color="000000"/>
              <w:left w:val="double" w:sz="6" w:space="0" w:color="000000"/>
              <w:bottom w:val="double" w:sz="6" w:space="0" w:color="000000"/>
            </w:tcBorders>
          </w:tcPr>
          <w:p>
            <w:pPr>
              <w:pStyle w:val="TableParagraph"/>
              <w:spacing w:before="161"/>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25</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Матрикс митохондрий </w:t>
            </w:r>
            <w:r>
              <w:rPr>
                <w:sz w:val="24"/>
              </w:rPr>
              <w:t>тёмного</w:t>
            </w:r>
            <w:r>
              <w:rPr>
                <w:spacing w:val="-1"/>
                <w:sz w:val="24"/>
              </w:rPr>
              <w:t> </w:t>
            </w:r>
            <w:r>
              <w:rPr>
                <w:spacing w:val="-4"/>
                <w:sz w:val="24"/>
              </w:rPr>
              <w:t>цвета</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10"/>
                <w:sz w:val="24"/>
              </w:rPr>
              <w:t>0</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10"/>
                <w:sz w:val="24"/>
              </w:rPr>
              <w:t>8</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0,00</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0,165</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0,175</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26</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Изменённое положение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56</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83</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0,67</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0,178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0,181</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27</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Аморфная форма нуклеосомы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320</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326</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0,99</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0,188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0,186</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63" w:hRule="atLeast"/>
        </w:trPr>
        <w:tc>
          <w:tcPr>
            <w:tcW w:w="418" w:type="dxa"/>
            <w:tcBorders>
              <w:top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28</w:t>
            </w:r>
          </w:p>
        </w:tc>
        <w:tc>
          <w:tcPr>
            <w:tcW w:w="1559" w:type="dxa"/>
            <w:tcBorders>
              <w:top w:val="double" w:sz="6" w:space="0" w:color="000000"/>
              <w:left w:val="double" w:sz="6" w:space="0" w:color="000000"/>
              <w:right w:val="double" w:sz="6" w:space="0" w:color="000000"/>
            </w:tcBorders>
          </w:tcPr>
          <w:p>
            <w:pPr>
              <w:pStyle w:val="TableParagraph"/>
              <w:spacing w:line="270" w:lineRule="atLeast" w:before="15"/>
              <w:ind w:left="28"/>
              <w:rPr>
                <w:sz w:val="24"/>
              </w:rPr>
            </w:pPr>
            <w:r>
              <w:rPr>
                <w:spacing w:val="-2"/>
                <w:sz w:val="24"/>
              </w:rPr>
              <w:t>Раздутая форма митохондрий</w:t>
            </w:r>
          </w:p>
        </w:tc>
        <w:tc>
          <w:tcPr>
            <w:tcW w:w="2411" w:type="dxa"/>
            <w:tcBorders>
              <w:top w:val="double" w:sz="6" w:space="0" w:color="000000"/>
              <w:left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10"/>
                <w:sz w:val="24"/>
              </w:rPr>
              <w:t>0</w:t>
            </w:r>
          </w:p>
        </w:tc>
        <w:tc>
          <w:tcPr>
            <w:tcW w:w="991" w:type="dxa"/>
            <w:tcBorders>
              <w:top w:val="double" w:sz="6" w:space="0" w:color="000000"/>
              <w:left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10"/>
                <w:sz w:val="24"/>
              </w:rPr>
              <w:t>1</w:t>
            </w:r>
          </w:p>
        </w:tc>
        <w:tc>
          <w:tcPr>
            <w:tcW w:w="1121" w:type="dxa"/>
            <w:tcBorders>
              <w:top w:val="double" w:sz="6" w:space="0" w:color="000000"/>
              <w:left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0,00</w:t>
            </w:r>
          </w:p>
        </w:tc>
        <w:tc>
          <w:tcPr>
            <w:tcW w:w="1431" w:type="dxa"/>
            <w:tcBorders>
              <w:top w:val="double" w:sz="6" w:space="0" w:color="000000"/>
              <w:left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0,204</w:t>
            </w:r>
          </w:p>
        </w:tc>
        <w:tc>
          <w:tcPr>
            <w:tcW w:w="1419" w:type="dxa"/>
            <w:tcBorders>
              <w:top w:val="double" w:sz="6" w:space="0" w:color="000000"/>
              <w:left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0,197</w:t>
            </w:r>
          </w:p>
        </w:tc>
        <w:tc>
          <w:tcPr>
            <w:tcW w:w="886" w:type="dxa"/>
            <w:tcBorders>
              <w:top w:val="double" w:sz="6" w:space="0" w:color="000000"/>
              <w:left w:val="double" w:sz="6" w:space="0" w:color="000000"/>
            </w:tcBorders>
          </w:tcPr>
          <w:p>
            <w:pPr>
              <w:pStyle w:val="TableParagraph"/>
              <w:spacing w:before="22"/>
              <w:rPr>
                <w:sz w:val="24"/>
              </w:rPr>
            </w:pPr>
          </w:p>
          <w:p>
            <w:pPr>
              <w:pStyle w:val="TableParagraph"/>
              <w:ind w:left="17"/>
              <w:jc w:val="center"/>
              <w:rPr>
                <w:sz w:val="24"/>
              </w:rPr>
            </w:pPr>
            <w:r>
              <w:rPr>
                <w:sz w:val="24"/>
              </w:rPr>
              <w:t>-</w:t>
            </w:r>
          </w:p>
        </w:tc>
      </w:tr>
    </w:tbl>
    <w:p>
      <w:pPr>
        <w:pStyle w:val="TableParagraph"/>
        <w:spacing w:after="0"/>
        <w:jc w:val="center"/>
        <w:rPr>
          <w:sz w:val="24"/>
        </w:rPr>
        <w:sectPr>
          <w:pgSz w:w="11910" w:h="16840"/>
          <w:pgMar w:header="0" w:footer="990" w:top="400" w:bottom="1200" w:left="708" w:right="425"/>
        </w:sectPr>
      </w:pPr>
    </w:p>
    <w:p>
      <w:pPr>
        <w:pStyle w:val="BodyText"/>
        <w:spacing w:before="3"/>
        <w:jc w:val="left"/>
        <w:rPr>
          <w:sz w:val="2"/>
        </w:rPr>
      </w:pPr>
    </w:p>
    <w:tbl>
      <w:tblPr>
        <w:tblW w:w="0" w:type="auto"/>
        <w:jc w:val="left"/>
        <w:tblInd w:w="163"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CellMar>
          <w:top w:w="0" w:type="dxa"/>
          <w:left w:w="0" w:type="dxa"/>
          <w:bottom w:w="0" w:type="dxa"/>
          <w:right w:w="0" w:type="dxa"/>
        </w:tblCellMar>
        <w:tblLook w:val="01E0"/>
      </w:tblPr>
      <w:tblGrid>
        <w:gridCol w:w="418"/>
        <w:gridCol w:w="1559"/>
        <w:gridCol w:w="2411"/>
        <w:gridCol w:w="991"/>
        <w:gridCol w:w="1121"/>
        <w:gridCol w:w="1431"/>
        <w:gridCol w:w="1419"/>
        <w:gridCol w:w="886"/>
      </w:tblGrid>
      <w:tr>
        <w:trPr>
          <w:trHeight w:val="2963" w:hRule="atLeast"/>
        </w:trPr>
        <w:tc>
          <w:tcPr>
            <w:tcW w:w="418" w:type="dxa"/>
            <w:tcBorders>
              <w:bottom w:val="double" w:sz="6" w:space="0" w:color="000000"/>
              <w:right w:val="double" w:sz="6"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237"/>
              <w:rPr>
                <w:sz w:val="24"/>
              </w:rPr>
            </w:pPr>
          </w:p>
          <w:p>
            <w:pPr>
              <w:pStyle w:val="TableParagraph"/>
              <w:ind w:left="99"/>
              <w:jc w:val="center"/>
              <w:rPr>
                <w:b/>
                <w:sz w:val="24"/>
              </w:rPr>
            </w:pPr>
            <w:r>
              <w:rPr>
                <w:b/>
                <w:spacing w:val="-10"/>
                <w:sz w:val="24"/>
              </w:rPr>
              <w:t>№</w:t>
            </w:r>
          </w:p>
        </w:tc>
        <w:tc>
          <w:tcPr>
            <w:tcW w:w="1559"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237"/>
              <w:rPr>
                <w:sz w:val="24"/>
              </w:rPr>
            </w:pPr>
          </w:p>
          <w:p>
            <w:pPr>
              <w:pStyle w:val="TableParagraph"/>
              <w:ind w:left="33" w:right="23"/>
              <w:jc w:val="center"/>
              <w:rPr>
                <w:b/>
                <w:sz w:val="24"/>
              </w:rPr>
            </w:pPr>
            <w:r>
              <w:rPr>
                <w:b/>
                <w:spacing w:val="-2"/>
                <w:sz w:val="24"/>
              </w:rPr>
              <w:t>Морфологич </w:t>
            </w:r>
            <w:r>
              <w:rPr>
                <w:b/>
                <w:spacing w:val="-4"/>
                <w:sz w:val="24"/>
              </w:rPr>
              <w:t>еский </w:t>
            </w:r>
            <w:r>
              <w:rPr>
                <w:b/>
                <w:spacing w:val="-2"/>
                <w:sz w:val="24"/>
              </w:rPr>
              <w:t>признак</w:t>
            </w:r>
          </w:p>
        </w:tc>
        <w:tc>
          <w:tcPr>
            <w:tcW w:w="2411" w:type="dxa"/>
            <w:tcBorders>
              <w:left w:val="double" w:sz="6" w:space="0" w:color="000000"/>
              <w:bottom w:val="double" w:sz="6" w:space="0" w:color="000000"/>
              <w:right w:val="double" w:sz="6" w:space="0" w:color="000000"/>
            </w:tcBorders>
          </w:tcPr>
          <w:p>
            <w:pPr>
              <w:pStyle w:val="TableParagraph"/>
              <w:spacing w:line="256" w:lineRule="auto" w:before="16"/>
              <w:ind w:left="128" w:right="116" w:firstLine="1"/>
              <w:jc w:val="center"/>
              <w:rPr>
                <w:b/>
                <w:sz w:val="24"/>
              </w:rPr>
            </w:pPr>
            <w:r>
              <w:rPr>
                <w:b/>
                <w:spacing w:val="-2"/>
                <w:sz w:val="24"/>
              </w:rPr>
              <w:t>Эксперимент </w:t>
            </w:r>
            <w:r>
              <w:rPr>
                <w:b/>
                <w:sz w:val="24"/>
              </w:rPr>
              <w:t>(светодиоды,</w:t>
            </w:r>
            <w:r>
              <w:rPr>
                <w:b/>
                <w:spacing w:val="-15"/>
                <w:sz w:val="24"/>
              </w:rPr>
              <w:t> </w:t>
            </w:r>
            <w:r>
              <w:rPr>
                <w:b/>
                <w:sz w:val="24"/>
              </w:rPr>
              <w:t>лазер, </w:t>
            </w:r>
            <w:r>
              <w:rPr>
                <w:b/>
                <w:spacing w:val="-2"/>
                <w:sz w:val="24"/>
              </w:rPr>
              <w:t>инфракрасный </w:t>
            </w:r>
            <w:r>
              <w:rPr>
                <w:b/>
                <w:sz w:val="24"/>
              </w:rPr>
              <w:t>светодиод 400-750,</w:t>
            </w:r>
          </w:p>
          <w:p>
            <w:pPr>
              <w:pStyle w:val="TableParagraph"/>
              <w:spacing w:line="271" w:lineRule="exact"/>
              <w:ind w:left="10" w:right="3"/>
              <w:jc w:val="center"/>
              <w:rPr>
                <w:b/>
                <w:sz w:val="24"/>
              </w:rPr>
            </w:pPr>
            <w:r>
              <w:rPr>
                <w:b/>
                <w:sz w:val="24"/>
              </w:rPr>
              <w:t>651, 933 </w:t>
            </w:r>
            <w:r>
              <w:rPr>
                <w:b/>
                <w:spacing w:val="-5"/>
                <w:sz w:val="24"/>
              </w:rPr>
              <w:t>нм,</w:t>
            </w:r>
          </w:p>
          <w:p>
            <w:pPr>
              <w:pStyle w:val="TableParagraph"/>
              <w:spacing w:line="256" w:lineRule="auto" w:before="19"/>
              <w:ind w:left="10" w:right="1"/>
              <w:jc w:val="center"/>
              <w:rPr>
                <w:b/>
                <w:sz w:val="24"/>
              </w:rPr>
            </w:pPr>
            <w:r>
              <w:rPr>
                <w:b/>
                <w:sz w:val="24"/>
              </w:rPr>
              <w:t>мощность</w:t>
            </w:r>
            <w:r>
              <w:rPr>
                <w:b/>
                <w:spacing w:val="-15"/>
                <w:sz w:val="24"/>
              </w:rPr>
              <w:t> </w:t>
            </w:r>
            <w:r>
              <w:rPr>
                <w:b/>
                <w:sz w:val="24"/>
              </w:rPr>
              <w:t>4,46</w:t>
            </w:r>
            <w:r>
              <w:rPr>
                <w:b/>
                <w:spacing w:val="-15"/>
                <w:sz w:val="24"/>
              </w:rPr>
              <w:t> </w:t>
            </w:r>
            <w:r>
              <w:rPr>
                <w:b/>
                <w:sz w:val="24"/>
              </w:rPr>
              <w:t>мВт, общая сообщаемая энергия 4,01 Дж, время экспозиции</w:t>
            </w:r>
          </w:p>
          <w:p>
            <w:pPr>
              <w:pStyle w:val="TableParagraph"/>
              <w:spacing w:line="271" w:lineRule="exact"/>
              <w:ind w:left="10"/>
              <w:jc w:val="center"/>
              <w:rPr>
                <w:b/>
                <w:sz w:val="24"/>
              </w:rPr>
            </w:pPr>
            <w:r>
              <w:rPr>
                <w:b/>
                <w:sz w:val="24"/>
              </w:rPr>
              <w:t>15 </w:t>
            </w:r>
            <w:r>
              <w:rPr>
                <w:b/>
                <w:spacing w:val="-2"/>
                <w:sz w:val="24"/>
              </w:rPr>
              <w:t>минут)</w:t>
            </w:r>
          </w:p>
        </w:tc>
        <w:tc>
          <w:tcPr>
            <w:tcW w:w="991" w:type="dxa"/>
            <w:tcBorders>
              <w:left w:val="double" w:sz="6" w:space="0" w:color="000000"/>
              <w:bottom w:val="double" w:sz="6" w:space="0" w:color="000000"/>
              <w:right w:val="double" w:sz="6" w:space="0" w:color="000000"/>
            </w:tcBorders>
          </w:tcPr>
          <w:p>
            <w:pPr>
              <w:pStyle w:val="TableParagraph"/>
              <w:spacing w:before="98"/>
              <w:ind w:left="47" w:right="34" w:firstLine="3"/>
              <w:jc w:val="center"/>
              <w:rPr>
                <w:b/>
                <w:sz w:val="24"/>
              </w:rPr>
            </w:pPr>
            <w:r>
              <w:rPr>
                <w:b/>
                <w:spacing w:val="-2"/>
                <w:sz w:val="24"/>
              </w:rPr>
              <w:t>Контро </w:t>
            </w:r>
            <w:r>
              <w:rPr>
                <w:b/>
                <w:spacing w:val="-6"/>
                <w:sz w:val="24"/>
              </w:rPr>
              <w:t>ль </w:t>
            </w:r>
            <w:r>
              <w:rPr>
                <w:spacing w:val="-2"/>
                <w:sz w:val="24"/>
              </w:rPr>
              <w:t>(</w:t>
            </w:r>
            <w:r>
              <w:rPr>
                <w:b/>
                <w:spacing w:val="-2"/>
                <w:sz w:val="24"/>
              </w:rPr>
              <w:t>темная камера, </w:t>
            </w:r>
            <w:r>
              <w:rPr>
                <w:b/>
                <w:sz w:val="24"/>
              </w:rPr>
              <w:t>0</w:t>
            </w:r>
            <w:r>
              <w:rPr>
                <w:b/>
                <w:spacing w:val="-15"/>
                <w:sz w:val="24"/>
              </w:rPr>
              <w:t> </w:t>
            </w:r>
            <w:r>
              <w:rPr>
                <w:b/>
                <w:sz w:val="24"/>
              </w:rPr>
              <w:t>мВт,</w:t>
            </w:r>
            <w:r>
              <w:rPr>
                <w:b/>
                <w:spacing w:val="-15"/>
                <w:sz w:val="24"/>
              </w:rPr>
              <w:t> </w:t>
            </w:r>
            <w:r>
              <w:rPr>
                <w:b/>
                <w:sz w:val="24"/>
              </w:rPr>
              <w:t>0 </w:t>
            </w:r>
            <w:r>
              <w:rPr>
                <w:b/>
                <w:spacing w:val="-4"/>
                <w:sz w:val="24"/>
              </w:rPr>
              <w:t>Дж, </w:t>
            </w:r>
            <w:r>
              <w:rPr>
                <w:b/>
                <w:spacing w:val="-2"/>
                <w:sz w:val="24"/>
              </w:rPr>
              <w:t>время экспози </w:t>
            </w:r>
            <w:r>
              <w:rPr>
                <w:b/>
                <w:sz w:val="24"/>
              </w:rPr>
              <w:t>ции 15 </w:t>
            </w:r>
            <w:r>
              <w:rPr>
                <w:b/>
                <w:spacing w:val="-2"/>
                <w:sz w:val="24"/>
              </w:rPr>
              <w:t>минут)</w:t>
            </w:r>
          </w:p>
        </w:tc>
        <w:tc>
          <w:tcPr>
            <w:tcW w:w="1121"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97"/>
              <w:rPr>
                <w:sz w:val="24"/>
              </w:rPr>
            </w:pPr>
          </w:p>
          <w:p>
            <w:pPr>
              <w:pStyle w:val="TableParagraph"/>
              <w:spacing w:before="1"/>
              <w:ind w:left="42" w:right="29" w:firstLine="2"/>
              <w:jc w:val="center"/>
              <w:rPr>
                <w:b/>
                <w:sz w:val="24"/>
              </w:rPr>
            </w:pPr>
            <w:r>
              <w:rPr>
                <w:b/>
                <w:spacing w:val="-2"/>
                <w:sz w:val="24"/>
              </w:rPr>
              <w:t>Оценка отношен </w:t>
            </w:r>
            <w:r>
              <w:rPr>
                <w:b/>
                <w:spacing w:val="-6"/>
                <w:sz w:val="24"/>
              </w:rPr>
              <w:t>ия </w:t>
            </w:r>
            <w:r>
              <w:rPr>
                <w:b/>
                <w:spacing w:val="-2"/>
                <w:sz w:val="24"/>
              </w:rPr>
              <w:t>шансов (OddsRat </w:t>
            </w:r>
            <w:r>
              <w:rPr>
                <w:b/>
                <w:spacing w:val="-4"/>
                <w:sz w:val="24"/>
              </w:rPr>
              <w:t>io)</w:t>
            </w:r>
          </w:p>
        </w:tc>
        <w:tc>
          <w:tcPr>
            <w:tcW w:w="1431" w:type="dxa"/>
            <w:tcBorders>
              <w:left w:val="double" w:sz="6" w:space="0" w:color="000000"/>
              <w:bottom w:val="double" w:sz="6" w:space="0" w:color="000000"/>
              <w:right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10"/>
              <w:jc w:val="center"/>
              <w:rPr>
                <w:b/>
                <w:sz w:val="24"/>
              </w:rPr>
            </w:pPr>
            <w:r>
              <w:rPr>
                <w:b/>
                <w:sz w:val="24"/>
              </w:rPr>
              <w:t>Исходное</w:t>
            </w:r>
            <w:r>
              <w:rPr>
                <w:b/>
                <w:spacing w:val="-15"/>
                <w:sz w:val="24"/>
              </w:rPr>
              <w:t> </w:t>
            </w:r>
            <w:r>
              <w:rPr>
                <w:b/>
                <w:sz w:val="24"/>
              </w:rPr>
              <w:t>p-</w:t>
            </w:r>
            <w:r>
              <w:rPr>
                <w:b/>
                <w:spacing w:val="-2"/>
                <w:sz w:val="24"/>
              </w:rPr>
              <w:t>значение теста Фишера</w:t>
            </w:r>
          </w:p>
        </w:tc>
        <w:tc>
          <w:tcPr>
            <w:tcW w:w="1419" w:type="dxa"/>
            <w:tcBorders>
              <w:left w:val="double" w:sz="6" w:space="0" w:color="000000"/>
              <w:bottom w:val="double" w:sz="6" w:space="0" w:color="000000"/>
              <w:right w:val="double" w:sz="6" w:space="0" w:color="000000"/>
            </w:tcBorders>
          </w:tcPr>
          <w:p>
            <w:pPr>
              <w:pStyle w:val="TableParagraph"/>
              <w:rPr>
                <w:sz w:val="24"/>
              </w:rPr>
            </w:pPr>
          </w:p>
          <w:p>
            <w:pPr>
              <w:pStyle w:val="TableParagraph"/>
              <w:spacing w:before="237"/>
              <w:rPr>
                <w:sz w:val="24"/>
              </w:rPr>
            </w:pPr>
          </w:p>
          <w:p>
            <w:pPr>
              <w:pStyle w:val="TableParagraph"/>
              <w:ind w:left="61" w:right="50" w:hanging="2"/>
              <w:jc w:val="center"/>
              <w:rPr>
                <w:b/>
                <w:sz w:val="24"/>
              </w:rPr>
            </w:pPr>
            <w:r>
              <w:rPr>
                <w:b/>
                <w:spacing w:val="-2"/>
                <w:sz w:val="24"/>
              </w:rPr>
              <w:t>P-значение после поправки Бенджамин и-Хохберга</w:t>
            </w:r>
          </w:p>
        </w:tc>
        <w:tc>
          <w:tcPr>
            <w:tcW w:w="886" w:type="dxa"/>
            <w:tcBorders>
              <w:left w:val="double" w:sz="6" w:space="0" w:color="000000"/>
              <w:bottom w:val="double" w:sz="6" w:space="0" w:color="000000"/>
            </w:tcBorders>
          </w:tcPr>
          <w:p>
            <w:pPr>
              <w:pStyle w:val="TableParagraph"/>
              <w:rPr>
                <w:sz w:val="24"/>
              </w:rPr>
            </w:pPr>
          </w:p>
          <w:p>
            <w:pPr>
              <w:pStyle w:val="TableParagraph"/>
              <w:rPr>
                <w:sz w:val="24"/>
              </w:rPr>
            </w:pPr>
          </w:p>
          <w:p>
            <w:pPr>
              <w:pStyle w:val="TableParagraph"/>
              <w:spacing w:before="97"/>
              <w:rPr>
                <w:sz w:val="24"/>
              </w:rPr>
            </w:pPr>
          </w:p>
          <w:p>
            <w:pPr>
              <w:pStyle w:val="TableParagraph"/>
              <w:spacing w:before="1"/>
              <w:ind w:left="72" w:right="58" w:firstLine="26"/>
              <w:jc w:val="both"/>
              <w:rPr>
                <w:b/>
                <w:sz w:val="24"/>
              </w:rPr>
            </w:pPr>
            <w:r>
              <w:rPr>
                <w:b/>
                <w:spacing w:val="-4"/>
                <w:sz w:val="24"/>
              </w:rPr>
              <w:t>Значи </w:t>
            </w:r>
            <w:r>
              <w:rPr>
                <w:b/>
                <w:spacing w:val="-2"/>
                <w:sz w:val="24"/>
              </w:rPr>
              <w:t>мость (FDR&lt; 0,05)</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29</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4"/>
                <w:sz w:val="24"/>
              </w:rPr>
              <w:t>Иная </w:t>
            </w:r>
            <w:r>
              <w:rPr>
                <w:spacing w:val="-2"/>
                <w:sz w:val="24"/>
              </w:rPr>
              <w:t>организация аксонемы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67</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72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0,96</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0,218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0,206</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30</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Вакуолизация хроматина</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10"/>
                <w:sz w:val="24"/>
              </w:rPr>
              <w:t>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10"/>
                <w:sz w:val="24"/>
              </w:rPr>
              <w:t>5</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0,82</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0,226</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0,211</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31</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Сдвоенные головки</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10"/>
                <w:sz w:val="24"/>
              </w:rPr>
              <w:t>6</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10"/>
                <w:sz w:val="24"/>
              </w:rPr>
              <w:t>7</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0,88</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0,233</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0,217</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32</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ight="204"/>
              <w:rPr>
                <w:sz w:val="24"/>
              </w:rPr>
            </w:pPr>
            <w:r>
              <w:rPr>
                <w:spacing w:val="-2"/>
                <w:sz w:val="24"/>
              </w:rPr>
              <w:t>Аксонема </w:t>
            </w:r>
            <w:r>
              <w:rPr>
                <w:sz w:val="24"/>
              </w:rPr>
              <w:t>жгутика</w:t>
            </w:r>
            <w:r>
              <w:rPr>
                <w:spacing w:val="-15"/>
                <w:sz w:val="24"/>
              </w:rPr>
              <w:t> </w:t>
            </w:r>
            <w:r>
              <w:rPr>
                <w:sz w:val="24"/>
              </w:rPr>
              <w:t>9+0</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10"/>
                <w:sz w:val="24"/>
              </w:rPr>
              <w:t>2</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10"/>
                <w:sz w:val="24"/>
              </w:rPr>
              <w:t>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1,03</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0,244</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0,223</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8"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33</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Деградация хроматина</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5"/>
                <w:sz w:val="24"/>
              </w:rPr>
              <w:t>22</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5"/>
                <w:sz w:val="24"/>
              </w:rPr>
              <w:t>21</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1,07</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0,249</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0,226</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595" w:hRule="atLeast"/>
        </w:trPr>
        <w:tc>
          <w:tcPr>
            <w:tcW w:w="418" w:type="dxa"/>
            <w:tcBorders>
              <w:top w:val="double" w:sz="6" w:space="0" w:color="000000"/>
              <w:bottom w:val="double" w:sz="6" w:space="0" w:color="000000"/>
              <w:right w:val="double" w:sz="6" w:space="0" w:color="000000"/>
            </w:tcBorders>
          </w:tcPr>
          <w:p>
            <w:pPr>
              <w:pStyle w:val="TableParagraph"/>
              <w:spacing w:before="159"/>
              <w:ind w:left="99" w:right="1"/>
              <w:jc w:val="center"/>
              <w:rPr>
                <w:sz w:val="24"/>
              </w:rPr>
            </w:pPr>
            <w:r>
              <w:rPr>
                <w:spacing w:val="-5"/>
                <w:sz w:val="24"/>
              </w:rPr>
              <w:t>34</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Множественн </w:t>
            </w:r>
            <w:r>
              <w:rPr>
                <w:sz w:val="24"/>
              </w:rPr>
              <w:t>ые головки</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10"/>
                <w:sz w:val="24"/>
              </w:rPr>
              <w:t>0</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59"/>
              <w:ind w:left="13"/>
              <w:jc w:val="center"/>
              <w:rPr>
                <w:sz w:val="24"/>
              </w:rPr>
            </w:pPr>
            <w:r>
              <w:rPr>
                <w:spacing w:val="-10"/>
                <w:sz w:val="24"/>
              </w:rPr>
              <w:t>2</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jc w:val="center"/>
              <w:rPr>
                <w:sz w:val="24"/>
              </w:rPr>
            </w:pPr>
            <w:r>
              <w:rPr>
                <w:spacing w:val="-4"/>
                <w:sz w:val="24"/>
              </w:rPr>
              <w:t>0,00</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59"/>
              <w:ind w:left="10" w:right="3"/>
              <w:jc w:val="center"/>
              <w:rPr>
                <w:sz w:val="24"/>
              </w:rPr>
            </w:pPr>
            <w:r>
              <w:rPr>
                <w:spacing w:val="-2"/>
                <w:sz w:val="24"/>
              </w:rPr>
              <w:t>0,257</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59"/>
              <w:ind w:left="8"/>
              <w:jc w:val="center"/>
              <w:rPr>
                <w:sz w:val="24"/>
              </w:rPr>
            </w:pPr>
            <w:r>
              <w:rPr>
                <w:spacing w:val="-2"/>
                <w:sz w:val="24"/>
              </w:rPr>
              <w:t>0,232</w:t>
            </w:r>
          </w:p>
        </w:tc>
        <w:tc>
          <w:tcPr>
            <w:tcW w:w="886" w:type="dxa"/>
            <w:tcBorders>
              <w:top w:val="double" w:sz="6" w:space="0" w:color="000000"/>
              <w:left w:val="double" w:sz="6" w:space="0" w:color="000000"/>
              <w:bottom w:val="double" w:sz="6" w:space="0" w:color="000000"/>
            </w:tcBorders>
          </w:tcPr>
          <w:p>
            <w:pPr>
              <w:pStyle w:val="TableParagraph"/>
              <w:spacing w:before="159"/>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35</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Нормальное положение акросомы</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5"/>
                <w:sz w:val="24"/>
              </w:rPr>
              <w:t>223</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219</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1,05</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0,263</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0,238</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871" w:hRule="atLeast"/>
        </w:trPr>
        <w:tc>
          <w:tcPr>
            <w:tcW w:w="418" w:type="dxa"/>
            <w:tcBorders>
              <w:top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99" w:right="1"/>
              <w:jc w:val="center"/>
              <w:rPr>
                <w:sz w:val="24"/>
              </w:rPr>
            </w:pPr>
            <w:r>
              <w:rPr>
                <w:spacing w:val="-5"/>
                <w:sz w:val="24"/>
              </w:rPr>
              <w:t>36</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0"/>
              <w:ind w:left="28"/>
              <w:rPr>
                <w:sz w:val="24"/>
              </w:rPr>
            </w:pPr>
            <w:r>
              <w:rPr>
                <w:spacing w:val="-2"/>
                <w:sz w:val="24"/>
              </w:rPr>
              <w:t>Локализация </w:t>
            </w:r>
            <w:r>
              <w:rPr>
                <w:sz w:val="24"/>
              </w:rPr>
              <w:t>капель на </w:t>
            </w:r>
            <w:r>
              <w:rPr>
                <w:spacing w:val="-2"/>
                <w:sz w:val="24"/>
              </w:rPr>
              <w:t>шейке</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5"/>
                <w:sz w:val="24"/>
              </w:rPr>
              <w:t>24</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3"/>
              <w:jc w:val="center"/>
              <w:rPr>
                <w:sz w:val="24"/>
              </w:rPr>
            </w:pPr>
            <w:r>
              <w:rPr>
                <w:spacing w:val="-5"/>
                <w:sz w:val="24"/>
              </w:rPr>
              <w:t>45</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jc w:val="center"/>
              <w:rPr>
                <w:sz w:val="24"/>
              </w:rPr>
            </w:pPr>
            <w:r>
              <w:rPr>
                <w:spacing w:val="-4"/>
                <w:sz w:val="24"/>
              </w:rPr>
              <w:t>0,54</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10" w:right="3"/>
              <w:jc w:val="center"/>
              <w:rPr>
                <w:sz w:val="24"/>
              </w:rPr>
            </w:pPr>
            <w:r>
              <w:rPr>
                <w:spacing w:val="-2"/>
                <w:sz w:val="24"/>
              </w:rPr>
              <w:t>0,268</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19"/>
              <w:rPr>
                <w:sz w:val="24"/>
              </w:rPr>
            </w:pPr>
          </w:p>
          <w:p>
            <w:pPr>
              <w:pStyle w:val="TableParagraph"/>
              <w:spacing w:before="1"/>
              <w:ind w:left="8"/>
              <w:jc w:val="center"/>
              <w:rPr>
                <w:sz w:val="24"/>
              </w:rPr>
            </w:pPr>
            <w:r>
              <w:rPr>
                <w:spacing w:val="-2"/>
                <w:sz w:val="24"/>
              </w:rPr>
              <w:t>0,242</w:t>
            </w:r>
          </w:p>
        </w:tc>
        <w:tc>
          <w:tcPr>
            <w:tcW w:w="886" w:type="dxa"/>
            <w:tcBorders>
              <w:top w:val="double" w:sz="6" w:space="0" w:color="000000"/>
              <w:left w:val="double" w:sz="6" w:space="0" w:color="000000"/>
              <w:bottom w:val="double" w:sz="6" w:space="0" w:color="000000"/>
            </w:tcBorders>
          </w:tcPr>
          <w:p>
            <w:pPr>
              <w:pStyle w:val="TableParagraph"/>
              <w:spacing w:before="19"/>
              <w:rPr>
                <w:sz w:val="24"/>
              </w:rPr>
            </w:pPr>
          </w:p>
          <w:p>
            <w:pPr>
              <w:pStyle w:val="TableParagraph"/>
              <w:spacing w:before="1"/>
              <w:ind w:left="17"/>
              <w:jc w:val="center"/>
              <w:rPr>
                <w:sz w:val="24"/>
              </w:rPr>
            </w:pPr>
            <w:r>
              <w:rPr>
                <w:sz w:val="24"/>
              </w:rPr>
              <w:t>-</w:t>
            </w:r>
          </w:p>
        </w:tc>
      </w:tr>
      <w:tr>
        <w:trPr>
          <w:trHeight w:val="874" w:hRule="atLeast"/>
        </w:trPr>
        <w:tc>
          <w:tcPr>
            <w:tcW w:w="418" w:type="dxa"/>
            <w:tcBorders>
              <w:top w:val="double" w:sz="6" w:space="0" w:color="000000"/>
              <w:bottom w:val="double" w:sz="6" w:space="0" w:color="000000"/>
              <w:right w:val="double" w:sz="6" w:space="0" w:color="000000"/>
            </w:tcBorders>
          </w:tcPr>
          <w:p>
            <w:pPr>
              <w:pStyle w:val="TableParagraph"/>
              <w:spacing w:before="22"/>
              <w:rPr>
                <w:sz w:val="24"/>
              </w:rPr>
            </w:pPr>
          </w:p>
          <w:p>
            <w:pPr>
              <w:pStyle w:val="TableParagraph"/>
              <w:ind w:left="99" w:right="1"/>
              <w:jc w:val="center"/>
              <w:rPr>
                <w:sz w:val="24"/>
              </w:rPr>
            </w:pPr>
            <w:r>
              <w:rPr>
                <w:spacing w:val="-5"/>
                <w:sz w:val="24"/>
              </w:rPr>
              <w:t>37</w:t>
            </w:r>
          </w:p>
        </w:tc>
        <w:tc>
          <w:tcPr>
            <w:tcW w:w="1559" w:type="dxa"/>
            <w:tcBorders>
              <w:top w:val="double" w:sz="6" w:space="0" w:color="000000"/>
              <w:left w:val="double" w:sz="6" w:space="0" w:color="000000"/>
              <w:bottom w:val="double" w:sz="6" w:space="0" w:color="000000"/>
              <w:right w:val="double" w:sz="6" w:space="0" w:color="000000"/>
            </w:tcBorders>
          </w:tcPr>
          <w:p>
            <w:pPr>
              <w:pStyle w:val="TableParagraph"/>
              <w:spacing w:before="22"/>
              <w:ind w:left="28"/>
              <w:rPr>
                <w:sz w:val="24"/>
              </w:rPr>
            </w:pPr>
            <w:r>
              <w:rPr>
                <w:spacing w:val="-2"/>
                <w:sz w:val="24"/>
              </w:rPr>
              <w:t>Наличие вирусного капсида</w:t>
            </w:r>
          </w:p>
        </w:tc>
        <w:tc>
          <w:tcPr>
            <w:tcW w:w="241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10"/>
                <w:sz w:val="24"/>
              </w:rPr>
              <w:t>8</w:t>
            </w:r>
          </w:p>
        </w:tc>
        <w:tc>
          <w:tcPr>
            <w:tcW w:w="99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3"/>
              <w:jc w:val="center"/>
              <w:rPr>
                <w:sz w:val="24"/>
              </w:rPr>
            </w:pPr>
            <w:r>
              <w:rPr>
                <w:spacing w:val="-5"/>
                <w:sz w:val="24"/>
              </w:rPr>
              <w:t>13</w:t>
            </w:r>
          </w:p>
        </w:tc>
        <w:tc>
          <w:tcPr>
            <w:tcW w:w="112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jc w:val="center"/>
              <w:rPr>
                <w:sz w:val="24"/>
              </w:rPr>
            </w:pPr>
            <w:r>
              <w:rPr>
                <w:spacing w:val="-4"/>
                <w:sz w:val="24"/>
              </w:rPr>
              <w:t>0,62</w:t>
            </w:r>
          </w:p>
        </w:tc>
        <w:tc>
          <w:tcPr>
            <w:tcW w:w="1431"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10" w:right="3"/>
              <w:jc w:val="center"/>
              <w:rPr>
                <w:sz w:val="24"/>
              </w:rPr>
            </w:pPr>
            <w:r>
              <w:rPr>
                <w:spacing w:val="-2"/>
                <w:sz w:val="24"/>
              </w:rPr>
              <w:t>0,273</w:t>
            </w:r>
          </w:p>
        </w:tc>
        <w:tc>
          <w:tcPr>
            <w:tcW w:w="1419" w:type="dxa"/>
            <w:tcBorders>
              <w:top w:val="double" w:sz="6" w:space="0" w:color="000000"/>
              <w:left w:val="double" w:sz="6" w:space="0" w:color="000000"/>
              <w:bottom w:val="double" w:sz="6" w:space="0" w:color="000000"/>
              <w:right w:val="double" w:sz="6" w:space="0" w:color="000000"/>
            </w:tcBorders>
          </w:tcPr>
          <w:p>
            <w:pPr>
              <w:pStyle w:val="TableParagraph"/>
              <w:spacing w:before="22"/>
              <w:rPr>
                <w:sz w:val="24"/>
              </w:rPr>
            </w:pPr>
          </w:p>
          <w:p>
            <w:pPr>
              <w:pStyle w:val="TableParagraph"/>
              <w:ind w:left="8"/>
              <w:jc w:val="center"/>
              <w:rPr>
                <w:sz w:val="24"/>
              </w:rPr>
            </w:pPr>
            <w:r>
              <w:rPr>
                <w:spacing w:val="-2"/>
                <w:sz w:val="24"/>
              </w:rPr>
              <w:t>0,246</w:t>
            </w:r>
          </w:p>
        </w:tc>
        <w:tc>
          <w:tcPr>
            <w:tcW w:w="886" w:type="dxa"/>
            <w:tcBorders>
              <w:top w:val="double" w:sz="6" w:space="0" w:color="000000"/>
              <w:left w:val="double" w:sz="6" w:space="0" w:color="000000"/>
              <w:bottom w:val="double" w:sz="6" w:space="0" w:color="000000"/>
            </w:tcBorders>
          </w:tcPr>
          <w:p>
            <w:pPr>
              <w:pStyle w:val="TableParagraph"/>
              <w:spacing w:before="22"/>
              <w:rPr>
                <w:sz w:val="24"/>
              </w:rPr>
            </w:pPr>
          </w:p>
          <w:p>
            <w:pPr>
              <w:pStyle w:val="TableParagraph"/>
              <w:ind w:left="17"/>
              <w:jc w:val="center"/>
              <w:rPr>
                <w:sz w:val="24"/>
              </w:rPr>
            </w:pPr>
            <w:r>
              <w:rPr>
                <w:sz w:val="24"/>
              </w:rPr>
              <w:t>-</w:t>
            </w:r>
          </w:p>
        </w:tc>
      </w:tr>
      <w:tr>
        <w:trPr>
          <w:trHeight w:val="589" w:hRule="atLeast"/>
        </w:trPr>
        <w:tc>
          <w:tcPr>
            <w:tcW w:w="418" w:type="dxa"/>
            <w:tcBorders>
              <w:top w:val="double" w:sz="6" w:space="0" w:color="000000"/>
              <w:right w:val="double" w:sz="6" w:space="0" w:color="000000"/>
            </w:tcBorders>
          </w:tcPr>
          <w:p>
            <w:pPr>
              <w:pStyle w:val="TableParagraph"/>
              <w:spacing w:before="159"/>
              <w:ind w:left="99" w:right="1"/>
              <w:jc w:val="center"/>
              <w:rPr>
                <w:sz w:val="24"/>
              </w:rPr>
            </w:pPr>
            <w:r>
              <w:rPr>
                <w:spacing w:val="-5"/>
                <w:sz w:val="24"/>
              </w:rPr>
              <w:t>38</w:t>
            </w:r>
          </w:p>
        </w:tc>
        <w:tc>
          <w:tcPr>
            <w:tcW w:w="1559" w:type="dxa"/>
            <w:tcBorders>
              <w:top w:val="double" w:sz="6" w:space="0" w:color="000000"/>
              <w:left w:val="double" w:sz="6" w:space="0" w:color="000000"/>
              <w:right w:val="double" w:sz="6" w:space="0" w:color="000000"/>
            </w:tcBorders>
          </w:tcPr>
          <w:p>
            <w:pPr>
              <w:pStyle w:val="TableParagraph"/>
              <w:spacing w:line="270" w:lineRule="atLeast" w:before="18"/>
              <w:ind w:left="28"/>
              <w:rPr>
                <w:sz w:val="24"/>
              </w:rPr>
            </w:pPr>
            <w:r>
              <w:rPr>
                <w:spacing w:val="-2"/>
                <w:sz w:val="24"/>
              </w:rPr>
              <w:t>Отсутствие акросомы</w:t>
            </w:r>
          </w:p>
        </w:tc>
        <w:tc>
          <w:tcPr>
            <w:tcW w:w="2411" w:type="dxa"/>
            <w:tcBorders>
              <w:top w:val="double" w:sz="6" w:space="0" w:color="000000"/>
              <w:left w:val="double" w:sz="6" w:space="0" w:color="000000"/>
              <w:right w:val="double" w:sz="6" w:space="0" w:color="000000"/>
            </w:tcBorders>
          </w:tcPr>
          <w:p>
            <w:pPr>
              <w:pStyle w:val="TableParagraph"/>
              <w:spacing w:before="159"/>
              <w:ind w:left="10" w:right="3"/>
              <w:jc w:val="center"/>
              <w:rPr>
                <w:sz w:val="24"/>
              </w:rPr>
            </w:pPr>
            <w:r>
              <w:rPr>
                <w:spacing w:val="-10"/>
                <w:sz w:val="24"/>
              </w:rPr>
              <w:t>2</w:t>
            </w:r>
          </w:p>
        </w:tc>
        <w:tc>
          <w:tcPr>
            <w:tcW w:w="991" w:type="dxa"/>
            <w:tcBorders>
              <w:top w:val="double" w:sz="6" w:space="0" w:color="000000"/>
              <w:left w:val="double" w:sz="6" w:space="0" w:color="000000"/>
              <w:right w:val="double" w:sz="6" w:space="0" w:color="000000"/>
            </w:tcBorders>
          </w:tcPr>
          <w:p>
            <w:pPr>
              <w:pStyle w:val="TableParagraph"/>
              <w:spacing w:before="159"/>
              <w:ind w:left="13"/>
              <w:jc w:val="center"/>
              <w:rPr>
                <w:sz w:val="24"/>
              </w:rPr>
            </w:pPr>
            <w:r>
              <w:rPr>
                <w:spacing w:val="-10"/>
                <w:sz w:val="24"/>
              </w:rPr>
              <w:t>8</w:t>
            </w:r>
          </w:p>
        </w:tc>
        <w:tc>
          <w:tcPr>
            <w:tcW w:w="1121" w:type="dxa"/>
            <w:tcBorders>
              <w:top w:val="double" w:sz="6" w:space="0" w:color="000000"/>
              <w:left w:val="double" w:sz="6" w:space="0" w:color="000000"/>
              <w:right w:val="double" w:sz="6" w:space="0" w:color="000000"/>
            </w:tcBorders>
          </w:tcPr>
          <w:p>
            <w:pPr>
              <w:pStyle w:val="TableParagraph"/>
              <w:spacing w:before="159"/>
              <w:ind w:left="10"/>
              <w:jc w:val="center"/>
              <w:rPr>
                <w:sz w:val="24"/>
              </w:rPr>
            </w:pPr>
            <w:r>
              <w:rPr>
                <w:spacing w:val="-4"/>
                <w:sz w:val="24"/>
              </w:rPr>
              <w:t>0,25</w:t>
            </w:r>
          </w:p>
        </w:tc>
        <w:tc>
          <w:tcPr>
            <w:tcW w:w="1431" w:type="dxa"/>
            <w:tcBorders>
              <w:top w:val="double" w:sz="6" w:space="0" w:color="000000"/>
              <w:left w:val="double" w:sz="6" w:space="0" w:color="000000"/>
              <w:right w:val="double" w:sz="6" w:space="0" w:color="000000"/>
            </w:tcBorders>
          </w:tcPr>
          <w:p>
            <w:pPr>
              <w:pStyle w:val="TableParagraph"/>
              <w:spacing w:before="159"/>
              <w:ind w:left="10" w:right="3"/>
              <w:jc w:val="center"/>
              <w:rPr>
                <w:sz w:val="24"/>
              </w:rPr>
            </w:pPr>
            <w:r>
              <w:rPr>
                <w:spacing w:val="-2"/>
                <w:sz w:val="24"/>
              </w:rPr>
              <w:t>0,291</w:t>
            </w:r>
          </w:p>
        </w:tc>
        <w:tc>
          <w:tcPr>
            <w:tcW w:w="1419" w:type="dxa"/>
            <w:tcBorders>
              <w:top w:val="double" w:sz="6" w:space="0" w:color="000000"/>
              <w:left w:val="double" w:sz="6" w:space="0" w:color="000000"/>
              <w:right w:val="double" w:sz="6" w:space="0" w:color="000000"/>
            </w:tcBorders>
          </w:tcPr>
          <w:p>
            <w:pPr>
              <w:pStyle w:val="TableParagraph"/>
              <w:spacing w:before="159"/>
              <w:ind w:left="8"/>
              <w:jc w:val="center"/>
              <w:rPr>
                <w:sz w:val="24"/>
              </w:rPr>
            </w:pPr>
            <w:r>
              <w:rPr>
                <w:spacing w:val="-2"/>
                <w:sz w:val="24"/>
              </w:rPr>
              <w:t>0,259</w:t>
            </w:r>
          </w:p>
        </w:tc>
        <w:tc>
          <w:tcPr>
            <w:tcW w:w="886" w:type="dxa"/>
            <w:tcBorders>
              <w:top w:val="double" w:sz="6" w:space="0" w:color="000000"/>
              <w:left w:val="double" w:sz="6" w:space="0" w:color="000000"/>
            </w:tcBorders>
          </w:tcPr>
          <w:p>
            <w:pPr>
              <w:pStyle w:val="TableParagraph"/>
              <w:spacing w:before="159"/>
              <w:ind w:left="17"/>
              <w:jc w:val="center"/>
              <w:rPr>
                <w:sz w:val="24"/>
              </w:rPr>
            </w:pPr>
            <w:r>
              <w:rPr>
                <w:sz w:val="24"/>
              </w:rPr>
              <w:t>-</w:t>
            </w:r>
          </w:p>
        </w:tc>
      </w:tr>
    </w:tbl>
    <w:p>
      <w:pPr>
        <w:pStyle w:val="BodyText"/>
        <w:spacing w:before="14"/>
        <w:jc w:val="left"/>
      </w:pPr>
    </w:p>
    <w:p>
      <w:pPr>
        <w:pStyle w:val="BodyText"/>
        <w:spacing w:line="256" w:lineRule="auto" w:before="1"/>
        <w:ind w:left="143" w:right="420" w:firstLine="708"/>
      </w:pPr>
      <w:r>
        <w:rPr/>
        <w:t>Влияние ЭМИ в представленном режиме на ультраструктуры сперматозоидов человека нами характеризуется как невыраженное. Оно требует дополнительного исследования, поскольку получены данные, которые с трудом согласуются с уже имеющимися знаниями (изменение консервативных ультраструктур). Данные о влиянии ЭМИ на ультраструктуры, которые теоретически могут иметь под собой основания нуждаются в дополнительной проверке и всестороннему анализу.</w:t>
      </w:r>
      <w:r>
        <w:rPr>
          <w:spacing w:val="40"/>
        </w:rPr>
        <w:t> </w:t>
      </w:r>
      <w:r>
        <w:rPr/>
        <w:t>С целью уточнения влияния ЭМИ на митохондрии и генетический аппарат сперматозоидов проведены конфокальная лазерная сканирующая микроскопия и оценка фрагментации ДНК методом мечения концов ДНК терминальной дезоксинуклеотидилтрансферазой dUTP (TUNEL), см.п. 3.2.5 и 3.2.6.</w:t>
      </w:r>
    </w:p>
    <w:p>
      <w:pPr>
        <w:pStyle w:val="BodyText"/>
        <w:spacing w:after="0" w:line="256" w:lineRule="auto"/>
        <w:sectPr>
          <w:pgSz w:w="11910" w:h="16840"/>
          <w:pgMar w:header="0" w:footer="990" w:top="400" w:bottom="1200" w:left="708" w:right="425"/>
        </w:sectPr>
      </w:pPr>
    </w:p>
    <w:p>
      <w:pPr>
        <w:pStyle w:val="Heading2"/>
        <w:numPr>
          <w:ilvl w:val="2"/>
          <w:numId w:val="4"/>
        </w:numPr>
        <w:tabs>
          <w:tab w:pos="1572" w:val="left" w:leader="none"/>
        </w:tabs>
        <w:spacing w:line="256" w:lineRule="auto" w:before="69" w:after="0"/>
        <w:ind w:left="144" w:right="421" w:firstLine="707"/>
        <w:jc w:val="both"/>
      </w:pPr>
      <w:r>
        <w:rPr/>
        <w:t>Регистрация генетически-детерминированных ультраструктурных пороков сперматозоидов человека при астенозооспермии</w:t>
      </w:r>
    </w:p>
    <w:p>
      <w:pPr>
        <w:pStyle w:val="BodyText"/>
        <w:spacing w:line="256" w:lineRule="auto"/>
        <w:ind w:left="144" w:right="418" w:firstLine="707"/>
      </w:pPr>
      <w:r>
        <w:rPr/>
        <w:t>Астенозооспермия и тератозооспермия, возникающие в результате умеренных или тяжелых морфологических дефектов жгутика сперматозоидов могут иметь генетически детерминированную природу [223]. В частности, за последнее десятилетие была проведена большая работа по генетическому исследованию ММАЖ сперматозоидов [224-226]. Сообщается о связи ММАЖ и мутаций в генах </w:t>
      </w:r>
      <w:r>
        <w:rPr>
          <w:i/>
        </w:rPr>
        <w:t>CFAP43 </w:t>
      </w:r>
      <w:r>
        <w:rPr/>
        <w:t>и </w:t>
      </w:r>
      <w:r>
        <w:rPr>
          <w:i/>
        </w:rPr>
        <w:t>CFAP44</w:t>
      </w:r>
      <w:r>
        <w:rPr/>
        <w:t>, при этом доля сперматозоидов с аномальными жгутиками у мужчин с АТЗС, несущих мутантные аллели, составляет от 79,5 до 99,5% [227]. Мутации</w:t>
      </w:r>
      <w:r>
        <w:rPr>
          <w:spacing w:val="-1"/>
        </w:rPr>
        <w:t> </w:t>
      </w:r>
      <w:r>
        <w:rPr/>
        <w:t>в</w:t>
      </w:r>
      <w:r>
        <w:rPr>
          <w:spacing w:val="-2"/>
        </w:rPr>
        <w:t> </w:t>
      </w:r>
      <w:r>
        <w:rPr/>
        <w:t>гене</w:t>
      </w:r>
      <w:r>
        <w:rPr>
          <w:spacing w:val="-6"/>
        </w:rPr>
        <w:t> </w:t>
      </w:r>
      <w:r>
        <w:rPr>
          <w:i/>
        </w:rPr>
        <w:t>DNAH1</w:t>
      </w:r>
      <w:r>
        <w:rPr/>
        <w:t>,</w:t>
      </w:r>
      <w:r>
        <w:rPr>
          <w:spacing w:val="-4"/>
        </w:rPr>
        <w:t> </w:t>
      </w:r>
      <w:r>
        <w:rPr/>
        <w:t>играющем</w:t>
      </w:r>
      <w:r>
        <w:rPr>
          <w:spacing w:val="-4"/>
        </w:rPr>
        <w:t> </w:t>
      </w:r>
      <w:r>
        <w:rPr/>
        <w:t>роль</w:t>
      </w:r>
      <w:r>
        <w:rPr>
          <w:spacing w:val="-2"/>
        </w:rPr>
        <w:t> </w:t>
      </w:r>
      <w:r>
        <w:rPr/>
        <w:t>в</w:t>
      </w:r>
      <w:r>
        <w:rPr>
          <w:spacing w:val="-2"/>
        </w:rPr>
        <w:t> </w:t>
      </w:r>
      <w:r>
        <w:rPr/>
        <w:t>формировании</w:t>
      </w:r>
      <w:r>
        <w:rPr>
          <w:spacing w:val="-1"/>
        </w:rPr>
        <w:t> </w:t>
      </w:r>
      <w:r>
        <w:rPr/>
        <w:t>аксонемы</w:t>
      </w:r>
      <w:r>
        <w:rPr>
          <w:spacing w:val="-1"/>
        </w:rPr>
        <w:t> </w:t>
      </w:r>
      <w:r>
        <w:rPr/>
        <w:t>сперматозоидов, ассоциированы с дефектами жгутиков [228]. Варианты </w:t>
      </w:r>
      <w:r>
        <w:rPr>
          <w:i/>
        </w:rPr>
        <w:t>DNHD1 </w:t>
      </w:r>
      <w:r>
        <w:rPr/>
        <w:t>и </w:t>
      </w:r>
      <w:r>
        <w:rPr>
          <w:i/>
        </w:rPr>
        <w:t>CFAP65 </w:t>
      </w:r>
      <w:r>
        <w:rPr/>
        <w:t>могут оказывать негативный эффект как на структуру аксонемы, так и на строение митохондриальной мембраны [229-230]. Также идентифицированы гены-кандидаты, характерные для других типов аномалий. К самым распространенным морфологическим нарушениям относят дефекты головки, причиной которых могут быть, например: ген </w:t>
      </w:r>
      <w:r>
        <w:rPr>
          <w:i/>
        </w:rPr>
        <w:t>AURKC</w:t>
      </w:r>
      <w:r>
        <w:rPr/>
        <w:t>, мутации в котором вызывают макрозооспермию – сперматозоиды с крупной головкой, и мутации </w:t>
      </w:r>
      <w:r>
        <w:rPr>
          <w:i/>
        </w:rPr>
        <w:t>DPY19L2, C2CD6, CCIN, GGN, PICK1, SPATA16, ZPBP1</w:t>
      </w:r>
      <w:r>
        <w:rPr/>
        <w:t>, отмеченные для глобозооспермии. Мутации в </w:t>
      </w:r>
      <w:r>
        <w:rPr>
          <w:i/>
        </w:rPr>
        <w:t>PICK1 </w:t>
      </w:r>
      <w:r>
        <w:rPr/>
        <w:t>приводят к появлению фенотипа, подобного глобозооспермии, однако также существует доказательство его роли в нарушениях формирования акросомы, он является причиной ее фрагментации на ранних стадиях сперматогенеза [231]. Описаны случаи тяжелой ТЗС с преобладающими аномалиями аморфной головки, спровоцированной миссенс-вариантом гена эндогенного мейотического ингибитора 2 </w:t>
      </w:r>
      <w:r>
        <w:rPr>
          <w:i/>
        </w:rPr>
        <w:t>FBXO43 </w:t>
      </w:r>
      <w:r>
        <w:rPr/>
        <w:t>[232].</w:t>
      </w:r>
    </w:p>
    <w:p>
      <w:pPr>
        <w:pStyle w:val="BodyText"/>
        <w:spacing w:line="297" w:lineRule="exact"/>
        <w:ind w:left="852"/>
      </w:pPr>
      <w:r>
        <w:rPr/>
        <w:t>Полученные</w:t>
      </w:r>
      <w:r>
        <w:rPr>
          <w:spacing w:val="53"/>
          <w:w w:val="150"/>
        </w:rPr>
        <w:t> </w:t>
      </w:r>
      <w:r>
        <w:rPr/>
        <w:t>снимки</w:t>
      </w:r>
      <w:r>
        <w:rPr>
          <w:spacing w:val="56"/>
          <w:w w:val="150"/>
        </w:rPr>
        <w:t> </w:t>
      </w:r>
      <w:r>
        <w:rPr/>
        <w:t>иллюстрируют</w:t>
      </w:r>
      <w:r>
        <w:rPr>
          <w:spacing w:val="55"/>
          <w:w w:val="150"/>
        </w:rPr>
        <w:t> </w:t>
      </w:r>
      <w:r>
        <w:rPr/>
        <w:t>дефекты</w:t>
      </w:r>
      <w:r>
        <w:rPr>
          <w:spacing w:val="56"/>
          <w:w w:val="150"/>
        </w:rPr>
        <w:t> </w:t>
      </w:r>
      <w:r>
        <w:rPr/>
        <w:t>морфологии</w:t>
      </w:r>
      <w:r>
        <w:rPr>
          <w:spacing w:val="56"/>
          <w:w w:val="150"/>
        </w:rPr>
        <w:t> </w:t>
      </w:r>
      <w:r>
        <w:rPr>
          <w:spacing w:val="-2"/>
        </w:rPr>
        <w:t>сперматозоидов,</w:t>
      </w:r>
    </w:p>
    <w:p>
      <w:pPr>
        <w:pStyle w:val="BodyText"/>
        <w:spacing w:line="256" w:lineRule="auto" w:before="18"/>
        <w:ind w:left="144" w:right="419"/>
      </w:pPr>
      <w:r>
        <w:rPr/>
        <w:t>которые могут быть причиной нарушений их подвижности и оплодотворяющей функции. На представленном срезе жгутика (Рис. 36) отчетливо</w:t>
      </w:r>
      <w:r>
        <w:rPr>
          <w:spacing w:val="40"/>
        </w:rPr>
        <w:t> </w:t>
      </w:r>
      <w:r>
        <w:rPr/>
        <w:t>продемонстрирована аномалия аксонемы: неправильное расположение микротрубочек, нарушение количество микротрубочек аксонемы. Нарушения в структуре аксонемы вызывают снижение показателя подвижности в эякуляте, что в свою очередь ведет</w:t>
      </w:r>
      <w:r>
        <w:rPr>
          <w:spacing w:val="-2"/>
        </w:rPr>
        <w:t> </w:t>
      </w:r>
      <w:r>
        <w:rPr/>
        <w:t>к снижению</w:t>
      </w:r>
      <w:r>
        <w:rPr>
          <w:spacing w:val="-2"/>
        </w:rPr>
        <w:t> </w:t>
      </w:r>
      <w:r>
        <w:rPr/>
        <w:t>фертильности. Гетерогенные аномалии морфологии аксонемы жгутика при астенозооспермии, как правило, являются следствием функциональных нарушений [40].</w:t>
      </w:r>
    </w:p>
    <w:p>
      <w:pPr>
        <w:pStyle w:val="BodyText"/>
        <w:spacing w:after="0" w:line="256" w:lineRule="auto"/>
        <w:sectPr>
          <w:pgSz w:w="11910" w:h="16840"/>
          <w:pgMar w:header="0" w:footer="990" w:top="340" w:bottom="1200" w:left="708" w:right="425"/>
        </w:sectPr>
      </w:pPr>
    </w:p>
    <w:p>
      <w:pPr>
        <w:spacing w:line="240" w:lineRule="auto"/>
        <w:ind w:left="2418" w:right="0" w:firstLine="0"/>
        <w:rPr>
          <w:sz w:val="20"/>
        </w:rPr>
      </w:pPr>
      <w:r>
        <w:rPr>
          <w:sz w:val="20"/>
        </w:rPr>
        <w:drawing>
          <wp:inline distT="0" distB="0" distL="0" distR="0">
            <wp:extent cx="3564116" cy="2720340"/>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59" cstate="print"/>
                    <a:stretch>
                      <a:fillRect/>
                    </a:stretch>
                  </pic:blipFill>
                  <pic:spPr>
                    <a:xfrm>
                      <a:off x="0" y="0"/>
                      <a:ext cx="3564116" cy="2720340"/>
                    </a:xfrm>
                    <a:prstGeom prst="rect">
                      <a:avLst/>
                    </a:prstGeom>
                  </pic:spPr>
                </pic:pic>
              </a:graphicData>
            </a:graphic>
          </wp:inline>
        </w:drawing>
      </w:r>
      <w:r>
        <w:rPr>
          <w:sz w:val="20"/>
        </w:rPr>
      </w:r>
    </w:p>
    <w:p>
      <w:pPr>
        <w:pStyle w:val="BodyText"/>
        <w:spacing w:line="256" w:lineRule="auto" w:before="64"/>
        <w:ind w:left="69" w:right="351"/>
        <w:jc w:val="center"/>
      </w:pPr>
      <w:r>
        <w:rPr/>
        <w:t>Рисунок</w:t>
      </w:r>
      <w:r>
        <w:rPr>
          <w:spacing w:val="-5"/>
        </w:rPr>
        <w:t> </w:t>
      </w:r>
      <w:r>
        <w:rPr/>
        <w:t>36</w:t>
      </w:r>
      <w:r>
        <w:rPr>
          <w:spacing w:val="-4"/>
        </w:rPr>
        <w:t> </w:t>
      </w:r>
      <w:r>
        <w:rPr>
          <w:rFonts w:ascii="Arial MT" w:hAnsi="Arial MT"/>
          <w:color w:val="454545"/>
          <w:sz w:val="21"/>
        </w:rPr>
        <w:t>—</w:t>
      </w:r>
      <w:r>
        <w:rPr>
          <w:rFonts w:ascii="Arial MT" w:hAnsi="Arial MT"/>
          <w:color w:val="454545"/>
          <w:spacing w:val="-3"/>
          <w:sz w:val="21"/>
        </w:rPr>
        <w:t> </w:t>
      </w:r>
      <w:r>
        <w:rPr/>
        <w:t>Поперечный</w:t>
      </w:r>
      <w:r>
        <w:rPr>
          <w:spacing w:val="-2"/>
        </w:rPr>
        <w:t> </w:t>
      </w:r>
      <w:r>
        <w:rPr/>
        <w:t>срез</w:t>
      </w:r>
      <w:r>
        <w:rPr>
          <w:spacing w:val="-3"/>
        </w:rPr>
        <w:t> </w:t>
      </w:r>
      <w:r>
        <w:rPr/>
        <w:t>через</w:t>
      </w:r>
      <w:r>
        <w:rPr>
          <w:spacing w:val="-3"/>
        </w:rPr>
        <w:t> </w:t>
      </w:r>
      <w:r>
        <w:rPr/>
        <w:t>жгутик</w:t>
      </w:r>
      <w:r>
        <w:rPr>
          <w:spacing w:val="-3"/>
        </w:rPr>
        <w:t> </w:t>
      </w:r>
      <w:r>
        <w:rPr/>
        <w:t>сперматозоида</w:t>
      </w:r>
      <w:r>
        <w:rPr>
          <w:spacing w:val="-5"/>
        </w:rPr>
        <w:t> </w:t>
      </w:r>
      <w:r>
        <w:rPr/>
        <w:t>из</w:t>
      </w:r>
      <w:r>
        <w:rPr>
          <w:spacing w:val="-3"/>
        </w:rPr>
        <w:t> </w:t>
      </w:r>
      <w:r>
        <w:rPr/>
        <w:t>эякулята</w:t>
      </w:r>
      <w:r>
        <w:rPr>
          <w:spacing w:val="-3"/>
        </w:rPr>
        <w:t> </w:t>
      </w:r>
      <w:r>
        <w:rPr/>
        <w:t>пациента</w:t>
      </w:r>
      <w:r>
        <w:rPr>
          <w:spacing w:val="-3"/>
        </w:rPr>
        <w:t> </w:t>
      </w:r>
      <w:r>
        <w:rPr/>
        <w:t>с </w:t>
      </w:r>
      <w:r>
        <w:rPr>
          <w:spacing w:val="-2"/>
        </w:rPr>
        <w:t>астенозооспермией.</w:t>
      </w:r>
    </w:p>
    <w:p>
      <w:pPr>
        <w:spacing w:line="256" w:lineRule="auto" w:before="0"/>
        <w:ind w:left="206" w:right="485" w:hanging="5"/>
        <w:jc w:val="center"/>
        <w:rPr>
          <w:sz w:val="24"/>
        </w:rPr>
      </w:pPr>
      <w:r>
        <w:rPr>
          <w:sz w:val="24"/>
        </w:rPr>
        <w:t>Аномальное расположение микротрубочек аксонемы. Девятая пара микротрубочек сдвинута к центру</w:t>
      </w:r>
      <w:r>
        <w:rPr>
          <w:spacing w:val="-4"/>
          <w:sz w:val="24"/>
        </w:rPr>
        <w:t> </w:t>
      </w:r>
      <w:r>
        <w:rPr>
          <w:sz w:val="24"/>
        </w:rPr>
        <w:t>аксонемы,</w:t>
      </w:r>
      <w:r>
        <w:rPr>
          <w:spacing w:val="-4"/>
          <w:sz w:val="24"/>
        </w:rPr>
        <w:t> </w:t>
      </w:r>
      <w:r>
        <w:rPr>
          <w:sz w:val="24"/>
        </w:rPr>
        <w:t>присутствуют</w:t>
      </w:r>
      <w:r>
        <w:rPr>
          <w:spacing w:val="-4"/>
          <w:sz w:val="24"/>
        </w:rPr>
        <w:t> </w:t>
      </w:r>
      <w:r>
        <w:rPr>
          <w:sz w:val="24"/>
        </w:rPr>
        <w:t>два</w:t>
      </w:r>
      <w:r>
        <w:rPr>
          <w:spacing w:val="-5"/>
          <w:sz w:val="24"/>
        </w:rPr>
        <w:t> </w:t>
      </w:r>
      <w:r>
        <w:rPr>
          <w:sz w:val="24"/>
        </w:rPr>
        <w:t>добавочных</w:t>
      </w:r>
      <w:r>
        <w:rPr>
          <w:spacing w:val="-4"/>
          <w:sz w:val="24"/>
        </w:rPr>
        <w:t> </w:t>
      </w:r>
      <w:r>
        <w:rPr>
          <w:sz w:val="24"/>
        </w:rPr>
        <w:t>дуплета</w:t>
      </w:r>
      <w:r>
        <w:rPr>
          <w:spacing w:val="-5"/>
          <w:sz w:val="24"/>
        </w:rPr>
        <w:t> </w:t>
      </w:r>
      <w:r>
        <w:rPr>
          <w:sz w:val="24"/>
        </w:rPr>
        <w:t>и</w:t>
      </w:r>
      <w:r>
        <w:rPr>
          <w:spacing w:val="-3"/>
          <w:sz w:val="24"/>
        </w:rPr>
        <w:t> </w:t>
      </w:r>
      <w:r>
        <w:rPr>
          <w:sz w:val="24"/>
        </w:rPr>
        <w:t>добавочная</w:t>
      </w:r>
      <w:r>
        <w:rPr>
          <w:spacing w:val="-4"/>
          <w:sz w:val="24"/>
        </w:rPr>
        <w:t> </w:t>
      </w:r>
      <w:r>
        <w:rPr>
          <w:sz w:val="24"/>
        </w:rPr>
        <w:t>одиночная</w:t>
      </w:r>
      <w:r>
        <w:rPr>
          <w:spacing w:val="-4"/>
          <w:sz w:val="24"/>
        </w:rPr>
        <w:t> </w:t>
      </w:r>
      <w:r>
        <w:rPr>
          <w:sz w:val="24"/>
        </w:rPr>
        <w:t>микротрубочка (белые стрелки). ФО – фиброзная оболочка жгутика, Д – дуплеты аксонемы. Окраска: ацетат уранила, цитрат свинца [40]. Увеличение х25000</w:t>
      </w:r>
    </w:p>
    <w:p>
      <w:pPr>
        <w:pStyle w:val="BodyText"/>
        <w:spacing w:before="14"/>
        <w:jc w:val="left"/>
        <w:rPr>
          <w:sz w:val="24"/>
        </w:rPr>
      </w:pPr>
    </w:p>
    <w:p>
      <w:pPr>
        <w:pStyle w:val="BodyText"/>
        <w:spacing w:line="256" w:lineRule="auto"/>
        <w:ind w:left="144" w:right="421" w:firstLine="707"/>
      </w:pPr>
      <w:r>
        <w:rPr/>
        <w:t>Выявление гомогенных аномалий аксонемы (отсутствие динеиновых ручек аксонемы, отсутствие центральной пары микротрубочек) свидетельствует о возможности генетически обусловленной формы астенозооспермии (рис.37).</w:t>
      </w:r>
    </w:p>
    <w:p>
      <w:pPr>
        <w:pStyle w:val="BodyText"/>
        <w:spacing w:before="85"/>
        <w:jc w:val="left"/>
        <w:rPr>
          <w:sz w:val="20"/>
        </w:rPr>
      </w:pPr>
      <w:r>
        <w:rPr>
          <w:sz w:val="20"/>
        </w:rPr>
        <w:drawing>
          <wp:anchor distT="0" distB="0" distL="0" distR="0" allowOverlap="1" layoutInCell="1" locked="0" behindDoc="1" simplePos="0" relativeHeight="487612416">
            <wp:simplePos x="0" y="0"/>
            <wp:positionH relativeFrom="page">
              <wp:posOffset>1900885</wp:posOffset>
            </wp:positionH>
            <wp:positionV relativeFrom="paragraph">
              <wp:posOffset>215817</wp:posOffset>
            </wp:positionV>
            <wp:extent cx="3767329" cy="2505456"/>
            <wp:effectExtent l="0" t="0" r="0" b="0"/>
            <wp:wrapTopAndBottom/>
            <wp:docPr id="87" name="Image 87"/>
            <wp:cNvGraphicFramePr>
              <a:graphicFrameLocks/>
            </wp:cNvGraphicFramePr>
            <a:graphic>
              <a:graphicData uri="http://schemas.openxmlformats.org/drawingml/2006/picture">
                <pic:pic>
                  <pic:nvPicPr>
                    <pic:cNvPr id="87" name="Image 87"/>
                    <pic:cNvPicPr/>
                  </pic:nvPicPr>
                  <pic:blipFill>
                    <a:blip r:embed="rId60" cstate="print"/>
                    <a:stretch>
                      <a:fillRect/>
                    </a:stretch>
                  </pic:blipFill>
                  <pic:spPr>
                    <a:xfrm>
                      <a:off x="0" y="0"/>
                      <a:ext cx="3767329" cy="2505456"/>
                    </a:xfrm>
                    <a:prstGeom prst="rect">
                      <a:avLst/>
                    </a:prstGeom>
                  </pic:spPr>
                </pic:pic>
              </a:graphicData>
            </a:graphic>
          </wp:anchor>
        </w:drawing>
      </w:r>
    </w:p>
    <w:p>
      <w:pPr>
        <w:pStyle w:val="BodyText"/>
        <w:spacing w:line="256" w:lineRule="auto" w:before="14"/>
        <w:ind w:left="2651" w:hanging="1392"/>
        <w:jc w:val="left"/>
      </w:pPr>
      <w:r>
        <w:rPr/>
        <w:t>Рисунок</w:t>
      </w:r>
      <w:r>
        <w:rPr>
          <w:spacing w:val="-6"/>
        </w:rPr>
        <w:t> </w:t>
      </w:r>
      <w:r>
        <w:rPr/>
        <w:t>37</w:t>
      </w:r>
      <w:r>
        <w:rPr>
          <w:spacing w:val="-5"/>
        </w:rPr>
        <w:t> </w:t>
      </w:r>
      <w:r>
        <w:rPr>
          <w:rFonts w:ascii="Arial MT" w:hAnsi="Arial MT"/>
          <w:color w:val="454545"/>
          <w:sz w:val="21"/>
        </w:rPr>
        <w:t>—</w:t>
      </w:r>
      <w:r>
        <w:rPr>
          <w:rFonts w:ascii="Arial MT" w:hAnsi="Arial MT"/>
          <w:color w:val="454545"/>
          <w:spacing w:val="-3"/>
          <w:sz w:val="21"/>
        </w:rPr>
        <w:t> </w:t>
      </w:r>
      <w:r>
        <w:rPr/>
        <w:t>Поперечный</w:t>
      </w:r>
      <w:r>
        <w:rPr>
          <w:spacing w:val="-3"/>
        </w:rPr>
        <w:t> </w:t>
      </w:r>
      <w:r>
        <w:rPr/>
        <w:t>срез</w:t>
      </w:r>
      <w:r>
        <w:rPr>
          <w:spacing w:val="-4"/>
        </w:rPr>
        <w:t> </w:t>
      </w:r>
      <w:r>
        <w:rPr/>
        <w:t>через</w:t>
      </w:r>
      <w:r>
        <w:rPr>
          <w:spacing w:val="-4"/>
        </w:rPr>
        <w:t> </w:t>
      </w:r>
      <w:r>
        <w:rPr/>
        <w:t>жгутик</w:t>
      </w:r>
      <w:r>
        <w:rPr>
          <w:spacing w:val="-3"/>
        </w:rPr>
        <w:t> </w:t>
      </w:r>
      <w:r>
        <w:rPr/>
        <w:t>сперматозоида</w:t>
      </w:r>
      <w:r>
        <w:rPr>
          <w:spacing w:val="-6"/>
        </w:rPr>
        <w:t> </w:t>
      </w:r>
      <w:r>
        <w:rPr/>
        <w:t>из</w:t>
      </w:r>
      <w:r>
        <w:rPr>
          <w:spacing w:val="-4"/>
        </w:rPr>
        <w:t> </w:t>
      </w:r>
      <w:r>
        <w:rPr/>
        <w:t>эякулята пациента с абсолютной астенозооспермией</w:t>
      </w:r>
    </w:p>
    <w:p>
      <w:pPr>
        <w:spacing w:line="256" w:lineRule="auto" w:before="0"/>
        <w:ind w:left="1428" w:right="0" w:hanging="576"/>
        <w:jc w:val="left"/>
        <w:rPr>
          <w:sz w:val="24"/>
        </w:rPr>
      </w:pPr>
      <w:r>
        <w:rPr>
          <w:sz w:val="24"/>
        </w:rPr>
        <w:t>Отсутствуют</w:t>
      </w:r>
      <w:r>
        <w:rPr>
          <w:spacing w:val="-6"/>
          <w:sz w:val="24"/>
        </w:rPr>
        <w:t> </w:t>
      </w:r>
      <w:r>
        <w:rPr>
          <w:sz w:val="24"/>
        </w:rPr>
        <w:t>динеиновые</w:t>
      </w:r>
      <w:r>
        <w:rPr>
          <w:spacing w:val="-6"/>
          <w:sz w:val="24"/>
        </w:rPr>
        <w:t> </w:t>
      </w:r>
      <w:r>
        <w:rPr>
          <w:sz w:val="24"/>
        </w:rPr>
        <w:t>ручки</w:t>
      </w:r>
      <w:r>
        <w:rPr>
          <w:spacing w:val="-5"/>
          <w:sz w:val="24"/>
        </w:rPr>
        <w:t> </w:t>
      </w:r>
      <w:r>
        <w:rPr>
          <w:sz w:val="24"/>
        </w:rPr>
        <w:t>периферических</w:t>
      </w:r>
      <w:r>
        <w:rPr>
          <w:spacing w:val="-6"/>
          <w:sz w:val="24"/>
        </w:rPr>
        <w:t> </w:t>
      </w:r>
      <w:r>
        <w:rPr>
          <w:sz w:val="24"/>
        </w:rPr>
        <w:t>дуплетов</w:t>
      </w:r>
      <w:r>
        <w:rPr>
          <w:spacing w:val="-6"/>
          <w:sz w:val="24"/>
        </w:rPr>
        <w:t> </w:t>
      </w:r>
      <w:r>
        <w:rPr>
          <w:sz w:val="24"/>
        </w:rPr>
        <w:t>микротрубочек</w:t>
      </w:r>
      <w:r>
        <w:rPr>
          <w:spacing w:val="-5"/>
          <w:sz w:val="24"/>
        </w:rPr>
        <w:t> </w:t>
      </w:r>
      <w:r>
        <w:rPr>
          <w:sz w:val="24"/>
        </w:rPr>
        <w:t>аксонемы</w:t>
      </w:r>
      <w:r>
        <w:rPr>
          <w:spacing w:val="-6"/>
          <w:sz w:val="24"/>
        </w:rPr>
        <w:t> </w:t>
      </w:r>
      <w:r>
        <w:rPr>
          <w:sz w:val="24"/>
        </w:rPr>
        <w:t>(белые стрелки). Окраска: ацетат уранила, цитрат свинца[40]. Увеличение х25000</w:t>
      </w:r>
    </w:p>
    <w:p>
      <w:pPr>
        <w:pStyle w:val="BodyText"/>
        <w:spacing w:before="13"/>
        <w:jc w:val="left"/>
        <w:rPr>
          <w:sz w:val="24"/>
        </w:rPr>
      </w:pPr>
    </w:p>
    <w:p>
      <w:pPr>
        <w:pStyle w:val="BodyText"/>
        <w:spacing w:line="256" w:lineRule="auto" w:before="1"/>
        <w:ind w:left="144" w:right="420" w:firstLine="707"/>
      </w:pPr>
      <w:r>
        <w:rPr/>
        <w:t>Причиной развития АТЗС могут быть структурные изменения, затрагивающие область шейки сперматозоида и митохондрии. Изменения формы митохондрий, их размеров и внутренней структуры указывают на потенциальные нарушения в функционировании</w:t>
      </w:r>
      <w:r>
        <w:rPr>
          <w:spacing w:val="53"/>
          <w:w w:val="150"/>
        </w:rPr>
        <w:t> </w:t>
      </w:r>
      <w:r>
        <w:rPr/>
        <w:t>и</w:t>
      </w:r>
      <w:r>
        <w:rPr>
          <w:spacing w:val="57"/>
          <w:w w:val="150"/>
        </w:rPr>
        <w:t> </w:t>
      </w:r>
      <w:r>
        <w:rPr/>
        <w:t>во</w:t>
      </w:r>
      <w:r>
        <w:rPr>
          <w:spacing w:val="55"/>
          <w:w w:val="150"/>
        </w:rPr>
        <w:t> </w:t>
      </w:r>
      <w:r>
        <w:rPr/>
        <w:t>взаимодействии</w:t>
      </w:r>
      <w:r>
        <w:rPr>
          <w:spacing w:val="57"/>
          <w:w w:val="150"/>
        </w:rPr>
        <w:t> </w:t>
      </w:r>
      <w:r>
        <w:rPr/>
        <w:t>с</w:t>
      </w:r>
      <w:r>
        <w:rPr>
          <w:spacing w:val="54"/>
          <w:w w:val="150"/>
        </w:rPr>
        <w:t> </w:t>
      </w:r>
      <w:r>
        <w:rPr/>
        <w:t>другими</w:t>
      </w:r>
      <w:r>
        <w:rPr>
          <w:spacing w:val="57"/>
          <w:w w:val="150"/>
        </w:rPr>
        <w:t> </w:t>
      </w:r>
      <w:r>
        <w:rPr/>
        <w:t>клеточными</w:t>
      </w:r>
      <w:r>
        <w:rPr>
          <w:spacing w:val="56"/>
          <w:w w:val="150"/>
        </w:rPr>
        <w:t> </w:t>
      </w:r>
      <w:r>
        <w:rPr>
          <w:spacing w:val="-2"/>
        </w:rPr>
        <w:t>компонентами</w:t>
      </w:r>
    </w:p>
    <w:p>
      <w:pPr>
        <w:pStyle w:val="BodyText"/>
        <w:spacing w:after="0" w:line="256" w:lineRule="auto"/>
        <w:sectPr>
          <w:pgSz w:w="11910" w:h="16840"/>
          <w:pgMar w:header="0" w:footer="990" w:top="400" w:bottom="1200" w:left="708" w:right="425"/>
        </w:sectPr>
      </w:pPr>
    </w:p>
    <w:p>
      <w:pPr>
        <w:pStyle w:val="BodyText"/>
        <w:spacing w:line="256" w:lineRule="auto" w:before="69"/>
        <w:ind w:left="144"/>
        <w:jc w:val="left"/>
      </w:pPr>
      <w:r>
        <w:rPr/>
        <w:t>(Рис.38),</w:t>
      </w:r>
      <w:r>
        <w:rPr>
          <w:spacing w:val="40"/>
        </w:rPr>
        <w:t> </w:t>
      </w:r>
      <w:r>
        <w:rPr/>
        <w:t>оказывающие</w:t>
      </w:r>
      <w:r>
        <w:rPr>
          <w:spacing w:val="40"/>
        </w:rPr>
        <w:t> </w:t>
      </w:r>
      <w:r>
        <w:rPr/>
        <w:t>влияние</w:t>
      </w:r>
      <w:r>
        <w:rPr>
          <w:spacing w:val="40"/>
        </w:rPr>
        <w:t> </w:t>
      </w:r>
      <w:r>
        <w:rPr/>
        <w:t>на</w:t>
      </w:r>
      <w:r>
        <w:rPr>
          <w:spacing w:val="40"/>
        </w:rPr>
        <w:t> </w:t>
      </w:r>
      <w:r>
        <w:rPr/>
        <w:t>движение</w:t>
      </w:r>
      <w:r>
        <w:rPr>
          <w:spacing w:val="40"/>
        </w:rPr>
        <w:t> </w:t>
      </w:r>
      <w:r>
        <w:rPr/>
        <w:t>сперматозоида</w:t>
      </w:r>
      <w:r>
        <w:rPr>
          <w:spacing w:val="40"/>
        </w:rPr>
        <w:t> </w:t>
      </w:r>
      <w:r>
        <w:rPr/>
        <w:t>и</w:t>
      </w:r>
      <w:r>
        <w:rPr>
          <w:spacing w:val="40"/>
        </w:rPr>
        <w:t> </w:t>
      </w:r>
      <w:r>
        <w:rPr/>
        <w:t>его</w:t>
      </w:r>
      <w:r>
        <w:rPr>
          <w:spacing w:val="40"/>
        </w:rPr>
        <w:t> </w:t>
      </w:r>
      <w:r>
        <w:rPr/>
        <w:t>энергетическое </w:t>
      </w:r>
      <w:r>
        <w:rPr>
          <w:spacing w:val="-2"/>
        </w:rPr>
        <w:t>обеспечение.</w:t>
      </w:r>
    </w:p>
    <w:p>
      <w:pPr>
        <w:spacing w:line="240" w:lineRule="auto"/>
        <w:ind w:left="2258" w:right="0" w:firstLine="0"/>
        <w:rPr>
          <w:sz w:val="20"/>
        </w:rPr>
      </w:pPr>
      <w:r>
        <w:rPr>
          <w:sz w:val="20"/>
        </w:rPr>
        <w:drawing>
          <wp:inline distT="0" distB="0" distL="0" distR="0">
            <wp:extent cx="3782884" cy="2511552"/>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61" cstate="print"/>
                    <a:stretch>
                      <a:fillRect/>
                    </a:stretch>
                  </pic:blipFill>
                  <pic:spPr>
                    <a:xfrm>
                      <a:off x="0" y="0"/>
                      <a:ext cx="3782884" cy="2511552"/>
                    </a:xfrm>
                    <a:prstGeom prst="rect">
                      <a:avLst/>
                    </a:prstGeom>
                  </pic:spPr>
                </pic:pic>
              </a:graphicData>
            </a:graphic>
          </wp:inline>
        </w:drawing>
      </w:r>
      <w:r>
        <w:rPr>
          <w:sz w:val="20"/>
        </w:rPr>
      </w:r>
    </w:p>
    <w:p>
      <w:pPr>
        <w:pStyle w:val="BodyText"/>
        <w:spacing w:line="256" w:lineRule="auto" w:before="32"/>
        <w:ind w:left="69" w:right="348"/>
        <w:jc w:val="center"/>
      </w:pPr>
      <w:r>
        <w:rPr/>
        <w:t>Рисунок</w:t>
      </w:r>
      <w:r>
        <w:rPr>
          <w:spacing w:val="-6"/>
        </w:rPr>
        <w:t> </w:t>
      </w:r>
      <w:r>
        <w:rPr/>
        <w:t>38</w:t>
      </w:r>
      <w:r>
        <w:rPr>
          <w:spacing w:val="-5"/>
        </w:rPr>
        <w:t> </w:t>
      </w:r>
      <w:r>
        <w:rPr>
          <w:rFonts w:ascii="Arial MT" w:hAnsi="Arial MT"/>
          <w:color w:val="454545"/>
          <w:sz w:val="21"/>
        </w:rPr>
        <w:t>—</w:t>
      </w:r>
      <w:r>
        <w:rPr>
          <w:rFonts w:ascii="Arial MT" w:hAnsi="Arial MT"/>
          <w:color w:val="454545"/>
          <w:spacing w:val="-3"/>
          <w:sz w:val="21"/>
        </w:rPr>
        <w:t> </w:t>
      </w:r>
      <w:r>
        <w:rPr/>
        <w:t>Продольный</w:t>
      </w:r>
      <w:r>
        <w:rPr>
          <w:spacing w:val="-3"/>
        </w:rPr>
        <w:t> </w:t>
      </w:r>
      <w:r>
        <w:rPr/>
        <w:t>срез</w:t>
      </w:r>
      <w:r>
        <w:rPr>
          <w:spacing w:val="-4"/>
        </w:rPr>
        <w:t> </w:t>
      </w:r>
      <w:r>
        <w:rPr/>
        <w:t>через</w:t>
      </w:r>
      <w:r>
        <w:rPr>
          <w:spacing w:val="-4"/>
        </w:rPr>
        <w:t> </w:t>
      </w:r>
      <w:r>
        <w:rPr/>
        <w:t>сперматозоид</w:t>
      </w:r>
      <w:r>
        <w:rPr>
          <w:spacing w:val="-3"/>
        </w:rPr>
        <w:t> </w:t>
      </w:r>
      <w:r>
        <w:rPr/>
        <w:t>из</w:t>
      </w:r>
      <w:r>
        <w:rPr>
          <w:spacing w:val="-4"/>
        </w:rPr>
        <w:t> </w:t>
      </w:r>
      <w:r>
        <w:rPr/>
        <w:t>эякулята</w:t>
      </w:r>
      <w:r>
        <w:rPr>
          <w:spacing w:val="-4"/>
        </w:rPr>
        <w:t> </w:t>
      </w:r>
      <w:r>
        <w:rPr/>
        <w:t>пациента</w:t>
      </w:r>
      <w:r>
        <w:rPr>
          <w:spacing w:val="-4"/>
        </w:rPr>
        <w:t> </w:t>
      </w:r>
      <w:r>
        <w:rPr/>
        <w:t>с </w:t>
      </w:r>
      <w:r>
        <w:rPr>
          <w:spacing w:val="-2"/>
        </w:rPr>
        <w:t>астенотератозооспермией</w:t>
      </w:r>
    </w:p>
    <w:p>
      <w:pPr>
        <w:spacing w:line="256" w:lineRule="auto" w:before="0"/>
        <w:ind w:left="309" w:right="587" w:hanging="2"/>
        <w:jc w:val="center"/>
        <w:rPr>
          <w:sz w:val="24"/>
        </w:rPr>
      </w:pPr>
      <w:r>
        <w:rPr>
          <w:sz w:val="24"/>
        </w:rPr>
        <w:t>Головка аморфной формы (Г), митохондрии (М) нерегулярно расположены в избыточной остаточной цитоплазме. Несколько поперечных срезов через аксонему жгутика (Ж) свидетельствуют</w:t>
      </w:r>
      <w:r>
        <w:rPr>
          <w:spacing w:val="-4"/>
          <w:sz w:val="24"/>
        </w:rPr>
        <w:t> </w:t>
      </w:r>
      <w:r>
        <w:rPr>
          <w:sz w:val="24"/>
        </w:rPr>
        <w:t>о</w:t>
      </w:r>
      <w:r>
        <w:rPr>
          <w:spacing w:val="-4"/>
          <w:sz w:val="24"/>
        </w:rPr>
        <w:t> </w:t>
      </w:r>
      <w:r>
        <w:rPr>
          <w:sz w:val="24"/>
        </w:rPr>
        <w:t>наличии</w:t>
      </w:r>
      <w:r>
        <w:rPr>
          <w:spacing w:val="-6"/>
          <w:sz w:val="24"/>
        </w:rPr>
        <w:t> </w:t>
      </w:r>
      <w:r>
        <w:rPr>
          <w:sz w:val="24"/>
        </w:rPr>
        <w:t>закрученного</w:t>
      </w:r>
      <w:r>
        <w:rPr>
          <w:spacing w:val="-4"/>
          <w:sz w:val="24"/>
        </w:rPr>
        <w:t> </w:t>
      </w:r>
      <w:r>
        <w:rPr>
          <w:sz w:val="24"/>
        </w:rPr>
        <w:t>жгутика.</w:t>
      </w:r>
      <w:r>
        <w:rPr>
          <w:spacing w:val="-4"/>
          <w:sz w:val="24"/>
        </w:rPr>
        <w:t> </w:t>
      </w:r>
      <w:r>
        <w:rPr>
          <w:sz w:val="24"/>
        </w:rPr>
        <w:t>Окраска:</w:t>
      </w:r>
      <w:r>
        <w:rPr>
          <w:spacing w:val="-4"/>
          <w:sz w:val="24"/>
        </w:rPr>
        <w:t> </w:t>
      </w:r>
      <w:r>
        <w:rPr>
          <w:sz w:val="24"/>
        </w:rPr>
        <w:t>ацетат</w:t>
      </w:r>
      <w:r>
        <w:rPr>
          <w:spacing w:val="-4"/>
          <w:sz w:val="24"/>
        </w:rPr>
        <w:t> </w:t>
      </w:r>
      <w:r>
        <w:rPr>
          <w:sz w:val="24"/>
        </w:rPr>
        <w:t>уранила,</w:t>
      </w:r>
      <w:r>
        <w:rPr>
          <w:spacing w:val="-4"/>
          <w:sz w:val="24"/>
        </w:rPr>
        <w:t> </w:t>
      </w:r>
      <w:r>
        <w:rPr>
          <w:sz w:val="24"/>
        </w:rPr>
        <w:t>цитрат</w:t>
      </w:r>
      <w:r>
        <w:rPr>
          <w:spacing w:val="-4"/>
          <w:sz w:val="24"/>
        </w:rPr>
        <w:t> </w:t>
      </w:r>
      <w:r>
        <w:rPr>
          <w:sz w:val="24"/>
        </w:rPr>
        <w:t>свинца[40].</w:t>
      </w:r>
    </w:p>
    <w:p>
      <w:pPr>
        <w:spacing w:line="273" w:lineRule="exact" w:before="0"/>
        <w:ind w:left="69" w:right="350" w:firstLine="0"/>
        <w:jc w:val="center"/>
        <w:rPr>
          <w:sz w:val="24"/>
        </w:rPr>
      </w:pPr>
      <w:r>
        <w:rPr>
          <w:sz w:val="24"/>
        </w:rPr>
        <w:t>Увеличение</w:t>
      </w:r>
      <w:r>
        <w:rPr>
          <w:spacing w:val="-2"/>
          <w:sz w:val="24"/>
        </w:rPr>
        <w:t> х25000</w:t>
      </w:r>
    </w:p>
    <w:p>
      <w:pPr>
        <w:pStyle w:val="BodyText"/>
        <w:spacing w:line="256" w:lineRule="auto" w:before="17"/>
        <w:ind w:left="144" w:right="420" w:firstLine="707"/>
      </w:pPr>
      <w:r>
        <w:rPr/>
        <w:t>На данном снимке представлен сперматозоид с АТЗС и выраженной патологией: аморфная головка, закрученный в избыточной остаточной цитоплазме жгутик и нарушение структуры митохондриальной спирали. Такие дефекты могут иметь место под действием внешних факторов или нарушений в процессе формирования сперматозоида.</w:t>
      </w:r>
    </w:p>
    <w:p>
      <w:pPr>
        <w:pStyle w:val="BodyText"/>
        <w:spacing w:line="256" w:lineRule="auto"/>
        <w:ind w:left="144" w:right="419" w:firstLine="708"/>
      </w:pPr>
      <w:r>
        <w:rPr/>
        <w:t>На рисунке 39 представлен сперматозоид с нарушением структуры митохондриальной спирали – количество митохондрий значительно уменьшено, митохондрии с электронно-прозрачным матриксом и отсутствием крист, акросома разрушена. Этим изменениям сопутствует аномальная структура периаксонемной фиброзной оболочки жгутика, что указывает на генетически обусловленную астенозооспермию – дисплазию фиброзной оболочки жгутика.</w:t>
      </w:r>
    </w:p>
    <w:p>
      <w:pPr>
        <w:pStyle w:val="BodyText"/>
        <w:spacing w:line="256" w:lineRule="auto"/>
        <w:ind w:left="144" w:right="420" w:firstLine="707"/>
      </w:pPr>
      <w:r>
        <w:rPr/>
        <w:t>Исследование сперматозоидов с использованием трансмиссионной электронной микроскопии предоставляет высокую разрешающую способность для детального изучения морфологии мужских половых клеток. Полученные снимки дают более полную характеристику морфологических аномалий, предоставляя информацию для установления причины развития тератозооспермии и астенозооспермии для разработки персонифицированной стратегии лечения.</w:t>
      </w:r>
    </w:p>
    <w:p>
      <w:pPr>
        <w:pStyle w:val="BodyText"/>
        <w:spacing w:after="0" w:line="256" w:lineRule="auto"/>
        <w:sectPr>
          <w:pgSz w:w="11910" w:h="16840"/>
          <w:pgMar w:header="0" w:footer="990" w:top="340" w:bottom="1200" w:left="708" w:right="425"/>
        </w:sectPr>
      </w:pPr>
    </w:p>
    <w:p>
      <w:pPr>
        <w:spacing w:line="240" w:lineRule="auto"/>
        <w:ind w:left="2494" w:right="0" w:firstLine="0"/>
        <w:rPr>
          <w:sz w:val="20"/>
        </w:rPr>
      </w:pPr>
      <w:r>
        <w:rPr>
          <w:sz w:val="20"/>
        </w:rPr>
        <w:drawing>
          <wp:inline distT="0" distB="0" distL="0" distR="0">
            <wp:extent cx="3938688" cy="2603754"/>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62" cstate="print"/>
                    <a:stretch>
                      <a:fillRect/>
                    </a:stretch>
                  </pic:blipFill>
                  <pic:spPr>
                    <a:xfrm>
                      <a:off x="0" y="0"/>
                      <a:ext cx="3938688" cy="2603754"/>
                    </a:xfrm>
                    <a:prstGeom prst="rect">
                      <a:avLst/>
                    </a:prstGeom>
                  </pic:spPr>
                </pic:pic>
              </a:graphicData>
            </a:graphic>
          </wp:inline>
        </w:drawing>
      </w:r>
      <w:r>
        <w:rPr>
          <w:sz w:val="20"/>
        </w:rPr>
      </w:r>
    </w:p>
    <w:p>
      <w:pPr>
        <w:pStyle w:val="BodyText"/>
        <w:spacing w:before="59"/>
        <w:jc w:val="left"/>
      </w:pPr>
    </w:p>
    <w:p>
      <w:pPr>
        <w:pStyle w:val="BodyText"/>
        <w:spacing w:line="256" w:lineRule="auto"/>
        <w:ind w:left="69" w:right="348"/>
        <w:jc w:val="center"/>
      </w:pPr>
      <w:r>
        <w:rPr/>
        <w:t>Рисунок</w:t>
      </w:r>
      <w:r>
        <w:rPr>
          <w:spacing w:val="-6"/>
        </w:rPr>
        <w:t> </w:t>
      </w:r>
      <w:r>
        <w:rPr/>
        <w:t>39</w:t>
      </w:r>
      <w:r>
        <w:rPr>
          <w:spacing w:val="-5"/>
        </w:rPr>
        <w:t> </w:t>
      </w:r>
      <w:r>
        <w:rPr>
          <w:rFonts w:ascii="Arial MT" w:hAnsi="Arial MT"/>
          <w:color w:val="454545"/>
          <w:sz w:val="21"/>
        </w:rPr>
        <w:t>—</w:t>
      </w:r>
      <w:r>
        <w:rPr>
          <w:rFonts w:ascii="Arial MT" w:hAnsi="Arial MT"/>
          <w:color w:val="454545"/>
          <w:spacing w:val="-3"/>
          <w:sz w:val="21"/>
        </w:rPr>
        <w:t> </w:t>
      </w:r>
      <w:r>
        <w:rPr/>
        <w:t>Продольный</w:t>
      </w:r>
      <w:r>
        <w:rPr>
          <w:spacing w:val="-3"/>
        </w:rPr>
        <w:t> </w:t>
      </w:r>
      <w:r>
        <w:rPr/>
        <w:t>срез</w:t>
      </w:r>
      <w:r>
        <w:rPr>
          <w:spacing w:val="-4"/>
        </w:rPr>
        <w:t> </w:t>
      </w:r>
      <w:r>
        <w:rPr/>
        <w:t>через</w:t>
      </w:r>
      <w:r>
        <w:rPr>
          <w:spacing w:val="-4"/>
        </w:rPr>
        <w:t> </w:t>
      </w:r>
      <w:r>
        <w:rPr/>
        <w:t>сперматозоид</w:t>
      </w:r>
      <w:r>
        <w:rPr>
          <w:spacing w:val="-3"/>
        </w:rPr>
        <w:t> </w:t>
      </w:r>
      <w:r>
        <w:rPr/>
        <w:t>из</w:t>
      </w:r>
      <w:r>
        <w:rPr>
          <w:spacing w:val="-4"/>
        </w:rPr>
        <w:t> </w:t>
      </w:r>
      <w:r>
        <w:rPr/>
        <w:t>эякулята</w:t>
      </w:r>
      <w:r>
        <w:rPr>
          <w:spacing w:val="-4"/>
        </w:rPr>
        <w:t> </w:t>
      </w:r>
      <w:r>
        <w:rPr/>
        <w:t>пациента</w:t>
      </w:r>
      <w:r>
        <w:rPr>
          <w:spacing w:val="-4"/>
        </w:rPr>
        <w:t> </w:t>
      </w:r>
      <w:r>
        <w:rPr/>
        <w:t>с абсолютной астенотератозооспермией.</w:t>
      </w:r>
    </w:p>
    <w:p>
      <w:pPr>
        <w:spacing w:line="256" w:lineRule="auto" w:before="0"/>
        <w:ind w:left="69" w:right="350" w:firstLine="0"/>
        <w:jc w:val="center"/>
        <w:rPr>
          <w:sz w:val="24"/>
        </w:rPr>
      </w:pPr>
      <w:r>
        <w:rPr>
          <w:sz w:val="24"/>
        </w:rPr>
        <w:t>Единичные</w:t>
      </w:r>
      <w:r>
        <w:rPr>
          <w:spacing w:val="-2"/>
          <w:sz w:val="24"/>
        </w:rPr>
        <w:t> </w:t>
      </w:r>
      <w:r>
        <w:rPr>
          <w:sz w:val="24"/>
        </w:rPr>
        <w:t>митохондрии (М)</w:t>
      </w:r>
      <w:r>
        <w:rPr>
          <w:spacing w:val="-2"/>
          <w:sz w:val="24"/>
        </w:rPr>
        <w:t> </w:t>
      </w:r>
      <w:r>
        <w:rPr>
          <w:sz w:val="24"/>
        </w:rPr>
        <w:t>с</w:t>
      </w:r>
      <w:r>
        <w:rPr>
          <w:spacing w:val="-2"/>
          <w:sz w:val="24"/>
        </w:rPr>
        <w:t> </w:t>
      </w:r>
      <w:r>
        <w:rPr>
          <w:sz w:val="24"/>
        </w:rPr>
        <w:t>электронно-прозрачным</w:t>
      </w:r>
      <w:r>
        <w:rPr>
          <w:spacing w:val="-2"/>
          <w:sz w:val="24"/>
        </w:rPr>
        <w:t> </w:t>
      </w:r>
      <w:r>
        <w:rPr>
          <w:sz w:val="24"/>
        </w:rPr>
        <w:t>матриксом</w:t>
      </w:r>
      <w:r>
        <w:rPr>
          <w:spacing w:val="-2"/>
          <w:sz w:val="24"/>
        </w:rPr>
        <w:t> </w:t>
      </w:r>
      <w:r>
        <w:rPr>
          <w:sz w:val="24"/>
        </w:rPr>
        <w:t>и отсутствием</w:t>
      </w:r>
      <w:r>
        <w:rPr>
          <w:spacing w:val="-2"/>
          <w:sz w:val="24"/>
        </w:rPr>
        <w:t> </w:t>
      </w:r>
      <w:r>
        <w:rPr>
          <w:sz w:val="24"/>
        </w:rPr>
        <w:t>крист,</w:t>
      </w:r>
      <w:r>
        <w:rPr>
          <w:spacing w:val="-1"/>
          <w:sz w:val="24"/>
        </w:rPr>
        <w:t> </w:t>
      </w:r>
      <w:r>
        <w:rPr>
          <w:sz w:val="24"/>
        </w:rPr>
        <w:t>акросома разрушена</w:t>
      </w:r>
      <w:r>
        <w:rPr>
          <w:spacing w:val="-5"/>
          <w:sz w:val="24"/>
        </w:rPr>
        <w:t> </w:t>
      </w:r>
      <w:r>
        <w:rPr>
          <w:sz w:val="24"/>
        </w:rPr>
        <w:t>(стрелка).</w:t>
      </w:r>
      <w:r>
        <w:rPr>
          <w:spacing w:val="-4"/>
          <w:sz w:val="24"/>
        </w:rPr>
        <w:t> </w:t>
      </w:r>
      <w:r>
        <w:rPr>
          <w:sz w:val="24"/>
        </w:rPr>
        <w:t>Периаксонемная</w:t>
      </w:r>
      <w:r>
        <w:rPr>
          <w:spacing w:val="-4"/>
          <w:sz w:val="24"/>
        </w:rPr>
        <w:t> </w:t>
      </w:r>
      <w:r>
        <w:rPr>
          <w:sz w:val="24"/>
        </w:rPr>
        <w:t>фиброзная</w:t>
      </w:r>
      <w:r>
        <w:rPr>
          <w:spacing w:val="-4"/>
          <w:sz w:val="24"/>
        </w:rPr>
        <w:t> </w:t>
      </w:r>
      <w:r>
        <w:rPr>
          <w:sz w:val="24"/>
        </w:rPr>
        <w:t>оболочка</w:t>
      </w:r>
      <w:r>
        <w:rPr>
          <w:spacing w:val="-5"/>
          <w:sz w:val="24"/>
        </w:rPr>
        <w:t> </w:t>
      </w:r>
      <w:r>
        <w:rPr>
          <w:sz w:val="24"/>
        </w:rPr>
        <w:t>жгутика</w:t>
      </w:r>
      <w:r>
        <w:rPr>
          <w:spacing w:val="-5"/>
          <w:sz w:val="24"/>
        </w:rPr>
        <w:t> </w:t>
      </w:r>
      <w:r>
        <w:rPr>
          <w:sz w:val="24"/>
        </w:rPr>
        <w:t>(ФО)</w:t>
      </w:r>
      <w:r>
        <w:rPr>
          <w:spacing w:val="-5"/>
          <w:sz w:val="24"/>
        </w:rPr>
        <w:t> </w:t>
      </w:r>
      <w:r>
        <w:rPr>
          <w:sz w:val="24"/>
        </w:rPr>
        <w:t>состоит</w:t>
      </w:r>
      <w:r>
        <w:rPr>
          <w:spacing w:val="-4"/>
          <w:sz w:val="24"/>
        </w:rPr>
        <w:t> </w:t>
      </w:r>
      <w:r>
        <w:rPr>
          <w:sz w:val="24"/>
        </w:rPr>
        <w:t>из</w:t>
      </w:r>
      <w:r>
        <w:rPr>
          <w:spacing w:val="-3"/>
          <w:sz w:val="24"/>
        </w:rPr>
        <w:t> </w:t>
      </w:r>
      <w:r>
        <w:rPr>
          <w:sz w:val="24"/>
        </w:rPr>
        <w:t>беспорядочно ориентированных волокон. Окраска: ацетат уранила, цитрат свинца [40]. Увеличение х6000</w:t>
      </w:r>
    </w:p>
    <w:p>
      <w:pPr>
        <w:pStyle w:val="BodyText"/>
        <w:spacing w:before="62"/>
        <w:jc w:val="left"/>
        <w:rPr>
          <w:sz w:val="24"/>
        </w:rPr>
      </w:pPr>
    </w:p>
    <w:p>
      <w:pPr>
        <w:pStyle w:val="BodyText"/>
        <w:spacing w:line="256" w:lineRule="auto"/>
        <w:ind w:left="144" w:right="421" w:firstLine="707"/>
      </w:pPr>
      <w:r>
        <w:rPr/>
        <w:t>Некоторые типы аномалий при тератозооспермии можно преодолеть с помощью процедуры ИКСИ, однако тяжелые патологические изменения сперматозоидов могут создать условия, при которых будет допустим только донорский материал. Подробная и полная диагностика аномальной морфологии необходима для достоверной оценки эффективности ИКСИ и выбора типа селекции сперматозоидов</w:t>
      </w:r>
      <w:r>
        <w:rPr>
          <w:spacing w:val="-4"/>
        </w:rPr>
        <w:t> </w:t>
      </w:r>
      <w:r>
        <w:rPr/>
        <w:t>или</w:t>
      </w:r>
      <w:r>
        <w:rPr>
          <w:spacing w:val="-5"/>
        </w:rPr>
        <w:t> </w:t>
      </w:r>
      <w:r>
        <w:rPr/>
        <w:t>же</w:t>
      </w:r>
      <w:r>
        <w:rPr>
          <w:spacing w:val="-4"/>
        </w:rPr>
        <w:t> </w:t>
      </w:r>
      <w:r>
        <w:rPr/>
        <w:t>рекомендаций</w:t>
      </w:r>
      <w:r>
        <w:rPr>
          <w:spacing w:val="-5"/>
        </w:rPr>
        <w:t> </w:t>
      </w:r>
      <w:r>
        <w:rPr/>
        <w:t>донорских</w:t>
      </w:r>
      <w:r>
        <w:rPr>
          <w:spacing w:val="-5"/>
        </w:rPr>
        <w:t> </w:t>
      </w:r>
      <w:r>
        <w:rPr/>
        <w:t>услуг.</w:t>
      </w:r>
      <w:r>
        <w:rPr>
          <w:spacing w:val="-4"/>
        </w:rPr>
        <w:t> </w:t>
      </w:r>
      <w:r>
        <w:rPr/>
        <w:t>ЭМИС</w:t>
      </w:r>
      <w:r>
        <w:rPr>
          <w:spacing w:val="-4"/>
        </w:rPr>
        <w:t> </w:t>
      </w:r>
      <w:r>
        <w:rPr/>
        <w:t>может</w:t>
      </w:r>
      <w:r>
        <w:rPr>
          <w:spacing w:val="-4"/>
        </w:rPr>
        <w:t> </w:t>
      </w:r>
      <w:r>
        <w:rPr/>
        <w:t>поддерживать также и генетические исследования, помогая выявлять генетически обусловленные аномалии, влияющие на морфологию и функцию сперматозоидов [40].</w:t>
      </w:r>
    </w:p>
    <w:p>
      <w:pPr>
        <w:pStyle w:val="BodyText"/>
        <w:spacing w:line="256" w:lineRule="auto"/>
        <w:ind w:left="144" w:right="420" w:firstLine="707"/>
      </w:pPr>
      <w:r>
        <w:rPr/>
        <w:t>Влияние ЭМИ на представленные ультраструктурные пороки имеет ограничение, поскольку данные структуры консервативны и имеют врожденный </w:t>
      </w:r>
      <w:r>
        <w:rPr>
          <w:spacing w:val="-2"/>
        </w:rPr>
        <w:t>характер.</w:t>
      </w:r>
    </w:p>
    <w:p>
      <w:pPr>
        <w:pStyle w:val="BodyText"/>
        <w:spacing w:before="9"/>
        <w:jc w:val="left"/>
      </w:pPr>
    </w:p>
    <w:p>
      <w:pPr>
        <w:pStyle w:val="Heading2"/>
        <w:numPr>
          <w:ilvl w:val="2"/>
          <w:numId w:val="4"/>
        </w:numPr>
        <w:tabs>
          <w:tab w:pos="1660" w:val="left" w:leader="none"/>
        </w:tabs>
        <w:spacing w:line="256" w:lineRule="auto" w:before="0" w:after="0"/>
        <w:ind w:left="144" w:right="422" w:firstLine="707"/>
        <w:jc w:val="both"/>
      </w:pPr>
      <w:r>
        <w:rPr/>
        <w:t>Воздействие монохроматического, лазерного и инфракрасного излучений на фрагментацию ДНК сперматозоидов человека</w:t>
      </w:r>
    </w:p>
    <w:p>
      <w:pPr>
        <w:pStyle w:val="BodyText"/>
        <w:spacing w:line="256" w:lineRule="auto"/>
        <w:ind w:left="144" w:right="418" w:firstLine="707"/>
      </w:pPr>
      <w:r>
        <w:rPr/>
        <w:t>Активные формы кислорода (АФК) жизненно важны для физиологических процессов, таких как апоптоз и капацитация сперматозоидов, но их перепроизводство приводит к различным пагубным последствиям, включая фрагментацию ДНК [93]. Перепроизводство АФК возникает в результате измененения биохимических путей цикла трикарбоновых кислот, сопряженного с уменьшением количества промежуточных продуктов. Такие изменения влияют на электронно-транспортную цепь, ингибирование которой, приводит к тому, что избыточные электроны непосредственно взаимодействуют с молекулами кислорода с образованием АФК. Избыток АФК приводит к перекисному окислению мембранных липидов и</w:t>
      </w:r>
      <w:r>
        <w:rPr>
          <w:spacing w:val="-1"/>
        </w:rPr>
        <w:t> </w:t>
      </w:r>
      <w:r>
        <w:rPr/>
        <w:t>фрагментации</w:t>
      </w:r>
      <w:r>
        <w:rPr>
          <w:spacing w:val="-1"/>
        </w:rPr>
        <w:t> </w:t>
      </w:r>
      <w:r>
        <w:rPr/>
        <w:t>ДНК</w:t>
      </w:r>
      <w:r>
        <w:rPr>
          <w:spacing w:val="-1"/>
        </w:rPr>
        <w:t> </w:t>
      </w:r>
      <w:r>
        <w:rPr/>
        <w:t>[94].</w:t>
      </w:r>
      <w:r>
        <w:rPr>
          <w:spacing w:val="-1"/>
        </w:rPr>
        <w:t> </w:t>
      </w:r>
      <w:r>
        <w:rPr/>
        <w:t>Типы повреждений ДНК</w:t>
      </w:r>
      <w:r>
        <w:rPr>
          <w:spacing w:val="-1"/>
        </w:rPr>
        <w:t> </w:t>
      </w:r>
      <w:r>
        <w:rPr/>
        <w:t>включают несоответствие</w:t>
      </w:r>
      <w:r>
        <w:rPr>
          <w:spacing w:val="80"/>
          <w:w w:val="150"/>
        </w:rPr>
        <w:t> </w:t>
      </w:r>
      <w:r>
        <w:rPr/>
        <w:t>оснований,</w:t>
      </w:r>
      <w:r>
        <w:rPr>
          <w:spacing w:val="80"/>
          <w:w w:val="150"/>
        </w:rPr>
        <w:t> </w:t>
      </w:r>
      <w:r>
        <w:rPr/>
        <w:t>потерю</w:t>
      </w:r>
      <w:r>
        <w:rPr>
          <w:spacing w:val="80"/>
          <w:w w:val="150"/>
        </w:rPr>
        <w:t> </w:t>
      </w:r>
      <w:r>
        <w:rPr/>
        <w:t>основания</w:t>
      </w:r>
      <w:r>
        <w:rPr>
          <w:spacing w:val="80"/>
          <w:w w:val="150"/>
        </w:rPr>
        <w:t> </w:t>
      </w:r>
      <w:r>
        <w:rPr/>
        <w:t>(базового</w:t>
      </w:r>
      <w:r>
        <w:rPr>
          <w:spacing w:val="80"/>
          <w:w w:val="150"/>
        </w:rPr>
        <w:t> </w:t>
      </w:r>
      <w:r>
        <w:rPr/>
        <w:t>сайта),</w:t>
      </w:r>
      <w:r>
        <w:rPr>
          <w:spacing w:val="80"/>
          <w:w w:val="150"/>
        </w:rPr>
        <w:t> </w:t>
      </w:r>
      <w:r>
        <w:rPr/>
        <w:t>модификации</w:t>
      </w:r>
    </w:p>
    <w:p>
      <w:pPr>
        <w:pStyle w:val="BodyText"/>
        <w:spacing w:after="0" w:line="256" w:lineRule="auto"/>
        <w:sectPr>
          <w:pgSz w:w="11910" w:h="16840"/>
          <w:pgMar w:header="0" w:footer="990" w:top="400" w:bottom="1200" w:left="708" w:right="425"/>
        </w:sectPr>
      </w:pPr>
    </w:p>
    <w:p>
      <w:pPr>
        <w:pStyle w:val="BodyText"/>
        <w:spacing w:line="256" w:lineRule="auto" w:before="69"/>
        <w:ind w:left="144" w:right="417"/>
      </w:pPr>
      <w:r>
        <w:rPr/>
        <w:t>оснований, аддукты ДНК и сшивание, пиримидиновые димеры, одноцепочечные и двуцепочечные разрывы. В связи с тем, что ЭМИ может приводить к перепроизводству АФК в митохондриях, являясь предпосылкой к повышению уровня фрагментации ДНК, проведено исследование фрагментации ДНК в сперматозоидах методом TUNEL (Terminal deoxynucleotidyl transferase dUTP nick</w:t>
      </w:r>
      <w:r>
        <w:rPr>
          <w:spacing w:val="40"/>
        </w:rPr>
        <w:t> </w:t>
      </w:r>
      <w:r>
        <w:rPr/>
        <w:t>end labeling) в эксперименте и контрольных образцах (см. рисунок 41). Мечение</w:t>
      </w:r>
      <w:r>
        <w:rPr>
          <w:spacing w:val="40"/>
        </w:rPr>
        <w:t> </w:t>
      </w:r>
      <w:r>
        <w:rPr/>
        <w:t>ник-концов при помощи терминальной дезоксинуклеотидилтрансферазы dUTP представляет собой метод обнаружения фрагментации ДНК путем мечения 3'-гидроксильных концов в двухцепочечных разрывах ДНК, образующихся во время апоптоза. TUNEL - это метод обнаружения апоптотической фрагментации ДНК, широко используемый для идентификации и количественной оценки апоптотических клеток или для обнаружения чрезмерного разрыва ДНК в</w:t>
      </w:r>
      <w:r>
        <w:rPr>
          <w:spacing w:val="40"/>
        </w:rPr>
        <w:t> </w:t>
      </w:r>
      <w:r>
        <w:rPr/>
        <w:t>отдельных клетках.</w:t>
      </w:r>
      <w:r>
        <w:rPr>
          <w:spacing w:val="40"/>
        </w:rPr>
        <w:t> </w:t>
      </w:r>
      <w:r>
        <w:rPr/>
        <w:t>Анализ основан на использовании терминальной дезоксинуклеотидилтрансферазы (TdT), фермента, который катализирует прикрепление дезоксинуклеотидов, меченных биотином, флуоресцеином или</w:t>
      </w:r>
      <w:r>
        <w:rPr>
          <w:spacing w:val="40"/>
        </w:rPr>
        <w:t> </w:t>
      </w:r>
      <w:r>
        <w:rPr/>
        <w:t>другим маркером, к 3'-гидроксильным концам двухцепочечных разрывов ДНК.</w:t>
      </w:r>
      <w:r>
        <w:rPr>
          <w:spacing w:val="40"/>
        </w:rPr>
        <w:t> </w:t>
      </w:r>
      <w:r>
        <w:rPr/>
        <w:t>Этим методом также можно маркировать клетки, ДНК которых имеет повреждение вызванные другими причинами кроме апоптоза, например, после воздействия </w:t>
      </w:r>
      <w:r>
        <w:rPr>
          <w:spacing w:val="-2"/>
        </w:rPr>
        <w:t>мутагенов.</w:t>
      </w:r>
    </w:p>
    <w:p>
      <w:pPr>
        <w:pStyle w:val="BodyText"/>
        <w:spacing w:line="298" w:lineRule="exact"/>
        <w:ind w:left="852"/>
      </w:pPr>
      <w:r>
        <w:rPr/>
        <w:t>Используя</w:t>
      </w:r>
      <w:r>
        <w:rPr>
          <w:spacing w:val="44"/>
          <w:w w:val="150"/>
        </w:rPr>
        <w:t> </w:t>
      </w:r>
      <w:r>
        <w:rPr/>
        <w:t>материал</w:t>
      </w:r>
      <w:r>
        <w:rPr>
          <w:spacing w:val="46"/>
          <w:w w:val="150"/>
        </w:rPr>
        <w:t> </w:t>
      </w:r>
      <w:r>
        <w:rPr/>
        <w:t>8</w:t>
      </w:r>
      <w:r>
        <w:rPr>
          <w:spacing w:val="48"/>
          <w:w w:val="150"/>
        </w:rPr>
        <w:t> </w:t>
      </w:r>
      <w:r>
        <w:rPr/>
        <w:t>мужчин</w:t>
      </w:r>
      <w:r>
        <w:rPr>
          <w:spacing w:val="45"/>
          <w:w w:val="150"/>
        </w:rPr>
        <w:t> </w:t>
      </w:r>
      <w:r>
        <w:rPr/>
        <w:t>с</w:t>
      </w:r>
      <w:r>
        <w:rPr>
          <w:spacing w:val="47"/>
          <w:w w:val="150"/>
        </w:rPr>
        <w:t> </w:t>
      </w:r>
      <w:r>
        <w:rPr/>
        <w:t>астенозооспермией</w:t>
      </w:r>
      <w:r>
        <w:rPr>
          <w:spacing w:val="48"/>
          <w:w w:val="150"/>
        </w:rPr>
        <w:t> </w:t>
      </w:r>
      <w:r>
        <w:rPr/>
        <w:t>проведено</w:t>
      </w:r>
      <w:r>
        <w:rPr>
          <w:spacing w:val="46"/>
          <w:w w:val="150"/>
        </w:rPr>
        <w:t> </w:t>
      </w:r>
      <w:r>
        <w:rPr>
          <w:spacing w:val="-2"/>
        </w:rPr>
        <w:t>облучение</w:t>
      </w:r>
    </w:p>
    <w:p>
      <w:pPr>
        <w:pStyle w:val="BodyText"/>
        <w:spacing w:line="256" w:lineRule="auto" w:before="21"/>
        <w:ind w:left="144" w:right="419"/>
      </w:pPr>
      <w:r>
        <w:rPr/>
        <w:t>эякулята светодиодным ЭМИ в сочетании с лазером 651 нм и инфракрасным 933 нм излучениями на протяжении 15 минут. Контрольный эякулят помещался в темную камеру предупреждающую воздействие ЭМИ. Подсчитано в каждом образце по</w:t>
      </w:r>
      <w:r>
        <w:rPr>
          <w:spacing w:val="40"/>
        </w:rPr>
        <w:t> </w:t>
      </w:r>
      <w:r>
        <w:rPr/>
        <w:t>1000 сперматозоидов в эксперименте и 1000 сперматозоидов в контроле (см.</w:t>
      </w:r>
      <w:r>
        <w:rPr>
          <w:spacing w:val="40"/>
        </w:rPr>
        <w:t> </w:t>
      </w:r>
      <w:r>
        <w:rPr/>
        <w:t>рисунок 40). Проведен статистический анализ парного критерия Стьюдента по количеству подсчитанных интактных клеток в опыте и контроле: Среднее значение признака до эксперимента составляет 916,250±71,368 (m = ±25,232). Среднее значение признака после эксперимента составляет 879,875±102,614 (m = ±36,279). Число степеней свободы (f) равно 7. Парный t-критерий Стьюдента равен -0,942. Критическое значение t-критерия Стьюдента при данном числе степеней свободы составляет 2,365. t набл. &lt; t крит., изменения признака статистически не значимы (p=0,378). Таким образом, достоверной разницы между уровнем фрагментации ДНК эксперимента и контроля не обнаружено. Данные отражены ниже в таблице 11.</w:t>
      </w:r>
    </w:p>
    <w:p>
      <w:pPr>
        <w:pStyle w:val="BodyText"/>
        <w:spacing w:before="10"/>
        <w:jc w:val="left"/>
      </w:pPr>
    </w:p>
    <w:p>
      <w:pPr>
        <w:pStyle w:val="BodyText"/>
        <w:spacing w:after="21"/>
        <w:ind w:left="931"/>
      </w:pPr>
      <w:r>
        <w:rPr/>
        <w:t>Таблица</w:t>
      </w:r>
      <w:r>
        <w:rPr>
          <w:spacing w:val="-6"/>
        </w:rPr>
        <w:t> </w:t>
      </w:r>
      <w:r>
        <w:rPr/>
        <w:t>11</w:t>
      </w:r>
      <w:r>
        <w:rPr>
          <w:spacing w:val="-5"/>
        </w:rPr>
        <w:t> </w:t>
      </w:r>
      <w:r>
        <w:rPr/>
        <w:t>—</w:t>
      </w:r>
      <w:r>
        <w:rPr>
          <w:spacing w:val="-5"/>
        </w:rPr>
        <w:t> </w:t>
      </w:r>
      <w:r>
        <w:rPr/>
        <w:t>Результаты</w:t>
      </w:r>
      <w:r>
        <w:rPr>
          <w:spacing w:val="-5"/>
        </w:rPr>
        <w:t> </w:t>
      </w:r>
      <w:r>
        <w:rPr/>
        <w:t>анализа</w:t>
      </w:r>
      <w:r>
        <w:rPr>
          <w:spacing w:val="-6"/>
        </w:rPr>
        <w:t> </w:t>
      </w:r>
      <w:r>
        <w:rPr/>
        <w:t>фрагментации</w:t>
      </w:r>
      <w:r>
        <w:rPr>
          <w:spacing w:val="-4"/>
        </w:rPr>
        <w:t> </w:t>
      </w:r>
      <w:r>
        <w:rPr/>
        <w:t>ДНК</w:t>
      </w:r>
      <w:r>
        <w:rPr>
          <w:spacing w:val="-6"/>
        </w:rPr>
        <w:t> </w:t>
      </w:r>
      <w:r>
        <w:rPr/>
        <w:t>методом</w:t>
      </w:r>
      <w:r>
        <w:rPr>
          <w:spacing w:val="-7"/>
        </w:rPr>
        <w:t> </w:t>
      </w:r>
      <w:r>
        <w:rPr>
          <w:spacing w:val="-2"/>
        </w:rPr>
        <w:t>TUNEL</w:t>
      </w: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
        <w:gridCol w:w="1454"/>
        <w:gridCol w:w="895"/>
        <w:gridCol w:w="1411"/>
        <w:gridCol w:w="897"/>
        <w:gridCol w:w="1408"/>
        <w:gridCol w:w="897"/>
        <w:gridCol w:w="1408"/>
        <w:gridCol w:w="897"/>
      </w:tblGrid>
      <w:tr>
        <w:trPr>
          <w:trHeight w:val="1766" w:hRule="atLeast"/>
        </w:trPr>
        <w:tc>
          <w:tcPr>
            <w:tcW w:w="439" w:type="dxa"/>
            <w:vMerge w:val="restart"/>
          </w:tcPr>
          <w:p>
            <w:pPr>
              <w:pStyle w:val="TableParagraph"/>
              <w:spacing w:line="275" w:lineRule="exact"/>
              <w:ind w:left="107"/>
              <w:rPr>
                <w:sz w:val="24"/>
              </w:rPr>
            </w:pPr>
            <w:r>
              <w:rPr>
                <w:spacing w:val="-10"/>
                <w:sz w:val="24"/>
              </w:rPr>
              <w:t>№</w:t>
            </w:r>
          </w:p>
        </w:tc>
        <w:tc>
          <w:tcPr>
            <w:tcW w:w="4657" w:type="dxa"/>
            <w:gridSpan w:val="4"/>
          </w:tcPr>
          <w:p>
            <w:pPr>
              <w:pStyle w:val="TableParagraph"/>
              <w:spacing w:line="256" w:lineRule="auto"/>
              <w:ind w:left="110" w:right="104" w:firstLine="2"/>
              <w:jc w:val="center"/>
              <w:rPr>
                <w:sz w:val="24"/>
              </w:rPr>
            </w:pPr>
            <w:r>
              <w:rPr>
                <w:sz w:val="24"/>
              </w:rPr>
              <w:t>Эксперимент (светодиоды, лазер, инфракрасный</w:t>
            </w:r>
            <w:r>
              <w:rPr>
                <w:spacing w:val="-9"/>
                <w:sz w:val="24"/>
              </w:rPr>
              <w:t> </w:t>
            </w:r>
            <w:r>
              <w:rPr>
                <w:sz w:val="24"/>
              </w:rPr>
              <w:t>светодиод</w:t>
            </w:r>
            <w:r>
              <w:rPr>
                <w:spacing w:val="-10"/>
                <w:sz w:val="24"/>
              </w:rPr>
              <w:t> </w:t>
            </w:r>
            <w:r>
              <w:rPr>
                <w:sz w:val="24"/>
              </w:rPr>
              <w:t>400-750,</w:t>
            </w:r>
            <w:r>
              <w:rPr>
                <w:spacing w:val="-10"/>
                <w:sz w:val="24"/>
              </w:rPr>
              <w:t> </w:t>
            </w:r>
            <w:r>
              <w:rPr>
                <w:sz w:val="24"/>
              </w:rPr>
              <w:t>651,</w:t>
            </w:r>
            <w:r>
              <w:rPr>
                <w:spacing w:val="-10"/>
                <w:sz w:val="24"/>
              </w:rPr>
              <w:t> </w:t>
            </w:r>
            <w:r>
              <w:rPr>
                <w:sz w:val="24"/>
              </w:rPr>
              <w:t>933 нм, мощность 4,46 мВт, общая</w:t>
            </w:r>
            <w:r>
              <w:rPr>
                <w:spacing w:val="40"/>
                <w:sz w:val="24"/>
              </w:rPr>
              <w:t> </w:t>
            </w:r>
            <w:r>
              <w:rPr>
                <w:sz w:val="24"/>
              </w:rPr>
              <w:t>сообщаемая энергия 4,01 Дж, время </w:t>
            </w:r>
            <w:r>
              <w:rPr>
                <w:spacing w:val="-2"/>
                <w:sz w:val="24"/>
              </w:rPr>
              <w:t>экспозиции</w:t>
            </w:r>
          </w:p>
          <w:p>
            <w:pPr>
              <w:pStyle w:val="TableParagraph"/>
              <w:spacing w:line="271" w:lineRule="exact"/>
              <w:ind w:left="7"/>
              <w:jc w:val="center"/>
              <w:rPr>
                <w:sz w:val="24"/>
              </w:rPr>
            </w:pPr>
            <w:r>
              <w:rPr>
                <w:sz w:val="24"/>
              </w:rPr>
              <w:t>15</w:t>
            </w:r>
            <w:r>
              <w:rPr>
                <w:spacing w:val="-2"/>
                <w:sz w:val="24"/>
              </w:rPr>
              <w:t> минут)</w:t>
            </w:r>
          </w:p>
        </w:tc>
        <w:tc>
          <w:tcPr>
            <w:tcW w:w="4610" w:type="dxa"/>
            <w:gridSpan w:val="4"/>
          </w:tcPr>
          <w:p>
            <w:pPr>
              <w:pStyle w:val="TableParagraph"/>
              <w:spacing w:line="256" w:lineRule="auto"/>
              <w:ind w:left="846" w:right="292" w:hanging="545"/>
              <w:rPr>
                <w:sz w:val="24"/>
              </w:rPr>
            </w:pPr>
            <w:r>
              <w:rPr>
                <w:sz w:val="24"/>
              </w:rPr>
              <w:t>Контроль</w:t>
            </w:r>
            <w:r>
              <w:rPr>
                <w:spacing w:val="-6"/>
                <w:sz w:val="24"/>
              </w:rPr>
              <w:t> </w:t>
            </w:r>
            <w:r>
              <w:rPr>
                <w:sz w:val="24"/>
              </w:rPr>
              <w:t>(темная</w:t>
            </w:r>
            <w:r>
              <w:rPr>
                <w:spacing w:val="-7"/>
                <w:sz w:val="24"/>
              </w:rPr>
              <w:t> </w:t>
            </w:r>
            <w:r>
              <w:rPr>
                <w:sz w:val="24"/>
              </w:rPr>
              <w:t>камера,</w:t>
            </w:r>
            <w:r>
              <w:rPr>
                <w:spacing w:val="-7"/>
                <w:sz w:val="24"/>
              </w:rPr>
              <w:t> </w:t>
            </w:r>
            <w:r>
              <w:rPr>
                <w:sz w:val="24"/>
              </w:rPr>
              <w:t>0</w:t>
            </w:r>
            <w:r>
              <w:rPr>
                <w:spacing w:val="-7"/>
                <w:sz w:val="24"/>
              </w:rPr>
              <w:t> </w:t>
            </w:r>
            <w:r>
              <w:rPr>
                <w:sz w:val="24"/>
              </w:rPr>
              <w:t>мВт,</w:t>
            </w:r>
            <w:r>
              <w:rPr>
                <w:spacing w:val="-7"/>
                <w:sz w:val="24"/>
              </w:rPr>
              <w:t> </w:t>
            </w:r>
            <w:r>
              <w:rPr>
                <w:sz w:val="24"/>
              </w:rPr>
              <w:t>0</w:t>
            </w:r>
            <w:r>
              <w:rPr>
                <w:spacing w:val="-7"/>
                <w:sz w:val="24"/>
              </w:rPr>
              <w:t> </w:t>
            </w:r>
            <w:r>
              <w:rPr>
                <w:sz w:val="24"/>
              </w:rPr>
              <w:t>Дж, время экспозиции 15 минут)</w:t>
            </w:r>
          </w:p>
        </w:tc>
      </w:tr>
      <w:tr>
        <w:trPr>
          <w:trHeight w:val="294" w:hRule="atLeast"/>
        </w:trPr>
        <w:tc>
          <w:tcPr>
            <w:tcW w:w="439" w:type="dxa"/>
            <w:vMerge/>
            <w:tcBorders>
              <w:top w:val="nil"/>
            </w:tcBorders>
          </w:tcPr>
          <w:p>
            <w:pPr>
              <w:rPr>
                <w:sz w:val="2"/>
                <w:szCs w:val="2"/>
              </w:rPr>
            </w:pPr>
          </w:p>
        </w:tc>
        <w:tc>
          <w:tcPr>
            <w:tcW w:w="2349" w:type="dxa"/>
            <w:gridSpan w:val="2"/>
          </w:tcPr>
          <w:p>
            <w:pPr>
              <w:pStyle w:val="TableParagraph"/>
              <w:spacing w:line="275" w:lineRule="exact"/>
              <w:ind w:left="235"/>
              <w:rPr>
                <w:sz w:val="24"/>
              </w:rPr>
            </w:pPr>
            <w:r>
              <w:rPr>
                <w:sz w:val="24"/>
              </w:rPr>
              <w:t>N</w:t>
            </w:r>
            <w:r>
              <w:rPr>
                <w:spacing w:val="-1"/>
                <w:sz w:val="24"/>
              </w:rPr>
              <w:t> </w:t>
            </w:r>
            <w:r>
              <w:rPr>
                <w:spacing w:val="-2"/>
                <w:sz w:val="24"/>
              </w:rPr>
              <w:t>сперматозоидов</w:t>
            </w:r>
          </w:p>
        </w:tc>
        <w:tc>
          <w:tcPr>
            <w:tcW w:w="2308" w:type="dxa"/>
            <w:gridSpan w:val="2"/>
          </w:tcPr>
          <w:p>
            <w:pPr>
              <w:pStyle w:val="TableParagraph"/>
              <w:spacing w:line="275" w:lineRule="exact"/>
              <w:ind w:left="10"/>
              <w:jc w:val="center"/>
              <w:rPr>
                <w:sz w:val="24"/>
              </w:rPr>
            </w:pPr>
            <w:r>
              <w:rPr>
                <w:spacing w:val="-10"/>
                <w:sz w:val="24"/>
              </w:rPr>
              <w:t>%</w:t>
            </w:r>
          </w:p>
        </w:tc>
        <w:tc>
          <w:tcPr>
            <w:tcW w:w="2305" w:type="dxa"/>
            <w:gridSpan w:val="2"/>
          </w:tcPr>
          <w:p>
            <w:pPr>
              <w:pStyle w:val="TableParagraph"/>
              <w:spacing w:line="275" w:lineRule="exact"/>
              <w:ind w:left="212"/>
              <w:rPr>
                <w:sz w:val="24"/>
              </w:rPr>
            </w:pPr>
            <w:r>
              <w:rPr>
                <w:sz w:val="24"/>
              </w:rPr>
              <w:t>N</w:t>
            </w:r>
            <w:r>
              <w:rPr>
                <w:spacing w:val="-1"/>
                <w:sz w:val="24"/>
              </w:rPr>
              <w:t> </w:t>
            </w:r>
            <w:r>
              <w:rPr>
                <w:spacing w:val="-2"/>
                <w:sz w:val="24"/>
              </w:rPr>
              <w:t>сперматозоидов</w:t>
            </w:r>
          </w:p>
        </w:tc>
        <w:tc>
          <w:tcPr>
            <w:tcW w:w="2305" w:type="dxa"/>
            <w:gridSpan w:val="2"/>
          </w:tcPr>
          <w:p>
            <w:pPr>
              <w:pStyle w:val="TableParagraph"/>
              <w:spacing w:line="275" w:lineRule="exact"/>
              <w:ind w:left="12"/>
              <w:jc w:val="center"/>
              <w:rPr>
                <w:sz w:val="24"/>
              </w:rPr>
            </w:pPr>
            <w:r>
              <w:rPr>
                <w:spacing w:val="-10"/>
                <w:sz w:val="24"/>
              </w:rPr>
              <w:t>%</w:t>
            </w:r>
          </w:p>
        </w:tc>
      </w:tr>
      <w:tr>
        <w:trPr>
          <w:trHeight w:val="587" w:hRule="atLeast"/>
        </w:trPr>
        <w:tc>
          <w:tcPr>
            <w:tcW w:w="439" w:type="dxa"/>
            <w:vMerge/>
            <w:tcBorders>
              <w:top w:val="nil"/>
            </w:tcBorders>
          </w:tcPr>
          <w:p>
            <w:pPr>
              <w:rPr>
                <w:sz w:val="2"/>
                <w:szCs w:val="2"/>
              </w:rPr>
            </w:pPr>
          </w:p>
        </w:tc>
        <w:tc>
          <w:tcPr>
            <w:tcW w:w="1454" w:type="dxa"/>
          </w:tcPr>
          <w:p>
            <w:pPr>
              <w:pStyle w:val="TableParagraph"/>
              <w:spacing w:line="275" w:lineRule="exact"/>
              <w:ind w:left="105"/>
              <w:rPr>
                <w:sz w:val="24"/>
              </w:rPr>
            </w:pPr>
            <w:r>
              <w:rPr>
                <w:spacing w:val="-2"/>
                <w:sz w:val="24"/>
              </w:rPr>
              <w:t>интактных</w:t>
            </w:r>
          </w:p>
        </w:tc>
        <w:tc>
          <w:tcPr>
            <w:tcW w:w="895" w:type="dxa"/>
          </w:tcPr>
          <w:p>
            <w:pPr>
              <w:pStyle w:val="TableParagraph"/>
              <w:spacing w:line="275" w:lineRule="exact"/>
              <w:ind w:left="105"/>
              <w:rPr>
                <w:sz w:val="24"/>
              </w:rPr>
            </w:pPr>
            <w:r>
              <w:rPr>
                <w:spacing w:val="-2"/>
                <w:sz w:val="24"/>
              </w:rPr>
              <w:t>метка</w:t>
            </w:r>
          </w:p>
          <w:p>
            <w:pPr>
              <w:pStyle w:val="TableParagraph"/>
              <w:spacing w:line="273" w:lineRule="exact" w:before="19"/>
              <w:ind w:left="105"/>
              <w:rPr>
                <w:sz w:val="24"/>
              </w:rPr>
            </w:pPr>
            <w:r>
              <w:rPr>
                <w:spacing w:val="-4"/>
                <w:sz w:val="24"/>
              </w:rPr>
              <w:t>dUTP</w:t>
            </w:r>
          </w:p>
        </w:tc>
        <w:tc>
          <w:tcPr>
            <w:tcW w:w="1411" w:type="dxa"/>
          </w:tcPr>
          <w:p>
            <w:pPr>
              <w:pStyle w:val="TableParagraph"/>
              <w:spacing w:line="275" w:lineRule="exact"/>
              <w:ind w:left="108"/>
              <w:rPr>
                <w:sz w:val="24"/>
              </w:rPr>
            </w:pPr>
            <w:r>
              <w:rPr>
                <w:spacing w:val="-2"/>
                <w:sz w:val="24"/>
              </w:rPr>
              <w:t>интактных</w:t>
            </w:r>
          </w:p>
        </w:tc>
        <w:tc>
          <w:tcPr>
            <w:tcW w:w="897" w:type="dxa"/>
          </w:tcPr>
          <w:p>
            <w:pPr>
              <w:pStyle w:val="TableParagraph"/>
              <w:spacing w:line="275" w:lineRule="exact"/>
              <w:ind w:left="106"/>
              <w:rPr>
                <w:sz w:val="24"/>
              </w:rPr>
            </w:pPr>
            <w:r>
              <w:rPr>
                <w:spacing w:val="-2"/>
                <w:sz w:val="24"/>
              </w:rPr>
              <w:t>метка</w:t>
            </w:r>
          </w:p>
          <w:p>
            <w:pPr>
              <w:pStyle w:val="TableParagraph"/>
              <w:spacing w:line="273" w:lineRule="exact" w:before="19"/>
              <w:ind w:left="106"/>
              <w:rPr>
                <w:sz w:val="24"/>
              </w:rPr>
            </w:pPr>
            <w:r>
              <w:rPr>
                <w:spacing w:val="-4"/>
                <w:sz w:val="24"/>
              </w:rPr>
              <w:t>dUTP</w:t>
            </w:r>
          </w:p>
        </w:tc>
        <w:tc>
          <w:tcPr>
            <w:tcW w:w="1408" w:type="dxa"/>
          </w:tcPr>
          <w:p>
            <w:pPr>
              <w:pStyle w:val="TableParagraph"/>
              <w:spacing w:line="275" w:lineRule="exact"/>
              <w:ind w:left="106"/>
              <w:rPr>
                <w:sz w:val="24"/>
              </w:rPr>
            </w:pPr>
            <w:r>
              <w:rPr>
                <w:spacing w:val="-2"/>
                <w:sz w:val="24"/>
              </w:rPr>
              <w:t>интактных</w:t>
            </w:r>
          </w:p>
        </w:tc>
        <w:tc>
          <w:tcPr>
            <w:tcW w:w="897" w:type="dxa"/>
          </w:tcPr>
          <w:p>
            <w:pPr>
              <w:pStyle w:val="TableParagraph"/>
              <w:spacing w:line="275" w:lineRule="exact"/>
              <w:ind w:left="107"/>
              <w:rPr>
                <w:sz w:val="24"/>
              </w:rPr>
            </w:pPr>
            <w:r>
              <w:rPr>
                <w:spacing w:val="-2"/>
                <w:sz w:val="24"/>
              </w:rPr>
              <w:t>метка</w:t>
            </w:r>
          </w:p>
          <w:p>
            <w:pPr>
              <w:pStyle w:val="TableParagraph"/>
              <w:spacing w:line="273" w:lineRule="exact" w:before="19"/>
              <w:ind w:left="107"/>
              <w:rPr>
                <w:sz w:val="24"/>
              </w:rPr>
            </w:pPr>
            <w:r>
              <w:rPr>
                <w:spacing w:val="-4"/>
                <w:sz w:val="24"/>
              </w:rPr>
              <w:t>dUTP</w:t>
            </w:r>
          </w:p>
        </w:tc>
        <w:tc>
          <w:tcPr>
            <w:tcW w:w="1408" w:type="dxa"/>
          </w:tcPr>
          <w:p>
            <w:pPr>
              <w:pStyle w:val="TableParagraph"/>
              <w:spacing w:line="275" w:lineRule="exact"/>
              <w:ind w:left="108"/>
              <w:rPr>
                <w:sz w:val="24"/>
              </w:rPr>
            </w:pPr>
            <w:r>
              <w:rPr>
                <w:spacing w:val="-2"/>
                <w:sz w:val="24"/>
              </w:rPr>
              <w:t>интактных</w:t>
            </w:r>
          </w:p>
        </w:tc>
        <w:tc>
          <w:tcPr>
            <w:tcW w:w="897" w:type="dxa"/>
          </w:tcPr>
          <w:p>
            <w:pPr>
              <w:pStyle w:val="TableParagraph"/>
              <w:spacing w:line="275" w:lineRule="exact"/>
              <w:ind w:left="109"/>
              <w:rPr>
                <w:sz w:val="24"/>
              </w:rPr>
            </w:pPr>
            <w:r>
              <w:rPr>
                <w:spacing w:val="-2"/>
                <w:sz w:val="24"/>
              </w:rPr>
              <w:t>метка</w:t>
            </w:r>
          </w:p>
          <w:p>
            <w:pPr>
              <w:pStyle w:val="TableParagraph"/>
              <w:spacing w:line="273" w:lineRule="exact" w:before="19"/>
              <w:ind w:left="109"/>
              <w:rPr>
                <w:sz w:val="24"/>
              </w:rPr>
            </w:pPr>
            <w:r>
              <w:rPr>
                <w:spacing w:val="-4"/>
                <w:sz w:val="24"/>
              </w:rPr>
              <w:t>dUTP</w:t>
            </w:r>
          </w:p>
        </w:tc>
      </w:tr>
      <w:tr>
        <w:trPr>
          <w:trHeight w:val="361" w:hRule="atLeast"/>
        </w:trPr>
        <w:tc>
          <w:tcPr>
            <w:tcW w:w="439" w:type="dxa"/>
          </w:tcPr>
          <w:p>
            <w:pPr>
              <w:pStyle w:val="TableParagraph"/>
              <w:spacing w:before="1"/>
              <w:ind w:left="107"/>
              <w:rPr>
                <w:sz w:val="24"/>
              </w:rPr>
            </w:pPr>
            <w:r>
              <w:rPr>
                <w:spacing w:val="-10"/>
                <w:sz w:val="24"/>
              </w:rPr>
              <w:t>1</w:t>
            </w:r>
          </w:p>
        </w:tc>
        <w:tc>
          <w:tcPr>
            <w:tcW w:w="1454" w:type="dxa"/>
          </w:tcPr>
          <w:p>
            <w:pPr>
              <w:pStyle w:val="TableParagraph"/>
              <w:spacing w:before="1"/>
              <w:ind w:left="105"/>
              <w:rPr>
                <w:sz w:val="24"/>
              </w:rPr>
            </w:pPr>
            <w:r>
              <w:rPr>
                <w:spacing w:val="-5"/>
                <w:sz w:val="24"/>
              </w:rPr>
              <w:t>964</w:t>
            </w:r>
          </w:p>
        </w:tc>
        <w:tc>
          <w:tcPr>
            <w:tcW w:w="895" w:type="dxa"/>
          </w:tcPr>
          <w:p>
            <w:pPr>
              <w:pStyle w:val="TableParagraph"/>
              <w:spacing w:before="1"/>
              <w:ind w:left="105"/>
              <w:rPr>
                <w:sz w:val="24"/>
              </w:rPr>
            </w:pPr>
            <w:r>
              <w:rPr>
                <w:spacing w:val="-5"/>
                <w:sz w:val="24"/>
              </w:rPr>
              <w:t>36</w:t>
            </w:r>
          </w:p>
        </w:tc>
        <w:tc>
          <w:tcPr>
            <w:tcW w:w="1411" w:type="dxa"/>
          </w:tcPr>
          <w:p>
            <w:pPr>
              <w:pStyle w:val="TableParagraph"/>
              <w:spacing w:before="1"/>
              <w:ind w:left="108"/>
              <w:rPr>
                <w:sz w:val="24"/>
              </w:rPr>
            </w:pPr>
            <w:r>
              <w:rPr>
                <w:spacing w:val="-4"/>
                <w:sz w:val="24"/>
              </w:rPr>
              <w:t>96,4</w:t>
            </w:r>
          </w:p>
        </w:tc>
        <w:tc>
          <w:tcPr>
            <w:tcW w:w="897" w:type="dxa"/>
          </w:tcPr>
          <w:p>
            <w:pPr>
              <w:pStyle w:val="TableParagraph"/>
              <w:spacing w:before="1"/>
              <w:ind w:left="106"/>
              <w:rPr>
                <w:sz w:val="24"/>
              </w:rPr>
            </w:pPr>
            <w:r>
              <w:rPr>
                <w:spacing w:val="-5"/>
                <w:sz w:val="24"/>
              </w:rPr>
              <w:t>3,6</w:t>
            </w:r>
          </w:p>
        </w:tc>
        <w:tc>
          <w:tcPr>
            <w:tcW w:w="1408" w:type="dxa"/>
          </w:tcPr>
          <w:p>
            <w:pPr>
              <w:pStyle w:val="TableParagraph"/>
              <w:spacing w:before="1"/>
              <w:ind w:left="106"/>
              <w:rPr>
                <w:sz w:val="24"/>
              </w:rPr>
            </w:pPr>
            <w:r>
              <w:rPr>
                <w:spacing w:val="-5"/>
                <w:sz w:val="24"/>
              </w:rPr>
              <w:t>663</w:t>
            </w:r>
          </w:p>
        </w:tc>
        <w:tc>
          <w:tcPr>
            <w:tcW w:w="897" w:type="dxa"/>
          </w:tcPr>
          <w:p>
            <w:pPr>
              <w:pStyle w:val="TableParagraph"/>
              <w:spacing w:before="1"/>
              <w:ind w:left="107"/>
              <w:rPr>
                <w:sz w:val="24"/>
              </w:rPr>
            </w:pPr>
            <w:r>
              <w:rPr>
                <w:spacing w:val="-5"/>
                <w:sz w:val="24"/>
              </w:rPr>
              <w:t>337</w:t>
            </w:r>
          </w:p>
        </w:tc>
        <w:tc>
          <w:tcPr>
            <w:tcW w:w="1408" w:type="dxa"/>
          </w:tcPr>
          <w:p>
            <w:pPr>
              <w:pStyle w:val="TableParagraph"/>
              <w:spacing w:before="1"/>
              <w:ind w:left="108"/>
              <w:rPr>
                <w:sz w:val="24"/>
              </w:rPr>
            </w:pPr>
            <w:r>
              <w:rPr>
                <w:spacing w:val="-4"/>
                <w:sz w:val="24"/>
              </w:rPr>
              <w:t>66,3</w:t>
            </w:r>
          </w:p>
        </w:tc>
        <w:tc>
          <w:tcPr>
            <w:tcW w:w="897" w:type="dxa"/>
          </w:tcPr>
          <w:p>
            <w:pPr>
              <w:pStyle w:val="TableParagraph"/>
              <w:spacing w:before="1"/>
              <w:ind w:left="109"/>
              <w:rPr>
                <w:sz w:val="24"/>
              </w:rPr>
            </w:pPr>
            <w:r>
              <w:rPr>
                <w:spacing w:val="-4"/>
                <w:sz w:val="24"/>
              </w:rPr>
              <w:t>33,7</w:t>
            </w:r>
          </w:p>
        </w:tc>
      </w:tr>
    </w:tbl>
    <w:p>
      <w:pPr>
        <w:pStyle w:val="TableParagraph"/>
        <w:spacing w:after="0"/>
        <w:rPr>
          <w:sz w:val="24"/>
        </w:rPr>
        <w:sectPr>
          <w:pgSz w:w="11910" w:h="16840"/>
          <w:pgMar w:header="0" w:footer="990" w:top="340" w:bottom="1200" w:left="708" w:right="425"/>
        </w:sectPr>
      </w:pPr>
    </w:p>
    <w:p>
      <w:pPr>
        <w:spacing w:before="68"/>
        <w:ind w:left="499" w:right="0" w:firstLine="0"/>
        <w:jc w:val="left"/>
        <w:rPr>
          <w:sz w:val="24"/>
        </w:rPr>
      </w:pPr>
      <w:r>
        <w:rPr>
          <w:sz w:val="24"/>
        </w:rPr>
        <w:t>Продолжение</w:t>
      </w:r>
      <w:r>
        <w:rPr>
          <w:spacing w:val="-1"/>
          <w:sz w:val="24"/>
        </w:rPr>
        <w:t> </w:t>
      </w:r>
      <w:r>
        <w:rPr>
          <w:sz w:val="24"/>
        </w:rPr>
        <w:t>таблицы</w:t>
      </w:r>
      <w:r>
        <w:rPr>
          <w:spacing w:val="-3"/>
          <w:sz w:val="24"/>
        </w:rPr>
        <w:t> </w:t>
      </w:r>
      <w:r>
        <w:rPr>
          <w:spacing w:val="-5"/>
          <w:sz w:val="24"/>
        </w:rPr>
        <w:t>11</w:t>
      </w:r>
    </w:p>
    <w:p>
      <w:pPr>
        <w:pStyle w:val="BodyText"/>
        <w:spacing w:before="3"/>
        <w:jc w:val="left"/>
        <w:rPr>
          <w:sz w:val="5"/>
        </w:r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
        <w:gridCol w:w="1454"/>
        <w:gridCol w:w="895"/>
        <w:gridCol w:w="1411"/>
        <w:gridCol w:w="897"/>
        <w:gridCol w:w="1408"/>
        <w:gridCol w:w="897"/>
        <w:gridCol w:w="1408"/>
        <w:gridCol w:w="897"/>
      </w:tblGrid>
      <w:tr>
        <w:trPr>
          <w:trHeight w:val="335" w:hRule="atLeast"/>
        </w:trPr>
        <w:tc>
          <w:tcPr>
            <w:tcW w:w="439" w:type="dxa"/>
          </w:tcPr>
          <w:p>
            <w:pPr>
              <w:pStyle w:val="TableParagraph"/>
              <w:spacing w:line="275" w:lineRule="exact"/>
              <w:ind w:right="91"/>
              <w:jc w:val="center"/>
              <w:rPr>
                <w:sz w:val="24"/>
              </w:rPr>
            </w:pPr>
            <w:r>
              <w:rPr>
                <w:spacing w:val="-10"/>
                <w:sz w:val="24"/>
              </w:rPr>
              <w:t>2</w:t>
            </w:r>
          </w:p>
        </w:tc>
        <w:tc>
          <w:tcPr>
            <w:tcW w:w="1454" w:type="dxa"/>
          </w:tcPr>
          <w:p>
            <w:pPr>
              <w:pStyle w:val="TableParagraph"/>
              <w:spacing w:line="275" w:lineRule="exact"/>
              <w:ind w:left="105"/>
              <w:rPr>
                <w:sz w:val="24"/>
              </w:rPr>
            </w:pPr>
            <w:r>
              <w:rPr>
                <w:spacing w:val="-5"/>
                <w:sz w:val="24"/>
              </w:rPr>
              <w:t>877</w:t>
            </w:r>
          </w:p>
        </w:tc>
        <w:tc>
          <w:tcPr>
            <w:tcW w:w="895" w:type="dxa"/>
          </w:tcPr>
          <w:p>
            <w:pPr>
              <w:pStyle w:val="TableParagraph"/>
              <w:spacing w:line="275" w:lineRule="exact"/>
              <w:ind w:left="105"/>
              <w:rPr>
                <w:sz w:val="24"/>
              </w:rPr>
            </w:pPr>
            <w:r>
              <w:rPr>
                <w:spacing w:val="-5"/>
                <w:sz w:val="24"/>
              </w:rPr>
              <w:t>123</w:t>
            </w:r>
          </w:p>
        </w:tc>
        <w:tc>
          <w:tcPr>
            <w:tcW w:w="1411" w:type="dxa"/>
          </w:tcPr>
          <w:p>
            <w:pPr>
              <w:pStyle w:val="TableParagraph"/>
              <w:spacing w:line="275" w:lineRule="exact"/>
              <w:ind w:left="108"/>
              <w:rPr>
                <w:sz w:val="24"/>
              </w:rPr>
            </w:pPr>
            <w:r>
              <w:rPr>
                <w:spacing w:val="-4"/>
                <w:sz w:val="24"/>
              </w:rPr>
              <w:t>87,7</w:t>
            </w:r>
          </w:p>
        </w:tc>
        <w:tc>
          <w:tcPr>
            <w:tcW w:w="897" w:type="dxa"/>
          </w:tcPr>
          <w:p>
            <w:pPr>
              <w:pStyle w:val="TableParagraph"/>
              <w:spacing w:line="275" w:lineRule="exact"/>
              <w:ind w:left="106"/>
              <w:rPr>
                <w:sz w:val="24"/>
              </w:rPr>
            </w:pPr>
            <w:r>
              <w:rPr>
                <w:spacing w:val="-4"/>
                <w:sz w:val="24"/>
              </w:rPr>
              <w:t>12,3</w:t>
            </w:r>
          </w:p>
        </w:tc>
        <w:tc>
          <w:tcPr>
            <w:tcW w:w="1408" w:type="dxa"/>
          </w:tcPr>
          <w:p>
            <w:pPr>
              <w:pStyle w:val="TableParagraph"/>
              <w:spacing w:line="275" w:lineRule="exact"/>
              <w:ind w:left="106"/>
              <w:rPr>
                <w:sz w:val="24"/>
              </w:rPr>
            </w:pPr>
            <w:r>
              <w:rPr>
                <w:spacing w:val="-5"/>
                <w:sz w:val="24"/>
              </w:rPr>
              <w:t>867</w:t>
            </w:r>
          </w:p>
        </w:tc>
        <w:tc>
          <w:tcPr>
            <w:tcW w:w="897" w:type="dxa"/>
          </w:tcPr>
          <w:p>
            <w:pPr>
              <w:pStyle w:val="TableParagraph"/>
              <w:spacing w:line="275" w:lineRule="exact"/>
              <w:ind w:left="107"/>
              <w:rPr>
                <w:sz w:val="24"/>
              </w:rPr>
            </w:pPr>
            <w:r>
              <w:rPr>
                <w:spacing w:val="-5"/>
                <w:sz w:val="24"/>
              </w:rPr>
              <w:t>133</w:t>
            </w:r>
          </w:p>
        </w:tc>
        <w:tc>
          <w:tcPr>
            <w:tcW w:w="1408" w:type="dxa"/>
          </w:tcPr>
          <w:p>
            <w:pPr>
              <w:pStyle w:val="TableParagraph"/>
              <w:spacing w:line="275" w:lineRule="exact"/>
              <w:ind w:left="108"/>
              <w:rPr>
                <w:sz w:val="24"/>
              </w:rPr>
            </w:pPr>
            <w:r>
              <w:rPr>
                <w:spacing w:val="-4"/>
                <w:sz w:val="24"/>
              </w:rPr>
              <w:t>86,7</w:t>
            </w:r>
          </w:p>
        </w:tc>
        <w:tc>
          <w:tcPr>
            <w:tcW w:w="897" w:type="dxa"/>
          </w:tcPr>
          <w:p>
            <w:pPr>
              <w:pStyle w:val="TableParagraph"/>
              <w:spacing w:line="275" w:lineRule="exact"/>
              <w:ind w:left="109"/>
              <w:rPr>
                <w:sz w:val="24"/>
              </w:rPr>
            </w:pPr>
            <w:r>
              <w:rPr>
                <w:spacing w:val="-4"/>
                <w:sz w:val="24"/>
              </w:rPr>
              <w:t>13,3</w:t>
            </w:r>
          </w:p>
        </w:tc>
      </w:tr>
      <w:tr>
        <w:trPr>
          <w:trHeight w:val="335" w:hRule="atLeast"/>
        </w:trPr>
        <w:tc>
          <w:tcPr>
            <w:tcW w:w="439" w:type="dxa"/>
          </w:tcPr>
          <w:p>
            <w:pPr>
              <w:pStyle w:val="TableParagraph"/>
              <w:spacing w:line="275" w:lineRule="exact"/>
              <w:ind w:right="91"/>
              <w:jc w:val="center"/>
              <w:rPr>
                <w:sz w:val="24"/>
              </w:rPr>
            </w:pPr>
            <w:r>
              <w:rPr>
                <w:spacing w:val="-10"/>
                <w:sz w:val="24"/>
              </w:rPr>
              <w:t>3</w:t>
            </w:r>
          </w:p>
        </w:tc>
        <w:tc>
          <w:tcPr>
            <w:tcW w:w="1454" w:type="dxa"/>
          </w:tcPr>
          <w:p>
            <w:pPr>
              <w:pStyle w:val="TableParagraph"/>
              <w:spacing w:line="275" w:lineRule="exact"/>
              <w:ind w:left="105"/>
              <w:rPr>
                <w:sz w:val="24"/>
              </w:rPr>
            </w:pPr>
            <w:r>
              <w:rPr>
                <w:spacing w:val="-5"/>
                <w:sz w:val="24"/>
              </w:rPr>
              <w:t>937</w:t>
            </w:r>
          </w:p>
        </w:tc>
        <w:tc>
          <w:tcPr>
            <w:tcW w:w="895" w:type="dxa"/>
          </w:tcPr>
          <w:p>
            <w:pPr>
              <w:pStyle w:val="TableParagraph"/>
              <w:spacing w:line="275" w:lineRule="exact"/>
              <w:ind w:left="105"/>
              <w:rPr>
                <w:sz w:val="24"/>
              </w:rPr>
            </w:pPr>
            <w:r>
              <w:rPr>
                <w:spacing w:val="-5"/>
                <w:sz w:val="24"/>
              </w:rPr>
              <w:t>63</w:t>
            </w:r>
          </w:p>
        </w:tc>
        <w:tc>
          <w:tcPr>
            <w:tcW w:w="1411" w:type="dxa"/>
          </w:tcPr>
          <w:p>
            <w:pPr>
              <w:pStyle w:val="TableParagraph"/>
              <w:spacing w:line="275" w:lineRule="exact"/>
              <w:ind w:left="108"/>
              <w:rPr>
                <w:sz w:val="24"/>
              </w:rPr>
            </w:pPr>
            <w:r>
              <w:rPr>
                <w:spacing w:val="-4"/>
                <w:sz w:val="24"/>
              </w:rPr>
              <w:t>93,7</w:t>
            </w:r>
          </w:p>
        </w:tc>
        <w:tc>
          <w:tcPr>
            <w:tcW w:w="897" w:type="dxa"/>
          </w:tcPr>
          <w:p>
            <w:pPr>
              <w:pStyle w:val="TableParagraph"/>
              <w:spacing w:line="275" w:lineRule="exact"/>
              <w:ind w:left="106"/>
              <w:rPr>
                <w:sz w:val="24"/>
              </w:rPr>
            </w:pPr>
            <w:r>
              <w:rPr>
                <w:spacing w:val="-5"/>
                <w:sz w:val="24"/>
              </w:rPr>
              <w:t>6,3</w:t>
            </w:r>
          </w:p>
        </w:tc>
        <w:tc>
          <w:tcPr>
            <w:tcW w:w="1408" w:type="dxa"/>
          </w:tcPr>
          <w:p>
            <w:pPr>
              <w:pStyle w:val="TableParagraph"/>
              <w:spacing w:line="275" w:lineRule="exact"/>
              <w:ind w:left="106"/>
              <w:rPr>
                <w:sz w:val="24"/>
              </w:rPr>
            </w:pPr>
            <w:r>
              <w:rPr>
                <w:spacing w:val="-5"/>
                <w:sz w:val="24"/>
              </w:rPr>
              <w:t>910</w:t>
            </w:r>
          </w:p>
        </w:tc>
        <w:tc>
          <w:tcPr>
            <w:tcW w:w="897" w:type="dxa"/>
          </w:tcPr>
          <w:p>
            <w:pPr>
              <w:pStyle w:val="TableParagraph"/>
              <w:spacing w:line="275" w:lineRule="exact"/>
              <w:ind w:left="107"/>
              <w:rPr>
                <w:sz w:val="24"/>
              </w:rPr>
            </w:pPr>
            <w:r>
              <w:rPr>
                <w:spacing w:val="-5"/>
                <w:sz w:val="24"/>
              </w:rPr>
              <w:t>90</w:t>
            </w:r>
          </w:p>
        </w:tc>
        <w:tc>
          <w:tcPr>
            <w:tcW w:w="1408" w:type="dxa"/>
          </w:tcPr>
          <w:p>
            <w:pPr>
              <w:pStyle w:val="TableParagraph"/>
              <w:spacing w:line="275" w:lineRule="exact"/>
              <w:ind w:left="108"/>
              <w:rPr>
                <w:sz w:val="24"/>
              </w:rPr>
            </w:pPr>
            <w:r>
              <w:rPr>
                <w:spacing w:val="-5"/>
                <w:sz w:val="24"/>
              </w:rPr>
              <w:t>91</w:t>
            </w:r>
          </w:p>
        </w:tc>
        <w:tc>
          <w:tcPr>
            <w:tcW w:w="897" w:type="dxa"/>
          </w:tcPr>
          <w:p>
            <w:pPr>
              <w:pStyle w:val="TableParagraph"/>
              <w:spacing w:line="275" w:lineRule="exact"/>
              <w:ind w:left="109"/>
              <w:rPr>
                <w:sz w:val="24"/>
              </w:rPr>
            </w:pPr>
            <w:r>
              <w:rPr>
                <w:spacing w:val="-10"/>
                <w:sz w:val="24"/>
              </w:rPr>
              <w:t>9</w:t>
            </w:r>
          </w:p>
        </w:tc>
      </w:tr>
      <w:tr>
        <w:trPr>
          <w:trHeight w:val="359" w:hRule="atLeast"/>
        </w:trPr>
        <w:tc>
          <w:tcPr>
            <w:tcW w:w="439" w:type="dxa"/>
          </w:tcPr>
          <w:p>
            <w:pPr>
              <w:pStyle w:val="TableParagraph"/>
              <w:spacing w:line="275" w:lineRule="exact"/>
              <w:ind w:right="91"/>
              <w:jc w:val="center"/>
              <w:rPr>
                <w:sz w:val="24"/>
              </w:rPr>
            </w:pPr>
            <w:r>
              <w:rPr>
                <w:spacing w:val="-10"/>
                <w:sz w:val="24"/>
              </w:rPr>
              <w:t>4</w:t>
            </w:r>
          </w:p>
        </w:tc>
        <w:tc>
          <w:tcPr>
            <w:tcW w:w="1454" w:type="dxa"/>
          </w:tcPr>
          <w:p>
            <w:pPr>
              <w:pStyle w:val="TableParagraph"/>
              <w:spacing w:line="275" w:lineRule="exact"/>
              <w:ind w:left="105"/>
              <w:rPr>
                <w:sz w:val="24"/>
              </w:rPr>
            </w:pPr>
            <w:r>
              <w:rPr>
                <w:spacing w:val="-5"/>
                <w:sz w:val="24"/>
              </w:rPr>
              <w:t>973</w:t>
            </w:r>
          </w:p>
        </w:tc>
        <w:tc>
          <w:tcPr>
            <w:tcW w:w="895" w:type="dxa"/>
          </w:tcPr>
          <w:p>
            <w:pPr>
              <w:pStyle w:val="TableParagraph"/>
              <w:spacing w:line="275" w:lineRule="exact"/>
              <w:ind w:left="105"/>
              <w:rPr>
                <w:sz w:val="24"/>
              </w:rPr>
            </w:pPr>
            <w:r>
              <w:rPr>
                <w:spacing w:val="-5"/>
                <w:sz w:val="24"/>
              </w:rPr>
              <w:t>27</w:t>
            </w:r>
          </w:p>
        </w:tc>
        <w:tc>
          <w:tcPr>
            <w:tcW w:w="1411" w:type="dxa"/>
          </w:tcPr>
          <w:p>
            <w:pPr>
              <w:pStyle w:val="TableParagraph"/>
              <w:spacing w:line="275" w:lineRule="exact"/>
              <w:ind w:left="108"/>
              <w:rPr>
                <w:sz w:val="24"/>
              </w:rPr>
            </w:pPr>
            <w:r>
              <w:rPr>
                <w:spacing w:val="-4"/>
                <w:sz w:val="24"/>
              </w:rPr>
              <w:t>97,3</w:t>
            </w:r>
          </w:p>
        </w:tc>
        <w:tc>
          <w:tcPr>
            <w:tcW w:w="897" w:type="dxa"/>
          </w:tcPr>
          <w:p>
            <w:pPr>
              <w:pStyle w:val="TableParagraph"/>
              <w:spacing w:line="275" w:lineRule="exact"/>
              <w:ind w:left="106"/>
              <w:rPr>
                <w:sz w:val="24"/>
              </w:rPr>
            </w:pPr>
            <w:r>
              <w:rPr>
                <w:spacing w:val="-5"/>
                <w:sz w:val="24"/>
              </w:rPr>
              <w:t>2,7</w:t>
            </w:r>
          </w:p>
        </w:tc>
        <w:tc>
          <w:tcPr>
            <w:tcW w:w="1408" w:type="dxa"/>
          </w:tcPr>
          <w:p>
            <w:pPr>
              <w:pStyle w:val="TableParagraph"/>
              <w:spacing w:line="275" w:lineRule="exact"/>
              <w:ind w:left="106"/>
              <w:rPr>
                <w:sz w:val="24"/>
              </w:rPr>
            </w:pPr>
            <w:r>
              <w:rPr>
                <w:spacing w:val="-5"/>
                <w:sz w:val="24"/>
              </w:rPr>
              <w:t>961</w:t>
            </w:r>
          </w:p>
        </w:tc>
        <w:tc>
          <w:tcPr>
            <w:tcW w:w="897" w:type="dxa"/>
          </w:tcPr>
          <w:p>
            <w:pPr>
              <w:pStyle w:val="TableParagraph"/>
              <w:spacing w:line="275" w:lineRule="exact"/>
              <w:ind w:left="107"/>
              <w:rPr>
                <w:sz w:val="24"/>
              </w:rPr>
            </w:pPr>
            <w:r>
              <w:rPr>
                <w:spacing w:val="-5"/>
                <w:sz w:val="24"/>
              </w:rPr>
              <w:t>39</w:t>
            </w:r>
          </w:p>
        </w:tc>
        <w:tc>
          <w:tcPr>
            <w:tcW w:w="1408" w:type="dxa"/>
          </w:tcPr>
          <w:p>
            <w:pPr>
              <w:pStyle w:val="TableParagraph"/>
              <w:spacing w:line="275" w:lineRule="exact"/>
              <w:ind w:left="108"/>
              <w:rPr>
                <w:sz w:val="24"/>
              </w:rPr>
            </w:pPr>
            <w:r>
              <w:rPr>
                <w:spacing w:val="-4"/>
                <w:sz w:val="24"/>
              </w:rPr>
              <w:t>96,1</w:t>
            </w:r>
          </w:p>
        </w:tc>
        <w:tc>
          <w:tcPr>
            <w:tcW w:w="897" w:type="dxa"/>
          </w:tcPr>
          <w:p>
            <w:pPr>
              <w:pStyle w:val="TableParagraph"/>
              <w:spacing w:line="275" w:lineRule="exact"/>
              <w:ind w:left="109"/>
              <w:rPr>
                <w:sz w:val="24"/>
              </w:rPr>
            </w:pPr>
            <w:r>
              <w:rPr>
                <w:spacing w:val="-5"/>
                <w:sz w:val="24"/>
              </w:rPr>
              <w:t>3,9</w:t>
            </w:r>
          </w:p>
        </w:tc>
      </w:tr>
      <w:tr>
        <w:trPr>
          <w:trHeight w:val="335" w:hRule="atLeast"/>
        </w:trPr>
        <w:tc>
          <w:tcPr>
            <w:tcW w:w="439" w:type="dxa"/>
          </w:tcPr>
          <w:p>
            <w:pPr>
              <w:pStyle w:val="TableParagraph"/>
              <w:spacing w:line="275" w:lineRule="exact"/>
              <w:ind w:right="91"/>
              <w:jc w:val="center"/>
              <w:rPr>
                <w:sz w:val="24"/>
              </w:rPr>
            </w:pPr>
            <w:r>
              <w:rPr>
                <w:spacing w:val="-10"/>
                <w:sz w:val="24"/>
              </w:rPr>
              <w:t>5</w:t>
            </w:r>
          </w:p>
        </w:tc>
        <w:tc>
          <w:tcPr>
            <w:tcW w:w="1454" w:type="dxa"/>
          </w:tcPr>
          <w:p>
            <w:pPr>
              <w:pStyle w:val="TableParagraph"/>
              <w:spacing w:line="275" w:lineRule="exact"/>
              <w:ind w:left="105"/>
              <w:rPr>
                <w:sz w:val="24"/>
              </w:rPr>
            </w:pPr>
            <w:r>
              <w:rPr>
                <w:spacing w:val="-5"/>
                <w:sz w:val="24"/>
              </w:rPr>
              <w:t>761</w:t>
            </w:r>
          </w:p>
        </w:tc>
        <w:tc>
          <w:tcPr>
            <w:tcW w:w="895" w:type="dxa"/>
          </w:tcPr>
          <w:p>
            <w:pPr>
              <w:pStyle w:val="TableParagraph"/>
              <w:spacing w:line="275" w:lineRule="exact"/>
              <w:ind w:left="105"/>
              <w:rPr>
                <w:sz w:val="24"/>
              </w:rPr>
            </w:pPr>
            <w:r>
              <w:rPr>
                <w:spacing w:val="-5"/>
                <w:sz w:val="24"/>
              </w:rPr>
              <w:t>239</w:t>
            </w:r>
          </w:p>
        </w:tc>
        <w:tc>
          <w:tcPr>
            <w:tcW w:w="1411" w:type="dxa"/>
          </w:tcPr>
          <w:p>
            <w:pPr>
              <w:pStyle w:val="TableParagraph"/>
              <w:spacing w:line="275" w:lineRule="exact"/>
              <w:ind w:left="108"/>
              <w:rPr>
                <w:sz w:val="24"/>
              </w:rPr>
            </w:pPr>
            <w:r>
              <w:rPr>
                <w:spacing w:val="-4"/>
                <w:sz w:val="24"/>
              </w:rPr>
              <w:t>76,1</w:t>
            </w:r>
          </w:p>
        </w:tc>
        <w:tc>
          <w:tcPr>
            <w:tcW w:w="897" w:type="dxa"/>
          </w:tcPr>
          <w:p>
            <w:pPr>
              <w:pStyle w:val="TableParagraph"/>
              <w:spacing w:line="275" w:lineRule="exact"/>
              <w:ind w:left="106"/>
              <w:rPr>
                <w:sz w:val="24"/>
              </w:rPr>
            </w:pPr>
            <w:r>
              <w:rPr>
                <w:spacing w:val="-4"/>
                <w:sz w:val="24"/>
              </w:rPr>
              <w:t>23,9</w:t>
            </w:r>
          </w:p>
        </w:tc>
        <w:tc>
          <w:tcPr>
            <w:tcW w:w="1408" w:type="dxa"/>
          </w:tcPr>
          <w:p>
            <w:pPr>
              <w:pStyle w:val="TableParagraph"/>
              <w:spacing w:line="275" w:lineRule="exact"/>
              <w:ind w:left="106"/>
              <w:rPr>
                <w:sz w:val="24"/>
              </w:rPr>
            </w:pPr>
            <w:r>
              <w:rPr>
                <w:spacing w:val="-5"/>
                <w:sz w:val="24"/>
              </w:rPr>
              <w:t>811</w:t>
            </w:r>
          </w:p>
        </w:tc>
        <w:tc>
          <w:tcPr>
            <w:tcW w:w="897" w:type="dxa"/>
          </w:tcPr>
          <w:p>
            <w:pPr>
              <w:pStyle w:val="TableParagraph"/>
              <w:spacing w:line="275" w:lineRule="exact"/>
              <w:ind w:left="107"/>
              <w:rPr>
                <w:sz w:val="24"/>
              </w:rPr>
            </w:pPr>
            <w:r>
              <w:rPr>
                <w:spacing w:val="-5"/>
                <w:sz w:val="24"/>
              </w:rPr>
              <w:t>189</w:t>
            </w:r>
          </w:p>
        </w:tc>
        <w:tc>
          <w:tcPr>
            <w:tcW w:w="1408" w:type="dxa"/>
          </w:tcPr>
          <w:p>
            <w:pPr>
              <w:pStyle w:val="TableParagraph"/>
              <w:spacing w:line="275" w:lineRule="exact"/>
              <w:ind w:left="108"/>
              <w:rPr>
                <w:sz w:val="24"/>
              </w:rPr>
            </w:pPr>
            <w:r>
              <w:rPr>
                <w:spacing w:val="-4"/>
                <w:sz w:val="24"/>
              </w:rPr>
              <w:t>81,1</w:t>
            </w:r>
          </w:p>
        </w:tc>
        <w:tc>
          <w:tcPr>
            <w:tcW w:w="897" w:type="dxa"/>
          </w:tcPr>
          <w:p>
            <w:pPr>
              <w:pStyle w:val="TableParagraph"/>
              <w:spacing w:line="275" w:lineRule="exact"/>
              <w:ind w:left="109"/>
              <w:rPr>
                <w:sz w:val="24"/>
              </w:rPr>
            </w:pPr>
            <w:r>
              <w:rPr>
                <w:spacing w:val="-4"/>
                <w:sz w:val="24"/>
              </w:rPr>
              <w:t>18,9</w:t>
            </w:r>
          </w:p>
        </w:tc>
      </w:tr>
      <w:tr>
        <w:trPr>
          <w:trHeight w:val="359" w:hRule="atLeast"/>
        </w:trPr>
        <w:tc>
          <w:tcPr>
            <w:tcW w:w="439" w:type="dxa"/>
          </w:tcPr>
          <w:p>
            <w:pPr>
              <w:pStyle w:val="TableParagraph"/>
              <w:spacing w:line="275" w:lineRule="exact"/>
              <w:ind w:right="91"/>
              <w:jc w:val="center"/>
              <w:rPr>
                <w:sz w:val="24"/>
              </w:rPr>
            </w:pPr>
            <w:r>
              <w:rPr>
                <w:spacing w:val="-10"/>
                <w:sz w:val="24"/>
              </w:rPr>
              <w:t>6</w:t>
            </w:r>
          </w:p>
        </w:tc>
        <w:tc>
          <w:tcPr>
            <w:tcW w:w="1454" w:type="dxa"/>
          </w:tcPr>
          <w:p>
            <w:pPr>
              <w:pStyle w:val="TableParagraph"/>
              <w:spacing w:line="275" w:lineRule="exact"/>
              <w:ind w:left="105"/>
              <w:rPr>
                <w:sz w:val="24"/>
              </w:rPr>
            </w:pPr>
            <w:r>
              <w:rPr>
                <w:spacing w:val="-5"/>
                <w:sz w:val="24"/>
              </w:rPr>
              <w:t>899</w:t>
            </w:r>
          </w:p>
        </w:tc>
        <w:tc>
          <w:tcPr>
            <w:tcW w:w="895" w:type="dxa"/>
          </w:tcPr>
          <w:p>
            <w:pPr>
              <w:pStyle w:val="TableParagraph"/>
              <w:spacing w:line="275" w:lineRule="exact"/>
              <w:ind w:left="105"/>
              <w:rPr>
                <w:sz w:val="24"/>
              </w:rPr>
            </w:pPr>
            <w:r>
              <w:rPr>
                <w:spacing w:val="-5"/>
                <w:sz w:val="24"/>
              </w:rPr>
              <w:t>101</w:t>
            </w:r>
          </w:p>
        </w:tc>
        <w:tc>
          <w:tcPr>
            <w:tcW w:w="1411" w:type="dxa"/>
          </w:tcPr>
          <w:p>
            <w:pPr>
              <w:pStyle w:val="TableParagraph"/>
              <w:spacing w:line="275" w:lineRule="exact"/>
              <w:ind w:left="108"/>
              <w:rPr>
                <w:sz w:val="24"/>
              </w:rPr>
            </w:pPr>
            <w:r>
              <w:rPr>
                <w:spacing w:val="-4"/>
                <w:sz w:val="24"/>
              </w:rPr>
              <w:t>89,9</w:t>
            </w:r>
          </w:p>
        </w:tc>
        <w:tc>
          <w:tcPr>
            <w:tcW w:w="897" w:type="dxa"/>
          </w:tcPr>
          <w:p>
            <w:pPr>
              <w:pStyle w:val="TableParagraph"/>
              <w:spacing w:line="275" w:lineRule="exact"/>
              <w:ind w:left="106"/>
              <w:rPr>
                <w:sz w:val="24"/>
              </w:rPr>
            </w:pPr>
            <w:r>
              <w:rPr>
                <w:spacing w:val="-4"/>
                <w:sz w:val="24"/>
              </w:rPr>
              <w:t>10,1</w:t>
            </w:r>
          </w:p>
        </w:tc>
        <w:tc>
          <w:tcPr>
            <w:tcW w:w="1408" w:type="dxa"/>
          </w:tcPr>
          <w:p>
            <w:pPr>
              <w:pStyle w:val="TableParagraph"/>
              <w:spacing w:line="275" w:lineRule="exact"/>
              <w:ind w:left="106"/>
              <w:rPr>
                <w:sz w:val="24"/>
              </w:rPr>
            </w:pPr>
            <w:r>
              <w:rPr>
                <w:spacing w:val="-5"/>
                <w:sz w:val="24"/>
              </w:rPr>
              <w:t>901</w:t>
            </w:r>
          </w:p>
        </w:tc>
        <w:tc>
          <w:tcPr>
            <w:tcW w:w="897" w:type="dxa"/>
          </w:tcPr>
          <w:p>
            <w:pPr>
              <w:pStyle w:val="TableParagraph"/>
              <w:spacing w:line="275" w:lineRule="exact"/>
              <w:ind w:left="107"/>
              <w:rPr>
                <w:sz w:val="24"/>
              </w:rPr>
            </w:pPr>
            <w:r>
              <w:rPr>
                <w:spacing w:val="-5"/>
                <w:sz w:val="24"/>
              </w:rPr>
              <w:t>99</w:t>
            </w:r>
          </w:p>
        </w:tc>
        <w:tc>
          <w:tcPr>
            <w:tcW w:w="1408" w:type="dxa"/>
          </w:tcPr>
          <w:p>
            <w:pPr>
              <w:pStyle w:val="TableParagraph"/>
              <w:spacing w:line="275" w:lineRule="exact"/>
              <w:ind w:left="108"/>
              <w:rPr>
                <w:sz w:val="24"/>
              </w:rPr>
            </w:pPr>
            <w:r>
              <w:rPr>
                <w:spacing w:val="-4"/>
                <w:sz w:val="24"/>
              </w:rPr>
              <w:t>90,1</w:t>
            </w:r>
          </w:p>
        </w:tc>
        <w:tc>
          <w:tcPr>
            <w:tcW w:w="897" w:type="dxa"/>
          </w:tcPr>
          <w:p>
            <w:pPr>
              <w:pStyle w:val="TableParagraph"/>
              <w:spacing w:line="275" w:lineRule="exact"/>
              <w:ind w:left="109"/>
              <w:rPr>
                <w:sz w:val="24"/>
              </w:rPr>
            </w:pPr>
            <w:r>
              <w:rPr>
                <w:spacing w:val="-5"/>
                <w:sz w:val="24"/>
              </w:rPr>
              <w:t>9,9</w:t>
            </w:r>
          </w:p>
        </w:tc>
      </w:tr>
      <w:tr>
        <w:trPr>
          <w:trHeight w:val="337" w:hRule="atLeast"/>
        </w:trPr>
        <w:tc>
          <w:tcPr>
            <w:tcW w:w="439" w:type="dxa"/>
          </w:tcPr>
          <w:p>
            <w:pPr>
              <w:pStyle w:val="TableParagraph"/>
              <w:spacing w:before="1"/>
              <w:ind w:right="91"/>
              <w:jc w:val="center"/>
              <w:rPr>
                <w:sz w:val="24"/>
              </w:rPr>
            </w:pPr>
            <w:r>
              <w:rPr>
                <w:spacing w:val="-10"/>
                <w:sz w:val="24"/>
              </w:rPr>
              <w:t>7</w:t>
            </w:r>
          </w:p>
        </w:tc>
        <w:tc>
          <w:tcPr>
            <w:tcW w:w="1454" w:type="dxa"/>
          </w:tcPr>
          <w:p>
            <w:pPr>
              <w:pStyle w:val="TableParagraph"/>
              <w:spacing w:before="1"/>
              <w:ind w:left="105"/>
              <w:rPr>
                <w:sz w:val="24"/>
              </w:rPr>
            </w:pPr>
            <w:r>
              <w:rPr>
                <w:spacing w:val="-5"/>
                <w:sz w:val="24"/>
              </w:rPr>
              <w:t>955</w:t>
            </w:r>
          </w:p>
        </w:tc>
        <w:tc>
          <w:tcPr>
            <w:tcW w:w="895" w:type="dxa"/>
          </w:tcPr>
          <w:p>
            <w:pPr>
              <w:pStyle w:val="TableParagraph"/>
              <w:spacing w:before="1"/>
              <w:ind w:left="105"/>
              <w:rPr>
                <w:sz w:val="24"/>
              </w:rPr>
            </w:pPr>
            <w:r>
              <w:rPr>
                <w:spacing w:val="-5"/>
                <w:sz w:val="24"/>
              </w:rPr>
              <w:t>45</w:t>
            </w:r>
          </w:p>
        </w:tc>
        <w:tc>
          <w:tcPr>
            <w:tcW w:w="1411" w:type="dxa"/>
          </w:tcPr>
          <w:p>
            <w:pPr>
              <w:pStyle w:val="TableParagraph"/>
              <w:spacing w:before="1"/>
              <w:ind w:left="108"/>
              <w:rPr>
                <w:sz w:val="24"/>
              </w:rPr>
            </w:pPr>
            <w:r>
              <w:rPr>
                <w:spacing w:val="-4"/>
                <w:sz w:val="24"/>
              </w:rPr>
              <w:t>95,5</w:t>
            </w:r>
          </w:p>
        </w:tc>
        <w:tc>
          <w:tcPr>
            <w:tcW w:w="897" w:type="dxa"/>
          </w:tcPr>
          <w:p>
            <w:pPr>
              <w:pStyle w:val="TableParagraph"/>
              <w:spacing w:before="1"/>
              <w:ind w:left="106"/>
              <w:rPr>
                <w:sz w:val="24"/>
              </w:rPr>
            </w:pPr>
            <w:r>
              <w:rPr>
                <w:spacing w:val="-5"/>
                <w:sz w:val="24"/>
              </w:rPr>
              <w:t>4,5</w:t>
            </w:r>
          </w:p>
        </w:tc>
        <w:tc>
          <w:tcPr>
            <w:tcW w:w="1408" w:type="dxa"/>
          </w:tcPr>
          <w:p>
            <w:pPr>
              <w:pStyle w:val="TableParagraph"/>
              <w:spacing w:before="1"/>
              <w:ind w:left="106"/>
              <w:rPr>
                <w:sz w:val="24"/>
              </w:rPr>
            </w:pPr>
            <w:r>
              <w:rPr>
                <w:spacing w:val="-5"/>
                <w:sz w:val="24"/>
              </w:rPr>
              <w:t>961</w:t>
            </w:r>
          </w:p>
        </w:tc>
        <w:tc>
          <w:tcPr>
            <w:tcW w:w="897" w:type="dxa"/>
          </w:tcPr>
          <w:p>
            <w:pPr>
              <w:pStyle w:val="TableParagraph"/>
              <w:spacing w:before="1"/>
              <w:ind w:left="107"/>
              <w:rPr>
                <w:sz w:val="24"/>
              </w:rPr>
            </w:pPr>
            <w:r>
              <w:rPr>
                <w:spacing w:val="-5"/>
                <w:sz w:val="24"/>
              </w:rPr>
              <w:t>39</w:t>
            </w:r>
          </w:p>
        </w:tc>
        <w:tc>
          <w:tcPr>
            <w:tcW w:w="1408" w:type="dxa"/>
          </w:tcPr>
          <w:p>
            <w:pPr>
              <w:pStyle w:val="TableParagraph"/>
              <w:spacing w:before="1"/>
              <w:ind w:left="108"/>
              <w:rPr>
                <w:sz w:val="24"/>
              </w:rPr>
            </w:pPr>
            <w:r>
              <w:rPr>
                <w:spacing w:val="-4"/>
                <w:sz w:val="24"/>
              </w:rPr>
              <w:t>96,1</w:t>
            </w:r>
          </w:p>
        </w:tc>
        <w:tc>
          <w:tcPr>
            <w:tcW w:w="897" w:type="dxa"/>
          </w:tcPr>
          <w:p>
            <w:pPr>
              <w:pStyle w:val="TableParagraph"/>
              <w:spacing w:before="1"/>
              <w:ind w:left="109"/>
              <w:rPr>
                <w:sz w:val="24"/>
              </w:rPr>
            </w:pPr>
            <w:r>
              <w:rPr>
                <w:spacing w:val="-5"/>
                <w:sz w:val="24"/>
              </w:rPr>
              <w:t>3,9</w:t>
            </w:r>
          </w:p>
        </w:tc>
      </w:tr>
      <w:tr>
        <w:trPr>
          <w:trHeight w:val="359" w:hRule="atLeast"/>
        </w:trPr>
        <w:tc>
          <w:tcPr>
            <w:tcW w:w="439" w:type="dxa"/>
          </w:tcPr>
          <w:p>
            <w:pPr>
              <w:pStyle w:val="TableParagraph"/>
              <w:spacing w:line="275" w:lineRule="exact"/>
              <w:ind w:right="91"/>
              <w:jc w:val="center"/>
              <w:rPr>
                <w:sz w:val="24"/>
              </w:rPr>
            </w:pPr>
            <w:r>
              <w:rPr>
                <w:spacing w:val="-10"/>
                <w:sz w:val="24"/>
              </w:rPr>
              <w:t>8</w:t>
            </w:r>
          </w:p>
        </w:tc>
        <w:tc>
          <w:tcPr>
            <w:tcW w:w="1454" w:type="dxa"/>
          </w:tcPr>
          <w:p>
            <w:pPr>
              <w:pStyle w:val="TableParagraph"/>
              <w:spacing w:line="275" w:lineRule="exact"/>
              <w:ind w:left="105"/>
              <w:rPr>
                <w:sz w:val="24"/>
              </w:rPr>
            </w:pPr>
            <w:r>
              <w:rPr>
                <w:spacing w:val="-5"/>
                <w:sz w:val="24"/>
              </w:rPr>
              <w:t>964</w:t>
            </w:r>
          </w:p>
        </w:tc>
        <w:tc>
          <w:tcPr>
            <w:tcW w:w="895" w:type="dxa"/>
          </w:tcPr>
          <w:p>
            <w:pPr>
              <w:pStyle w:val="TableParagraph"/>
              <w:spacing w:line="275" w:lineRule="exact"/>
              <w:ind w:left="105"/>
              <w:rPr>
                <w:sz w:val="24"/>
              </w:rPr>
            </w:pPr>
            <w:r>
              <w:rPr>
                <w:spacing w:val="-5"/>
                <w:sz w:val="24"/>
              </w:rPr>
              <w:t>36</w:t>
            </w:r>
          </w:p>
        </w:tc>
        <w:tc>
          <w:tcPr>
            <w:tcW w:w="1411" w:type="dxa"/>
          </w:tcPr>
          <w:p>
            <w:pPr>
              <w:pStyle w:val="TableParagraph"/>
              <w:spacing w:line="275" w:lineRule="exact"/>
              <w:ind w:left="108"/>
              <w:rPr>
                <w:sz w:val="24"/>
              </w:rPr>
            </w:pPr>
            <w:r>
              <w:rPr>
                <w:spacing w:val="-4"/>
                <w:sz w:val="24"/>
              </w:rPr>
              <w:t>96,4</w:t>
            </w:r>
          </w:p>
        </w:tc>
        <w:tc>
          <w:tcPr>
            <w:tcW w:w="897" w:type="dxa"/>
          </w:tcPr>
          <w:p>
            <w:pPr>
              <w:pStyle w:val="TableParagraph"/>
              <w:spacing w:line="275" w:lineRule="exact"/>
              <w:ind w:left="106"/>
              <w:rPr>
                <w:sz w:val="24"/>
              </w:rPr>
            </w:pPr>
            <w:r>
              <w:rPr>
                <w:spacing w:val="-5"/>
                <w:sz w:val="24"/>
              </w:rPr>
              <w:t>3,6</w:t>
            </w:r>
          </w:p>
        </w:tc>
        <w:tc>
          <w:tcPr>
            <w:tcW w:w="1408" w:type="dxa"/>
          </w:tcPr>
          <w:p>
            <w:pPr>
              <w:pStyle w:val="TableParagraph"/>
              <w:spacing w:line="275" w:lineRule="exact"/>
              <w:ind w:left="106"/>
              <w:rPr>
                <w:sz w:val="24"/>
              </w:rPr>
            </w:pPr>
            <w:r>
              <w:rPr>
                <w:spacing w:val="-5"/>
                <w:sz w:val="24"/>
              </w:rPr>
              <w:t>965</w:t>
            </w:r>
          </w:p>
        </w:tc>
        <w:tc>
          <w:tcPr>
            <w:tcW w:w="897" w:type="dxa"/>
          </w:tcPr>
          <w:p>
            <w:pPr>
              <w:pStyle w:val="TableParagraph"/>
              <w:spacing w:line="275" w:lineRule="exact"/>
              <w:ind w:left="107"/>
              <w:rPr>
                <w:sz w:val="24"/>
              </w:rPr>
            </w:pPr>
            <w:r>
              <w:rPr>
                <w:spacing w:val="-5"/>
                <w:sz w:val="24"/>
              </w:rPr>
              <w:t>35</w:t>
            </w:r>
          </w:p>
        </w:tc>
        <w:tc>
          <w:tcPr>
            <w:tcW w:w="1408" w:type="dxa"/>
          </w:tcPr>
          <w:p>
            <w:pPr>
              <w:pStyle w:val="TableParagraph"/>
              <w:spacing w:line="275" w:lineRule="exact"/>
              <w:ind w:left="108"/>
              <w:rPr>
                <w:sz w:val="24"/>
              </w:rPr>
            </w:pPr>
            <w:r>
              <w:rPr>
                <w:spacing w:val="-4"/>
                <w:sz w:val="24"/>
              </w:rPr>
              <w:t>96,5</w:t>
            </w:r>
          </w:p>
        </w:tc>
        <w:tc>
          <w:tcPr>
            <w:tcW w:w="897" w:type="dxa"/>
          </w:tcPr>
          <w:p>
            <w:pPr>
              <w:pStyle w:val="TableParagraph"/>
              <w:spacing w:line="275" w:lineRule="exact"/>
              <w:ind w:left="109"/>
              <w:rPr>
                <w:sz w:val="24"/>
              </w:rPr>
            </w:pPr>
            <w:r>
              <w:rPr>
                <w:spacing w:val="-5"/>
                <w:sz w:val="24"/>
              </w:rPr>
              <w:t>3,5</w:t>
            </w:r>
          </w:p>
        </w:tc>
      </w:tr>
      <w:tr>
        <w:trPr>
          <w:trHeight w:val="359" w:hRule="atLeast"/>
        </w:trPr>
        <w:tc>
          <w:tcPr>
            <w:tcW w:w="9706" w:type="dxa"/>
            <w:gridSpan w:val="9"/>
          </w:tcPr>
          <w:p>
            <w:pPr>
              <w:pStyle w:val="TableParagraph"/>
              <w:spacing w:line="275" w:lineRule="exact"/>
              <w:ind w:left="107"/>
              <w:rPr>
                <w:sz w:val="24"/>
              </w:rPr>
            </w:pPr>
            <w:r>
              <w:rPr>
                <w:sz w:val="24"/>
              </w:rPr>
              <w:t>Парный</w:t>
            </w:r>
            <w:r>
              <w:rPr>
                <w:spacing w:val="-1"/>
                <w:sz w:val="24"/>
              </w:rPr>
              <w:t> </w:t>
            </w:r>
            <w:r>
              <w:rPr>
                <w:sz w:val="24"/>
              </w:rPr>
              <w:t>t-критерий Стьюдента</w:t>
            </w:r>
            <w:r>
              <w:rPr>
                <w:spacing w:val="-3"/>
                <w:sz w:val="24"/>
              </w:rPr>
              <w:t> </w:t>
            </w:r>
            <w:r>
              <w:rPr>
                <w:sz w:val="24"/>
              </w:rPr>
              <w:t>t</w:t>
            </w:r>
            <w:r>
              <w:rPr>
                <w:spacing w:val="-1"/>
                <w:sz w:val="24"/>
              </w:rPr>
              <w:t> </w:t>
            </w:r>
            <w:r>
              <w:rPr>
                <w:sz w:val="24"/>
              </w:rPr>
              <w:t>набл</w:t>
            </w:r>
            <w:r>
              <w:rPr>
                <w:spacing w:val="-1"/>
                <w:sz w:val="24"/>
              </w:rPr>
              <w:t> </w:t>
            </w:r>
            <w:r>
              <w:rPr>
                <w:sz w:val="24"/>
              </w:rPr>
              <w:t>&lt;</w:t>
            </w:r>
            <w:r>
              <w:rPr>
                <w:spacing w:val="-2"/>
                <w:sz w:val="24"/>
              </w:rPr>
              <w:t> </w:t>
            </w:r>
            <w:r>
              <w:rPr>
                <w:sz w:val="24"/>
              </w:rPr>
              <w:t>t</w:t>
            </w:r>
            <w:r>
              <w:rPr>
                <w:spacing w:val="-1"/>
                <w:sz w:val="24"/>
              </w:rPr>
              <w:t> </w:t>
            </w:r>
            <w:r>
              <w:rPr>
                <w:sz w:val="24"/>
              </w:rPr>
              <w:t>крит,</w:t>
            </w:r>
            <w:r>
              <w:rPr>
                <w:spacing w:val="-4"/>
                <w:sz w:val="24"/>
              </w:rPr>
              <w:t> </w:t>
            </w:r>
            <w:r>
              <w:rPr>
                <w:spacing w:val="-2"/>
                <w:sz w:val="24"/>
              </w:rPr>
              <w:t>p=0,378</w:t>
            </w:r>
          </w:p>
        </w:tc>
      </w:tr>
    </w:tbl>
    <w:p>
      <w:pPr>
        <w:pStyle w:val="BodyText"/>
        <w:spacing w:line="256" w:lineRule="auto" w:before="5"/>
        <w:ind w:left="144" w:right="419" w:firstLine="707"/>
      </w:pPr>
      <w:r>
        <w:rPr/>
        <w:t>Выбор парного t-критерия Стьюдента обусловлен необходимостью сравнения двух наборов связанных данных — то есть измерений, проведённых на одних и тех же объектах</w:t>
      </w:r>
      <w:r>
        <w:rPr>
          <w:spacing w:val="-2"/>
        </w:rPr>
        <w:t> </w:t>
      </w:r>
      <w:r>
        <w:rPr/>
        <w:t>до и после воздействия или</w:t>
      </w:r>
      <w:r>
        <w:rPr>
          <w:spacing w:val="-2"/>
        </w:rPr>
        <w:t> </w:t>
      </w:r>
      <w:r>
        <w:rPr/>
        <w:t>при двух разных,</w:t>
      </w:r>
      <w:r>
        <w:rPr>
          <w:spacing w:val="-1"/>
        </w:rPr>
        <w:t> </w:t>
      </w:r>
      <w:r>
        <w:rPr/>
        <w:t>но зависимых условиях.</w:t>
      </w:r>
      <w:r>
        <w:rPr>
          <w:spacing w:val="-1"/>
        </w:rPr>
        <w:t> </w:t>
      </w:r>
      <w:r>
        <w:rPr/>
        <w:t>В данном случае один эякулят делился на 2 аликвоты: одна равная часть подвергалась облучению</w:t>
      </w:r>
      <w:r>
        <w:rPr>
          <w:spacing w:val="-1"/>
        </w:rPr>
        <w:t> </w:t>
      </w:r>
      <w:r>
        <w:rPr/>
        <w:t>(опыт),</w:t>
      </w:r>
      <w:r>
        <w:rPr>
          <w:spacing w:val="-3"/>
        </w:rPr>
        <w:t> </w:t>
      </w:r>
      <w:r>
        <w:rPr/>
        <w:t>вторая нет</w:t>
      </w:r>
      <w:r>
        <w:rPr>
          <w:spacing w:val="-1"/>
        </w:rPr>
        <w:t> </w:t>
      </w:r>
      <w:r>
        <w:rPr/>
        <w:t>(контроль).</w:t>
      </w:r>
      <w:r>
        <w:rPr>
          <w:spacing w:val="-1"/>
        </w:rPr>
        <w:t> </w:t>
      </w:r>
      <w:r>
        <w:rPr/>
        <w:t>Число сперматозоидов</w:t>
      </w:r>
      <w:r>
        <w:rPr>
          <w:spacing w:val="-1"/>
        </w:rPr>
        <w:t> </w:t>
      </w:r>
      <w:r>
        <w:rPr/>
        <w:t>в</w:t>
      </w:r>
      <w:r>
        <w:rPr>
          <w:spacing w:val="-1"/>
        </w:rPr>
        <w:t> </w:t>
      </w:r>
      <w:r>
        <w:rPr/>
        <w:t>опыте и</w:t>
      </w:r>
      <w:r>
        <w:rPr>
          <w:spacing w:val="-2"/>
        </w:rPr>
        <w:t> </w:t>
      </w:r>
      <w:r>
        <w:rPr/>
        <w:t>контроле величина количественная, что также оправдывает выбор парного t-критерия Стьюдента в качестве теста для проверки</w:t>
      </w:r>
      <w:r>
        <w:rPr>
          <w:spacing w:val="40"/>
        </w:rPr>
        <w:t> </w:t>
      </w:r>
      <w:r>
        <w:rPr/>
        <w:t>значимости отличий.</w:t>
      </w:r>
    </w:p>
    <w:p>
      <w:pPr>
        <w:pStyle w:val="BodyText"/>
        <w:spacing w:line="256" w:lineRule="auto"/>
        <w:ind w:left="144" w:right="420" w:firstLine="708"/>
      </w:pPr>
      <w:r>
        <w:rPr/>
        <w:t>На рисунке 40 изображены сперматозоиды, зондированные флуоресцеином-12-dUTP и окрашенные пропидий-иодидом в эксперименте (светодиодное ЭМИ, лазер 651 нм, ИК-диод 933 нм, 15 минут, 4,02 Дж) и контроле (темная камера). Зеленое свечение - регистрация разрывов ДНК, красное – интактная ДНК.</w:t>
      </w:r>
    </w:p>
    <w:p>
      <w:pPr>
        <w:spacing w:line="240" w:lineRule="auto"/>
        <w:ind w:left="161" w:right="0" w:firstLine="0"/>
        <w:jc w:val="left"/>
        <w:rPr>
          <w:position w:val="5"/>
          <w:sz w:val="20"/>
        </w:rPr>
      </w:pPr>
      <w:r>
        <w:rPr>
          <w:sz w:val="20"/>
        </w:rPr>
        <w:drawing>
          <wp:inline distT="0" distB="0" distL="0" distR="0">
            <wp:extent cx="2081593" cy="1927860"/>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63" cstate="print"/>
                    <a:stretch>
                      <a:fillRect/>
                    </a:stretch>
                  </pic:blipFill>
                  <pic:spPr>
                    <a:xfrm>
                      <a:off x="0" y="0"/>
                      <a:ext cx="2081593" cy="1927860"/>
                    </a:xfrm>
                    <a:prstGeom prst="rect">
                      <a:avLst/>
                    </a:prstGeom>
                  </pic:spPr>
                </pic:pic>
              </a:graphicData>
            </a:graphic>
          </wp:inline>
        </w:drawing>
      </w:r>
      <w:r>
        <w:rPr>
          <w:sz w:val="20"/>
        </w:rPr>
      </w:r>
      <w:r>
        <w:rPr>
          <w:spacing w:val="74"/>
          <w:sz w:val="20"/>
        </w:rPr>
        <w:t> </w:t>
      </w:r>
      <w:r>
        <w:rPr>
          <w:spacing w:val="74"/>
          <w:position w:val="1"/>
          <w:sz w:val="20"/>
        </w:rPr>
        <w:drawing>
          <wp:inline distT="0" distB="0" distL="0" distR="0">
            <wp:extent cx="2153630" cy="1923668"/>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64" cstate="print"/>
                    <a:stretch>
                      <a:fillRect/>
                    </a:stretch>
                  </pic:blipFill>
                  <pic:spPr>
                    <a:xfrm>
                      <a:off x="0" y="0"/>
                      <a:ext cx="2153630" cy="1923668"/>
                    </a:xfrm>
                    <a:prstGeom prst="rect">
                      <a:avLst/>
                    </a:prstGeom>
                  </pic:spPr>
                </pic:pic>
              </a:graphicData>
            </a:graphic>
          </wp:inline>
        </w:drawing>
      </w:r>
      <w:r>
        <w:rPr>
          <w:spacing w:val="74"/>
          <w:position w:val="1"/>
          <w:sz w:val="20"/>
        </w:rPr>
      </w:r>
      <w:r>
        <w:rPr>
          <w:spacing w:val="97"/>
          <w:position w:val="1"/>
          <w:sz w:val="20"/>
        </w:rPr>
        <w:t> </w:t>
      </w:r>
      <w:r>
        <w:rPr>
          <w:spacing w:val="97"/>
          <w:position w:val="5"/>
          <w:sz w:val="20"/>
        </w:rPr>
        <w:drawing>
          <wp:inline distT="0" distB="0" distL="0" distR="0">
            <wp:extent cx="2072910" cy="1896332"/>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65" cstate="print"/>
                    <a:stretch>
                      <a:fillRect/>
                    </a:stretch>
                  </pic:blipFill>
                  <pic:spPr>
                    <a:xfrm>
                      <a:off x="0" y="0"/>
                      <a:ext cx="2072910" cy="1896332"/>
                    </a:xfrm>
                    <a:prstGeom prst="rect">
                      <a:avLst/>
                    </a:prstGeom>
                  </pic:spPr>
                </pic:pic>
              </a:graphicData>
            </a:graphic>
          </wp:inline>
        </w:drawing>
      </w:r>
      <w:r>
        <w:rPr>
          <w:spacing w:val="97"/>
          <w:position w:val="5"/>
          <w:sz w:val="20"/>
        </w:rPr>
      </w:r>
    </w:p>
    <w:p>
      <w:pPr>
        <w:pStyle w:val="BodyText"/>
        <w:spacing w:before="24"/>
        <w:jc w:val="left"/>
        <w:rPr>
          <w:sz w:val="20"/>
        </w:rPr>
      </w:pPr>
    </w:p>
    <w:tbl>
      <w:tblPr>
        <w:tblW w:w="0" w:type="auto"/>
        <w:jc w:val="left"/>
        <w:tblInd w:w="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8"/>
        <w:gridCol w:w="3478"/>
        <w:gridCol w:w="1837"/>
      </w:tblGrid>
      <w:tr>
        <w:trPr>
          <w:trHeight w:val="1685" w:hRule="atLeast"/>
        </w:trPr>
        <w:tc>
          <w:tcPr>
            <w:tcW w:w="1848" w:type="dxa"/>
          </w:tcPr>
          <w:p>
            <w:pPr>
              <w:pStyle w:val="TableParagraph"/>
              <w:spacing w:line="266" w:lineRule="exact"/>
              <w:ind w:left="57"/>
              <w:rPr>
                <w:sz w:val="24"/>
              </w:rPr>
            </w:pPr>
            <w:r>
              <w:rPr>
                <w:spacing w:val="-10"/>
                <w:sz w:val="24"/>
              </w:rPr>
              <w:t>a</w:t>
            </w:r>
          </w:p>
        </w:tc>
        <w:tc>
          <w:tcPr>
            <w:tcW w:w="3478" w:type="dxa"/>
          </w:tcPr>
          <w:p>
            <w:pPr>
              <w:pStyle w:val="TableParagraph"/>
              <w:spacing w:line="266" w:lineRule="exact"/>
              <w:ind w:left="1" w:right="1"/>
              <w:jc w:val="center"/>
              <w:rPr>
                <w:sz w:val="24"/>
              </w:rPr>
            </w:pPr>
            <w:r>
              <w:rPr>
                <w:sz w:val="24"/>
              </w:rPr>
              <mc:AlternateContent>
                <mc:Choice Requires="wps">
                  <w:drawing>
                    <wp:anchor distT="0" distB="0" distL="0" distR="0" allowOverlap="1" layoutInCell="1" locked="0" behindDoc="1" simplePos="0" relativeHeight="481474048">
                      <wp:simplePos x="0" y="0"/>
                      <wp:positionH relativeFrom="column">
                        <wp:posOffset>63372</wp:posOffset>
                      </wp:positionH>
                      <wp:positionV relativeFrom="paragraph">
                        <wp:posOffset>169567</wp:posOffset>
                      </wp:positionV>
                      <wp:extent cx="2083435" cy="1796414"/>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083435" cy="1796414"/>
                                <a:chExt cx="2083435" cy="1796414"/>
                              </a:xfrm>
                            </wpg:grpSpPr>
                            <pic:pic>
                              <pic:nvPicPr>
                                <pic:cNvPr id="94" name="Image 94"/>
                                <pic:cNvPicPr/>
                              </pic:nvPicPr>
                              <pic:blipFill>
                                <a:blip r:embed="rId66" cstate="print"/>
                                <a:stretch>
                                  <a:fillRect/>
                                </a:stretch>
                              </pic:blipFill>
                              <pic:spPr>
                                <a:xfrm>
                                  <a:off x="0" y="0"/>
                                  <a:ext cx="2080543" cy="1793938"/>
                                </a:xfrm>
                                <a:prstGeom prst="rect">
                                  <a:avLst/>
                                </a:prstGeom>
                              </pic:spPr>
                            </pic:pic>
                          </wpg:wgp>
                        </a:graphicData>
                      </a:graphic>
                    </wp:anchor>
                  </w:drawing>
                </mc:Choice>
                <mc:Fallback>
                  <w:pict>
                    <v:group style="position:absolute;margin-left:4.99pt;margin-top:13.351743pt;width:164.05pt;height:141.450pt;mso-position-horizontal-relative:column;mso-position-vertical-relative:paragraph;z-index:-21842432" id="docshapegroup48" coordorigin="100,267" coordsize="3281,2829">
                      <v:shape style="position:absolute;left:99;top:267;width:3277;height:2826" type="#_x0000_t75" id="docshape49" stroked="false">
                        <v:imagedata r:id="rId66" o:title=""/>
                      </v:shape>
                      <w10:wrap type="none"/>
                    </v:group>
                  </w:pict>
                </mc:Fallback>
              </mc:AlternateContent>
            </w:r>
            <w:r>
              <w:rPr>
                <w:spacing w:val="-10"/>
                <w:sz w:val="24"/>
              </w:rPr>
              <w:t>c</w:t>
            </w:r>
          </w:p>
        </w:tc>
        <w:tc>
          <w:tcPr>
            <w:tcW w:w="1837" w:type="dxa"/>
          </w:tcPr>
          <w:p>
            <w:pPr>
              <w:pStyle w:val="TableParagraph"/>
              <w:spacing w:line="266" w:lineRule="exact"/>
              <w:ind w:right="49"/>
              <w:jc w:val="right"/>
              <w:rPr>
                <w:sz w:val="24"/>
              </w:rPr>
            </w:pPr>
            <w:r>
              <w:rPr>
                <w:spacing w:val="-10"/>
                <w:sz w:val="24"/>
              </w:rPr>
              <w:t>e</w:t>
            </w:r>
          </w:p>
        </w:tc>
      </w:tr>
      <w:tr>
        <w:trPr>
          <w:trHeight w:val="1685" w:hRule="atLeast"/>
        </w:trPr>
        <w:tc>
          <w:tcPr>
            <w:tcW w:w="1848"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9"/>
              <w:rPr>
                <w:sz w:val="24"/>
              </w:rPr>
            </w:pPr>
          </w:p>
          <w:p>
            <w:pPr>
              <w:pStyle w:val="TableParagraph"/>
              <w:spacing w:line="256" w:lineRule="exact" w:before="1"/>
              <w:ind w:left="50"/>
              <w:rPr>
                <w:sz w:val="24"/>
              </w:rPr>
            </w:pPr>
            <w:r>
              <w:rPr>
                <w:spacing w:val="-10"/>
                <w:sz w:val="24"/>
              </w:rPr>
              <w:t>b</w:t>
            </w:r>
          </w:p>
        </w:tc>
        <w:tc>
          <w:tcPr>
            <w:tcW w:w="3478"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9"/>
              <w:rPr>
                <w:sz w:val="24"/>
              </w:rPr>
            </w:pPr>
          </w:p>
          <w:p>
            <w:pPr>
              <w:pStyle w:val="TableParagraph"/>
              <w:spacing w:line="256" w:lineRule="exact" w:before="1"/>
              <w:ind w:right="1"/>
              <w:jc w:val="center"/>
              <w:rPr>
                <w:sz w:val="24"/>
              </w:rPr>
            </w:pPr>
            <w:r>
              <w:rPr>
                <w:spacing w:val="-10"/>
                <w:sz w:val="24"/>
              </w:rPr>
              <w:t>d</w:t>
            </w:r>
          </w:p>
        </w:tc>
        <w:tc>
          <w:tcPr>
            <w:tcW w:w="1837"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9"/>
              <w:rPr>
                <w:sz w:val="24"/>
              </w:rPr>
            </w:pPr>
          </w:p>
          <w:p>
            <w:pPr>
              <w:pStyle w:val="TableParagraph"/>
              <w:spacing w:line="256" w:lineRule="exact" w:before="1"/>
              <w:ind w:right="63"/>
              <w:jc w:val="right"/>
              <w:rPr>
                <w:sz w:val="24"/>
              </w:rPr>
            </w:pPr>
            <w:r>
              <w:rPr>
                <w:spacing w:val="-10"/>
                <w:sz w:val="24"/>
              </w:rPr>
              <w:t>f</w:t>
            </w:r>
          </w:p>
        </w:tc>
      </w:tr>
    </w:tbl>
    <w:p>
      <w:pPr>
        <w:pStyle w:val="BodyText"/>
        <w:spacing w:line="256" w:lineRule="auto" w:before="2"/>
        <w:ind w:left="3684" w:hanging="3209"/>
        <w:jc w:val="left"/>
      </w:pPr>
      <w:r>
        <w:rPr/>
        <w:drawing>
          <wp:anchor distT="0" distB="0" distL="0" distR="0" allowOverlap="1" layoutInCell="1" locked="0" behindDoc="1" simplePos="0" relativeHeight="481473536">
            <wp:simplePos x="0" y="0"/>
            <wp:positionH relativeFrom="page">
              <wp:posOffset>546736</wp:posOffset>
            </wp:positionH>
            <wp:positionV relativeFrom="paragraph">
              <wp:posOffset>-1970382</wp:posOffset>
            </wp:positionV>
            <wp:extent cx="2085631" cy="179832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67" cstate="print"/>
                    <a:stretch>
                      <a:fillRect/>
                    </a:stretch>
                  </pic:blipFill>
                  <pic:spPr>
                    <a:xfrm>
                      <a:off x="0" y="0"/>
                      <a:ext cx="2085631" cy="1798320"/>
                    </a:xfrm>
                    <a:prstGeom prst="rect">
                      <a:avLst/>
                    </a:prstGeom>
                  </pic:spPr>
                </pic:pic>
              </a:graphicData>
            </a:graphic>
          </wp:anchor>
        </w:drawing>
      </w:r>
      <w:r>
        <w:rPr/>
        <w:drawing>
          <wp:anchor distT="0" distB="0" distL="0" distR="0" allowOverlap="1" layoutInCell="1" locked="0" behindDoc="1" simplePos="0" relativeHeight="481474560">
            <wp:simplePos x="0" y="0"/>
            <wp:positionH relativeFrom="page">
              <wp:posOffset>4967923</wp:posOffset>
            </wp:positionH>
            <wp:positionV relativeFrom="paragraph">
              <wp:posOffset>-1970382</wp:posOffset>
            </wp:positionV>
            <wp:extent cx="2036282" cy="179832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68" cstate="print"/>
                    <a:stretch>
                      <a:fillRect/>
                    </a:stretch>
                  </pic:blipFill>
                  <pic:spPr>
                    <a:xfrm>
                      <a:off x="0" y="0"/>
                      <a:ext cx="2036282" cy="1798320"/>
                    </a:xfrm>
                    <a:prstGeom prst="rect">
                      <a:avLst/>
                    </a:prstGeom>
                  </pic:spPr>
                </pic:pic>
              </a:graphicData>
            </a:graphic>
          </wp:anchor>
        </w:drawing>
      </w:r>
      <w:r>
        <w:rPr/>
        <w:t>Рисунок</w:t>
      </w:r>
      <w:r>
        <w:rPr>
          <w:spacing w:val="-6"/>
        </w:rPr>
        <w:t> </w:t>
      </w:r>
      <w:r>
        <w:rPr/>
        <w:t>40</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3"/>
        </w:rPr>
        <w:t> </w:t>
      </w:r>
      <w:r>
        <w:rPr/>
        <w:t>анализа</w:t>
      </w:r>
      <w:r>
        <w:rPr>
          <w:spacing w:val="-4"/>
        </w:rPr>
        <w:t> </w:t>
      </w:r>
      <w:r>
        <w:rPr/>
        <w:t>фрагментации</w:t>
      </w:r>
      <w:r>
        <w:rPr>
          <w:spacing w:val="-3"/>
        </w:rPr>
        <w:t> </w:t>
      </w:r>
      <w:r>
        <w:rPr/>
        <w:t>ДНК</w:t>
      </w:r>
      <w:r>
        <w:rPr>
          <w:spacing w:val="-4"/>
        </w:rPr>
        <w:t> </w:t>
      </w:r>
      <w:r>
        <w:rPr/>
        <w:t>сперматозоидов</w:t>
      </w:r>
      <w:r>
        <w:rPr>
          <w:spacing w:val="-4"/>
        </w:rPr>
        <w:t> </w:t>
      </w:r>
      <w:r>
        <w:rPr/>
        <w:t>методом TUNEL. Увеличение х100</w:t>
      </w:r>
    </w:p>
    <w:p>
      <w:pPr>
        <w:spacing w:line="256" w:lineRule="auto" w:before="0"/>
        <w:ind w:left="144" w:right="502" w:firstLine="0"/>
        <w:jc w:val="left"/>
        <w:rPr>
          <w:sz w:val="22"/>
        </w:rPr>
      </w:pPr>
      <w:r>
        <w:rPr>
          <w:sz w:val="22"/>
        </w:rPr>
        <w:t>a,c,e – контроль; b,d,f – облучение эякулята светодиодным ЭМИ в сочетании с лазером 651 нм и инфракрасным</w:t>
      </w:r>
      <w:r>
        <w:rPr>
          <w:spacing w:val="-4"/>
          <w:sz w:val="22"/>
        </w:rPr>
        <w:t> </w:t>
      </w:r>
      <w:r>
        <w:rPr>
          <w:sz w:val="22"/>
        </w:rPr>
        <w:t>933</w:t>
      </w:r>
      <w:r>
        <w:rPr>
          <w:spacing w:val="-3"/>
          <w:sz w:val="22"/>
        </w:rPr>
        <w:t> </w:t>
      </w:r>
      <w:r>
        <w:rPr>
          <w:sz w:val="22"/>
        </w:rPr>
        <w:t>нм</w:t>
      </w:r>
      <w:r>
        <w:rPr>
          <w:spacing w:val="-4"/>
          <w:sz w:val="22"/>
        </w:rPr>
        <w:t> </w:t>
      </w:r>
      <w:r>
        <w:rPr>
          <w:sz w:val="22"/>
        </w:rPr>
        <w:t>излучениями,</w:t>
      </w:r>
      <w:r>
        <w:rPr>
          <w:spacing w:val="-3"/>
          <w:sz w:val="22"/>
        </w:rPr>
        <w:t> </w:t>
      </w:r>
      <w:r>
        <w:rPr>
          <w:sz w:val="22"/>
        </w:rPr>
        <w:t>15</w:t>
      </w:r>
      <w:r>
        <w:rPr>
          <w:spacing w:val="-3"/>
          <w:sz w:val="22"/>
        </w:rPr>
        <w:t> </w:t>
      </w:r>
      <w:r>
        <w:rPr>
          <w:sz w:val="22"/>
        </w:rPr>
        <w:t>минут,</w:t>
      </w:r>
      <w:r>
        <w:rPr>
          <w:spacing w:val="-3"/>
          <w:sz w:val="22"/>
        </w:rPr>
        <w:t> </w:t>
      </w:r>
      <w:r>
        <w:rPr>
          <w:sz w:val="22"/>
        </w:rPr>
        <w:t>4,02</w:t>
      </w:r>
      <w:r>
        <w:rPr>
          <w:spacing w:val="-3"/>
          <w:sz w:val="22"/>
        </w:rPr>
        <w:t> </w:t>
      </w:r>
      <w:r>
        <w:rPr>
          <w:sz w:val="22"/>
        </w:rPr>
        <w:t>Дж.</w:t>
      </w:r>
      <w:r>
        <w:rPr>
          <w:spacing w:val="-6"/>
          <w:sz w:val="22"/>
        </w:rPr>
        <w:t> </w:t>
      </w:r>
      <w:r>
        <w:rPr>
          <w:sz w:val="22"/>
        </w:rPr>
        <w:t>Красители:</w:t>
      </w:r>
      <w:r>
        <w:rPr>
          <w:spacing w:val="-2"/>
          <w:sz w:val="22"/>
        </w:rPr>
        <w:t> </w:t>
      </w:r>
      <w:r>
        <w:rPr>
          <w:sz w:val="22"/>
        </w:rPr>
        <w:t>зонд</w:t>
      </w:r>
      <w:r>
        <w:rPr>
          <w:spacing w:val="-5"/>
          <w:sz w:val="22"/>
        </w:rPr>
        <w:t> </w:t>
      </w:r>
      <w:r>
        <w:rPr>
          <w:sz w:val="22"/>
        </w:rPr>
        <w:t>флуоресцеин-12-dUTP,</w:t>
      </w:r>
      <w:r>
        <w:rPr>
          <w:spacing w:val="-3"/>
          <w:sz w:val="22"/>
        </w:rPr>
        <w:t> </w:t>
      </w:r>
      <w:r>
        <w:rPr>
          <w:sz w:val="22"/>
        </w:rPr>
        <w:t>пропидий-</w:t>
      </w:r>
      <w:r>
        <w:rPr>
          <w:spacing w:val="-2"/>
          <w:sz w:val="22"/>
        </w:rPr>
        <w:t>иодид.</w:t>
      </w:r>
    </w:p>
    <w:p>
      <w:pPr>
        <w:spacing w:after="0" w:line="256" w:lineRule="auto"/>
        <w:jc w:val="left"/>
        <w:rPr>
          <w:sz w:val="22"/>
        </w:rPr>
        <w:sectPr>
          <w:pgSz w:w="11910" w:h="16840"/>
          <w:pgMar w:header="0" w:footer="990" w:top="340" w:bottom="1180" w:left="708" w:right="425"/>
        </w:sectPr>
      </w:pPr>
    </w:p>
    <w:p>
      <w:pPr>
        <w:pStyle w:val="BodyText"/>
        <w:spacing w:line="256" w:lineRule="auto" w:before="69"/>
        <w:ind w:left="143" w:right="420" w:firstLine="708"/>
      </w:pPr>
      <w:r>
        <w:rPr/>
        <w:t>Визуально можно наблюдать отсутствие разницы в количестве зеленых меток в эксперименте и контроле. Отдельно стоит отметить, то, что оценка негативного эффекта от воздействия ЭМИ не должна ограничиваться лишь определением уровня фрагментации ДНК, т.к. существуют вышеприведенные аномалии ДНК, которые могли бы сформироваться </w:t>
      </w:r>
      <w:r>
        <w:rPr>
          <w:i/>
        </w:rPr>
        <w:t>de novo </w:t>
      </w:r>
      <w:r>
        <w:rPr/>
        <w:t>(см. п.1.1.2.3)</w:t>
      </w:r>
      <w:r>
        <w:rPr>
          <w:i/>
        </w:rPr>
        <w:t>. </w:t>
      </w:r>
      <w:r>
        <w:rPr/>
        <w:t>Однако протаминный тип компактизации хроматина фактически исключающий процессы репликации, репарации, трансляции и транскрипции яДНК в сперматозоидах обнадеживает в</w:t>
      </w:r>
      <w:r>
        <w:rPr>
          <w:spacing w:val="40"/>
        </w:rPr>
        <w:t> </w:t>
      </w:r>
      <w:r>
        <w:rPr/>
        <w:t>том, что ЭМИ, в выбранном нами режиме, не будет влиять на формирование мутаций потомства, но требует дополнительного тщательного исследования.</w:t>
      </w:r>
    </w:p>
    <w:p>
      <w:pPr>
        <w:pStyle w:val="BodyText"/>
        <w:spacing w:before="8"/>
        <w:jc w:val="left"/>
      </w:pPr>
    </w:p>
    <w:p>
      <w:pPr>
        <w:pStyle w:val="Heading2"/>
        <w:numPr>
          <w:ilvl w:val="2"/>
          <w:numId w:val="4"/>
        </w:numPr>
        <w:tabs>
          <w:tab w:pos="1686" w:val="left" w:leader="none"/>
        </w:tabs>
        <w:spacing w:line="256" w:lineRule="auto" w:before="1" w:after="0"/>
        <w:ind w:left="143" w:right="421" w:firstLine="707"/>
        <w:jc w:val="both"/>
      </w:pPr>
      <w:r>
        <w:rPr/>
        <w:t>Воздействие монохроматического светодиодного, лазерного и инфракрасного излучений на митохондрии сперматозоидов человека</w:t>
      </w:r>
    </w:p>
    <w:p>
      <w:pPr>
        <w:pStyle w:val="BodyText"/>
        <w:spacing w:line="256" w:lineRule="auto"/>
        <w:ind w:left="143" w:right="419" w:firstLine="707"/>
      </w:pPr>
      <w:r>
        <w:rPr/>
        <w:t>Электрическая поляризация внутренней мембраны митохондрий в значительной степени определяет электрохимический потенциал ионов водорода, являясь тем самым существенным фактором превращения энергии окисления дыхательных</w:t>
      </w:r>
      <w:r>
        <w:rPr>
          <w:spacing w:val="-2"/>
        </w:rPr>
        <w:t> </w:t>
      </w:r>
      <w:r>
        <w:rPr/>
        <w:t>субстратов</w:t>
      </w:r>
      <w:r>
        <w:rPr>
          <w:spacing w:val="-3"/>
        </w:rPr>
        <w:t> </w:t>
      </w:r>
      <w:r>
        <w:rPr/>
        <w:t>и</w:t>
      </w:r>
      <w:r>
        <w:rPr>
          <w:spacing w:val="-2"/>
        </w:rPr>
        <w:t> </w:t>
      </w:r>
      <w:r>
        <w:rPr/>
        <w:t>ее</w:t>
      </w:r>
      <w:r>
        <w:rPr>
          <w:spacing w:val="-3"/>
        </w:rPr>
        <w:t> </w:t>
      </w:r>
      <w:r>
        <w:rPr/>
        <w:t>запасания</w:t>
      </w:r>
      <w:r>
        <w:rPr>
          <w:spacing w:val="-2"/>
        </w:rPr>
        <w:t> </w:t>
      </w:r>
      <w:r>
        <w:rPr/>
        <w:t>в</w:t>
      </w:r>
      <w:r>
        <w:rPr>
          <w:spacing w:val="-3"/>
        </w:rPr>
        <w:t> </w:t>
      </w:r>
      <w:r>
        <w:rPr/>
        <w:t>форме</w:t>
      </w:r>
      <w:r>
        <w:rPr>
          <w:spacing w:val="-3"/>
        </w:rPr>
        <w:t> </w:t>
      </w:r>
      <w:r>
        <w:rPr/>
        <w:t>вновь</w:t>
      </w:r>
      <w:r>
        <w:rPr>
          <w:spacing w:val="-4"/>
        </w:rPr>
        <w:t> </w:t>
      </w:r>
      <w:r>
        <w:rPr/>
        <w:t>синтезированного</w:t>
      </w:r>
      <w:r>
        <w:rPr>
          <w:spacing w:val="-2"/>
        </w:rPr>
        <w:t> </w:t>
      </w:r>
      <w:r>
        <w:rPr/>
        <w:t>АТФ</w:t>
      </w:r>
      <w:r>
        <w:rPr>
          <w:spacing w:val="-4"/>
        </w:rPr>
        <w:t> </w:t>
      </w:r>
      <w:hyperlink r:id="rId69">
        <w:r>
          <w:rPr/>
          <w:t>[233].</w:t>
        </w:r>
      </w:hyperlink>
      <w:r>
        <w:rPr/>
        <w:t> Синтезируемый в митохондриях АТФ является универсальным топливом внутри живых клеток, участвуя в большинстве биологических реакций. Градиент электрического потенциала на внутренней митохондриальной мембране выполняет целый ряд функций, не связанных с энергопродукцией. Известно, что даже небольшое изменение уровня АТФ может существенно повлиять на клеточный метаболизм. Увеличение количества энергии АТФ может стимулировать клеточный метаболизм, особенно в подавленных или цитопатологичных клетках [145, 149]. Данное обстоятельство указывает на потенциал применения ЭМИ в терапии цитопатологических состояний, в том числе в репродуктивной медицине, тем более, что, начиная с 1980-х годов облучение клеток животных низким уровнем видимого света, используется для лечения в различных клинических дисциплинах [150-154].</w:t>
      </w:r>
    </w:p>
    <w:p>
      <w:pPr>
        <w:pStyle w:val="BodyText"/>
        <w:spacing w:line="304" w:lineRule="exact"/>
        <w:ind w:left="851"/>
      </w:pPr>
      <w:r>
        <w:rPr/>
        <w:t>Воздействуя</w:t>
      </w:r>
      <w:r>
        <w:rPr>
          <w:spacing w:val="32"/>
        </w:rPr>
        <w:t>  </w:t>
      </w:r>
      <w:r>
        <w:rPr/>
        <w:t>ЭМИ</w:t>
      </w:r>
      <w:r>
        <w:rPr>
          <w:spacing w:val="31"/>
        </w:rPr>
        <w:t>  </w:t>
      </w:r>
      <w:r>
        <w:rPr/>
        <w:t>видимого</w:t>
      </w:r>
      <w:r>
        <w:rPr>
          <w:spacing w:val="32"/>
        </w:rPr>
        <w:t>  </w:t>
      </w:r>
      <w:r>
        <w:rPr/>
        <w:t>и</w:t>
      </w:r>
      <w:r>
        <w:rPr>
          <w:spacing w:val="32"/>
        </w:rPr>
        <w:t>  </w:t>
      </w:r>
      <w:r>
        <w:rPr/>
        <w:t>инфракрасного</w:t>
      </w:r>
      <w:r>
        <w:rPr>
          <w:spacing w:val="33"/>
        </w:rPr>
        <w:t>  </w:t>
      </w:r>
      <w:r>
        <w:rPr/>
        <w:t>диапазонов</w:t>
      </w:r>
      <w:r>
        <w:rPr>
          <w:spacing w:val="31"/>
        </w:rPr>
        <w:t>  </w:t>
      </w:r>
      <w:r>
        <w:rPr/>
        <w:t>в</w:t>
      </w:r>
      <w:r>
        <w:rPr>
          <w:spacing w:val="32"/>
        </w:rPr>
        <w:t>  </w:t>
      </w:r>
      <w:r>
        <w:rPr>
          <w:spacing w:val="-2"/>
        </w:rPr>
        <w:t>различных</w:t>
      </w:r>
    </w:p>
    <w:p>
      <w:pPr>
        <w:pStyle w:val="BodyText"/>
        <w:spacing w:line="256" w:lineRule="auto" w:before="20"/>
        <w:ind w:left="143" w:right="420"/>
      </w:pPr>
      <w:r>
        <w:rPr/>
        <w:t>режимах на сперматозоиды мужчин с астенозооспермией, нами исследована активность митохондрий посредством их окрашивания потенциалзависимыми прижизненными митотрекерами с последующей лазерной сканирующей конфокальной микроскопией (см. п. 3.2.6.1).</w:t>
      </w:r>
    </w:p>
    <w:p>
      <w:pPr>
        <w:pStyle w:val="BodyText"/>
        <w:spacing w:before="18"/>
        <w:jc w:val="left"/>
      </w:pPr>
    </w:p>
    <w:p>
      <w:pPr>
        <w:pStyle w:val="Heading2"/>
        <w:numPr>
          <w:ilvl w:val="3"/>
          <w:numId w:val="4"/>
        </w:numPr>
        <w:tabs>
          <w:tab w:pos="1762" w:val="left" w:leader="none"/>
        </w:tabs>
        <w:spacing w:line="256" w:lineRule="auto" w:before="1" w:after="0"/>
        <w:ind w:left="143" w:right="418" w:firstLine="707"/>
        <w:jc w:val="both"/>
      </w:pPr>
      <w:r>
        <w:rPr/>
        <w:t>Результаты конфокальной лазерной сканирующей микроскопии митохондрий с окраской витальными флуоресцентными красителями</w:t>
      </w:r>
    </w:p>
    <w:p>
      <w:pPr>
        <w:pStyle w:val="BodyText"/>
        <w:spacing w:line="256" w:lineRule="auto"/>
        <w:ind w:left="144" w:right="420" w:firstLine="707"/>
      </w:pPr>
      <w:r>
        <w:rPr/>
        <w:t>Митохондрии используют окисляемые субстраты для создания электрохимического градиента протонов через митохондриальную мембрану (потенциал которой отрицателен), что приводит к выработке АТФ. Витальные красители MitoTracker являются зондами для окрашивания митохондрий в экспериментах по изучению клеточного цикла или такого процесса, как апоптоз. Проникающие в клетку красители MitoTracker окрашивают активные митохондрии</w:t>
      </w:r>
      <w:r>
        <w:rPr>
          <w:spacing w:val="80"/>
        </w:rPr>
        <w:t> </w:t>
      </w:r>
      <w:r>
        <w:rPr/>
        <w:t>в живых клетках для их маркировки и локализации при флуоресцентной визуализации клеток. Нами использовались красители на основе карбоцианина MitoTracker</w:t>
      </w:r>
      <w:r>
        <w:rPr>
          <w:spacing w:val="40"/>
        </w:rPr>
        <w:t> </w:t>
      </w:r>
      <w:r>
        <w:rPr/>
        <w:t>Green</w:t>
      </w:r>
      <w:r>
        <w:rPr>
          <w:spacing w:val="40"/>
        </w:rPr>
        <w:t> </w:t>
      </w:r>
      <w:r>
        <w:rPr/>
        <w:t>FM,</w:t>
      </w:r>
      <w:r>
        <w:rPr>
          <w:spacing w:val="40"/>
        </w:rPr>
        <w:t> </w:t>
      </w:r>
      <w:r>
        <w:rPr/>
        <w:t>которые</w:t>
      </w:r>
      <w:r>
        <w:rPr>
          <w:spacing w:val="40"/>
        </w:rPr>
        <w:t> </w:t>
      </w:r>
      <w:r>
        <w:rPr/>
        <w:t>накапливаются</w:t>
      </w:r>
      <w:r>
        <w:rPr>
          <w:spacing w:val="40"/>
        </w:rPr>
        <w:t> </w:t>
      </w:r>
      <w:r>
        <w:rPr/>
        <w:t>в</w:t>
      </w:r>
      <w:r>
        <w:rPr>
          <w:spacing w:val="40"/>
        </w:rPr>
        <w:t> </w:t>
      </w:r>
      <w:r>
        <w:rPr/>
        <w:t>активных</w:t>
      </w:r>
      <w:r>
        <w:rPr>
          <w:spacing w:val="40"/>
        </w:rPr>
        <w:t> </w:t>
      </w:r>
      <w:r>
        <w:rPr/>
        <w:t>митохондриях.</w:t>
      </w:r>
      <w:r>
        <w:rPr>
          <w:spacing w:val="40"/>
        </w:rPr>
        <w:t> </w:t>
      </w:r>
      <w:r>
        <w:rPr/>
        <w:t>Чтобы</w:t>
      </w:r>
    </w:p>
    <w:p>
      <w:pPr>
        <w:pStyle w:val="BodyText"/>
        <w:spacing w:after="0" w:line="256" w:lineRule="auto"/>
        <w:sectPr>
          <w:pgSz w:w="11910" w:h="16840"/>
          <w:pgMar w:header="0" w:footer="990" w:top="340" w:bottom="1200" w:left="708" w:right="425"/>
        </w:sectPr>
      </w:pPr>
    </w:p>
    <w:p>
      <w:pPr>
        <w:pStyle w:val="BodyText"/>
        <w:spacing w:line="256" w:lineRule="auto" w:before="69"/>
        <w:ind w:left="143" w:right="420"/>
      </w:pPr>
      <w:r>
        <w:rPr/>
        <w:t>пометить митохондрии достаточно проинкубировать сперматозоиды с красителем. При этом, красители, окрашивающие митохондрии, пассивно диффундируют через плазматическую мембрану и накапливаются в активных митохондриях. Наряду с зеленым,</w:t>
      </w:r>
      <w:r>
        <w:rPr>
          <w:spacing w:val="-2"/>
        </w:rPr>
        <w:t> </w:t>
      </w:r>
      <w:r>
        <w:rPr/>
        <w:t>нами выбрано зондирование с</w:t>
      </w:r>
      <w:r>
        <w:rPr>
          <w:spacing w:val="-1"/>
        </w:rPr>
        <w:t> </w:t>
      </w:r>
      <w:r>
        <w:rPr/>
        <w:t>помощью</w:t>
      </w:r>
      <w:r>
        <w:rPr>
          <w:spacing w:val="-2"/>
        </w:rPr>
        <w:t> </w:t>
      </w:r>
      <w:r>
        <w:rPr/>
        <w:t>LumiTracker Mito Red CMXRos — катионного красного флуоресцентного красителя, также окрашивающего митохондрии в живых клетках. CMXRos представляет собой гидрофобное соединение, которое пассивно диффундирует через плазматическую мембрану и избирательно накапливается в активных митохондриях в зависимости от мембранного потенциала в них. Применяя данные красители в совокупности со средством регистрации клеток в виде конфокального лазерного сканирующего микроскопа, нам удалось оценить воздействие ЭМИ в различных режимах на активность митохондриона сперматозоидов (см. таблицу 12 и рисунки 41-44).</w:t>
      </w:r>
    </w:p>
    <w:p>
      <w:pPr>
        <w:pStyle w:val="BodyText"/>
        <w:spacing w:before="7"/>
        <w:jc w:val="left"/>
      </w:pPr>
    </w:p>
    <w:p>
      <w:pPr>
        <w:pStyle w:val="BodyText"/>
        <w:spacing w:line="256" w:lineRule="auto" w:before="1"/>
        <w:ind w:left="4331" w:hanging="3603"/>
        <w:jc w:val="left"/>
      </w:pPr>
      <w:r>
        <w:rPr/>
        <w:t>Таблица</w:t>
      </w:r>
      <w:r>
        <w:rPr>
          <w:spacing w:val="-6"/>
        </w:rPr>
        <w:t> </w:t>
      </w:r>
      <w:r>
        <w:rPr/>
        <w:t>12</w:t>
      </w:r>
      <w:r>
        <w:rPr>
          <w:spacing w:val="-5"/>
        </w:rPr>
        <w:t> </w:t>
      </w:r>
      <w:r>
        <w:rPr>
          <w:rFonts w:ascii="Arial MT" w:hAnsi="Arial MT"/>
          <w:color w:val="454545"/>
          <w:sz w:val="21"/>
        </w:rPr>
        <w:t>—</w:t>
      </w:r>
      <w:r>
        <w:rPr>
          <w:rFonts w:ascii="Arial MT" w:hAnsi="Arial MT"/>
          <w:color w:val="454545"/>
          <w:spacing w:val="-6"/>
          <w:sz w:val="21"/>
        </w:rPr>
        <w:t> </w:t>
      </w:r>
      <w:r>
        <w:rPr/>
        <w:t>Результаты</w:t>
      </w:r>
      <w:r>
        <w:rPr>
          <w:spacing w:val="-5"/>
        </w:rPr>
        <w:t> </w:t>
      </w:r>
      <w:r>
        <w:rPr/>
        <w:t>зондирования</w:t>
      </w:r>
      <w:r>
        <w:rPr>
          <w:spacing w:val="-8"/>
        </w:rPr>
        <w:t> </w:t>
      </w:r>
      <w:r>
        <w:rPr/>
        <w:t>сперматозоидов</w:t>
      </w:r>
      <w:r>
        <w:rPr>
          <w:spacing w:val="-6"/>
        </w:rPr>
        <w:t> </w:t>
      </w:r>
      <w:r>
        <w:rPr/>
        <w:t>флуоресцентными </w:t>
      </w:r>
      <w:r>
        <w:rPr>
          <w:spacing w:val="-2"/>
        </w:rPr>
        <w:t>митотрекерами</w:t>
      </w: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1171"/>
        <w:gridCol w:w="741"/>
        <w:gridCol w:w="952"/>
        <w:gridCol w:w="820"/>
        <w:gridCol w:w="952"/>
        <w:gridCol w:w="954"/>
        <w:gridCol w:w="954"/>
        <w:gridCol w:w="1091"/>
        <w:gridCol w:w="1089"/>
        <w:gridCol w:w="1094"/>
      </w:tblGrid>
      <w:tr>
        <w:trPr>
          <w:trHeight w:val="294" w:hRule="atLeast"/>
        </w:trPr>
        <w:tc>
          <w:tcPr>
            <w:tcW w:w="398" w:type="dxa"/>
            <w:vMerge w:val="restart"/>
          </w:tcPr>
          <w:p>
            <w:pPr>
              <w:pStyle w:val="TableParagraph"/>
              <w:spacing w:line="272" w:lineRule="exact"/>
              <w:ind w:left="107"/>
              <w:rPr>
                <w:sz w:val="24"/>
              </w:rPr>
            </w:pPr>
            <w:r>
              <w:rPr>
                <w:spacing w:val="-10"/>
                <w:sz w:val="24"/>
              </w:rPr>
              <w:t>№</w:t>
            </w:r>
          </w:p>
        </w:tc>
        <w:tc>
          <w:tcPr>
            <w:tcW w:w="1171" w:type="dxa"/>
            <w:vMerge w:val="restart"/>
          </w:tcPr>
          <w:p>
            <w:pPr>
              <w:pStyle w:val="TableParagraph"/>
              <w:spacing w:line="256" w:lineRule="auto"/>
              <w:ind w:left="165" w:right="156" w:firstLine="4"/>
              <w:jc w:val="center"/>
              <w:rPr>
                <w:sz w:val="24"/>
              </w:rPr>
            </w:pPr>
            <w:r>
              <w:rPr>
                <w:spacing w:val="-2"/>
                <w:sz w:val="24"/>
              </w:rPr>
              <w:t>Режим облучен </w:t>
            </w:r>
            <w:r>
              <w:rPr>
                <w:spacing w:val="-6"/>
                <w:sz w:val="24"/>
              </w:rPr>
              <w:t>ия</w:t>
            </w:r>
          </w:p>
        </w:tc>
        <w:tc>
          <w:tcPr>
            <w:tcW w:w="741" w:type="dxa"/>
            <w:vMerge w:val="restart"/>
          </w:tcPr>
          <w:p>
            <w:pPr>
              <w:pStyle w:val="TableParagraph"/>
              <w:spacing w:line="256" w:lineRule="auto"/>
              <w:ind w:left="108" w:right="105"/>
              <w:rPr>
                <w:sz w:val="24"/>
              </w:rPr>
            </w:pPr>
            <w:r>
              <w:rPr>
                <w:spacing w:val="-4"/>
                <w:sz w:val="24"/>
              </w:rPr>
              <w:t>Энер гия, </w:t>
            </w:r>
            <w:r>
              <w:rPr>
                <w:spacing w:val="-6"/>
                <w:sz w:val="24"/>
              </w:rPr>
              <w:t>Дж</w:t>
            </w:r>
          </w:p>
        </w:tc>
        <w:tc>
          <w:tcPr>
            <w:tcW w:w="3678" w:type="dxa"/>
            <w:gridSpan w:val="4"/>
          </w:tcPr>
          <w:p>
            <w:pPr>
              <w:pStyle w:val="TableParagraph"/>
              <w:spacing w:line="272" w:lineRule="exact"/>
              <w:ind w:left="706"/>
              <w:rPr>
                <w:sz w:val="24"/>
              </w:rPr>
            </w:pPr>
            <w:r>
              <w:rPr>
                <w:sz w:val="24"/>
              </w:rPr>
              <w:t>MitoTracker</w:t>
            </w:r>
            <w:r>
              <w:rPr>
                <w:spacing w:val="-3"/>
                <w:sz w:val="24"/>
              </w:rPr>
              <w:t> </w:t>
            </w:r>
            <w:r>
              <w:rPr>
                <w:sz w:val="24"/>
              </w:rPr>
              <w:t>Green</w:t>
            </w:r>
            <w:r>
              <w:rPr>
                <w:spacing w:val="-3"/>
                <w:sz w:val="24"/>
              </w:rPr>
              <w:t> </w:t>
            </w:r>
            <w:r>
              <w:rPr>
                <w:spacing w:val="-5"/>
                <w:sz w:val="24"/>
              </w:rPr>
              <w:t>FM</w:t>
            </w:r>
          </w:p>
        </w:tc>
        <w:tc>
          <w:tcPr>
            <w:tcW w:w="4228" w:type="dxa"/>
            <w:gridSpan w:val="4"/>
          </w:tcPr>
          <w:p>
            <w:pPr>
              <w:pStyle w:val="TableParagraph"/>
              <w:spacing w:line="272" w:lineRule="exact"/>
              <w:ind w:left="511"/>
              <w:rPr>
                <w:sz w:val="24"/>
              </w:rPr>
            </w:pPr>
            <w:r>
              <w:rPr>
                <w:sz w:val="24"/>
              </w:rPr>
              <w:t>LumiTracker</w:t>
            </w:r>
            <w:r>
              <w:rPr>
                <w:spacing w:val="-3"/>
                <w:sz w:val="24"/>
              </w:rPr>
              <w:t> </w:t>
            </w:r>
            <w:r>
              <w:rPr>
                <w:sz w:val="24"/>
              </w:rPr>
              <w:t>Mito</w:t>
            </w:r>
            <w:r>
              <w:rPr>
                <w:spacing w:val="-2"/>
                <w:sz w:val="24"/>
              </w:rPr>
              <w:t> </w:t>
            </w:r>
            <w:r>
              <w:rPr>
                <w:sz w:val="24"/>
              </w:rPr>
              <w:t>Red</w:t>
            </w:r>
            <w:r>
              <w:rPr>
                <w:spacing w:val="-1"/>
                <w:sz w:val="24"/>
              </w:rPr>
              <w:t> </w:t>
            </w:r>
            <w:r>
              <w:rPr>
                <w:spacing w:val="-2"/>
                <w:sz w:val="24"/>
              </w:rPr>
              <w:t>CMXRos</w:t>
            </w:r>
          </w:p>
        </w:tc>
      </w:tr>
      <w:tr>
        <w:trPr>
          <w:trHeight w:val="294" w:hRule="atLeast"/>
        </w:trPr>
        <w:tc>
          <w:tcPr>
            <w:tcW w:w="398" w:type="dxa"/>
            <w:vMerge/>
            <w:tcBorders>
              <w:top w:val="nil"/>
            </w:tcBorders>
          </w:tcPr>
          <w:p>
            <w:pPr>
              <w:rPr>
                <w:sz w:val="2"/>
                <w:szCs w:val="2"/>
              </w:rPr>
            </w:pPr>
          </w:p>
        </w:tc>
        <w:tc>
          <w:tcPr>
            <w:tcW w:w="1171" w:type="dxa"/>
            <w:vMerge/>
            <w:tcBorders>
              <w:top w:val="nil"/>
            </w:tcBorders>
          </w:tcPr>
          <w:p>
            <w:pPr>
              <w:rPr>
                <w:sz w:val="2"/>
                <w:szCs w:val="2"/>
              </w:rPr>
            </w:pPr>
          </w:p>
        </w:tc>
        <w:tc>
          <w:tcPr>
            <w:tcW w:w="741" w:type="dxa"/>
            <w:vMerge/>
            <w:tcBorders>
              <w:top w:val="nil"/>
            </w:tcBorders>
          </w:tcPr>
          <w:p>
            <w:pPr>
              <w:rPr>
                <w:sz w:val="2"/>
                <w:szCs w:val="2"/>
              </w:rPr>
            </w:pPr>
          </w:p>
        </w:tc>
        <w:tc>
          <w:tcPr>
            <w:tcW w:w="1772" w:type="dxa"/>
            <w:gridSpan w:val="2"/>
          </w:tcPr>
          <w:p>
            <w:pPr>
              <w:pStyle w:val="TableParagraph"/>
              <w:spacing w:line="272" w:lineRule="exact"/>
              <w:ind w:left="7"/>
              <w:jc w:val="center"/>
              <w:rPr>
                <w:sz w:val="24"/>
              </w:rPr>
            </w:pPr>
            <w:r>
              <w:rPr>
                <w:spacing w:val="-4"/>
                <w:sz w:val="24"/>
              </w:rPr>
              <w:t>Опыт</w:t>
            </w:r>
          </w:p>
        </w:tc>
        <w:tc>
          <w:tcPr>
            <w:tcW w:w="1906" w:type="dxa"/>
            <w:gridSpan w:val="2"/>
          </w:tcPr>
          <w:p>
            <w:pPr>
              <w:pStyle w:val="TableParagraph"/>
              <w:spacing w:line="272" w:lineRule="exact"/>
              <w:ind w:left="463"/>
              <w:rPr>
                <w:sz w:val="24"/>
              </w:rPr>
            </w:pPr>
            <w:r>
              <w:rPr>
                <w:spacing w:val="-2"/>
                <w:sz w:val="24"/>
              </w:rPr>
              <w:t>Контроль</w:t>
            </w:r>
          </w:p>
        </w:tc>
        <w:tc>
          <w:tcPr>
            <w:tcW w:w="2045" w:type="dxa"/>
            <w:gridSpan w:val="2"/>
          </w:tcPr>
          <w:p>
            <w:pPr>
              <w:pStyle w:val="TableParagraph"/>
              <w:spacing w:line="272" w:lineRule="exact"/>
              <w:ind w:left="20"/>
              <w:jc w:val="center"/>
              <w:rPr>
                <w:sz w:val="24"/>
              </w:rPr>
            </w:pPr>
            <w:r>
              <w:rPr>
                <w:spacing w:val="-4"/>
                <w:sz w:val="24"/>
              </w:rPr>
              <w:t>Опыт</w:t>
            </w:r>
          </w:p>
        </w:tc>
        <w:tc>
          <w:tcPr>
            <w:tcW w:w="2183" w:type="dxa"/>
            <w:gridSpan w:val="2"/>
          </w:tcPr>
          <w:p>
            <w:pPr>
              <w:pStyle w:val="TableParagraph"/>
              <w:spacing w:line="272" w:lineRule="exact"/>
              <w:ind w:left="604"/>
              <w:rPr>
                <w:sz w:val="24"/>
              </w:rPr>
            </w:pPr>
            <w:r>
              <w:rPr>
                <w:spacing w:val="-2"/>
                <w:sz w:val="24"/>
              </w:rPr>
              <w:t>Контроль</w:t>
            </w:r>
          </w:p>
        </w:tc>
      </w:tr>
      <w:tr>
        <w:trPr>
          <w:trHeight w:val="1175" w:hRule="atLeast"/>
        </w:trPr>
        <w:tc>
          <w:tcPr>
            <w:tcW w:w="398" w:type="dxa"/>
            <w:vMerge/>
            <w:tcBorders>
              <w:top w:val="nil"/>
            </w:tcBorders>
          </w:tcPr>
          <w:p>
            <w:pPr>
              <w:rPr>
                <w:sz w:val="2"/>
                <w:szCs w:val="2"/>
              </w:rPr>
            </w:pPr>
          </w:p>
        </w:tc>
        <w:tc>
          <w:tcPr>
            <w:tcW w:w="1171" w:type="dxa"/>
            <w:vMerge/>
            <w:tcBorders>
              <w:top w:val="nil"/>
            </w:tcBorders>
          </w:tcPr>
          <w:p>
            <w:pPr>
              <w:rPr>
                <w:sz w:val="2"/>
                <w:szCs w:val="2"/>
              </w:rPr>
            </w:pPr>
          </w:p>
        </w:tc>
        <w:tc>
          <w:tcPr>
            <w:tcW w:w="741" w:type="dxa"/>
            <w:vMerge/>
            <w:tcBorders>
              <w:top w:val="nil"/>
            </w:tcBorders>
          </w:tcPr>
          <w:p>
            <w:pPr>
              <w:rPr>
                <w:sz w:val="2"/>
                <w:szCs w:val="2"/>
              </w:rPr>
            </w:pPr>
          </w:p>
        </w:tc>
        <w:tc>
          <w:tcPr>
            <w:tcW w:w="952" w:type="dxa"/>
          </w:tcPr>
          <w:p>
            <w:pPr>
              <w:pStyle w:val="TableParagraph"/>
              <w:spacing w:line="256" w:lineRule="auto"/>
              <w:ind w:left="106" w:right="143"/>
              <w:jc w:val="both"/>
              <w:rPr>
                <w:sz w:val="24"/>
              </w:rPr>
            </w:pPr>
            <w:r>
              <w:rPr>
                <w:spacing w:val="-2"/>
                <w:sz w:val="24"/>
              </w:rPr>
              <w:t>окраш енные, </w:t>
            </w:r>
            <w:r>
              <w:rPr>
                <w:spacing w:val="-4"/>
                <w:sz w:val="24"/>
              </w:rPr>
              <w:t>шт.</w:t>
            </w:r>
          </w:p>
          <w:p>
            <w:pPr>
              <w:pStyle w:val="TableParagraph"/>
              <w:spacing w:line="273" w:lineRule="exact"/>
              <w:ind w:left="106"/>
              <w:rPr>
                <w:sz w:val="24"/>
              </w:rPr>
            </w:pPr>
            <w:r>
              <w:rPr>
                <w:spacing w:val="-5"/>
                <w:sz w:val="24"/>
              </w:rPr>
              <w:t>(%)</w:t>
            </w:r>
          </w:p>
        </w:tc>
        <w:tc>
          <w:tcPr>
            <w:tcW w:w="820" w:type="dxa"/>
          </w:tcPr>
          <w:p>
            <w:pPr>
              <w:pStyle w:val="TableParagraph"/>
              <w:spacing w:line="256" w:lineRule="auto"/>
              <w:ind w:left="107" w:right="114"/>
              <w:rPr>
                <w:sz w:val="24"/>
              </w:rPr>
            </w:pPr>
            <w:r>
              <w:rPr>
                <w:spacing w:val="-2"/>
                <w:sz w:val="24"/>
              </w:rPr>
              <w:t>всего </w:t>
            </w:r>
            <w:r>
              <w:rPr>
                <w:spacing w:val="-4"/>
                <w:sz w:val="24"/>
              </w:rPr>
              <w:t>спер </w:t>
            </w:r>
            <w:r>
              <w:rPr>
                <w:spacing w:val="-2"/>
                <w:sz w:val="24"/>
              </w:rPr>
              <w:t>матоз</w:t>
            </w:r>
          </w:p>
          <w:p>
            <w:pPr>
              <w:pStyle w:val="TableParagraph"/>
              <w:spacing w:line="273" w:lineRule="exact"/>
              <w:ind w:left="107"/>
              <w:rPr>
                <w:sz w:val="24"/>
              </w:rPr>
            </w:pPr>
            <w:r>
              <w:rPr>
                <w:spacing w:val="-4"/>
                <w:sz w:val="24"/>
              </w:rPr>
              <w:t>оидов</w:t>
            </w:r>
          </w:p>
        </w:tc>
        <w:tc>
          <w:tcPr>
            <w:tcW w:w="952" w:type="dxa"/>
          </w:tcPr>
          <w:p>
            <w:pPr>
              <w:pStyle w:val="TableParagraph"/>
              <w:spacing w:line="256" w:lineRule="auto"/>
              <w:ind w:left="108" w:right="141"/>
              <w:jc w:val="both"/>
              <w:rPr>
                <w:sz w:val="24"/>
              </w:rPr>
            </w:pPr>
            <w:r>
              <w:rPr>
                <w:spacing w:val="-2"/>
                <w:sz w:val="24"/>
              </w:rPr>
              <w:t>окраш енные, </w:t>
            </w:r>
            <w:r>
              <w:rPr>
                <w:spacing w:val="-4"/>
                <w:sz w:val="24"/>
              </w:rPr>
              <w:t>шт.</w:t>
            </w:r>
          </w:p>
          <w:p>
            <w:pPr>
              <w:pStyle w:val="TableParagraph"/>
              <w:spacing w:line="273" w:lineRule="exact"/>
              <w:ind w:left="108"/>
              <w:rPr>
                <w:sz w:val="24"/>
              </w:rPr>
            </w:pPr>
            <w:r>
              <w:rPr>
                <w:spacing w:val="-5"/>
                <w:sz w:val="24"/>
              </w:rPr>
              <w:t>(%)</w:t>
            </w:r>
          </w:p>
        </w:tc>
        <w:tc>
          <w:tcPr>
            <w:tcW w:w="954" w:type="dxa"/>
          </w:tcPr>
          <w:p>
            <w:pPr>
              <w:pStyle w:val="TableParagraph"/>
              <w:spacing w:line="256" w:lineRule="auto"/>
              <w:ind w:left="108" w:right="108"/>
              <w:rPr>
                <w:sz w:val="24"/>
              </w:rPr>
            </w:pPr>
            <w:r>
              <w:rPr>
                <w:spacing w:val="-2"/>
                <w:sz w:val="24"/>
              </w:rPr>
              <w:t>всего сперма тозоид</w:t>
            </w:r>
          </w:p>
          <w:p>
            <w:pPr>
              <w:pStyle w:val="TableParagraph"/>
              <w:spacing w:line="273" w:lineRule="exact"/>
              <w:ind w:left="108"/>
              <w:rPr>
                <w:sz w:val="24"/>
              </w:rPr>
            </w:pPr>
            <w:r>
              <w:rPr>
                <w:spacing w:val="-5"/>
                <w:sz w:val="24"/>
              </w:rPr>
              <w:t>ов</w:t>
            </w:r>
          </w:p>
        </w:tc>
        <w:tc>
          <w:tcPr>
            <w:tcW w:w="954" w:type="dxa"/>
          </w:tcPr>
          <w:p>
            <w:pPr>
              <w:pStyle w:val="TableParagraph"/>
              <w:spacing w:line="256" w:lineRule="auto"/>
              <w:ind w:left="112" w:right="139"/>
              <w:jc w:val="both"/>
              <w:rPr>
                <w:sz w:val="24"/>
              </w:rPr>
            </w:pPr>
            <w:r>
              <w:rPr>
                <w:spacing w:val="-2"/>
                <w:sz w:val="24"/>
              </w:rPr>
              <w:t>окраш енные, </w:t>
            </w:r>
            <w:r>
              <w:rPr>
                <w:spacing w:val="-4"/>
                <w:sz w:val="24"/>
              </w:rPr>
              <w:t>шт.</w:t>
            </w:r>
          </w:p>
          <w:p>
            <w:pPr>
              <w:pStyle w:val="TableParagraph"/>
              <w:spacing w:line="273" w:lineRule="exact"/>
              <w:ind w:left="112"/>
              <w:rPr>
                <w:sz w:val="24"/>
              </w:rPr>
            </w:pPr>
            <w:r>
              <w:rPr>
                <w:spacing w:val="-5"/>
                <w:sz w:val="24"/>
              </w:rPr>
              <w:t>(%)</w:t>
            </w:r>
          </w:p>
        </w:tc>
        <w:tc>
          <w:tcPr>
            <w:tcW w:w="1091" w:type="dxa"/>
          </w:tcPr>
          <w:p>
            <w:pPr>
              <w:pStyle w:val="TableParagraph"/>
              <w:spacing w:line="256" w:lineRule="auto"/>
              <w:ind w:left="111" w:right="139"/>
              <w:rPr>
                <w:sz w:val="24"/>
              </w:rPr>
            </w:pPr>
            <w:r>
              <w:rPr>
                <w:spacing w:val="-2"/>
                <w:sz w:val="24"/>
              </w:rPr>
              <w:t>всего спермат озоидов</w:t>
            </w:r>
          </w:p>
        </w:tc>
        <w:tc>
          <w:tcPr>
            <w:tcW w:w="1089" w:type="dxa"/>
          </w:tcPr>
          <w:p>
            <w:pPr>
              <w:pStyle w:val="TableParagraph"/>
              <w:spacing w:line="256" w:lineRule="auto"/>
              <w:ind w:left="112" w:right="192"/>
              <w:rPr>
                <w:sz w:val="24"/>
              </w:rPr>
            </w:pPr>
            <w:r>
              <w:rPr>
                <w:spacing w:val="-2"/>
                <w:sz w:val="24"/>
              </w:rPr>
              <w:t>окраше нные, </w:t>
            </w:r>
            <w:r>
              <w:rPr>
                <w:sz w:val="24"/>
              </w:rPr>
              <w:t>шт.</w:t>
            </w:r>
            <w:r>
              <w:rPr>
                <w:spacing w:val="-15"/>
                <w:sz w:val="24"/>
              </w:rPr>
              <w:t> </w:t>
            </w:r>
            <w:r>
              <w:rPr>
                <w:sz w:val="24"/>
              </w:rPr>
              <w:t>(%)</w:t>
            </w:r>
          </w:p>
        </w:tc>
        <w:tc>
          <w:tcPr>
            <w:tcW w:w="1094" w:type="dxa"/>
          </w:tcPr>
          <w:p>
            <w:pPr>
              <w:pStyle w:val="TableParagraph"/>
              <w:spacing w:line="256" w:lineRule="auto"/>
              <w:ind w:left="115" w:right="138"/>
              <w:rPr>
                <w:sz w:val="24"/>
              </w:rPr>
            </w:pPr>
            <w:r>
              <w:rPr>
                <w:spacing w:val="-2"/>
                <w:sz w:val="24"/>
              </w:rPr>
              <w:t>всего спермат озоидов</w:t>
            </w:r>
          </w:p>
        </w:tc>
      </w:tr>
      <w:tr>
        <w:trPr>
          <w:trHeight w:val="290" w:hRule="atLeast"/>
        </w:trPr>
        <w:tc>
          <w:tcPr>
            <w:tcW w:w="398" w:type="dxa"/>
            <w:tcBorders>
              <w:bottom w:val="nil"/>
            </w:tcBorders>
          </w:tcPr>
          <w:p>
            <w:pPr>
              <w:pStyle w:val="TableParagraph"/>
              <w:spacing w:line="271" w:lineRule="exact"/>
              <w:ind w:left="107"/>
              <w:rPr>
                <w:sz w:val="24"/>
              </w:rPr>
            </w:pPr>
            <w:r>
              <w:rPr>
                <w:spacing w:val="-10"/>
                <w:sz w:val="24"/>
              </w:rPr>
              <w:t>1</w:t>
            </w:r>
          </w:p>
        </w:tc>
        <w:tc>
          <w:tcPr>
            <w:tcW w:w="1171" w:type="dxa"/>
            <w:tcBorders>
              <w:bottom w:val="nil"/>
            </w:tcBorders>
          </w:tcPr>
          <w:p>
            <w:pPr>
              <w:pStyle w:val="TableParagraph"/>
              <w:spacing w:line="271" w:lineRule="exact"/>
              <w:ind w:left="108"/>
              <w:rPr>
                <w:sz w:val="24"/>
              </w:rPr>
            </w:pPr>
            <w:r>
              <w:rPr>
                <w:spacing w:val="-2"/>
                <w:sz w:val="24"/>
              </w:rPr>
              <w:t>Красный</w:t>
            </w:r>
          </w:p>
        </w:tc>
        <w:tc>
          <w:tcPr>
            <w:tcW w:w="741" w:type="dxa"/>
            <w:tcBorders>
              <w:bottom w:val="nil"/>
            </w:tcBorders>
          </w:tcPr>
          <w:p>
            <w:pPr>
              <w:pStyle w:val="TableParagraph"/>
              <w:spacing w:line="271" w:lineRule="exact"/>
              <w:ind w:right="92"/>
              <w:jc w:val="center"/>
              <w:rPr>
                <w:sz w:val="24"/>
              </w:rPr>
            </w:pPr>
            <w:r>
              <w:rPr>
                <w:spacing w:val="-4"/>
                <w:sz w:val="24"/>
              </w:rPr>
              <w:t>0,02</w:t>
            </w:r>
          </w:p>
        </w:tc>
        <w:tc>
          <w:tcPr>
            <w:tcW w:w="952" w:type="dxa"/>
            <w:tcBorders>
              <w:bottom w:val="nil"/>
            </w:tcBorders>
          </w:tcPr>
          <w:p>
            <w:pPr>
              <w:pStyle w:val="TableParagraph"/>
              <w:spacing w:line="271" w:lineRule="exact"/>
              <w:ind w:left="106"/>
              <w:rPr>
                <w:sz w:val="24"/>
              </w:rPr>
            </w:pPr>
            <w:r>
              <w:rPr>
                <w:spacing w:val="-5"/>
                <w:sz w:val="24"/>
              </w:rPr>
              <w:t>130</w:t>
            </w:r>
          </w:p>
        </w:tc>
        <w:tc>
          <w:tcPr>
            <w:tcW w:w="820" w:type="dxa"/>
            <w:tcBorders>
              <w:bottom w:val="nil"/>
            </w:tcBorders>
          </w:tcPr>
          <w:p>
            <w:pPr>
              <w:pStyle w:val="TableParagraph"/>
              <w:spacing w:line="271" w:lineRule="exact"/>
              <w:ind w:left="107"/>
              <w:rPr>
                <w:sz w:val="24"/>
              </w:rPr>
            </w:pPr>
            <w:r>
              <w:rPr>
                <w:spacing w:val="-5"/>
                <w:sz w:val="24"/>
              </w:rPr>
              <w:t>196</w:t>
            </w:r>
          </w:p>
        </w:tc>
        <w:tc>
          <w:tcPr>
            <w:tcW w:w="952" w:type="dxa"/>
            <w:tcBorders>
              <w:bottom w:val="nil"/>
            </w:tcBorders>
          </w:tcPr>
          <w:p>
            <w:pPr>
              <w:pStyle w:val="TableParagraph"/>
              <w:spacing w:line="271" w:lineRule="exact"/>
              <w:ind w:left="108"/>
              <w:rPr>
                <w:sz w:val="24"/>
              </w:rPr>
            </w:pPr>
            <w:r>
              <w:rPr>
                <w:spacing w:val="-5"/>
                <w:sz w:val="24"/>
              </w:rPr>
              <w:t>75</w:t>
            </w:r>
          </w:p>
        </w:tc>
        <w:tc>
          <w:tcPr>
            <w:tcW w:w="954" w:type="dxa"/>
            <w:tcBorders>
              <w:bottom w:val="nil"/>
            </w:tcBorders>
          </w:tcPr>
          <w:p>
            <w:pPr>
              <w:pStyle w:val="TableParagraph"/>
              <w:spacing w:line="271" w:lineRule="exact"/>
              <w:ind w:left="108"/>
              <w:rPr>
                <w:sz w:val="24"/>
              </w:rPr>
            </w:pPr>
            <w:r>
              <w:rPr>
                <w:spacing w:val="-5"/>
                <w:sz w:val="24"/>
              </w:rPr>
              <w:t>116</w:t>
            </w:r>
          </w:p>
        </w:tc>
        <w:tc>
          <w:tcPr>
            <w:tcW w:w="954" w:type="dxa"/>
            <w:tcBorders>
              <w:bottom w:val="nil"/>
            </w:tcBorders>
          </w:tcPr>
          <w:p>
            <w:pPr>
              <w:pStyle w:val="TableParagraph"/>
              <w:spacing w:line="271" w:lineRule="exact"/>
              <w:ind w:left="112"/>
              <w:rPr>
                <w:sz w:val="24"/>
              </w:rPr>
            </w:pPr>
            <w:r>
              <w:rPr>
                <w:spacing w:val="-5"/>
                <w:sz w:val="24"/>
              </w:rPr>
              <w:t>100</w:t>
            </w:r>
          </w:p>
        </w:tc>
        <w:tc>
          <w:tcPr>
            <w:tcW w:w="1091" w:type="dxa"/>
            <w:tcBorders>
              <w:bottom w:val="nil"/>
            </w:tcBorders>
          </w:tcPr>
          <w:p>
            <w:pPr>
              <w:pStyle w:val="TableParagraph"/>
              <w:spacing w:line="271" w:lineRule="exact"/>
              <w:ind w:left="111"/>
              <w:rPr>
                <w:sz w:val="24"/>
              </w:rPr>
            </w:pPr>
            <w:r>
              <w:rPr>
                <w:spacing w:val="-5"/>
                <w:sz w:val="24"/>
              </w:rPr>
              <w:t>196</w:t>
            </w:r>
          </w:p>
        </w:tc>
        <w:tc>
          <w:tcPr>
            <w:tcW w:w="1089" w:type="dxa"/>
            <w:tcBorders>
              <w:bottom w:val="nil"/>
            </w:tcBorders>
          </w:tcPr>
          <w:p>
            <w:pPr>
              <w:pStyle w:val="TableParagraph"/>
              <w:spacing w:line="271" w:lineRule="exact"/>
              <w:ind w:left="112"/>
              <w:rPr>
                <w:sz w:val="24"/>
              </w:rPr>
            </w:pPr>
            <w:r>
              <w:rPr>
                <w:spacing w:val="-5"/>
                <w:sz w:val="24"/>
              </w:rPr>
              <w:t>60</w:t>
            </w:r>
          </w:p>
        </w:tc>
        <w:tc>
          <w:tcPr>
            <w:tcW w:w="1094" w:type="dxa"/>
            <w:tcBorders>
              <w:bottom w:val="nil"/>
            </w:tcBorders>
          </w:tcPr>
          <w:p>
            <w:pPr>
              <w:pStyle w:val="TableParagraph"/>
              <w:spacing w:line="271" w:lineRule="exact"/>
              <w:ind w:left="115"/>
              <w:rPr>
                <w:sz w:val="24"/>
              </w:rPr>
            </w:pPr>
            <w:r>
              <w:rPr>
                <w:spacing w:val="-5"/>
                <w:sz w:val="24"/>
              </w:rPr>
              <w:t>116</w:t>
            </w:r>
          </w:p>
        </w:tc>
      </w:tr>
      <w:tr>
        <w:trPr>
          <w:trHeight w:val="293" w:hRule="atLeast"/>
        </w:trPr>
        <w:tc>
          <w:tcPr>
            <w:tcW w:w="398" w:type="dxa"/>
            <w:tcBorders>
              <w:top w:val="nil"/>
              <w:bottom w:val="nil"/>
            </w:tcBorders>
          </w:tcPr>
          <w:p>
            <w:pPr>
              <w:pStyle w:val="TableParagraph"/>
              <w:rPr>
                <w:sz w:val="22"/>
              </w:rPr>
            </w:pPr>
          </w:p>
        </w:tc>
        <w:tc>
          <w:tcPr>
            <w:tcW w:w="1171" w:type="dxa"/>
            <w:tcBorders>
              <w:top w:val="nil"/>
              <w:bottom w:val="nil"/>
            </w:tcBorders>
          </w:tcPr>
          <w:p>
            <w:pPr>
              <w:pStyle w:val="TableParagraph"/>
              <w:spacing w:line="274" w:lineRule="exact"/>
              <w:ind w:left="108"/>
              <w:rPr>
                <w:sz w:val="24"/>
              </w:rPr>
            </w:pPr>
            <w:r>
              <w:rPr>
                <w:spacing w:val="-2"/>
                <w:sz w:val="24"/>
              </w:rPr>
              <w:t>светодио</w:t>
            </w:r>
          </w:p>
        </w:tc>
        <w:tc>
          <w:tcPr>
            <w:tcW w:w="741"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ind w:left="106"/>
              <w:rPr>
                <w:sz w:val="24"/>
              </w:rPr>
            </w:pPr>
            <w:r>
              <w:rPr>
                <w:spacing w:val="-2"/>
                <w:sz w:val="24"/>
              </w:rPr>
              <w:t>(66,33</w:t>
            </w:r>
          </w:p>
        </w:tc>
        <w:tc>
          <w:tcPr>
            <w:tcW w:w="820"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ind w:left="108"/>
              <w:rPr>
                <w:sz w:val="24"/>
              </w:rPr>
            </w:pPr>
            <w:r>
              <w:rPr>
                <w:spacing w:val="-2"/>
                <w:sz w:val="24"/>
              </w:rPr>
              <w:t>(64,66</w:t>
            </w:r>
          </w:p>
        </w:tc>
        <w:tc>
          <w:tcPr>
            <w:tcW w:w="954" w:type="dxa"/>
            <w:tcBorders>
              <w:top w:val="nil"/>
              <w:bottom w:val="nil"/>
            </w:tcBorders>
          </w:tcPr>
          <w:p>
            <w:pPr>
              <w:pStyle w:val="TableParagraph"/>
              <w:rPr>
                <w:sz w:val="22"/>
              </w:rPr>
            </w:pPr>
          </w:p>
        </w:tc>
        <w:tc>
          <w:tcPr>
            <w:tcW w:w="954" w:type="dxa"/>
            <w:tcBorders>
              <w:top w:val="nil"/>
              <w:bottom w:val="nil"/>
            </w:tcBorders>
          </w:tcPr>
          <w:p>
            <w:pPr>
              <w:pStyle w:val="TableParagraph"/>
              <w:spacing w:line="274" w:lineRule="exact"/>
              <w:ind w:left="112"/>
              <w:rPr>
                <w:sz w:val="24"/>
              </w:rPr>
            </w:pPr>
            <w:r>
              <w:rPr>
                <w:spacing w:val="-2"/>
                <w:sz w:val="24"/>
              </w:rPr>
              <w:t>(51,02</w:t>
            </w:r>
          </w:p>
        </w:tc>
        <w:tc>
          <w:tcPr>
            <w:tcW w:w="1091" w:type="dxa"/>
            <w:tcBorders>
              <w:top w:val="nil"/>
              <w:bottom w:val="nil"/>
            </w:tcBorders>
          </w:tcPr>
          <w:p>
            <w:pPr>
              <w:pStyle w:val="TableParagraph"/>
              <w:rPr>
                <w:sz w:val="22"/>
              </w:rPr>
            </w:pPr>
          </w:p>
        </w:tc>
        <w:tc>
          <w:tcPr>
            <w:tcW w:w="1089" w:type="dxa"/>
            <w:tcBorders>
              <w:top w:val="nil"/>
              <w:bottom w:val="nil"/>
            </w:tcBorders>
          </w:tcPr>
          <w:p>
            <w:pPr>
              <w:pStyle w:val="TableParagraph"/>
              <w:spacing w:line="274" w:lineRule="exact"/>
              <w:ind w:left="112"/>
              <w:rPr>
                <w:sz w:val="24"/>
              </w:rPr>
            </w:pPr>
            <w:r>
              <w:rPr>
                <w:spacing w:val="-2"/>
                <w:sz w:val="24"/>
              </w:rPr>
              <w:t>(51,72%</w:t>
            </w:r>
          </w:p>
        </w:tc>
        <w:tc>
          <w:tcPr>
            <w:tcW w:w="1094" w:type="dxa"/>
            <w:tcBorders>
              <w:top w:val="nil"/>
              <w:bottom w:val="nil"/>
            </w:tcBorders>
          </w:tcPr>
          <w:p>
            <w:pPr>
              <w:pStyle w:val="TableParagraph"/>
              <w:rPr>
                <w:sz w:val="22"/>
              </w:rPr>
            </w:pPr>
          </w:p>
        </w:tc>
      </w:tr>
      <w:tr>
        <w:trPr>
          <w:trHeight w:val="295" w:hRule="atLeast"/>
        </w:trPr>
        <w:tc>
          <w:tcPr>
            <w:tcW w:w="398" w:type="dxa"/>
            <w:tcBorders>
              <w:top w:val="nil"/>
              <w:bottom w:val="nil"/>
            </w:tcBorders>
          </w:tcPr>
          <w:p>
            <w:pPr>
              <w:pStyle w:val="TableParagraph"/>
              <w:rPr>
                <w:sz w:val="22"/>
              </w:rPr>
            </w:pPr>
          </w:p>
        </w:tc>
        <w:tc>
          <w:tcPr>
            <w:tcW w:w="1171" w:type="dxa"/>
            <w:tcBorders>
              <w:top w:val="nil"/>
              <w:bottom w:val="nil"/>
            </w:tcBorders>
          </w:tcPr>
          <w:p>
            <w:pPr>
              <w:pStyle w:val="TableParagraph"/>
              <w:spacing w:line="274" w:lineRule="exact" w:before="1"/>
              <w:ind w:left="108"/>
              <w:rPr>
                <w:sz w:val="24"/>
              </w:rPr>
            </w:pPr>
            <w:r>
              <w:rPr>
                <w:sz w:val="24"/>
              </w:rPr>
              <w:t>д, </w:t>
            </w:r>
            <w:r>
              <w:rPr>
                <w:spacing w:val="-10"/>
                <w:sz w:val="24"/>
              </w:rPr>
              <w:t>5</w:t>
            </w:r>
          </w:p>
        </w:tc>
        <w:tc>
          <w:tcPr>
            <w:tcW w:w="741"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6"/>
              <w:rPr>
                <w:sz w:val="24"/>
              </w:rPr>
            </w:pPr>
            <w:r>
              <w:rPr>
                <w:spacing w:val="-5"/>
                <w:sz w:val="24"/>
              </w:rPr>
              <w:t>%)</w:t>
            </w:r>
          </w:p>
        </w:tc>
        <w:tc>
          <w:tcPr>
            <w:tcW w:w="820"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8"/>
              <w:rPr>
                <w:sz w:val="24"/>
              </w:rPr>
            </w:pPr>
            <w:r>
              <w:rPr>
                <w:spacing w:val="-5"/>
                <w:sz w:val="24"/>
              </w:rPr>
              <w:t>%)</w:t>
            </w:r>
          </w:p>
        </w:tc>
        <w:tc>
          <w:tcPr>
            <w:tcW w:w="954" w:type="dxa"/>
            <w:tcBorders>
              <w:top w:val="nil"/>
              <w:bottom w:val="nil"/>
            </w:tcBorders>
          </w:tcPr>
          <w:p>
            <w:pPr>
              <w:pStyle w:val="TableParagraph"/>
              <w:rPr>
                <w:sz w:val="22"/>
              </w:rPr>
            </w:pPr>
          </w:p>
        </w:tc>
        <w:tc>
          <w:tcPr>
            <w:tcW w:w="954" w:type="dxa"/>
            <w:tcBorders>
              <w:top w:val="nil"/>
              <w:bottom w:val="nil"/>
            </w:tcBorders>
          </w:tcPr>
          <w:p>
            <w:pPr>
              <w:pStyle w:val="TableParagraph"/>
              <w:spacing w:line="274" w:lineRule="exact" w:before="1"/>
              <w:ind w:left="112"/>
              <w:rPr>
                <w:sz w:val="24"/>
              </w:rPr>
            </w:pPr>
            <w:r>
              <w:rPr>
                <w:spacing w:val="-5"/>
                <w:sz w:val="24"/>
              </w:rPr>
              <w:t>%)</w:t>
            </w:r>
          </w:p>
        </w:tc>
        <w:tc>
          <w:tcPr>
            <w:tcW w:w="1091" w:type="dxa"/>
            <w:tcBorders>
              <w:top w:val="nil"/>
              <w:bottom w:val="nil"/>
            </w:tcBorders>
          </w:tcPr>
          <w:p>
            <w:pPr>
              <w:pStyle w:val="TableParagraph"/>
              <w:rPr>
                <w:sz w:val="22"/>
              </w:rPr>
            </w:pPr>
          </w:p>
        </w:tc>
        <w:tc>
          <w:tcPr>
            <w:tcW w:w="1089" w:type="dxa"/>
            <w:tcBorders>
              <w:top w:val="nil"/>
              <w:bottom w:val="nil"/>
            </w:tcBorders>
          </w:tcPr>
          <w:p>
            <w:pPr>
              <w:pStyle w:val="TableParagraph"/>
              <w:spacing w:line="274" w:lineRule="exact" w:before="1"/>
              <w:ind w:left="112"/>
              <w:rPr>
                <w:sz w:val="24"/>
              </w:rPr>
            </w:pPr>
            <w:r>
              <w:rPr>
                <w:spacing w:val="-10"/>
                <w:sz w:val="24"/>
              </w:rPr>
              <w:t>)</w:t>
            </w:r>
          </w:p>
        </w:tc>
        <w:tc>
          <w:tcPr>
            <w:tcW w:w="1094" w:type="dxa"/>
            <w:tcBorders>
              <w:top w:val="nil"/>
              <w:bottom w:val="nil"/>
            </w:tcBorders>
          </w:tcPr>
          <w:p>
            <w:pPr>
              <w:pStyle w:val="TableParagraph"/>
              <w:rPr>
                <w:sz w:val="22"/>
              </w:rPr>
            </w:pPr>
          </w:p>
        </w:tc>
      </w:tr>
      <w:tr>
        <w:trPr>
          <w:trHeight w:val="297" w:hRule="atLeast"/>
        </w:trPr>
        <w:tc>
          <w:tcPr>
            <w:tcW w:w="398" w:type="dxa"/>
            <w:tcBorders>
              <w:top w:val="nil"/>
            </w:tcBorders>
          </w:tcPr>
          <w:p>
            <w:pPr>
              <w:pStyle w:val="TableParagraph"/>
              <w:rPr>
                <w:sz w:val="22"/>
              </w:rPr>
            </w:pPr>
          </w:p>
        </w:tc>
        <w:tc>
          <w:tcPr>
            <w:tcW w:w="1171" w:type="dxa"/>
            <w:tcBorders>
              <w:top w:val="nil"/>
            </w:tcBorders>
          </w:tcPr>
          <w:p>
            <w:pPr>
              <w:pStyle w:val="TableParagraph"/>
              <w:spacing w:before="1"/>
              <w:ind w:left="108"/>
              <w:rPr>
                <w:sz w:val="24"/>
              </w:rPr>
            </w:pPr>
            <w:r>
              <w:rPr>
                <w:spacing w:val="-4"/>
                <w:sz w:val="24"/>
              </w:rPr>
              <w:t>минут</w:t>
            </w:r>
          </w:p>
        </w:tc>
        <w:tc>
          <w:tcPr>
            <w:tcW w:w="741" w:type="dxa"/>
            <w:tcBorders>
              <w:top w:val="nil"/>
            </w:tcBorders>
          </w:tcPr>
          <w:p>
            <w:pPr>
              <w:pStyle w:val="TableParagraph"/>
              <w:rPr>
                <w:sz w:val="22"/>
              </w:rPr>
            </w:pPr>
          </w:p>
        </w:tc>
        <w:tc>
          <w:tcPr>
            <w:tcW w:w="952" w:type="dxa"/>
            <w:tcBorders>
              <w:top w:val="nil"/>
            </w:tcBorders>
          </w:tcPr>
          <w:p>
            <w:pPr>
              <w:pStyle w:val="TableParagraph"/>
              <w:rPr>
                <w:sz w:val="22"/>
              </w:rPr>
            </w:pPr>
          </w:p>
        </w:tc>
        <w:tc>
          <w:tcPr>
            <w:tcW w:w="820" w:type="dxa"/>
            <w:tcBorders>
              <w:top w:val="nil"/>
            </w:tcBorders>
          </w:tcPr>
          <w:p>
            <w:pPr>
              <w:pStyle w:val="TableParagraph"/>
              <w:rPr>
                <w:sz w:val="22"/>
              </w:rPr>
            </w:pPr>
          </w:p>
        </w:tc>
        <w:tc>
          <w:tcPr>
            <w:tcW w:w="952" w:type="dxa"/>
            <w:tcBorders>
              <w:top w:val="nil"/>
            </w:tcBorders>
          </w:tcPr>
          <w:p>
            <w:pPr>
              <w:pStyle w:val="TableParagraph"/>
              <w:rPr>
                <w:sz w:val="22"/>
              </w:rPr>
            </w:pPr>
          </w:p>
        </w:tc>
        <w:tc>
          <w:tcPr>
            <w:tcW w:w="954" w:type="dxa"/>
            <w:tcBorders>
              <w:top w:val="nil"/>
            </w:tcBorders>
          </w:tcPr>
          <w:p>
            <w:pPr>
              <w:pStyle w:val="TableParagraph"/>
              <w:rPr>
                <w:sz w:val="22"/>
              </w:rPr>
            </w:pPr>
          </w:p>
        </w:tc>
        <w:tc>
          <w:tcPr>
            <w:tcW w:w="954" w:type="dxa"/>
            <w:tcBorders>
              <w:top w:val="nil"/>
            </w:tcBorders>
          </w:tcPr>
          <w:p>
            <w:pPr>
              <w:pStyle w:val="TableParagraph"/>
              <w:rPr>
                <w:sz w:val="22"/>
              </w:rPr>
            </w:pPr>
          </w:p>
        </w:tc>
        <w:tc>
          <w:tcPr>
            <w:tcW w:w="1091" w:type="dxa"/>
            <w:tcBorders>
              <w:top w:val="nil"/>
            </w:tcBorders>
          </w:tcPr>
          <w:p>
            <w:pPr>
              <w:pStyle w:val="TableParagraph"/>
              <w:rPr>
                <w:sz w:val="22"/>
              </w:rPr>
            </w:pPr>
          </w:p>
        </w:tc>
        <w:tc>
          <w:tcPr>
            <w:tcW w:w="1089" w:type="dxa"/>
            <w:tcBorders>
              <w:top w:val="nil"/>
            </w:tcBorders>
          </w:tcPr>
          <w:p>
            <w:pPr>
              <w:pStyle w:val="TableParagraph"/>
              <w:rPr>
                <w:sz w:val="22"/>
              </w:rPr>
            </w:pPr>
          </w:p>
        </w:tc>
        <w:tc>
          <w:tcPr>
            <w:tcW w:w="1094" w:type="dxa"/>
            <w:tcBorders>
              <w:top w:val="nil"/>
            </w:tcBorders>
          </w:tcPr>
          <w:p>
            <w:pPr>
              <w:pStyle w:val="TableParagraph"/>
              <w:rPr>
                <w:sz w:val="22"/>
              </w:rPr>
            </w:pPr>
          </w:p>
        </w:tc>
      </w:tr>
      <w:tr>
        <w:trPr>
          <w:trHeight w:val="289" w:hRule="atLeast"/>
        </w:trPr>
        <w:tc>
          <w:tcPr>
            <w:tcW w:w="398" w:type="dxa"/>
            <w:tcBorders>
              <w:bottom w:val="nil"/>
            </w:tcBorders>
          </w:tcPr>
          <w:p>
            <w:pPr>
              <w:pStyle w:val="TableParagraph"/>
              <w:spacing w:line="270" w:lineRule="exact"/>
              <w:ind w:left="107"/>
              <w:rPr>
                <w:sz w:val="24"/>
              </w:rPr>
            </w:pPr>
            <w:r>
              <w:rPr>
                <w:spacing w:val="-10"/>
                <w:sz w:val="24"/>
              </w:rPr>
              <w:t>2</w:t>
            </w:r>
          </w:p>
        </w:tc>
        <w:tc>
          <w:tcPr>
            <w:tcW w:w="1171" w:type="dxa"/>
            <w:tcBorders>
              <w:bottom w:val="nil"/>
            </w:tcBorders>
          </w:tcPr>
          <w:p>
            <w:pPr>
              <w:pStyle w:val="TableParagraph"/>
              <w:tabs>
                <w:tab w:pos="943" w:val="left" w:leader="none"/>
              </w:tabs>
              <w:spacing w:line="270" w:lineRule="exact"/>
              <w:ind w:left="108"/>
              <w:rPr>
                <w:sz w:val="24"/>
              </w:rPr>
            </w:pPr>
            <w:r>
              <w:rPr>
                <w:spacing w:val="-2"/>
                <w:sz w:val="24"/>
              </w:rPr>
              <w:t>Full*,</w:t>
            </w:r>
            <w:r>
              <w:rPr>
                <w:sz w:val="24"/>
              </w:rPr>
              <w:tab/>
            </w:r>
            <w:r>
              <w:rPr>
                <w:spacing w:val="-10"/>
                <w:sz w:val="24"/>
              </w:rPr>
              <w:t>5</w:t>
            </w:r>
          </w:p>
        </w:tc>
        <w:tc>
          <w:tcPr>
            <w:tcW w:w="741" w:type="dxa"/>
            <w:tcBorders>
              <w:bottom w:val="nil"/>
            </w:tcBorders>
          </w:tcPr>
          <w:p>
            <w:pPr>
              <w:pStyle w:val="TableParagraph"/>
              <w:spacing w:line="270" w:lineRule="exact"/>
              <w:ind w:right="92"/>
              <w:jc w:val="center"/>
              <w:rPr>
                <w:sz w:val="24"/>
              </w:rPr>
            </w:pPr>
            <w:r>
              <w:rPr>
                <w:spacing w:val="-4"/>
                <w:sz w:val="24"/>
              </w:rPr>
              <w:t>1,34</w:t>
            </w:r>
          </w:p>
        </w:tc>
        <w:tc>
          <w:tcPr>
            <w:tcW w:w="952" w:type="dxa"/>
            <w:tcBorders>
              <w:bottom w:val="nil"/>
            </w:tcBorders>
          </w:tcPr>
          <w:p>
            <w:pPr>
              <w:pStyle w:val="TableParagraph"/>
              <w:spacing w:line="270" w:lineRule="exact"/>
              <w:ind w:left="106"/>
              <w:rPr>
                <w:sz w:val="24"/>
              </w:rPr>
            </w:pPr>
            <w:r>
              <w:rPr>
                <w:spacing w:val="-5"/>
                <w:sz w:val="24"/>
              </w:rPr>
              <w:t>26</w:t>
            </w:r>
          </w:p>
        </w:tc>
        <w:tc>
          <w:tcPr>
            <w:tcW w:w="820" w:type="dxa"/>
            <w:tcBorders>
              <w:bottom w:val="nil"/>
            </w:tcBorders>
          </w:tcPr>
          <w:p>
            <w:pPr>
              <w:pStyle w:val="TableParagraph"/>
              <w:spacing w:line="270" w:lineRule="exact"/>
              <w:ind w:left="107"/>
              <w:rPr>
                <w:sz w:val="24"/>
              </w:rPr>
            </w:pPr>
            <w:r>
              <w:rPr>
                <w:spacing w:val="-5"/>
                <w:sz w:val="24"/>
              </w:rPr>
              <w:t>67</w:t>
            </w:r>
          </w:p>
        </w:tc>
        <w:tc>
          <w:tcPr>
            <w:tcW w:w="952" w:type="dxa"/>
            <w:tcBorders>
              <w:bottom w:val="nil"/>
            </w:tcBorders>
          </w:tcPr>
          <w:p>
            <w:pPr>
              <w:pStyle w:val="TableParagraph"/>
              <w:spacing w:line="270" w:lineRule="exact"/>
              <w:ind w:left="108"/>
              <w:rPr>
                <w:sz w:val="24"/>
              </w:rPr>
            </w:pPr>
            <w:r>
              <w:rPr>
                <w:spacing w:val="-5"/>
                <w:sz w:val="24"/>
              </w:rPr>
              <w:t>20</w:t>
            </w:r>
          </w:p>
        </w:tc>
        <w:tc>
          <w:tcPr>
            <w:tcW w:w="954" w:type="dxa"/>
            <w:tcBorders>
              <w:bottom w:val="nil"/>
            </w:tcBorders>
          </w:tcPr>
          <w:p>
            <w:pPr>
              <w:pStyle w:val="TableParagraph"/>
              <w:spacing w:line="270" w:lineRule="exact"/>
              <w:ind w:left="108"/>
              <w:rPr>
                <w:sz w:val="24"/>
              </w:rPr>
            </w:pPr>
            <w:r>
              <w:rPr>
                <w:spacing w:val="-5"/>
                <w:sz w:val="24"/>
              </w:rPr>
              <w:t>172</w:t>
            </w:r>
          </w:p>
        </w:tc>
        <w:tc>
          <w:tcPr>
            <w:tcW w:w="954" w:type="dxa"/>
            <w:tcBorders>
              <w:bottom w:val="nil"/>
            </w:tcBorders>
          </w:tcPr>
          <w:p>
            <w:pPr>
              <w:pStyle w:val="TableParagraph"/>
              <w:spacing w:line="270" w:lineRule="exact"/>
              <w:ind w:left="112"/>
              <w:rPr>
                <w:sz w:val="24"/>
              </w:rPr>
            </w:pPr>
            <w:r>
              <w:rPr>
                <w:spacing w:val="-5"/>
                <w:sz w:val="24"/>
              </w:rPr>
              <w:t>23</w:t>
            </w:r>
          </w:p>
        </w:tc>
        <w:tc>
          <w:tcPr>
            <w:tcW w:w="1091" w:type="dxa"/>
            <w:tcBorders>
              <w:bottom w:val="nil"/>
            </w:tcBorders>
          </w:tcPr>
          <w:p>
            <w:pPr>
              <w:pStyle w:val="TableParagraph"/>
              <w:spacing w:line="270" w:lineRule="exact"/>
              <w:ind w:left="111"/>
              <w:rPr>
                <w:sz w:val="24"/>
              </w:rPr>
            </w:pPr>
            <w:r>
              <w:rPr>
                <w:spacing w:val="-5"/>
                <w:sz w:val="24"/>
              </w:rPr>
              <w:t>67</w:t>
            </w:r>
          </w:p>
        </w:tc>
        <w:tc>
          <w:tcPr>
            <w:tcW w:w="1089" w:type="dxa"/>
            <w:tcBorders>
              <w:bottom w:val="nil"/>
            </w:tcBorders>
          </w:tcPr>
          <w:p>
            <w:pPr>
              <w:pStyle w:val="TableParagraph"/>
              <w:spacing w:line="270" w:lineRule="exact"/>
              <w:ind w:left="112"/>
              <w:rPr>
                <w:sz w:val="24"/>
              </w:rPr>
            </w:pPr>
            <w:r>
              <w:rPr>
                <w:spacing w:val="-5"/>
                <w:sz w:val="24"/>
              </w:rPr>
              <w:t>48</w:t>
            </w:r>
          </w:p>
        </w:tc>
        <w:tc>
          <w:tcPr>
            <w:tcW w:w="1094" w:type="dxa"/>
            <w:tcBorders>
              <w:bottom w:val="nil"/>
            </w:tcBorders>
          </w:tcPr>
          <w:p>
            <w:pPr>
              <w:pStyle w:val="TableParagraph"/>
              <w:spacing w:line="270" w:lineRule="exact"/>
              <w:ind w:left="115"/>
              <w:rPr>
                <w:sz w:val="24"/>
              </w:rPr>
            </w:pPr>
            <w:r>
              <w:rPr>
                <w:spacing w:val="-5"/>
                <w:sz w:val="24"/>
              </w:rPr>
              <w:t>172</w:t>
            </w:r>
          </w:p>
        </w:tc>
      </w:tr>
      <w:tr>
        <w:trPr>
          <w:trHeight w:val="295" w:hRule="atLeast"/>
        </w:trPr>
        <w:tc>
          <w:tcPr>
            <w:tcW w:w="398" w:type="dxa"/>
            <w:tcBorders>
              <w:top w:val="nil"/>
              <w:bottom w:val="nil"/>
            </w:tcBorders>
          </w:tcPr>
          <w:p>
            <w:pPr>
              <w:pStyle w:val="TableParagraph"/>
              <w:rPr>
                <w:sz w:val="22"/>
              </w:rPr>
            </w:pPr>
          </w:p>
        </w:tc>
        <w:tc>
          <w:tcPr>
            <w:tcW w:w="1171" w:type="dxa"/>
            <w:tcBorders>
              <w:top w:val="nil"/>
              <w:bottom w:val="nil"/>
            </w:tcBorders>
          </w:tcPr>
          <w:p>
            <w:pPr>
              <w:pStyle w:val="TableParagraph"/>
              <w:spacing w:line="274" w:lineRule="exact" w:before="1"/>
              <w:ind w:left="108"/>
              <w:rPr>
                <w:sz w:val="24"/>
              </w:rPr>
            </w:pPr>
            <w:r>
              <w:rPr>
                <w:spacing w:val="-4"/>
                <w:sz w:val="24"/>
              </w:rPr>
              <w:t>минут</w:t>
            </w:r>
          </w:p>
        </w:tc>
        <w:tc>
          <w:tcPr>
            <w:tcW w:w="741"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6"/>
              <w:rPr>
                <w:sz w:val="24"/>
              </w:rPr>
            </w:pPr>
            <w:r>
              <w:rPr>
                <w:spacing w:val="-2"/>
                <w:sz w:val="24"/>
              </w:rPr>
              <w:t>(38,81</w:t>
            </w:r>
          </w:p>
        </w:tc>
        <w:tc>
          <w:tcPr>
            <w:tcW w:w="820"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8"/>
              <w:rPr>
                <w:sz w:val="24"/>
              </w:rPr>
            </w:pPr>
            <w:r>
              <w:rPr>
                <w:spacing w:val="-2"/>
                <w:sz w:val="24"/>
              </w:rPr>
              <w:t>(11,63</w:t>
            </w:r>
          </w:p>
        </w:tc>
        <w:tc>
          <w:tcPr>
            <w:tcW w:w="954" w:type="dxa"/>
            <w:tcBorders>
              <w:top w:val="nil"/>
              <w:bottom w:val="nil"/>
            </w:tcBorders>
          </w:tcPr>
          <w:p>
            <w:pPr>
              <w:pStyle w:val="TableParagraph"/>
              <w:rPr>
                <w:sz w:val="22"/>
              </w:rPr>
            </w:pPr>
          </w:p>
        </w:tc>
        <w:tc>
          <w:tcPr>
            <w:tcW w:w="954" w:type="dxa"/>
            <w:tcBorders>
              <w:top w:val="nil"/>
              <w:bottom w:val="nil"/>
            </w:tcBorders>
          </w:tcPr>
          <w:p>
            <w:pPr>
              <w:pStyle w:val="TableParagraph"/>
              <w:spacing w:line="274" w:lineRule="exact" w:before="1"/>
              <w:ind w:left="112"/>
              <w:rPr>
                <w:sz w:val="24"/>
              </w:rPr>
            </w:pPr>
            <w:r>
              <w:rPr>
                <w:spacing w:val="-2"/>
                <w:sz w:val="24"/>
              </w:rPr>
              <w:t>(34,33</w:t>
            </w:r>
          </w:p>
        </w:tc>
        <w:tc>
          <w:tcPr>
            <w:tcW w:w="1091" w:type="dxa"/>
            <w:tcBorders>
              <w:top w:val="nil"/>
              <w:bottom w:val="nil"/>
            </w:tcBorders>
          </w:tcPr>
          <w:p>
            <w:pPr>
              <w:pStyle w:val="TableParagraph"/>
              <w:rPr>
                <w:sz w:val="22"/>
              </w:rPr>
            </w:pPr>
          </w:p>
        </w:tc>
        <w:tc>
          <w:tcPr>
            <w:tcW w:w="1089" w:type="dxa"/>
            <w:tcBorders>
              <w:top w:val="nil"/>
              <w:bottom w:val="nil"/>
            </w:tcBorders>
          </w:tcPr>
          <w:p>
            <w:pPr>
              <w:pStyle w:val="TableParagraph"/>
              <w:spacing w:line="274" w:lineRule="exact" w:before="1"/>
              <w:ind w:left="112"/>
              <w:rPr>
                <w:sz w:val="24"/>
              </w:rPr>
            </w:pPr>
            <w:r>
              <w:rPr>
                <w:spacing w:val="-2"/>
                <w:sz w:val="24"/>
              </w:rPr>
              <w:t>(27,91%</w:t>
            </w:r>
          </w:p>
        </w:tc>
        <w:tc>
          <w:tcPr>
            <w:tcW w:w="1094" w:type="dxa"/>
            <w:tcBorders>
              <w:top w:val="nil"/>
              <w:bottom w:val="nil"/>
            </w:tcBorders>
          </w:tcPr>
          <w:p>
            <w:pPr>
              <w:pStyle w:val="TableParagraph"/>
              <w:rPr>
                <w:sz w:val="22"/>
              </w:rPr>
            </w:pPr>
          </w:p>
        </w:tc>
      </w:tr>
      <w:tr>
        <w:trPr>
          <w:trHeight w:val="456" w:hRule="atLeast"/>
        </w:trPr>
        <w:tc>
          <w:tcPr>
            <w:tcW w:w="398" w:type="dxa"/>
            <w:tcBorders>
              <w:top w:val="nil"/>
            </w:tcBorders>
          </w:tcPr>
          <w:p>
            <w:pPr>
              <w:pStyle w:val="TableParagraph"/>
              <w:rPr>
                <w:sz w:val="26"/>
              </w:rPr>
            </w:pPr>
          </w:p>
        </w:tc>
        <w:tc>
          <w:tcPr>
            <w:tcW w:w="1171" w:type="dxa"/>
            <w:tcBorders>
              <w:top w:val="nil"/>
            </w:tcBorders>
          </w:tcPr>
          <w:p>
            <w:pPr>
              <w:pStyle w:val="TableParagraph"/>
              <w:rPr>
                <w:sz w:val="26"/>
              </w:rPr>
            </w:pPr>
          </w:p>
        </w:tc>
        <w:tc>
          <w:tcPr>
            <w:tcW w:w="741" w:type="dxa"/>
            <w:tcBorders>
              <w:top w:val="nil"/>
            </w:tcBorders>
          </w:tcPr>
          <w:p>
            <w:pPr>
              <w:pStyle w:val="TableParagraph"/>
              <w:rPr>
                <w:sz w:val="26"/>
              </w:rPr>
            </w:pPr>
          </w:p>
        </w:tc>
        <w:tc>
          <w:tcPr>
            <w:tcW w:w="952" w:type="dxa"/>
            <w:tcBorders>
              <w:top w:val="nil"/>
            </w:tcBorders>
          </w:tcPr>
          <w:p>
            <w:pPr>
              <w:pStyle w:val="TableParagraph"/>
              <w:spacing w:before="1"/>
              <w:ind w:left="106"/>
              <w:rPr>
                <w:sz w:val="24"/>
              </w:rPr>
            </w:pPr>
            <w:r>
              <w:rPr>
                <w:spacing w:val="-5"/>
                <w:sz w:val="24"/>
              </w:rPr>
              <w:t>%)</w:t>
            </w:r>
          </w:p>
        </w:tc>
        <w:tc>
          <w:tcPr>
            <w:tcW w:w="820" w:type="dxa"/>
            <w:tcBorders>
              <w:top w:val="nil"/>
            </w:tcBorders>
          </w:tcPr>
          <w:p>
            <w:pPr>
              <w:pStyle w:val="TableParagraph"/>
              <w:rPr>
                <w:sz w:val="26"/>
              </w:rPr>
            </w:pPr>
          </w:p>
        </w:tc>
        <w:tc>
          <w:tcPr>
            <w:tcW w:w="952" w:type="dxa"/>
            <w:tcBorders>
              <w:top w:val="nil"/>
            </w:tcBorders>
          </w:tcPr>
          <w:p>
            <w:pPr>
              <w:pStyle w:val="TableParagraph"/>
              <w:spacing w:before="1"/>
              <w:ind w:left="108"/>
              <w:rPr>
                <w:sz w:val="24"/>
              </w:rPr>
            </w:pPr>
            <w:r>
              <w:rPr>
                <w:spacing w:val="-5"/>
                <w:sz w:val="24"/>
              </w:rPr>
              <w:t>%)</w:t>
            </w:r>
          </w:p>
        </w:tc>
        <w:tc>
          <w:tcPr>
            <w:tcW w:w="954" w:type="dxa"/>
            <w:tcBorders>
              <w:top w:val="nil"/>
            </w:tcBorders>
          </w:tcPr>
          <w:p>
            <w:pPr>
              <w:pStyle w:val="TableParagraph"/>
              <w:rPr>
                <w:sz w:val="26"/>
              </w:rPr>
            </w:pPr>
          </w:p>
        </w:tc>
        <w:tc>
          <w:tcPr>
            <w:tcW w:w="954" w:type="dxa"/>
            <w:tcBorders>
              <w:top w:val="nil"/>
            </w:tcBorders>
          </w:tcPr>
          <w:p>
            <w:pPr>
              <w:pStyle w:val="TableParagraph"/>
              <w:spacing w:before="1"/>
              <w:ind w:left="112"/>
              <w:rPr>
                <w:sz w:val="24"/>
              </w:rPr>
            </w:pPr>
            <w:r>
              <w:rPr>
                <w:spacing w:val="-5"/>
                <w:sz w:val="24"/>
              </w:rPr>
              <w:t>%)</w:t>
            </w:r>
          </w:p>
        </w:tc>
        <w:tc>
          <w:tcPr>
            <w:tcW w:w="1091" w:type="dxa"/>
            <w:tcBorders>
              <w:top w:val="nil"/>
            </w:tcBorders>
          </w:tcPr>
          <w:p>
            <w:pPr>
              <w:pStyle w:val="TableParagraph"/>
              <w:rPr>
                <w:sz w:val="26"/>
              </w:rPr>
            </w:pPr>
          </w:p>
        </w:tc>
        <w:tc>
          <w:tcPr>
            <w:tcW w:w="1089" w:type="dxa"/>
            <w:tcBorders>
              <w:top w:val="nil"/>
            </w:tcBorders>
          </w:tcPr>
          <w:p>
            <w:pPr>
              <w:pStyle w:val="TableParagraph"/>
              <w:spacing w:before="1"/>
              <w:ind w:left="112"/>
              <w:rPr>
                <w:sz w:val="24"/>
              </w:rPr>
            </w:pPr>
            <w:r>
              <w:rPr>
                <w:spacing w:val="-10"/>
                <w:sz w:val="24"/>
              </w:rPr>
              <w:t>)</w:t>
            </w:r>
          </w:p>
        </w:tc>
        <w:tc>
          <w:tcPr>
            <w:tcW w:w="1094" w:type="dxa"/>
            <w:tcBorders>
              <w:top w:val="nil"/>
            </w:tcBorders>
          </w:tcPr>
          <w:p>
            <w:pPr>
              <w:pStyle w:val="TableParagraph"/>
              <w:rPr>
                <w:sz w:val="26"/>
              </w:rPr>
            </w:pPr>
          </w:p>
        </w:tc>
      </w:tr>
      <w:tr>
        <w:trPr>
          <w:trHeight w:val="289" w:hRule="atLeast"/>
        </w:trPr>
        <w:tc>
          <w:tcPr>
            <w:tcW w:w="398" w:type="dxa"/>
            <w:tcBorders>
              <w:bottom w:val="nil"/>
            </w:tcBorders>
          </w:tcPr>
          <w:p>
            <w:pPr>
              <w:pStyle w:val="TableParagraph"/>
              <w:spacing w:line="270" w:lineRule="exact"/>
              <w:ind w:left="107"/>
              <w:rPr>
                <w:sz w:val="24"/>
              </w:rPr>
            </w:pPr>
            <w:r>
              <w:rPr>
                <w:spacing w:val="-10"/>
                <w:sz w:val="24"/>
              </w:rPr>
              <w:t>3</w:t>
            </w:r>
          </w:p>
        </w:tc>
        <w:tc>
          <w:tcPr>
            <w:tcW w:w="1171" w:type="dxa"/>
            <w:tcBorders>
              <w:bottom w:val="nil"/>
            </w:tcBorders>
          </w:tcPr>
          <w:p>
            <w:pPr>
              <w:pStyle w:val="TableParagraph"/>
              <w:spacing w:line="270" w:lineRule="exact"/>
              <w:ind w:left="108"/>
              <w:rPr>
                <w:sz w:val="24"/>
              </w:rPr>
            </w:pPr>
            <w:r>
              <w:rPr>
                <w:sz w:val="24"/>
              </w:rPr>
              <w:t>IR,</w:t>
            </w:r>
            <w:r>
              <w:rPr>
                <w:spacing w:val="-4"/>
                <w:sz w:val="24"/>
              </w:rPr>
              <w:t> </w:t>
            </w:r>
            <w:r>
              <w:rPr>
                <w:spacing w:val="-10"/>
                <w:sz w:val="24"/>
              </w:rPr>
              <w:t>5</w:t>
            </w:r>
          </w:p>
        </w:tc>
        <w:tc>
          <w:tcPr>
            <w:tcW w:w="741" w:type="dxa"/>
            <w:tcBorders>
              <w:bottom w:val="nil"/>
            </w:tcBorders>
          </w:tcPr>
          <w:p>
            <w:pPr>
              <w:pStyle w:val="TableParagraph"/>
              <w:spacing w:line="270" w:lineRule="exact"/>
              <w:ind w:right="92"/>
              <w:jc w:val="center"/>
              <w:rPr>
                <w:sz w:val="24"/>
              </w:rPr>
            </w:pPr>
            <w:r>
              <w:rPr>
                <w:spacing w:val="-4"/>
                <w:sz w:val="24"/>
              </w:rPr>
              <w:t>1,03</w:t>
            </w:r>
          </w:p>
        </w:tc>
        <w:tc>
          <w:tcPr>
            <w:tcW w:w="952" w:type="dxa"/>
            <w:tcBorders>
              <w:bottom w:val="nil"/>
            </w:tcBorders>
          </w:tcPr>
          <w:p>
            <w:pPr>
              <w:pStyle w:val="TableParagraph"/>
              <w:spacing w:line="270" w:lineRule="exact"/>
              <w:ind w:left="106"/>
              <w:rPr>
                <w:sz w:val="24"/>
              </w:rPr>
            </w:pPr>
            <w:r>
              <w:rPr>
                <w:spacing w:val="-5"/>
                <w:sz w:val="24"/>
              </w:rPr>
              <w:t>28</w:t>
            </w:r>
          </w:p>
        </w:tc>
        <w:tc>
          <w:tcPr>
            <w:tcW w:w="820" w:type="dxa"/>
            <w:tcBorders>
              <w:bottom w:val="nil"/>
            </w:tcBorders>
          </w:tcPr>
          <w:p>
            <w:pPr>
              <w:pStyle w:val="TableParagraph"/>
              <w:spacing w:line="270" w:lineRule="exact"/>
              <w:ind w:left="107"/>
              <w:rPr>
                <w:sz w:val="24"/>
              </w:rPr>
            </w:pPr>
            <w:r>
              <w:rPr>
                <w:spacing w:val="-5"/>
                <w:sz w:val="24"/>
              </w:rPr>
              <w:t>84</w:t>
            </w:r>
          </w:p>
        </w:tc>
        <w:tc>
          <w:tcPr>
            <w:tcW w:w="952" w:type="dxa"/>
            <w:tcBorders>
              <w:bottom w:val="nil"/>
            </w:tcBorders>
          </w:tcPr>
          <w:p>
            <w:pPr>
              <w:pStyle w:val="TableParagraph"/>
              <w:spacing w:line="270" w:lineRule="exact"/>
              <w:ind w:left="108"/>
              <w:rPr>
                <w:sz w:val="24"/>
              </w:rPr>
            </w:pPr>
            <w:r>
              <w:rPr>
                <w:spacing w:val="-5"/>
                <w:sz w:val="24"/>
              </w:rPr>
              <w:t>39</w:t>
            </w:r>
          </w:p>
        </w:tc>
        <w:tc>
          <w:tcPr>
            <w:tcW w:w="954" w:type="dxa"/>
            <w:tcBorders>
              <w:bottom w:val="nil"/>
            </w:tcBorders>
          </w:tcPr>
          <w:p>
            <w:pPr>
              <w:pStyle w:val="TableParagraph"/>
              <w:spacing w:line="270" w:lineRule="exact"/>
              <w:ind w:left="108"/>
              <w:rPr>
                <w:sz w:val="24"/>
              </w:rPr>
            </w:pPr>
            <w:r>
              <w:rPr>
                <w:spacing w:val="-5"/>
                <w:sz w:val="24"/>
              </w:rPr>
              <w:t>88</w:t>
            </w:r>
          </w:p>
        </w:tc>
        <w:tc>
          <w:tcPr>
            <w:tcW w:w="954" w:type="dxa"/>
            <w:tcBorders>
              <w:bottom w:val="nil"/>
            </w:tcBorders>
          </w:tcPr>
          <w:p>
            <w:pPr>
              <w:pStyle w:val="TableParagraph"/>
              <w:spacing w:line="270" w:lineRule="exact"/>
              <w:ind w:left="112"/>
              <w:rPr>
                <w:sz w:val="24"/>
              </w:rPr>
            </w:pPr>
            <w:r>
              <w:rPr>
                <w:spacing w:val="-5"/>
                <w:sz w:val="24"/>
              </w:rPr>
              <w:t>41</w:t>
            </w:r>
          </w:p>
        </w:tc>
        <w:tc>
          <w:tcPr>
            <w:tcW w:w="1091" w:type="dxa"/>
            <w:tcBorders>
              <w:bottom w:val="nil"/>
            </w:tcBorders>
          </w:tcPr>
          <w:p>
            <w:pPr>
              <w:pStyle w:val="TableParagraph"/>
              <w:spacing w:line="270" w:lineRule="exact"/>
              <w:ind w:left="111"/>
              <w:rPr>
                <w:sz w:val="24"/>
              </w:rPr>
            </w:pPr>
            <w:r>
              <w:rPr>
                <w:spacing w:val="-5"/>
                <w:sz w:val="24"/>
              </w:rPr>
              <w:t>84</w:t>
            </w:r>
          </w:p>
        </w:tc>
        <w:tc>
          <w:tcPr>
            <w:tcW w:w="1089" w:type="dxa"/>
            <w:tcBorders>
              <w:bottom w:val="nil"/>
            </w:tcBorders>
          </w:tcPr>
          <w:p>
            <w:pPr>
              <w:pStyle w:val="TableParagraph"/>
              <w:spacing w:line="270" w:lineRule="exact"/>
              <w:ind w:left="112"/>
              <w:rPr>
                <w:sz w:val="24"/>
              </w:rPr>
            </w:pPr>
            <w:r>
              <w:rPr>
                <w:spacing w:val="-5"/>
                <w:sz w:val="24"/>
              </w:rPr>
              <w:t>40</w:t>
            </w:r>
          </w:p>
        </w:tc>
        <w:tc>
          <w:tcPr>
            <w:tcW w:w="1094" w:type="dxa"/>
            <w:tcBorders>
              <w:bottom w:val="nil"/>
            </w:tcBorders>
          </w:tcPr>
          <w:p>
            <w:pPr>
              <w:pStyle w:val="TableParagraph"/>
              <w:spacing w:line="270" w:lineRule="exact"/>
              <w:ind w:left="115"/>
              <w:rPr>
                <w:sz w:val="24"/>
              </w:rPr>
            </w:pPr>
            <w:r>
              <w:rPr>
                <w:spacing w:val="-5"/>
                <w:sz w:val="24"/>
              </w:rPr>
              <w:t>88</w:t>
            </w:r>
          </w:p>
        </w:tc>
      </w:tr>
      <w:tr>
        <w:trPr>
          <w:trHeight w:val="295" w:hRule="atLeast"/>
        </w:trPr>
        <w:tc>
          <w:tcPr>
            <w:tcW w:w="398" w:type="dxa"/>
            <w:tcBorders>
              <w:top w:val="nil"/>
              <w:bottom w:val="nil"/>
            </w:tcBorders>
          </w:tcPr>
          <w:p>
            <w:pPr>
              <w:pStyle w:val="TableParagraph"/>
              <w:rPr>
                <w:sz w:val="22"/>
              </w:rPr>
            </w:pPr>
          </w:p>
        </w:tc>
        <w:tc>
          <w:tcPr>
            <w:tcW w:w="1171" w:type="dxa"/>
            <w:tcBorders>
              <w:top w:val="nil"/>
              <w:bottom w:val="nil"/>
            </w:tcBorders>
          </w:tcPr>
          <w:p>
            <w:pPr>
              <w:pStyle w:val="TableParagraph"/>
              <w:spacing w:line="274" w:lineRule="exact" w:before="1"/>
              <w:ind w:left="108"/>
              <w:rPr>
                <w:sz w:val="24"/>
              </w:rPr>
            </w:pPr>
            <w:r>
              <w:rPr>
                <w:spacing w:val="-4"/>
                <w:sz w:val="24"/>
              </w:rPr>
              <w:t>минут</w:t>
            </w:r>
          </w:p>
        </w:tc>
        <w:tc>
          <w:tcPr>
            <w:tcW w:w="741"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6"/>
              <w:rPr>
                <w:sz w:val="24"/>
              </w:rPr>
            </w:pPr>
            <w:r>
              <w:rPr>
                <w:spacing w:val="-2"/>
                <w:sz w:val="24"/>
              </w:rPr>
              <w:t>(33,33</w:t>
            </w:r>
          </w:p>
        </w:tc>
        <w:tc>
          <w:tcPr>
            <w:tcW w:w="820"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before="1"/>
              <w:ind w:left="108"/>
              <w:rPr>
                <w:sz w:val="24"/>
              </w:rPr>
            </w:pPr>
            <w:r>
              <w:rPr>
                <w:spacing w:val="-2"/>
                <w:sz w:val="24"/>
              </w:rPr>
              <w:t>(44,32</w:t>
            </w:r>
          </w:p>
        </w:tc>
        <w:tc>
          <w:tcPr>
            <w:tcW w:w="954" w:type="dxa"/>
            <w:tcBorders>
              <w:top w:val="nil"/>
              <w:bottom w:val="nil"/>
            </w:tcBorders>
          </w:tcPr>
          <w:p>
            <w:pPr>
              <w:pStyle w:val="TableParagraph"/>
              <w:rPr>
                <w:sz w:val="22"/>
              </w:rPr>
            </w:pPr>
          </w:p>
        </w:tc>
        <w:tc>
          <w:tcPr>
            <w:tcW w:w="954" w:type="dxa"/>
            <w:tcBorders>
              <w:top w:val="nil"/>
              <w:bottom w:val="nil"/>
            </w:tcBorders>
          </w:tcPr>
          <w:p>
            <w:pPr>
              <w:pStyle w:val="TableParagraph"/>
              <w:spacing w:line="274" w:lineRule="exact" w:before="1"/>
              <w:ind w:left="112"/>
              <w:rPr>
                <w:sz w:val="24"/>
              </w:rPr>
            </w:pPr>
            <w:r>
              <w:rPr>
                <w:spacing w:val="-2"/>
                <w:sz w:val="24"/>
              </w:rPr>
              <w:t>(48,81</w:t>
            </w:r>
          </w:p>
        </w:tc>
        <w:tc>
          <w:tcPr>
            <w:tcW w:w="1091" w:type="dxa"/>
            <w:tcBorders>
              <w:top w:val="nil"/>
              <w:bottom w:val="nil"/>
            </w:tcBorders>
          </w:tcPr>
          <w:p>
            <w:pPr>
              <w:pStyle w:val="TableParagraph"/>
              <w:rPr>
                <w:sz w:val="22"/>
              </w:rPr>
            </w:pPr>
          </w:p>
        </w:tc>
        <w:tc>
          <w:tcPr>
            <w:tcW w:w="1089" w:type="dxa"/>
            <w:tcBorders>
              <w:top w:val="nil"/>
              <w:bottom w:val="nil"/>
            </w:tcBorders>
          </w:tcPr>
          <w:p>
            <w:pPr>
              <w:pStyle w:val="TableParagraph"/>
              <w:spacing w:line="274" w:lineRule="exact" w:before="1"/>
              <w:ind w:left="112"/>
              <w:rPr>
                <w:sz w:val="24"/>
              </w:rPr>
            </w:pPr>
            <w:r>
              <w:rPr>
                <w:spacing w:val="-2"/>
                <w:sz w:val="24"/>
              </w:rPr>
              <w:t>(45,45%</w:t>
            </w:r>
          </w:p>
        </w:tc>
        <w:tc>
          <w:tcPr>
            <w:tcW w:w="1094" w:type="dxa"/>
            <w:tcBorders>
              <w:top w:val="nil"/>
              <w:bottom w:val="nil"/>
            </w:tcBorders>
          </w:tcPr>
          <w:p>
            <w:pPr>
              <w:pStyle w:val="TableParagraph"/>
              <w:rPr>
                <w:sz w:val="22"/>
              </w:rPr>
            </w:pPr>
          </w:p>
        </w:tc>
      </w:tr>
      <w:tr>
        <w:trPr>
          <w:trHeight w:val="432" w:hRule="atLeast"/>
        </w:trPr>
        <w:tc>
          <w:tcPr>
            <w:tcW w:w="398" w:type="dxa"/>
            <w:tcBorders>
              <w:top w:val="nil"/>
            </w:tcBorders>
          </w:tcPr>
          <w:p>
            <w:pPr>
              <w:pStyle w:val="TableParagraph"/>
              <w:rPr>
                <w:sz w:val="26"/>
              </w:rPr>
            </w:pPr>
          </w:p>
        </w:tc>
        <w:tc>
          <w:tcPr>
            <w:tcW w:w="1171" w:type="dxa"/>
            <w:tcBorders>
              <w:top w:val="nil"/>
            </w:tcBorders>
          </w:tcPr>
          <w:p>
            <w:pPr>
              <w:pStyle w:val="TableParagraph"/>
              <w:rPr>
                <w:sz w:val="26"/>
              </w:rPr>
            </w:pPr>
          </w:p>
        </w:tc>
        <w:tc>
          <w:tcPr>
            <w:tcW w:w="741" w:type="dxa"/>
            <w:tcBorders>
              <w:top w:val="nil"/>
            </w:tcBorders>
          </w:tcPr>
          <w:p>
            <w:pPr>
              <w:pStyle w:val="TableParagraph"/>
              <w:rPr>
                <w:sz w:val="26"/>
              </w:rPr>
            </w:pPr>
          </w:p>
        </w:tc>
        <w:tc>
          <w:tcPr>
            <w:tcW w:w="952" w:type="dxa"/>
            <w:tcBorders>
              <w:top w:val="nil"/>
            </w:tcBorders>
          </w:tcPr>
          <w:p>
            <w:pPr>
              <w:pStyle w:val="TableParagraph"/>
              <w:spacing w:before="1"/>
              <w:ind w:left="106"/>
              <w:rPr>
                <w:sz w:val="24"/>
              </w:rPr>
            </w:pPr>
            <w:r>
              <w:rPr>
                <w:spacing w:val="-5"/>
                <w:sz w:val="24"/>
              </w:rPr>
              <w:t>%)</w:t>
            </w:r>
          </w:p>
        </w:tc>
        <w:tc>
          <w:tcPr>
            <w:tcW w:w="820" w:type="dxa"/>
            <w:tcBorders>
              <w:top w:val="nil"/>
            </w:tcBorders>
          </w:tcPr>
          <w:p>
            <w:pPr>
              <w:pStyle w:val="TableParagraph"/>
              <w:rPr>
                <w:sz w:val="26"/>
              </w:rPr>
            </w:pPr>
          </w:p>
        </w:tc>
        <w:tc>
          <w:tcPr>
            <w:tcW w:w="952" w:type="dxa"/>
            <w:tcBorders>
              <w:top w:val="nil"/>
            </w:tcBorders>
          </w:tcPr>
          <w:p>
            <w:pPr>
              <w:pStyle w:val="TableParagraph"/>
              <w:spacing w:before="1"/>
              <w:ind w:left="108"/>
              <w:rPr>
                <w:sz w:val="24"/>
              </w:rPr>
            </w:pPr>
            <w:r>
              <w:rPr>
                <w:spacing w:val="-5"/>
                <w:sz w:val="24"/>
              </w:rPr>
              <w:t>%)</w:t>
            </w:r>
          </w:p>
        </w:tc>
        <w:tc>
          <w:tcPr>
            <w:tcW w:w="954" w:type="dxa"/>
            <w:tcBorders>
              <w:top w:val="nil"/>
            </w:tcBorders>
          </w:tcPr>
          <w:p>
            <w:pPr>
              <w:pStyle w:val="TableParagraph"/>
              <w:rPr>
                <w:sz w:val="26"/>
              </w:rPr>
            </w:pPr>
          </w:p>
        </w:tc>
        <w:tc>
          <w:tcPr>
            <w:tcW w:w="954" w:type="dxa"/>
            <w:tcBorders>
              <w:top w:val="nil"/>
            </w:tcBorders>
          </w:tcPr>
          <w:p>
            <w:pPr>
              <w:pStyle w:val="TableParagraph"/>
              <w:spacing w:before="1"/>
              <w:ind w:left="112"/>
              <w:rPr>
                <w:sz w:val="24"/>
              </w:rPr>
            </w:pPr>
            <w:r>
              <w:rPr>
                <w:spacing w:val="-5"/>
                <w:sz w:val="24"/>
              </w:rPr>
              <w:t>%)</w:t>
            </w:r>
          </w:p>
        </w:tc>
        <w:tc>
          <w:tcPr>
            <w:tcW w:w="1091" w:type="dxa"/>
            <w:tcBorders>
              <w:top w:val="nil"/>
            </w:tcBorders>
          </w:tcPr>
          <w:p>
            <w:pPr>
              <w:pStyle w:val="TableParagraph"/>
              <w:rPr>
                <w:sz w:val="26"/>
              </w:rPr>
            </w:pPr>
          </w:p>
        </w:tc>
        <w:tc>
          <w:tcPr>
            <w:tcW w:w="1089" w:type="dxa"/>
            <w:tcBorders>
              <w:top w:val="nil"/>
            </w:tcBorders>
          </w:tcPr>
          <w:p>
            <w:pPr>
              <w:pStyle w:val="TableParagraph"/>
              <w:spacing w:before="1"/>
              <w:ind w:left="112"/>
              <w:rPr>
                <w:sz w:val="24"/>
              </w:rPr>
            </w:pPr>
            <w:r>
              <w:rPr>
                <w:spacing w:val="-10"/>
                <w:sz w:val="24"/>
              </w:rPr>
              <w:t>)</w:t>
            </w:r>
          </w:p>
        </w:tc>
        <w:tc>
          <w:tcPr>
            <w:tcW w:w="1094" w:type="dxa"/>
            <w:tcBorders>
              <w:top w:val="nil"/>
            </w:tcBorders>
          </w:tcPr>
          <w:p>
            <w:pPr>
              <w:pStyle w:val="TableParagraph"/>
              <w:rPr>
                <w:sz w:val="26"/>
              </w:rPr>
            </w:pPr>
          </w:p>
        </w:tc>
      </w:tr>
      <w:tr>
        <w:trPr>
          <w:trHeight w:val="290" w:hRule="atLeast"/>
        </w:trPr>
        <w:tc>
          <w:tcPr>
            <w:tcW w:w="398" w:type="dxa"/>
            <w:tcBorders>
              <w:bottom w:val="nil"/>
            </w:tcBorders>
          </w:tcPr>
          <w:p>
            <w:pPr>
              <w:pStyle w:val="TableParagraph"/>
              <w:spacing w:line="271" w:lineRule="exact"/>
              <w:ind w:left="107"/>
              <w:rPr>
                <w:sz w:val="24"/>
              </w:rPr>
            </w:pPr>
            <w:r>
              <w:rPr>
                <w:spacing w:val="-10"/>
                <w:sz w:val="24"/>
              </w:rPr>
              <w:t>4</w:t>
            </w:r>
          </w:p>
        </w:tc>
        <w:tc>
          <w:tcPr>
            <w:tcW w:w="1171" w:type="dxa"/>
            <w:tcBorders>
              <w:bottom w:val="nil"/>
            </w:tcBorders>
          </w:tcPr>
          <w:p>
            <w:pPr>
              <w:pStyle w:val="TableParagraph"/>
              <w:spacing w:line="271" w:lineRule="exact"/>
              <w:ind w:left="108"/>
              <w:rPr>
                <w:sz w:val="24"/>
              </w:rPr>
            </w:pPr>
            <w:r>
              <w:rPr>
                <w:sz w:val="24"/>
              </w:rPr>
              <w:t>IR,</w:t>
            </w:r>
            <w:r>
              <w:rPr>
                <w:spacing w:val="-4"/>
                <w:sz w:val="24"/>
              </w:rPr>
              <w:t> </w:t>
            </w:r>
            <w:r>
              <w:rPr>
                <w:spacing w:val="-5"/>
                <w:sz w:val="24"/>
              </w:rPr>
              <w:t>25</w:t>
            </w:r>
          </w:p>
        </w:tc>
        <w:tc>
          <w:tcPr>
            <w:tcW w:w="741" w:type="dxa"/>
            <w:tcBorders>
              <w:bottom w:val="nil"/>
            </w:tcBorders>
          </w:tcPr>
          <w:p>
            <w:pPr>
              <w:pStyle w:val="TableParagraph"/>
              <w:spacing w:line="271" w:lineRule="exact"/>
              <w:ind w:right="92"/>
              <w:jc w:val="center"/>
              <w:rPr>
                <w:sz w:val="24"/>
              </w:rPr>
            </w:pPr>
            <w:r>
              <w:rPr>
                <w:spacing w:val="-4"/>
                <w:sz w:val="24"/>
              </w:rPr>
              <w:t>5,15</w:t>
            </w:r>
          </w:p>
        </w:tc>
        <w:tc>
          <w:tcPr>
            <w:tcW w:w="952" w:type="dxa"/>
            <w:tcBorders>
              <w:bottom w:val="nil"/>
            </w:tcBorders>
          </w:tcPr>
          <w:p>
            <w:pPr>
              <w:pStyle w:val="TableParagraph"/>
              <w:spacing w:line="271" w:lineRule="exact"/>
              <w:ind w:left="106"/>
              <w:rPr>
                <w:sz w:val="24"/>
              </w:rPr>
            </w:pPr>
            <w:r>
              <w:rPr>
                <w:spacing w:val="-5"/>
                <w:sz w:val="24"/>
              </w:rPr>
              <w:t>114</w:t>
            </w:r>
          </w:p>
        </w:tc>
        <w:tc>
          <w:tcPr>
            <w:tcW w:w="820" w:type="dxa"/>
            <w:tcBorders>
              <w:bottom w:val="nil"/>
            </w:tcBorders>
          </w:tcPr>
          <w:p>
            <w:pPr>
              <w:pStyle w:val="TableParagraph"/>
              <w:spacing w:line="271" w:lineRule="exact"/>
              <w:ind w:left="107"/>
              <w:rPr>
                <w:sz w:val="24"/>
              </w:rPr>
            </w:pPr>
            <w:r>
              <w:rPr>
                <w:spacing w:val="-5"/>
                <w:sz w:val="24"/>
              </w:rPr>
              <w:t>217</w:t>
            </w:r>
          </w:p>
        </w:tc>
        <w:tc>
          <w:tcPr>
            <w:tcW w:w="952" w:type="dxa"/>
            <w:tcBorders>
              <w:bottom w:val="nil"/>
            </w:tcBorders>
          </w:tcPr>
          <w:p>
            <w:pPr>
              <w:pStyle w:val="TableParagraph"/>
              <w:spacing w:line="271" w:lineRule="exact"/>
              <w:ind w:left="108"/>
              <w:rPr>
                <w:sz w:val="24"/>
              </w:rPr>
            </w:pPr>
            <w:r>
              <w:rPr>
                <w:spacing w:val="-5"/>
                <w:sz w:val="24"/>
              </w:rPr>
              <w:t>51</w:t>
            </w:r>
          </w:p>
        </w:tc>
        <w:tc>
          <w:tcPr>
            <w:tcW w:w="954" w:type="dxa"/>
            <w:tcBorders>
              <w:bottom w:val="nil"/>
            </w:tcBorders>
          </w:tcPr>
          <w:p>
            <w:pPr>
              <w:pStyle w:val="TableParagraph"/>
              <w:spacing w:line="271" w:lineRule="exact"/>
              <w:ind w:left="108"/>
              <w:rPr>
                <w:sz w:val="24"/>
              </w:rPr>
            </w:pPr>
            <w:r>
              <w:rPr>
                <w:spacing w:val="-5"/>
                <w:sz w:val="24"/>
              </w:rPr>
              <w:t>162</w:t>
            </w:r>
          </w:p>
        </w:tc>
        <w:tc>
          <w:tcPr>
            <w:tcW w:w="954" w:type="dxa"/>
            <w:tcBorders>
              <w:bottom w:val="nil"/>
            </w:tcBorders>
          </w:tcPr>
          <w:p>
            <w:pPr>
              <w:pStyle w:val="TableParagraph"/>
              <w:spacing w:line="271" w:lineRule="exact"/>
              <w:ind w:left="112"/>
              <w:rPr>
                <w:sz w:val="24"/>
              </w:rPr>
            </w:pPr>
            <w:r>
              <w:rPr>
                <w:spacing w:val="-5"/>
                <w:sz w:val="24"/>
              </w:rPr>
              <w:t>81</w:t>
            </w:r>
          </w:p>
        </w:tc>
        <w:tc>
          <w:tcPr>
            <w:tcW w:w="1091" w:type="dxa"/>
            <w:tcBorders>
              <w:bottom w:val="nil"/>
            </w:tcBorders>
          </w:tcPr>
          <w:p>
            <w:pPr>
              <w:pStyle w:val="TableParagraph"/>
              <w:spacing w:line="271" w:lineRule="exact"/>
              <w:ind w:left="111"/>
              <w:rPr>
                <w:sz w:val="24"/>
              </w:rPr>
            </w:pPr>
            <w:r>
              <w:rPr>
                <w:spacing w:val="-5"/>
                <w:sz w:val="24"/>
              </w:rPr>
              <w:t>217</w:t>
            </w:r>
          </w:p>
        </w:tc>
        <w:tc>
          <w:tcPr>
            <w:tcW w:w="1089" w:type="dxa"/>
            <w:tcBorders>
              <w:bottom w:val="nil"/>
            </w:tcBorders>
          </w:tcPr>
          <w:p>
            <w:pPr>
              <w:pStyle w:val="TableParagraph"/>
              <w:spacing w:line="271" w:lineRule="exact"/>
              <w:ind w:left="112"/>
              <w:rPr>
                <w:sz w:val="24"/>
              </w:rPr>
            </w:pPr>
            <w:r>
              <w:rPr>
                <w:spacing w:val="-5"/>
                <w:sz w:val="24"/>
              </w:rPr>
              <w:t>44</w:t>
            </w:r>
          </w:p>
        </w:tc>
        <w:tc>
          <w:tcPr>
            <w:tcW w:w="1094" w:type="dxa"/>
            <w:tcBorders>
              <w:bottom w:val="nil"/>
            </w:tcBorders>
          </w:tcPr>
          <w:p>
            <w:pPr>
              <w:pStyle w:val="TableParagraph"/>
              <w:spacing w:line="271" w:lineRule="exact"/>
              <w:ind w:left="115"/>
              <w:rPr>
                <w:sz w:val="24"/>
              </w:rPr>
            </w:pPr>
            <w:r>
              <w:rPr>
                <w:spacing w:val="-5"/>
                <w:sz w:val="24"/>
              </w:rPr>
              <w:t>162</w:t>
            </w:r>
          </w:p>
        </w:tc>
      </w:tr>
      <w:tr>
        <w:trPr>
          <w:trHeight w:val="293" w:hRule="atLeast"/>
        </w:trPr>
        <w:tc>
          <w:tcPr>
            <w:tcW w:w="398" w:type="dxa"/>
            <w:tcBorders>
              <w:top w:val="nil"/>
              <w:bottom w:val="nil"/>
            </w:tcBorders>
          </w:tcPr>
          <w:p>
            <w:pPr>
              <w:pStyle w:val="TableParagraph"/>
              <w:rPr>
                <w:sz w:val="22"/>
              </w:rPr>
            </w:pPr>
          </w:p>
        </w:tc>
        <w:tc>
          <w:tcPr>
            <w:tcW w:w="1171" w:type="dxa"/>
            <w:tcBorders>
              <w:top w:val="nil"/>
              <w:bottom w:val="nil"/>
            </w:tcBorders>
          </w:tcPr>
          <w:p>
            <w:pPr>
              <w:pStyle w:val="TableParagraph"/>
              <w:spacing w:line="274" w:lineRule="exact"/>
              <w:ind w:left="108"/>
              <w:rPr>
                <w:sz w:val="24"/>
              </w:rPr>
            </w:pPr>
            <w:r>
              <w:rPr>
                <w:spacing w:val="-4"/>
                <w:sz w:val="24"/>
              </w:rPr>
              <w:t>минут</w:t>
            </w:r>
          </w:p>
        </w:tc>
        <w:tc>
          <w:tcPr>
            <w:tcW w:w="741"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ind w:left="106"/>
              <w:rPr>
                <w:sz w:val="24"/>
              </w:rPr>
            </w:pPr>
            <w:r>
              <w:rPr>
                <w:spacing w:val="-2"/>
                <w:sz w:val="24"/>
              </w:rPr>
              <w:t>(52,53</w:t>
            </w:r>
          </w:p>
        </w:tc>
        <w:tc>
          <w:tcPr>
            <w:tcW w:w="820" w:type="dxa"/>
            <w:tcBorders>
              <w:top w:val="nil"/>
              <w:bottom w:val="nil"/>
            </w:tcBorders>
          </w:tcPr>
          <w:p>
            <w:pPr>
              <w:pStyle w:val="TableParagraph"/>
              <w:rPr>
                <w:sz w:val="22"/>
              </w:rPr>
            </w:pPr>
          </w:p>
        </w:tc>
        <w:tc>
          <w:tcPr>
            <w:tcW w:w="952" w:type="dxa"/>
            <w:tcBorders>
              <w:top w:val="nil"/>
              <w:bottom w:val="nil"/>
            </w:tcBorders>
          </w:tcPr>
          <w:p>
            <w:pPr>
              <w:pStyle w:val="TableParagraph"/>
              <w:spacing w:line="274" w:lineRule="exact"/>
              <w:ind w:left="108"/>
              <w:rPr>
                <w:sz w:val="24"/>
              </w:rPr>
            </w:pPr>
            <w:r>
              <w:rPr>
                <w:spacing w:val="-2"/>
                <w:sz w:val="24"/>
              </w:rPr>
              <w:t>(31,48</w:t>
            </w:r>
          </w:p>
        </w:tc>
        <w:tc>
          <w:tcPr>
            <w:tcW w:w="954" w:type="dxa"/>
            <w:tcBorders>
              <w:top w:val="nil"/>
              <w:bottom w:val="nil"/>
            </w:tcBorders>
          </w:tcPr>
          <w:p>
            <w:pPr>
              <w:pStyle w:val="TableParagraph"/>
              <w:rPr>
                <w:sz w:val="22"/>
              </w:rPr>
            </w:pPr>
          </w:p>
        </w:tc>
        <w:tc>
          <w:tcPr>
            <w:tcW w:w="954" w:type="dxa"/>
            <w:tcBorders>
              <w:top w:val="nil"/>
              <w:bottom w:val="nil"/>
            </w:tcBorders>
          </w:tcPr>
          <w:p>
            <w:pPr>
              <w:pStyle w:val="TableParagraph"/>
              <w:spacing w:line="274" w:lineRule="exact"/>
              <w:ind w:left="112"/>
              <w:rPr>
                <w:sz w:val="24"/>
              </w:rPr>
            </w:pPr>
            <w:r>
              <w:rPr>
                <w:spacing w:val="-2"/>
                <w:sz w:val="24"/>
              </w:rPr>
              <w:t>(37,33</w:t>
            </w:r>
          </w:p>
        </w:tc>
        <w:tc>
          <w:tcPr>
            <w:tcW w:w="1091" w:type="dxa"/>
            <w:tcBorders>
              <w:top w:val="nil"/>
              <w:bottom w:val="nil"/>
            </w:tcBorders>
          </w:tcPr>
          <w:p>
            <w:pPr>
              <w:pStyle w:val="TableParagraph"/>
              <w:rPr>
                <w:sz w:val="22"/>
              </w:rPr>
            </w:pPr>
          </w:p>
        </w:tc>
        <w:tc>
          <w:tcPr>
            <w:tcW w:w="1089" w:type="dxa"/>
            <w:tcBorders>
              <w:top w:val="nil"/>
              <w:bottom w:val="nil"/>
            </w:tcBorders>
          </w:tcPr>
          <w:p>
            <w:pPr>
              <w:pStyle w:val="TableParagraph"/>
              <w:spacing w:line="274" w:lineRule="exact"/>
              <w:ind w:left="112"/>
              <w:rPr>
                <w:sz w:val="24"/>
              </w:rPr>
            </w:pPr>
            <w:r>
              <w:rPr>
                <w:spacing w:val="-2"/>
                <w:sz w:val="24"/>
              </w:rPr>
              <w:t>(27,16%</w:t>
            </w:r>
          </w:p>
        </w:tc>
        <w:tc>
          <w:tcPr>
            <w:tcW w:w="1094" w:type="dxa"/>
            <w:tcBorders>
              <w:top w:val="nil"/>
              <w:bottom w:val="nil"/>
            </w:tcBorders>
          </w:tcPr>
          <w:p>
            <w:pPr>
              <w:pStyle w:val="TableParagraph"/>
              <w:rPr>
                <w:sz w:val="22"/>
              </w:rPr>
            </w:pPr>
          </w:p>
        </w:tc>
      </w:tr>
      <w:tr>
        <w:trPr>
          <w:trHeight w:val="312" w:hRule="atLeast"/>
        </w:trPr>
        <w:tc>
          <w:tcPr>
            <w:tcW w:w="398" w:type="dxa"/>
            <w:tcBorders>
              <w:top w:val="nil"/>
            </w:tcBorders>
          </w:tcPr>
          <w:p>
            <w:pPr>
              <w:pStyle w:val="TableParagraph"/>
              <w:rPr>
                <w:sz w:val="22"/>
              </w:rPr>
            </w:pPr>
          </w:p>
        </w:tc>
        <w:tc>
          <w:tcPr>
            <w:tcW w:w="1171" w:type="dxa"/>
            <w:tcBorders>
              <w:top w:val="nil"/>
            </w:tcBorders>
          </w:tcPr>
          <w:p>
            <w:pPr>
              <w:pStyle w:val="TableParagraph"/>
              <w:rPr>
                <w:sz w:val="22"/>
              </w:rPr>
            </w:pPr>
          </w:p>
        </w:tc>
        <w:tc>
          <w:tcPr>
            <w:tcW w:w="741" w:type="dxa"/>
            <w:tcBorders>
              <w:top w:val="nil"/>
            </w:tcBorders>
          </w:tcPr>
          <w:p>
            <w:pPr>
              <w:pStyle w:val="TableParagraph"/>
              <w:rPr>
                <w:sz w:val="22"/>
              </w:rPr>
            </w:pPr>
          </w:p>
        </w:tc>
        <w:tc>
          <w:tcPr>
            <w:tcW w:w="952" w:type="dxa"/>
            <w:tcBorders>
              <w:top w:val="nil"/>
            </w:tcBorders>
          </w:tcPr>
          <w:p>
            <w:pPr>
              <w:pStyle w:val="TableParagraph"/>
              <w:spacing w:before="1"/>
              <w:ind w:left="106"/>
              <w:rPr>
                <w:sz w:val="24"/>
              </w:rPr>
            </w:pPr>
            <w:r>
              <w:rPr>
                <w:spacing w:val="-5"/>
                <w:sz w:val="24"/>
              </w:rPr>
              <w:t>%)</w:t>
            </w:r>
          </w:p>
        </w:tc>
        <w:tc>
          <w:tcPr>
            <w:tcW w:w="820" w:type="dxa"/>
            <w:tcBorders>
              <w:top w:val="nil"/>
            </w:tcBorders>
          </w:tcPr>
          <w:p>
            <w:pPr>
              <w:pStyle w:val="TableParagraph"/>
              <w:rPr>
                <w:sz w:val="22"/>
              </w:rPr>
            </w:pPr>
          </w:p>
        </w:tc>
        <w:tc>
          <w:tcPr>
            <w:tcW w:w="952" w:type="dxa"/>
            <w:tcBorders>
              <w:top w:val="nil"/>
            </w:tcBorders>
          </w:tcPr>
          <w:p>
            <w:pPr>
              <w:pStyle w:val="TableParagraph"/>
              <w:spacing w:before="1"/>
              <w:ind w:left="108"/>
              <w:rPr>
                <w:sz w:val="24"/>
              </w:rPr>
            </w:pPr>
            <w:r>
              <w:rPr>
                <w:spacing w:val="-5"/>
                <w:sz w:val="24"/>
              </w:rPr>
              <w:t>%)</w:t>
            </w:r>
          </w:p>
        </w:tc>
        <w:tc>
          <w:tcPr>
            <w:tcW w:w="954" w:type="dxa"/>
            <w:tcBorders>
              <w:top w:val="nil"/>
            </w:tcBorders>
          </w:tcPr>
          <w:p>
            <w:pPr>
              <w:pStyle w:val="TableParagraph"/>
              <w:rPr>
                <w:sz w:val="22"/>
              </w:rPr>
            </w:pPr>
          </w:p>
        </w:tc>
        <w:tc>
          <w:tcPr>
            <w:tcW w:w="954" w:type="dxa"/>
            <w:tcBorders>
              <w:top w:val="nil"/>
            </w:tcBorders>
          </w:tcPr>
          <w:p>
            <w:pPr>
              <w:pStyle w:val="TableParagraph"/>
              <w:spacing w:before="1"/>
              <w:ind w:left="112"/>
              <w:rPr>
                <w:sz w:val="24"/>
              </w:rPr>
            </w:pPr>
            <w:r>
              <w:rPr>
                <w:spacing w:val="-5"/>
                <w:sz w:val="24"/>
              </w:rPr>
              <w:t>%)</w:t>
            </w:r>
          </w:p>
        </w:tc>
        <w:tc>
          <w:tcPr>
            <w:tcW w:w="1091" w:type="dxa"/>
            <w:tcBorders>
              <w:top w:val="nil"/>
            </w:tcBorders>
          </w:tcPr>
          <w:p>
            <w:pPr>
              <w:pStyle w:val="TableParagraph"/>
              <w:rPr>
                <w:sz w:val="22"/>
              </w:rPr>
            </w:pPr>
          </w:p>
        </w:tc>
        <w:tc>
          <w:tcPr>
            <w:tcW w:w="1089" w:type="dxa"/>
            <w:tcBorders>
              <w:top w:val="nil"/>
            </w:tcBorders>
          </w:tcPr>
          <w:p>
            <w:pPr>
              <w:pStyle w:val="TableParagraph"/>
              <w:spacing w:before="1"/>
              <w:ind w:left="112"/>
              <w:rPr>
                <w:sz w:val="24"/>
              </w:rPr>
            </w:pPr>
            <w:r>
              <w:rPr>
                <w:spacing w:val="-10"/>
                <w:sz w:val="24"/>
              </w:rPr>
              <w:t>)</w:t>
            </w:r>
          </w:p>
        </w:tc>
        <w:tc>
          <w:tcPr>
            <w:tcW w:w="1094" w:type="dxa"/>
            <w:tcBorders>
              <w:top w:val="nil"/>
            </w:tcBorders>
          </w:tcPr>
          <w:p>
            <w:pPr>
              <w:pStyle w:val="TableParagraph"/>
              <w:rPr>
                <w:sz w:val="22"/>
              </w:rPr>
            </w:pPr>
          </w:p>
        </w:tc>
      </w:tr>
      <w:tr>
        <w:trPr>
          <w:trHeight w:val="589" w:hRule="atLeast"/>
        </w:trPr>
        <w:tc>
          <w:tcPr>
            <w:tcW w:w="10216" w:type="dxa"/>
            <w:gridSpan w:val="11"/>
          </w:tcPr>
          <w:p>
            <w:pPr>
              <w:pStyle w:val="TableParagraph"/>
              <w:spacing w:line="274" w:lineRule="exact"/>
              <w:ind w:left="107"/>
              <w:rPr>
                <w:sz w:val="24"/>
              </w:rPr>
            </w:pPr>
            <w:r>
              <w:rPr>
                <w:sz w:val="24"/>
              </w:rPr>
              <w:t>Тест</w:t>
            </w:r>
            <w:r>
              <w:rPr>
                <w:spacing w:val="-1"/>
                <w:sz w:val="24"/>
              </w:rPr>
              <w:t> </w:t>
            </w:r>
            <w:r>
              <w:rPr>
                <w:sz w:val="24"/>
              </w:rPr>
              <w:t>Уилкоксона,</w:t>
            </w:r>
            <w:r>
              <w:rPr>
                <w:spacing w:val="-1"/>
                <w:sz w:val="24"/>
              </w:rPr>
              <w:t> </w:t>
            </w:r>
            <w:r>
              <w:rPr>
                <w:sz w:val="22"/>
              </w:rPr>
              <w:t>W</w:t>
            </w:r>
            <w:r>
              <w:rPr>
                <w:spacing w:val="-3"/>
                <w:sz w:val="22"/>
              </w:rPr>
              <w:t> </w:t>
            </w:r>
            <w:r>
              <w:rPr>
                <w:sz w:val="22"/>
              </w:rPr>
              <w:t>=</w:t>
            </w:r>
            <w:r>
              <w:rPr>
                <w:spacing w:val="-1"/>
                <w:sz w:val="22"/>
              </w:rPr>
              <w:t> </w:t>
            </w:r>
            <w:r>
              <w:rPr>
                <w:sz w:val="22"/>
              </w:rPr>
              <w:t>2</w:t>
            </w:r>
            <w:r>
              <w:rPr>
                <w:sz w:val="24"/>
              </w:rPr>
              <w:t>,</w:t>
            </w:r>
            <w:r>
              <w:rPr>
                <w:spacing w:val="-1"/>
                <w:sz w:val="24"/>
              </w:rPr>
              <w:t> </w:t>
            </w:r>
            <w:r>
              <w:rPr>
                <w:sz w:val="24"/>
              </w:rPr>
              <w:t>p</w:t>
            </w:r>
            <w:r>
              <w:rPr>
                <w:spacing w:val="-1"/>
                <w:sz w:val="24"/>
              </w:rPr>
              <w:t> </w:t>
            </w:r>
            <w:r>
              <w:rPr>
                <w:sz w:val="24"/>
              </w:rPr>
              <w:t>=</w:t>
            </w:r>
            <w:r>
              <w:rPr>
                <w:spacing w:val="-2"/>
                <w:sz w:val="24"/>
              </w:rPr>
              <w:t> </w:t>
            </w:r>
            <w:r>
              <w:rPr>
                <w:sz w:val="24"/>
              </w:rPr>
              <w:t>0,38</w:t>
            </w:r>
            <w:r>
              <w:rPr>
                <w:spacing w:val="-1"/>
                <w:sz w:val="24"/>
              </w:rPr>
              <w:t> </w:t>
            </w:r>
            <w:r>
              <w:rPr>
                <w:sz w:val="24"/>
              </w:rPr>
              <w:t>для</w:t>
            </w:r>
            <w:r>
              <w:rPr>
                <w:spacing w:val="-1"/>
                <w:sz w:val="24"/>
              </w:rPr>
              <w:t> </w:t>
            </w:r>
            <w:r>
              <w:rPr>
                <w:sz w:val="24"/>
              </w:rPr>
              <w:t>MitoTracker</w:t>
            </w:r>
            <w:r>
              <w:rPr>
                <w:spacing w:val="-2"/>
                <w:sz w:val="24"/>
              </w:rPr>
              <w:t> </w:t>
            </w:r>
            <w:r>
              <w:rPr>
                <w:sz w:val="24"/>
              </w:rPr>
              <w:t>Green</w:t>
            </w:r>
            <w:r>
              <w:rPr>
                <w:spacing w:val="2"/>
                <w:sz w:val="24"/>
              </w:rPr>
              <w:t> </w:t>
            </w:r>
            <w:r>
              <w:rPr>
                <w:spacing w:val="-5"/>
                <w:sz w:val="24"/>
              </w:rPr>
              <w:t>FM</w:t>
            </w:r>
          </w:p>
          <w:p>
            <w:pPr>
              <w:pStyle w:val="TableParagraph"/>
              <w:spacing w:before="17"/>
              <w:ind w:left="107"/>
              <w:rPr>
                <w:sz w:val="24"/>
              </w:rPr>
            </w:pPr>
            <w:r>
              <w:rPr>
                <w:sz w:val="24"/>
              </w:rPr>
              <w:t>Тест</w:t>
            </w:r>
            <w:r>
              <w:rPr>
                <w:spacing w:val="-1"/>
                <w:sz w:val="24"/>
              </w:rPr>
              <w:t> </w:t>
            </w:r>
            <w:r>
              <w:rPr>
                <w:sz w:val="24"/>
              </w:rPr>
              <w:t>Уилкоксона,</w:t>
            </w:r>
            <w:r>
              <w:rPr>
                <w:spacing w:val="-1"/>
                <w:sz w:val="24"/>
              </w:rPr>
              <w:t> </w:t>
            </w:r>
            <w:r>
              <w:rPr>
                <w:sz w:val="24"/>
              </w:rPr>
              <w:t>W</w:t>
            </w:r>
            <w:r>
              <w:rPr>
                <w:spacing w:val="-1"/>
                <w:sz w:val="24"/>
              </w:rPr>
              <w:t> </w:t>
            </w:r>
            <w:r>
              <w:rPr>
                <w:sz w:val="24"/>
              </w:rPr>
              <w:t>=</w:t>
            </w:r>
            <w:r>
              <w:rPr>
                <w:spacing w:val="-2"/>
                <w:sz w:val="24"/>
              </w:rPr>
              <w:t> </w:t>
            </w:r>
            <w:r>
              <w:rPr>
                <w:sz w:val="24"/>
              </w:rPr>
              <w:t>1, p</w:t>
            </w:r>
            <w:r>
              <w:rPr>
                <w:spacing w:val="-1"/>
                <w:sz w:val="24"/>
              </w:rPr>
              <w:t> </w:t>
            </w:r>
            <w:r>
              <w:rPr>
                <w:sz w:val="24"/>
              </w:rPr>
              <w:t>=</w:t>
            </w:r>
            <w:r>
              <w:rPr>
                <w:spacing w:val="-2"/>
                <w:sz w:val="24"/>
              </w:rPr>
              <w:t> </w:t>
            </w:r>
            <w:r>
              <w:rPr>
                <w:sz w:val="24"/>
              </w:rPr>
              <w:t>0,25 для</w:t>
            </w:r>
            <w:r>
              <w:rPr>
                <w:spacing w:val="-1"/>
                <w:sz w:val="24"/>
              </w:rPr>
              <w:t> </w:t>
            </w:r>
            <w:r>
              <w:rPr>
                <w:sz w:val="24"/>
              </w:rPr>
              <w:t>LumiTracker</w:t>
            </w:r>
            <w:r>
              <w:rPr>
                <w:spacing w:val="-1"/>
                <w:sz w:val="24"/>
              </w:rPr>
              <w:t> </w:t>
            </w:r>
            <w:r>
              <w:rPr>
                <w:sz w:val="24"/>
              </w:rPr>
              <w:t>Mito</w:t>
            </w:r>
            <w:r>
              <w:rPr>
                <w:spacing w:val="-1"/>
                <w:sz w:val="24"/>
              </w:rPr>
              <w:t> </w:t>
            </w:r>
            <w:r>
              <w:rPr>
                <w:sz w:val="24"/>
              </w:rPr>
              <w:t>Red </w:t>
            </w:r>
            <w:r>
              <w:rPr>
                <w:spacing w:val="-2"/>
                <w:sz w:val="24"/>
              </w:rPr>
              <w:t>CMXRos</w:t>
            </w:r>
          </w:p>
        </w:tc>
      </w:tr>
    </w:tbl>
    <w:p>
      <w:pPr>
        <w:spacing w:line="256" w:lineRule="auto" w:before="6"/>
        <w:ind w:left="143" w:right="0" w:firstLine="0"/>
        <w:jc w:val="left"/>
        <w:rPr>
          <w:sz w:val="24"/>
        </w:rPr>
      </w:pPr>
      <w:r>
        <w:rPr>
          <w:sz w:val="24"/>
        </w:rPr>
        <w:t>*Сочетание</w:t>
      </w:r>
      <w:r>
        <w:rPr>
          <w:spacing w:val="-5"/>
          <w:sz w:val="24"/>
        </w:rPr>
        <w:t> </w:t>
      </w:r>
      <w:r>
        <w:rPr>
          <w:sz w:val="24"/>
        </w:rPr>
        <w:t>длин</w:t>
      </w:r>
      <w:r>
        <w:rPr>
          <w:spacing w:val="-3"/>
          <w:sz w:val="24"/>
        </w:rPr>
        <w:t> </w:t>
      </w:r>
      <w:r>
        <w:rPr>
          <w:sz w:val="24"/>
        </w:rPr>
        <w:t>волн</w:t>
      </w:r>
      <w:r>
        <w:rPr>
          <w:spacing w:val="-6"/>
          <w:sz w:val="24"/>
        </w:rPr>
        <w:t> </w:t>
      </w:r>
      <w:r>
        <w:rPr>
          <w:sz w:val="24"/>
        </w:rPr>
        <w:t>400-750,</w:t>
      </w:r>
      <w:r>
        <w:rPr>
          <w:spacing w:val="-4"/>
          <w:sz w:val="24"/>
        </w:rPr>
        <w:t> </w:t>
      </w:r>
      <w:r>
        <w:rPr>
          <w:sz w:val="24"/>
        </w:rPr>
        <w:t>651,</w:t>
      </w:r>
      <w:r>
        <w:rPr>
          <w:spacing w:val="-4"/>
          <w:sz w:val="24"/>
        </w:rPr>
        <w:t> </w:t>
      </w:r>
      <w:r>
        <w:rPr>
          <w:sz w:val="24"/>
        </w:rPr>
        <w:t>933</w:t>
      </w:r>
      <w:r>
        <w:rPr>
          <w:spacing w:val="-4"/>
          <w:sz w:val="24"/>
        </w:rPr>
        <w:t> </w:t>
      </w:r>
      <w:r>
        <w:rPr>
          <w:sz w:val="24"/>
        </w:rPr>
        <w:t>соответствующих</w:t>
      </w:r>
      <w:r>
        <w:rPr>
          <w:spacing w:val="-4"/>
          <w:sz w:val="24"/>
        </w:rPr>
        <w:t> </w:t>
      </w:r>
      <w:r>
        <w:rPr>
          <w:sz w:val="24"/>
        </w:rPr>
        <w:t>источникам:</w:t>
      </w:r>
      <w:r>
        <w:rPr>
          <w:spacing w:val="-4"/>
          <w:sz w:val="24"/>
        </w:rPr>
        <w:t> </w:t>
      </w:r>
      <w:r>
        <w:rPr>
          <w:sz w:val="24"/>
        </w:rPr>
        <w:t>монохроматические светодиоды, лазер и инфракрасный светодиод соответственно.</w:t>
      </w:r>
    </w:p>
    <w:p>
      <w:pPr>
        <w:pStyle w:val="BodyText"/>
        <w:spacing w:before="18"/>
        <w:jc w:val="left"/>
        <w:rPr>
          <w:sz w:val="24"/>
        </w:rPr>
      </w:pPr>
    </w:p>
    <w:p>
      <w:pPr>
        <w:pStyle w:val="BodyText"/>
        <w:spacing w:line="256" w:lineRule="auto"/>
        <w:ind w:left="144" w:right="421" w:firstLine="707"/>
      </w:pPr>
      <w:r>
        <w:rPr/>
        <w:t>Статистичекая обработка результатов проведена отдельно для двух примененных митотрекеров. Выбран тест Уилкоксона, так как он используется для парных зависимых наблюдений. Он проверяет, есть ли различие между медианами двух зависимых выборок. Тест Уилкоксона подходит для малого размера выборок.</w:t>
      </w:r>
    </w:p>
    <w:p>
      <w:pPr>
        <w:pStyle w:val="BodyText"/>
        <w:spacing w:line="256" w:lineRule="auto"/>
        <w:ind w:left="144" w:right="420" w:firstLine="707"/>
      </w:pPr>
      <w:r>
        <w:rPr/>
        <w:t>Статистической значимости между числом окрашенных митохондрий в опытах и контроле не обнаружено (тест Уилкоксона, W = 2, p=0,38 для MitoTracker Green</w:t>
      </w:r>
      <w:r>
        <w:rPr>
          <w:spacing w:val="21"/>
        </w:rPr>
        <w:t> </w:t>
      </w:r>
      <w:r>
        <w:rPr/>
        <w:t>FM;</w:t>
      </w:r>
      <w:r>
        <w:rPr>
          <w:spacing w:val="19"/>
        </w:rPr>
        <w:t> </w:t>
      </w:r>
      <w:r>
        <w:rPr/>
        <w:t>тест</w:t>
      </w:r>
      <w:r>
        <w:rPr>
          <w:spacing w:val="17"/>
        </w:rPr>
        <w:t> </w:t>
      </w:r>
      <w:r>
        <w:rPr/>
        <w:t>Уилкоксона,</w:t>
      </w:r>
      <w:r>
        <w:rPr>
          <w:spacing w:val="20"/>
        </w:rPr>
        <w:t> </w:t>
      </w:r>
      <w:r>
        <w:rPr/>
        <w:t>W</w:t>
      </w:r>
      <w:r>
        <w:rPr>
          <w:spacing w:val="19"/>
        </w:rPr>
        <w:t> </w:t>
      </w:r>
      <w:r>
        <w:rPr/>
        <w:t>=</w:t>
      </w:r>
      <w:r>
        <w:rPr>
          <w:spacing w:val="18"/>
        </w:rPr>
        <w:t> </w:t>
      </w:r>
      <w:r>
        <w:rPr/>
        <w:t>1,</w:t>
      </w:r>
      <w:r>
        <w:rPr>
          <w:spacing w:val="17"/>
        </w:rPr>
        <w:t> </w:t>
      </w:r>
      <w:r>
        <w:rPr/>
        <w:t>p=0,25</w:t>
      </w:r>
      <w:r>
        <w:rPr>
          <w:spacing w:val="19"/>
        </w:rPr>
        <w:t> </w:t>
      </w:r>
      <w:r>
        <w:rPr/>
        <w:t>для</w:t>
      </w:r>
      <w:r>
        <w:rPr>
          <w:spacing w:val="18"/>
        </w:rPr>
        <w:t> </w:t>
      </w:r>
      <w:r>
        <w:rPr/>
        <w:t>LumiTracker</w:t>
      </w:r>
      <w:r>
        <w:rPr>
          <w:spacing w:val="20"/>
        </w:rPr>
        <w:t> </w:t>
      </w:r>
      <w:r>
        <w:rPr/>
        <w:t>Mito</w:t>
      </w:r>
      <w:r>
        <w:rPr>
          <w:spacing w:val="21"/>
        </w:rPr>
        <w:t> </w:t>
      </w:r>
      <w:r>
        <w:rPr/>
        <w:t>Red</w:t>
      </w:r>
      <w:r>
        <w:rPr>
          <w:spacing w:val="19"/>
        </w:rPr>
        <w:t> </w:t>
      </w:r>
      <w:r>
        <w:rPr/>
        <w:t>CMXRos),</w:t>
      </w:r>
      <w:r>
        <w:rPr>
          <w:spacing w:val="18"/>
        </w:rPr>
        <w:t> </w:t>
      </w:r>
      <w:r>
        <w:rPr>
          <w:spacing w:val="-5"/>
        </w:rPr>
        <w:t>но</w:t>
      </w:r>
    </w:p>
    <w:p>
      <w:pPr>
        <w:pStyle w:val="BodyText"/>
        <w:spacing w:after="0" w:line="256" w:lineRule="auto"/>
        <w:sectPr>
          <w:pgSz w:w="11910" w:h="16840"/>
          <w:pgMar w:header="0" w:footer="990" w:top="340" w:bottom="1200" w:left="708" w:right="425"/>
        </w:sectPr>
      </w:pPr>
    </w:p>
    <w:p>
      <w:pPr>
        <w:pStyle w:val="BodyText"/>
        <w:spacing w:line="256" w:lineRule="auto" w:before="69"/>
        <w:ind w:left="143" w:right="419"/>
      </w:pPr>
      <w:r>
        <w:rPr/>
        <w:t>есть тренд по увеличению числа окрашенных митохондрий после облучения, который наблюдается как в варианте с MitoTracker Green FM так и с LumiTracker Mito Red CMXRos. Для развития тренда или его опровержения требуется</w:t>
      </w:r>
      <w:r>
        <w:rPr>
          <w:spacing w:val="40"/>
        </w:rPr>
        <w:t> </w:t>
      </w:r>
      <w:r>
        <w:rPr/>
        <w:t>увеличение числа повторов эксперимента, что пока трудно реализуется в условиях существующих методик.</w:t>
      </w:r>
    </w:p>
    <w:p>
      <w:pPr>
        <w:pStyle w:val="BodyText"/>
        <w:spacing w:line="256" w:lineRule="auto"/>
        <w:ind w:left="143" w:right="419" w:firstLine="708"/>
      </w:pPr>
      <w:r>
        <w:rPr/>
        <mc:AlternateContent>
          <mc:Choice Requires="wps">
            <w:drawing>
              <wp:anchor distT="0" distB="0" distL="0" distR="0" allowOverlap="1" layoutInCell="1" locked="0" behindDoc="1" simplePos="0" relativeHeight="481475072">
                <wp:simplePos x="0" y="0"/>
                <wp:positionH relativeFrom="page">
                  <wp:posOffset>927735</wp:posOffset>
                </wp:positionH>
                <wp:positionV relativeFrom="paragraph">
                  <wp:posOffset>863273</wp:posOffset>
                </wp:positionV>
                <wp:extent cx="5705475" cy="334327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5705475" cy="3343275"/>
                          <a:chExt cx="5705475" cy="3343275"/>
                        </a:xfrm>
                      </wpg:grpSpPr>
                      <wps:wsp>
                        <wps:cNvPr id="98" name="Graphic 98"/>
                        <wps:cNvSpPr/>
                        <wps:spPr>
                          <a:xfrm>
                            <a:off x="2007444" y="880465"/>
                            <a:ext cx="3554095" cy="734695"/>
                          </a:xfrm>
                          <a:custGeom>
                            <a:avLst/>
                            <a:gdLst/>
                            <a:ahLst/>
                            <a:cxnLst/>
                            <a:rect l="l" t="t" r="r" b="b"/>
                            <a:pathLst>
                              <a:path w="3554095" h="734695">
                                <a:moveTo>
                                  <a:pt x="3214160" y="734568"/>
                                </a:moveTo>
                                <a:lnTo>
                                  <a:pt x="3553574" y="734568"/>
                                </a:lnTo>
                              </a:path>
                              <a:path w="3554095" h="734695">
                                <a:moveTo>
                                  <a:pt x="2820968" y="734568"/>
                                </a:moveTo>
                                <a:lnTo>
                                  <a:pt x="2903264" y="734568"/>
                                </a:lnTo>
                              </a:path>
                              <a:path w="3554095" h="734695">
                                <a:moveTo>
                                  <a:pt x="1043984" y="734568"/>
                                </a:moveTo>
                                <a:lnTo>
                                  <a:pt x="1127804" y="734568"/>
                                </a:lnTo>
                              </a:path>
                              <a:path w="3554095" h="734695">
                                <a:moveTo>
                                  <a:pt x="2426252" y="734568"/>
                                </a:moveTo>
                                <a:lnTo>
                                  <a:pt x="2510072" y="734568"/>
                                </a:lnTo>
                              </a:path>
                              <a:path w="3554095" h="734695">
                                <a:moveTo>
                                  <a:pt x="1437176" y="734568"/>
                                </a:moveTo>
                                <a:lnTo>
                                  <a:pt x="2116880" y="734568"/>
                                </a:lnTo>
                              </a:path>
                              <a:path w="3554095" h="734695">
                                <a:moveTo>
                                  <a:pt x="0" y="734568"/>
                                </a:moveTo>
                                <a:lnTo>
                                  <a:pt x="339896" y="734568"/>
                                </a:lnTo>
                              </a:path>
                              <a:path w="3554095" h="734695">
                                <a:moveTo>
                                  <a:pt x="649268" y="734568"/>
                                </a:moveTo>
                                <a:lnTo>
                                  <a:pt x="733088" y="734568"/>
                                </a:lnTo>
                              </a:path>
                              <a:path w="3554095" h="734695">
                                <a:moveTo>
                                  <a:pt x="0" y="367284"/>
                                </a:moveTo>
                                <a:lnTo>
                                  <a:pt x="339896" y="367284"/>
                                </a:lnTo>
                              </a:path>
                              <a:path w="3554095" h="734695">
                                <a:moveTo>
                                  <a:pt x="649268" y="367284"/>
                                </a:moveTo>
                                <a:lnTo>
                                  <a:pt x="733088" y="367284"/>
                                </a:lnTo>
                              </a:path>
                              <a:path w="3554095" h="734695">
                                <a:moveTo>
                                  <a:pt x="1043984" y="367284"/>
                                </a:moveTo>
                                <a:lnTo>
                                  <a:pt x="2116880" y="367284"/>
                                </a:lnTo>
                              </a:path>
                              <a:path w="3554095" h="734695">
                                <a:moveTo>
                                  <a:pt x="2426252" y="367284"/>
                                </a:moveTo>
                                <a:lnTo>
                                  <a:pt x="3553574" y="367284"/>
                                </a:lnTo>
                              </a:path>
                              <a:path w="3554095" h="734695">
                                <a:moveTo>
                                  <a:pt x="0" y="0"/>
                                </a:moveTo>
                                <a:lnTo>
                                  <a:pt x="339896" y="0"/>
                                </a:lnTo>
                              </a:path>
                              <a:path w="3554095" h="734695">
                                <a:moveTo>
                                  <a:pt x="649268" y="0"/>
                                </a:moveTo>
                                <a:lnTo>
                                  <a:pt x="3553574" y="0"/>
                                </a:lnTo>
                              </a:path>
                            </a:pathLst>
                          </a:custGeom>
                          <a:ln w="9525">
                            <a:solidFill>
                              <a:srgbClr val="DADADA"/>
                            </a:solidFill>
                            <a:prstDash val="solid"/>
                          </a:ln>
                        </wps:spPr>
                        <wps:bodyPr wrap="square" lIns="0" tIns="0" rIns="0" bIns="0" rtlCol="0">
                          <a:prstTxWarp prst="textNoShape">
                            <a:avLst/>
                          </a:prstTxWarp>
                          <a:noAutofit/>
                        </wps:bodyPr>
                      </wps:wsp>
                      <wps:wsp>
                        <wps:cNvPr id="99" name="Graphic 99"/>
                        <wps:cNvSpPr/>
                        <wps:spPr>
                          <a:xfrm>
                            <a:off x="2007444" y="144462"/>
                            <a:ext cx="3554095" cy="367665"/>
                          </a:xfrm>
                          <a:custGeom>
                            <a:avLst/>
                            <a:gdLst/>
                            <a:ahLst/>
                            <a:cxnLst/>
                            <a:rect l="l" t="t" r="r" b="b"/>
                            <a:pathLst>
                              <a:path w="3554095" h="367665">
                                <a:moveTo>
                                  <a:pt x="0" y="367195"/>
                                </a:moveTo>
                                <a:lnTo>
                                  <a:pt x="3553574" y="367195"/>
                                </a:lnTo>
                              </a:path>
                              <a:path w="3554095" h="367665">
                                <a:moveTo>
                                  <a:pt x="0" y="0"/>
                                </a:moveTo>
                                <a:lnTo>
                                  <a:pt x="3553574" y="0"/>
                                </a:lnTo>
                              </a:path>
                            </a:pathLst>
                          </a:custGeom>
                          <a:ln w="9525">
                            <a:solidFill>
                              <a:srgbClr val="DADADA"/>
                            </a:solidFill>
                            <a:prstDash val="solid"/>
                          </a:ln>
                        </wps:spPr>
                        <wps:bodyPr wrap="square" lIns="0" tIns="0" rIns="0" bIns="0" rtlCol="0">
                          <a:prstTxWarp prst="textNoShape">
                            <a:avLst/>
                          </a:prstTxWarp>
                          <a:noAutofit/>
                        </wps:bodyPr>
                      </wps:wsp>
                      <wps:wsp>
                        <wps:cNvPr id="100" name="Graphic 100"/>
                        <wps:cNvSpPr/>
                        <wps:spPr>
                          <a:xfrm>
                            <a:off x="2347341" y="542137"/>
                            <a:ext cx="2086610" cy="1440815"/>
                          </a:xfrm>
                          <a:custGeom>
                            <a:avLst/>
                            <a:gdLst/>
                            <a:ahLst/>
                            <a:cxnLst/>
                            <a:rect l="l" t="t" r="r" b="b"/>
                            <a:pathLst>
                              <a:path w="2086610" h="1440815">
                                <a:moveTo>
                                  <a:pt x="309372" y="0"/>
                                </a:moveTo>
                                <a:lnTo>
                                  <a:pt x="0" y="0"/>
                                </a:lnTo>
                                <a:lnTo>
                                  <a:pt x="0" y="1440446"/>
                                </a:lnTo>
                                <a:lnTo>
                                  <a:pt x="309372" y="1440446"/>
                                </a:lnTo>
                                <a:lnTo>
                                  <a:pt x="309372" y="0"/>
                                </a:lnTo>
                                <a:close/>
                              </a:path>
                              <a:path w="2086610" h="1440815">
                                <a:moveTo>
                                  <a:pt x="2086356" y="588264"/>
                                </a:moveTo>
                                <a:lnTo>
                                  <a:pt x="1776984" y="588264"/>
                                </a:lnTo>
                                <a:lnTo>
                                  <a:pt x="1776984" y="1440434"/>
                                </a:lnTo>
                                <a:lnTo>
                                  <a:pt x="2086356" y="1440434"/>
                                </a:lnTo>
                                <a:lnTo>
                                  <a:pt x="2086356" y="588264"/>
                                </a:lnTo>
                                <a:close/>
                              </a:path>
                            </a:pathLst>
                          </a:custGeom>
                          <a:solidFill>
                            <a:srgbClr val="4F81BD"/>
                          </a:solidFill>
                        </wps:spPr>
                        <wps:bodyPr wrap="square" lIns="0" tIns="0" rIns="0" bIns="0" rtlCol="0">
                          <a:prstTxWarp prst="textNoShape">
                            <a:avLst/>
                          </a:prstTxWarp>
                          <a:noAutofit/>
                        </wps:bodyPr>
                      </wps:wsp>
                      <wps:wsp>
                        <wps:cNvPr id="101" name="Graphic 101"/>
                        <wps:cNvSpPr/>
                        <wps:spPr>
                          <a:xfrm>
                            <a:off x="2740533" y="1026769"/>
                            <a:ext cx="2087880" cy="956310"/>
                          </a:xfrm>
                          <a:custGeom>
                            <a:avLst/>
                            <a:gdLst/>
                            <a:ahLst/>
                            <a:cxnLst/>
                            <a:rect l="l" t="t" r="r" b="b"/>
                            <a:pathLst>
                              <a:path w="2087880" h="956310">
                                <a:moveTo>
                                  <a:pt x="310896" y="0"/>
                                </a:moveTo>
                                <a:lnTo>
                                  <a:pt x="0" y="0"/>
                                </a:lnTo>
                                <a:lnTo>
                                  <a:pt x="0" y="955802"/>
                                </a:lnTo>
                                <a:lnTo>
                                  <a:pt x="310896" y="955802"/>
                                </a:lnTo>
                                <a:lnTo>
                                  <a:pt x="310896" y="0"/>
                                </a:lnTo>
                                <a:close/>
                              </a:path>
                              <a:path w="2087880" h="956310">
                                <a:moveTo>
                                  <a:pt x="2087880" y="403860"/>
                                </a:moveTo>
                                <a:lnTo>
                                  <a:pt x="1776984" y="403860"/>
                                </a:lnTo>
                                <a:lnTo>
                                  <a:pt x="1776984" y="955802"/>
                                </a:lnTo>
                                <a:lnTo>
                                  <a:pt x="2087880" y="955802"/>
                                </a:lnTo>
                                <a:lnTo>
                                  <a:pt x="2087880" y="403860"/>
                                </a:lnTo>
                                <a:close/>
                              </a:path>
                            </a:pathLst>
                          </a:custGeom>
                          <a:solidFill>
                            <a:srgbClr val="C0504D"/>
                          </a:solidFill>
                        </wps:spPr>
                        <wps:bodyPr wrap="square" lIns="0" tIns="0" rIns="0" bIns="0" rtlCol="0">
                          <a:prstTxWarp prst="textNoShape">
                            <a:avLst/>
                          </a:prstTxWarp>
                          <a:noAutofit/>
                        </wps:bodyPr>
                      </wps:wsp>
                      <wps:wsp>
                        <wps:cNvPr id="102" name="Graphic 102"/>
                        <wps:cNvSpPr/>
                        <wps:spPr>
                          <a:xfrm>
                            <a:off x="3135249" y="1247749"/>
                            <a:ext cx="2086610" cy="735330"/>
                          </a:xfrm>
                          <a:custGeom>
                            <a:avLst/>
                            <a:gdLst/>
                            <a:ahLst/>
                            <a:cxnLst/>
                            <a:rect l="l" t="t" r="r" b="b"/>
                            <a:pathLst>
                              <a:path w="2086610" h="735330">
                                <a:moveTo>
                                  <a:pt x="309372" y="0"/>
                                </a:moveTo>
                                <a:lnTo>
                                  <a:pt x="0" y="0"/>
                                </a:lnTo>
                                <a:lnTo>
                                  <a:pt x="0" y="734834"/>
                                </a:lnTo>
                                <a:lnTo>
                                  <a:pt x="309372" y="734834"/>
                                </a:lnTo>
                                <a:lnTo>
                                  <a:pt x="309372" y="0"/>
                                </a:lnTo>
                                <a:close/>
                              </a:path>
                              <a:path w="2086610" h="735330">
                                <a:moveTo>
                                  <a:pt x="2086356" y="294132"/>
                                </a:moveTo>
                                <a:lnTo>
                                  <a:pt x="1775460" y="294132"/>
                                </a:lnTo>
                                <a:lnTo>
                                  <a:pt x="1775460" y="734822"/>
                                </a:lnTo>
                                <a:lnTo>
                                  <a:pt x="2086356" y="734822"/>
                                </a:lnTo>
                                <a:lnTo>
                                  <a:pt x="2086356" y="294132"/>
                                </a:lnTo>
                                <a:close/>
                              </a:path>
                            </a:pathLst>
                          </a:custGeom>
                          <a:solidFill>
                            <a:srgbClr val="9BBB59"/>
                          </a:solidFill>
                        </wps:spPr>
                        <wps:bodyPr wrap="square" lIns="0" tIns="0" rIns="0" bIns="0" rtlCol="0">
                          <a:prstTxWarp prst="textNoShape">
                            <a:avLst/>
                          </a:prstTxWarp>
                          <a:noAutofit/>
                        </wps:bodyPr>
                      </wps:wsp>
                      <wps:wsp>
                        <wps:cNvPr id="103" name="Graphic 103"/>
                        <wps:cNvSpPr/>
                        <wps:spPr>
                          <a:xfrm>
                            <a:off x="2007444" y="1982578"/>
                            <a:ext cx="3554095" cy="175895"/>
                          </a:xfrm>
                          <a:custGeom>
                            <a:avLst/>
                            <a:gdLst/>
                            <a:ahLst/>
                            <a:cxnLst/>
                            <a:rect l="l" t="t" r="r" b="b"/>
                            <a:pathLst>
                              <a:path w="3554095" h="175895">
                                <a:moveTo>
                                  <a:pt x="0" y="0"/>
                                </a:moveTo>
                                <a:lnTo>
                                  <a:pt x="3553574" y="0"/>
                                </a:lnTo>
                              </a:path>
                              <a:path w="3554095" h="175895">
                                <a:moveTo>
                                  <a:pt x="0" y="0"/>
                                </a:moveTo>
                                <a:lnTo>
                                  <a:pt x="3553574" y="0"/>
                                </a:lnTo>
                              </a:path>
                              <a:path w="3554095" h="175895">
                                <a:moveTo>
                                  <a:pt x="0" y="0"/>
                                </a:moveTo>
                                <a:lnTo>
                                  <a:pt x="0" y="175793"/>
                                </a:lnTo>
                              </a:path>
                              <a:path w="3554095" h="175895">
                                <a:moveTo>
                                  <a:pt x="3553574" y="0"/>
                                </a:moveTo>
                                <a:lnTo>
                                  <a:pt x="3553574" y="175793"/>
                                </a:lnTo>
                              </a:path>
                            </a:pathLst>
                          </a:custGeom>
                          <a:ln w="9525">
                            <a:solidFill>
                              <a:srgbClr val="DADADA"/>
                            </a:solidFill>
                            <a:prstDash val="solid"/>
                          </a:ln>
                        </wps:spPr>
                        <wps:bodyPr wrap="square" lIns="0" tIns="0" rIns="0" bIns="0" rtlCol="0">
                          <a:prstTxWarp prst="textNoShape">
                            <a:avLst/>
                          </a:prstTxWarp>
                          <a:noAutofit/>
                        </wps:bodyPr>
                      </wps:wsp>
                      <wps:wsp>
                        <wps:cNvPr id="104" name="Graphic 104"/>
                        <wps:cNvSpPr/>
                        <wps:spPr>
                          <a:xfrm>
                            <a:off x="220662" y="2158366"/>
                            <a:ext cx="5340350" cy="182880"/>
                          </a:xfrm>
                          <a:custGeom>
                            <a:avLst/>
                            <a:gdLst/>
                            <a:ahLst/>
                            <a:cxnLst/>
                            <a:rect l="l" t="t" r="r" b="b"/>
                            <a:pathLst>
                              <a:path w="5340350" h="182880">
                                <a:moveTo>
                                  <a:pt x="0" y="0"/>
                                </a:moveTo>
                                <a:lnTo>
                                  <a:pt x="5340350" y="0"/>
                                </a:lnTo>
                              </a:path>
                              <a:path w="5340350" h="182880">
                                <a:moveTo>
                                  <a:pt x="0" y="0"/>
                                </a:moveTo>
                                <a:lnTo>
                                  <a:pt x="0" y="182372"/>
                                </a:lnTo>
                              </a:path>
                              <a:path w="5340350" h="182880">
                                <a:moveTo>
                                  <a:pt x="1786826" y="0"/>
                                </a:moveTo>
                                <a:lnTo>
                                  <a:pt x="1786826" y="182372"/>
                                </a:lnTo>
                              </a:path>
                              <a:path w="5340350" h="182880">
                                <a:moveTo>
                                  <a:pt x="1786826" y="0"/>
                                </a:moveTo>
                                <a:lnTo>
                                  <a:pt x="1786826" y="182372"/>
                                </a:lnTo>
                              </a:path>
                              <a:path w="5340350" h="182880">
                                <a:moveTo>
                                  <a:pt x="5340350" y="0"/>
                                </a:moveTo>
                                <a:lnTo>
                                  <a:pt x="5340350" y="182372"/>
                                </a:lnTo>
                              </a:path>
                              <a:path w="5340350" h="182880">
                                <a:moveTo>
                                  <a:pt x="5340350" y="0"/>
                                </a:moveTo>
                                <a:lnTo>
                                  <a:pt x="5340350" y="182372"/>
                                </a:lnTo>
                              </a:path>
                            </a:pathLst>
                          </a:custGeom>
                          <a:ln w="9525">
                            <a:solidFill>
                              <a:srgbClr val="DADADA"/>
                            </a:solidFill>
                            <a:prstDash val="solid"/>
                          </a:ln>
                        </wps:spPr>
                        <wps:bodyPr wrap="square" lIns="0" tIns="0" rIns="0" bIns="0" rtlCol="0">
                          <a:prstTxWarp prst="textNoShape">
                            <a:avLst/>
                          </a:prstTxWarp>
                          <a:noAutofit/>
                        </wps:bodyPr>
                      </wps:wsp>
                      <wps:wsp>
                        <wps:cNvPr id="105" name="Graphic 105"/>
                        <wps:cNvSpPr/>
                        <wps:spPr>
                          <a:xfrm>
                            <a:off x="261581" y="221508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06" name="Graphic 106"/>
                        <wps:cNvSpPr/>
                        <wps:spPr>
                          <a:xfrm>
                            <a:off x="220662" y="2340738"/>
                            <a:ext cx="5340350" cy="321945"/>
                          </a:xfrm>
                          <a:custGeom>
                            <a:avLst/>
                            <a:gdLst/>
                            <a:ahLst/>
                            <a:cxnLst/>
                            <a:rect l="l" t="t" r="r" b="b"/>
                            <a:pathLst>
                              <a:path w="5340350" h="321945">
                                <a:moveTo>
                                  <a:pt x="0" y="0"/>
                                </a:moveTo>
                                <a:lnTo>
                                  <a:pt x="5340350" y="0"/>
                                </a:lnTo>
                              </a:path>
                              <a:path w="5340350" h="321945">
                                <a:moveTo>
                                  <a:pt x="0" y="0"/>
                                </a:moveTo>
                                <a:lnTo>
                                  <a:pt x="0" y="321881"/>
                                </a:lnTo>
                              </a:path>
                              <a:path w="5340350" h="321945">
                                <a:moveTo>
                                  <a:pt x="1786826" y="0"/>
                                </a:moveTo>
                                <a:lnTo>
                                  <a:pt x="1786826" y="321881"/>
                                </a:lnTo>
                              </a:path>
                              <a:path w="5340350" h="321945">
                                <a:moveTo>
                                  <a:pt x="1786826" y="0"/>
                                </a:moveTo>
                                <a:lnTo>
                                  <a:pt x="1786826" y="321881"/>
                                </a:lnTo>
                              </a:path>
                              <a:path w="5340350" h="321945">
                                <a:moveTo>
                                  <a:pt x="5340350" y="0"/>
                                </a:moveTo>
                                <a:lnTo>
                                  <a:pt x="5340350" y="321881"/>
                                </a:lnTo>
                              </a:path>
                              <a:path w="5340350" h="321945">
                                <a:moveTo>
                                  <a:pt x="5340350" y="0"/>
                                </a:moveTo>
                                <a:lnTo>
                                  <a:pt x="5340350" y="321881"/>
                                </a:lnTo>
                              </a:path>
                            </a:pathLst>
                          </a:custGeom>
                          <a:ln w="9525">
                            <a:solidFill>
                              <a:srgbClr val="DADADA"/>
                            </a:solidFill>
                            <a:prstDash val="solid"/>
                          </a:ln>
                        </wps:spPr>
                        <wps:bodyPr wrap="square" lIns="0" tIns="0" rIns="0" bIns="0" rtlCol="0">
                          <a:prstTxWarp prst="textNoShape">
                            <a:avLst/>
                          </a:prstTxWarp>
                          <a:noAutofit/>
                        </wps:bodyPr>
                      </wps:wsp>
                      <wps:wsp>
                        <wps:cNvPr id="107" name="Graphic 107"/>
                        <wps:cNvSpPr/>
                        <wps:spPr>
                          <a:xfrm>
                            <a:off x="261581" y="2397455"/>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08" name="Graphic 108"/>
                        <wps:cNvSpPr/>
                        <wps:spPr>
                          <a:xfrm>
                            <a:off x="220662" y="2662617"/>
                            <a:ext cx="5340350" cy="321945"/>
                          </a:xfrm>
                          <a:custGeom>
                            <a:avLst/>
                            <a:gdLst/>
                            <a:ahLst/>
                            <a:cxnLst/>
                            <a:rect l="l" t="t" r="r" b="b"/>
                            <a:pathLst>
                              <a:path w="5340350" h="321945">
                                <a:moveTo>
                                  <a:pt x="0" y="0"/>
                                </a:moveTo>
                                <a:lnTo>
                                  <a:pt x="5340350" y="0"/>
                                </a:lnTo>
                              </a:path>
                              <a:path w="5340350" h="321945">
                                <a:moveTo>
                                  <a:pt x="0" y="0"/>
                                </a:moveTo>
                                <a:lnTo>
                                  <a:pt x="0" y="321881"/>
                                </a:lnTo>
                              </a:path>
                              <a:path w="5340350" h="321945">
                                <a:moveTo>
                                  <a:pt x="0" y="321881"/>
                                </a:moveTo>
                                <a:lnTo>
                                  <a:pt x="5340350" y="321881"/>
                                </a:lnTo>
                              </a:path>
                              <a:path w="5340350" h="321945">
                                <a:moveTo>
                                  <a:pt x="1786826" y="0"/>
                                </a:moveTo>
                                <a:lnTo>
                                  <a:pt x="1786826" y="321881"/>
                                </a:lnTo>
                              </a:path>
                              <a:path w="5340350" h="321945">
                                <a:moveTo>
                                  <a:pt x="1786826" y="0"/>
                                </a:moveTo>
                                <a:lnTo>
                                  <a:pt x="1786826" y="321881"/>
                                </a:lnTo>
                              </a:path>
                              <a:path w="5340350" h="321945">
                                <a:moveTo>
                                  <a:pt x="5340350" y="0"/>
                                </a:moveTo>
                                <a:lnTo>
                                  <a:pt x="5340350" y="321881"/>
                                </a:lnTo>
                              </a:path>
                              <a:path w="5340350" h="321945">
                                <a:moveTo>
                                  <a:pt x="5340350" y="0"/>
                                </a:moveTo>
                                <a:lnTo>
                                  <a:pt x="5340350" y="321881"/>
                                </a:lnTo>
                              </a:path>
                            </a:pathLst>
                          </a:custGeom>
                          <a:ln w="9525">
                            <a:solidFill>
                              <a:srgbClr val="DADADA"/>
                            </a:solidFill>
                            <a:prstDash val="solid"/>
                          </a:ln>
                        </wps:spPr>
                        <wps:bodyPr wrap="square" lIns="0" tIns="0" rIns="0" bIns="0" rtlCol="0">
                          <a:prstTxWarp prst="textNoShape">
                            <a:avLst/>
                          </a:prstTxWarp>
                          <a:noAutofit/>
                        </wps:bodyPr>
                      </wps:wsp>
                      <wps:wsp>
                        <wps:cNvPr id="109" name="Graphic 109"/>
                        <wps:cNvSpPr/>
                        <wps:spPr>
                          <a:xfrm>
                            <a:off x="261581" y="271933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10" name="Graphic 110"/>
                        <wps:cNvSpPr/>
                        <wps:spPr>
                          <a:xfrm>
                            <a:off x="427126" y="3123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11" name="Graphic 111"/>
                        <wps:cNvSpPr/>
                        <wps:spPr>
                          <a:xfrm>
                            <a:off x="1034580" y="3123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12" name="Graphic 112"/>
                        <wps:cNvSpPr/>
                        <wps:spPr>
                          <a:xfrm>
                            <a:off x="3056001" y="3123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13" name="Graphic 113"/>
                        <wps:cNvSpPr/>
                        <wps:spPr>
                          <a:xfrm>
                            <a:off x="4762" y="4762"/>
                            <a:ext cx="5695950" cy="3333750"/>
                          </a:xfrm>
                          <a:custGeom>
                            <a:avLst/>
                            <a:gdLst/>
                            <a:ahLst/>
                            <a:cxnLst/>
                            <a:rect l="l" t="t" r="r" b="b"/>
                            <a:pathLst>
                              <a:path w="5695950" h="3333750">
                                <a:moveTo>
                                  <a:pt x="0" y="0"/>
                                </a:moveTo>
                                <a:lnTo>
                                  <a:pt x="5695949" y="0"/>
                                </a:lnTo>
                                <a:lnTo>
                                  <a:pt x="5695949" y="3333750"/>
                                </a:lnTo>
                                <a:lnTo>
                                  <a:pt x="0" y="3333750"/>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114" name="Textbox 114"/>
                        <wps:cNvSpPr txBox="1"/>
                        <wps:spPr>
                          <a:xfrm>
                            <a:off x="1727447" y="91107"/>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250</w:t>
                              </w:r>
                            </w:p>
                          </w:txbxContent>
                        </wps:txbx>
                        <wps:bodyPr wrap="square" lIns="0" tIns="0" rIns="0" bIns="0" rtlCol="0">
                          <a:noAutofit/>
                        </wps:bodyPr>
                      </wps:wsp>
                      <wps:wsp>
                        <wps:cNvPr id="115" name="Textbox 115"/>
                        <wps:cNvSpPr txBox="1"/>
                        <wps:spPr>
                          <a:xfrm>
                            <a:off x="2415533" y="367370"/>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196</w:t>
                              </w:r>
                            </w:p>
                          </w:txbxContent>
                        </wps:txbx>
                        <wps:bodyPr wrap="square" lIns="0" tIns="0" rIns="0" bIns="0" rtlCol="0">
                          <a:noAutofit/>
                        </wps:bodyPr>
                      </wps:wsp>
                      <wps:wsp>
                        <wps:cNvPr id="116" name="Textbox 116"/>
                        <wps:cNvSpPr txBox="1"/>
                        <wps:spPr>
                          <a:xfrm>
                            <a:off x="1727447" y="458696"/>
                            <a:ext cx="186690" cy="481965"/>
                          </a:xfrm>
                          <a:prstGeom prst="rect">
                            <a:avLst/>
                          </a:prstGeom>
                        </wps:spPr>
                        <wps:txbx>
                          <w:txbxContent>
                            <w:p>
                              <w:pPr>
                                <w:spacing w:line="183" w:lineRule="exact" w:before="0"/>
                                <w:ind w:left="0" w:right="0" w:firstLine="0"/>
                                <w:jc w:val="left"/>
                                <w:rPr>
                                  <w:rFonts w:ascii="Calibri"/>
                                  <w:sz w:val="18"/>
                                </w:rPr>
                              </w:pPr>
                              <w:r>
                                <w:rPr>
                                  <w:rFonts w:ascii="Calibri"/>
                                  <w:color w:val="595958"/>
                                  <w:spacing w:val="-5"/>
                                  <w:sz w:val="18"/>
                                </w:rPr>
                                <w:t>200</w:t>
                              </w:r>
                            </w:p>
                            <w:p>
                              <w:pPr>
                                <w:spacing w:line="240" w:lineRule="auto" w:before="139"/>
                                <w:rPr>
                                  <w:rFonts w:ascii="Calibri"/>
                                  <w:sz w:val="18"/>
                                </w:rPr>
                              </w:pPr>
                            </w:p>
                            <w:p>
                              <w:pPr>
                                <w:spacing w:line="216" w:lineRule="exact" w:before="0"/>
                                <w:ind w:left="0" w:right="0" w:firstLine="0"/>
                                <w:jc w:val="left"/>
                                <w:rPr>
                                  <w:rFonts w:ascii="Calibri"/>
                                  <w:sz w:val="18"/>
                                </w:rPr>
                              </w:pPr>
                              <w:r>
                                <w:rPr>
                                  <w:rFonts w:ascii="Calibri"/>
                                  <w:color w:val="595958"/>
                                  <w:spacing w:val="-5"/>
                                  <w:sz w:val="18"/>
                                </w:rPr>
                                <w:t>150</w:t>
                              </w:r>
                            </w:p>
                          </w:txbxContent>
                        </wps:txbx>
                        <wps:bodyPr wrap="square" lIns="0" tIns="0" rIns="0" bIns="0" rtlCol="0">
                          <a:noAutofit/>
                        </wps:bodyPr>
                      </wps:wsp>
                      <wps:wsp>
                        <wps:cNvPr id="117" name="Textbox 117"/>
                        <wps:cNvSpPr txBox="1"/>
                        <wps:spPr>
                          <a:xfrm>
                            <a:off x="2809297" y="852573"/>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130</w:t>
                              </w:r>
                            </w:p>
                          </w:txbxContent>
                        </wps:txbx>
                        <wps:bodyPr wrap="square" lIns="0" tIns="0" rIns="0" bIns="0" rtlCol="0">
                          <a:noAutofit/>
                        </wps:bodyPr>
                      </wps:wsp>
                      <wps:wsp>
                        <wps:cNvPr id="118" name="Textbox 118"/>
                        <wps:cNvSpPr txBox="1"/>
                        <wps:spPr>
                          <a:xfrm>
                            <a:off x="4192327" y="955558"/>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116</w:t>
                              </w:r>
                            </w:p>
                          </w:txbxContent>
                        </wps:txbx>
                        <wps:bodyPr wrap="square" lIns="0" tIns="0" rIns="0" bIns="0" rtlCol="0">
                          <a:noAutofit/>
                        </wps:bodyPr>
                      </wps:wsp>
                      <wps:wsp>
                        <wps:cNvPr id="119" name="Textbox 119"/>
                        <wps:cNvSpPr txBox="1"/>
                        <wps:spPr>
                          <a:xfrm>
                            <a:off x="3203060" y="1073172"/>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100</w:t>
                              </w:r>
                            </w:p>
                          </w:txbxContent>
                        </wps:txbx>
                        <wps:bodyPr wrap="square" lIns="0" tIns="0" rIns="0" bIns="0" rtlCol="0">
                          <a:noAutofit/>
                        </wps:bodyPr>
                      </wps:wsp>
                      <wps:wsp>
                        <wps:cNvPr id="120" name="Textbox 120"/>
                        <wps:cNvSpPr txBox="1"/>
                        <wps:spPr>
                          <a:xfrm>
                            <a:off x="1727447" y="1193873"/>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100</w:t>
                              </w:r>
                            </w:p>
                          </w:txbxContent>
                        </wps:txbx>
                        <wps:bodyPr wrap="square" lIns="0" tIns="0" rIns="0" bIns="0" rtlCol="0">
                          <a:noAutofit/>
                        </wps:bodyPr>
                      </wps:wsp>
                      <wps:wsp>
                        <wps:cNvPr id="121" name="Textbox 121"/>
                        <wps:cNvSpPr txBox="1"/>
                        <wps:spPr>
                          <a:xfrm>
                            <a:off x="4615008" y="1256967"/>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75</w:t>
                              </w:r>
                            </w:p>
                          </w:txbxContent>
                        </wps:txbx>
                        <wps:bodyPr wrap="square" lIns="0" tIns="0" rIns="0" bIns="0" rtlCol="0">
                          <a:noAutofit/>
                        </wps:bodyPr>
                      </wps:wsp>
                      <wps:wsp>
                        <wps:cNvPr id="122" name="Textbox 122"/>
                        <wps:cNvSpPr txBox="1"/>
                        <wps:spPr>
                          <a:xfrm>
                            <a:off x="349904" y="1367266"/>
                            <a:ext cx="4988560" cy="1849120"/>
                          </a:xfrm>
                          <a:prstGeom prst="rect">
                            <a:avLst/>
                          </a:prstGeom>
                        </wps:spPr>
                        <wps:txbx>
                          <w:txbxContent>
                            <w:p>
                              <w:pPr>
                                <w:spacing w:line="183" w:lineRule="exact" w:before="0"/>
                                <w:ind w:left="7336" w:right="0" w:firstLine="0"/>
                                <w:jc w:val="left"/>
                                <w:rPr>
                                  <w:rFonts w:ascii="Calibri"/>
                                  <w:sz w:val="18"/>
                                </w:rPr>
                              </w:pPr>
                              <w:r>
                                <w:rPr>
                                  <w:rFonts w:ascii="Calibri"/>
                                  <w:color w:val="3E3E3E"/>
                                  <w:spacing w:val="-5"/>
                                  <w:sz w:val="18"/>
                                </w:rPr>
                                <w:t>60</w:t>
                              </w:r>
                            </w:p>
                            <w:p>
                              <w:pPr>
                                <w:spacing w:before="86"/>
                                <w:ind w:left="2260" w:right="0" w:firstLine="0"/>
                                <w:jc w:val="left"/>
                                <w:rPr>
                                  <w:rFonts w:ascii="Calibri"/>
                                  <w:sz w:val="18"/>
                                </w:rPr>
                              </w:pPr>
                              <w:r>
                                <w:rPr>
                                  <w:rFonts w:ascii="Calibri"/>
                                  <w:color w:val="595958"/>
                                  <w:spacing w:val="-5"/>
                                  <w:sz w:val="18"/>
                                </w:rPr>
                                <w:t>50</w:t>
                              </w:r>
                            </w:p>
                            <w:p>
                              <w:pPr>
                                <w:spacing w:line="240" w:lineRule="auto" w:before="139"/>
                                <w:rPr>
                                  <w:rFonts w:ascii="Calibri"/>
                                  <w:sz w:val="18"/>
                                </w:rPr>
                              </w:pPr>
                            </w:p>
                            <w:p>
                              <w:pPr>
                                <w:spacing w:before="0"/>
                                <w:ind w:left="2351" w:right="0" w:firstLine="0"/>
                                <w:jc w:val="left"/>
                                <w:rPr>
                                  <w:rFonts w:ascii="Calibri"/>
                                  <w:sz w:val="18"/>
                                </w:rPr>
                              </w:pPr>
                              <w:r>
                                <w:rPr>
                                  <w:rFonts w:ascii="Calibri"/>
                                  <w:color w:val="595958"/>
                                  <w:spacing w:val="-10"/>
                                  <w:sz w:val="18"/>
                                </w:rPr>
                                <w:t>0</w:t>
                              </w:r>
                            </w:p>
                            <w:p>
                              <w:pPr>
                                <w:spacing w:before="196"/>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7"/>
                                <w:ind w:left="1161" w:right="5164" w:hanging="1157"/>
                                <w:jc w:val="left"/>
                                <w:rPr>
                                  <w:rFonts w:ascii="Calibri" w:hAnsi="Calibri"/>
                                  <w:sz w:val="18"/>
                                </w:rPr>
                              </w:pPr>
                              <w:r>
                                <w:rPr>
                                  <w:rFonts w:ascii="Calibri" w:hAnsi="Calibri"/>
                                  <w:color w:val="595958"/>
                                  <w:sz w:val="18"/>
                                </w:rPr>
                                <w:t>N</w:t>
                              </w:r>
                              <w:r>
                                <w:rPr>
                                  <w:rFonts w:ascii="Calibri" w:hAnsi="Calibri"/>
                                  <w:color w:val="595958"/>
                                  <w:spacing w:val="-11"/>
                                  <w:sz w:val="18"/>
                                </w:rPr>
                                <w:t> </w:t>
                              </w:r>
                              <w:r>
                                <w:rPr>
                                  <w:rFonts w:ascii="Calibri" w:hAnsi="Calibri"/>
                                  <w:color w:val="595958"/>
                                  <w:sz w:val="18"/>
                                </w:rPr>
                                <w:t>окрашенных</w:t>
                              </w:r>
                              <w:r>
                                <w:rPr>
                                  <w:rFonts w:ascii="Calibri" w:hAnsi="Calibri"/>
                                  <w:color w:val="595958"/>
                                  <w:spacing w:val="-10"/>
                                  <w:sz w:val="18"/>
                                </w:rPr>
                                <w:t> </w:t>
                              </w:r>
                              <w:r>
                                <w:rPr>
                                  <w:rFonts w:ascii="Calibri" w:hAnsi="Calibri"/>
                                  <w:color w:val="595958"/>
                                  <w:sz w:val="18"/>
                                </w:rPr>
                                <w:t>MitoTracker</w:t>
                              </w:r>
                              <w:r>
                                <w:rPr>
                                  <w:rFonts w:ascii="Calibri" w:hAnsi="Calibri"/>
                                  <w:color w:val="595958"/>
                                  <w:spacing w:val="-10"/>
                                  <w:sz w:val="18"/>
                                </w:rPr>
                                <w:t> </w:t>
                              </w:r>
                              <w:r>
                                <w:rPr>
                                  <w:rFonts w:ascii="Calibri" w:hAnsi="Calibri"/>
                                  <w:color w:val="595958"/>
                                  <w:sz w:val="18"/>
                                </w:rPr>
                                <w:t>Green </w:t>
                              </w:r>
                              <w:r>
                                <w:rPr>
                                  <w:rFonts w:ascii="Calibri" w:hAnsi="Calibri"/>
                                  <w:color w:val="595958"/>
                                  <w:spacing w:val="-6"/>
                                  <w:sz w:val="18"/>
                                </w:rPr>
                                <w:t>FM</w:t>
                              </w:r>
                            </w:p>
                            <w:p>
                              <w:pPr>
                                <w:spacing w:before="68"/>
                                <w:ind w:left="768" w:right="5164" w:hanging="769"/>
                                <w:jc w:val="left"/>
                                <w:rPr>
                                  <w:rFonts w:ascii="Calibri" w:hAnsi="Calibri"/>
                                  <w:sz w:val="18"/>
                                </w:rPr>
                              </w:pPr>
                              <w:r>
                                <w:rPr>
                                  <w:rFonts w:ascii="Calibri" w:hAnsi="Calibri"/>
                                  <w:color w:val="595958"/>
                                  <w:sz w:val="18"/>
                                </w:rPr>
                                <w:t>N</w:t>
                              </w:r>
                              <w:r>
                                <w:rPr>
                                  <w:rFonts w:ascii="Calibri" w:hAnsi="Calibri"/>
                                  <w:color w:val="595958"/>
                                  <w:spacing w:val="-11"/>
                                  <w:sz w:val="18"/>
                                </w:rPr>
                                <w:t> </w:t>
                              </w:r>
                              <w:r>
                                <w:rPr>
                                  <w:rFonts w:ascii="Calibri" w:hAnsi="Calibri"/>
                                  <w:color w:val="595958"/>
                                  <w:sz w:val="18"/>
                                </w:rPr>
                                <w:t>окрашенных</w:t>
                              </w:r>
                              <w:r>
                                <w:rPr>
                                  <w:rFonts w:ascii="Calibri" w:hAnsi="Calibri"/>
                                  <w:color w:val="595958"/>
                                  <w:spacing w:val="-10"/>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 Red</w:t>
                              </w:r>
                              <w:r>
                                <w:rPr>
                                  <w:rFonts w:ascii="Calibri" w:hAnsi="Calibri"/>
                                  <w:color w:val="595958"/>
                                  <w:spacing w:val="-2"/>
                                  <w:sz w:val="18"/>
                                </w:rPr>
                                <w:t> </w:t>
                              </w:r>
                              <w:r>
                                <w:rPr>
                                  <w:rFonts w:ascii="Calibri" w:hAnsi="Calibri"/>
                                  <w:color w:val="595958"/>
                                  <w:sz w:val="18"/>
                                </w:rPr>
                                <w:t>CMXRos</w:t>
                              </w:r>
                            </w:p>
                            <w:p>
                              <w:pPr>
                                <w:tabs>
                                  <w:tab w:pos="1218" w:val="left" w:leader="none"/>
                                  <w:tab w:pos="4402" w:val="left" w:leader="none"/>
                                </w:tabs>
                                <w:spacing w:line="216" w:lineRule="exact" w:before="197"/>
                                <w:ind w:left="262"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r>
                                <w:rPr>
                                  <w:rFonts w:ascii="Calibri" w:hAnsi="Calibri"/>
                                  <w:color w:val="595958"/>
                                  <w:sz w:val="18"/>
                                </w:rPr>
                                <w:tab/>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r>
                                <w:rPr>
                                  <w:rFonts w:ascii="Calibri" w:hAnsi="Calibri"/>
                                  <w:color w:val="595958"/>
                                  <w:sz w:val="18"/>
                                </w:rPr>
                                <w:tab/>
                                <w:t>N</w:t>
                              </w:r>
                              <w:r>
                                <w:rPr>
                                  <w:rFonts w:ascii="Calibri" w:hAnsi="Calibri"/>
                                  <w:color w:val="595958"/>
                                  <w:spacing w:val="-5"/>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LumiTracker</w:t>
                              </w:r>
                              <w:r>
                                <w:rPr>
                                  <w:rFonts w:ascii="Calibri" w:hAnsi="Calibri"/>
                                  <w:color w:val="595958"/>
                                  <w:spacing w:val="-2"/>
                                  <w:sz w:val="18"/>
                                </w:rPr>
                                <w:t> </w:t>
                              </w:r>
                              <w:r>
                                <w:rPr>
                                  <w:rFonts w:ascii="Calibri" w:hAnsi="Calibri"/>
                                  <w:color w:val="595958"/>
                                  <w:sz w:val="18"/>
                                </w:rPr>
                                <w:t>Mito</w:t>
                              </w:r>
                              <w:r>
                                <w:rPr>
                                  <w:rFonts w:ascii="Calibri" w:hAnsi="Calibri"/>
                                  <w:color w:val="595958"/>
                                  <w:spacing w:val="-2"/>
                                  <w:sz w:val="18"/>
                                </w:rPr>
                                <w:t> </w:t>
                              </w:r>
                              <w:r>
                                <w:rPr>
                                  <w:rFonts w:ascii="Calibri" w:hAnsi="Calibri"/>
                                  <w:color w:val="595958"/>
                                  <w:sz w:val="18"/>
                                </w:rPr>
                                <w:t>Red</w:t>
                              </w:r>
                              <w:r>
                                <w:rPr>
                                  <w:rFonts w:ascii="Calibri" w:hAnsi="Calibri"/>
                                  <w:color w:val="595958"/>
                                  <w:spacing w:val="-2"/>
                                  <w:sz w:val="18"/>
                                </w:rPr>
                                <w:t> CMXRos</w:t>
                              </w:r>
                            </w:p>
                          </w:txbxContent>
                        </wps:txbx>
                        <wps:bodyPr wrap="square" lIns="0" tIns="0" rIns="0" bIns="0" rtlCol="0">
                          <a:noAutofit/>
                        </wps:bodyPr>
                      </wps:wsp>
                    </wpg:wgp>
                  </a:graphicData>
                </a:graphic>
              </wp:anchor>
            </w:drawing>
          </mc:Choice>
          <mc:Fallback>
            <w:pict>
              <v:group style="position:absolute;margin-left:73.050003pt;margin-top:67.974312pt;width:449.25pt;height:263.25pt;mso-position-horizontal-relative:page;mso-position-vertical-relative:paragraph;z-index:-21841408" id="docshapegroup50" coordorigin="1461,1359" coordsize="8985,5265">
                <v:shape style="position:absolute;left:4622;top:2746;width:5597;height:1157" id="docshape51" coordorigin="4622,2746" coordsize="5597,1157" path="m9684,3903l10219,3903m9065,3903l9194,3903m6266,3903l6398,3903m8443,3903l8575,3903m6886,3903l7956,3903m4622,3903l5158,3903m5645,3903l5777,3903m4622,3324l5158,3324m5645,3324l5777,3324m6266,3324l7956,3324m8443,3324l10219,3324m4622,2746l5158,2746m5645,2746l10219,2746e" filled="false" stroked="true" strokeweight=".75pt" strokecolor="#dadada">
                  <v:path arrowok="t"/>
                  <v:stroke dashstyle="solid"/>
                </v:shape>
                <v:shape style="position:absolute;left:4622;top:1586;width:5597;height:579" id="docshape52" coordorigin="4622,1587" coordsize="5597,579" path="m4622,2165l10219,2165m4622,1587l10219,1587e" filled="false" stroked="true" strokeweight=".75pt" strokecolor="#dadada">
                  <v:path arrowok="t"/>
                  <v:stroke dashstyle="solid"/>
                </v:shape>
                <v:shape style="position:absolute;left:5157;top:2213;width:3286;height:2269" id="docshape53" coordorigin="5158,2213" coordsize="3286,2269" path="m5645,2213l5158,2213,5158,4482,5645,4482,5645,2213xm8443,3140l7956,3140,7956,4482,8443,4482,8443,3140xe" filled="true" fillcolor="#4f81bd" stroked="false">
                  <v:path arrowok="t"/>
                  <v:fill type="solid"/>
                </v:shape>
                <v:shape style="position:absolute;left:5776;top:2976;width:3288;height:1506" id="docshape54" coordorigin="5777,2976" coordsize="3288,1506" path="m6266,2976l5777,2976,5777,4482,6266,4482,6266,2976xm9065,3612l8575,3612,8575,4482,9065,4482,9065,3612xe" filled="true" fillcolor="#c0504d" stroked="false">
                  <v:path arrowok="t"/>
                  <v:fill type="solid"/>
                </v:shape>
                <v:shape style="position:absolute;left:6398;top:3324;width:3286;height:1158" id="docshape55" coordorigin="6398,3324" coordsize="3286,1158" path="m6886,3324l6398,3324,6398,4482,6886,4482,6886,3324xm9684,3788l9194,3788,9194,4482,9684,4482,9684,3788xe" filled="true" fillcolor="#9bbb59" stroked="false">
                  <v:path arrowok="t"/>
                  <v:fill type="solid"/>
                </v:shape>
                <v:shape style="position:absolute;left:4622;top:4481;width:5597;height:277" id="docshape56" coordorigin="4622,4482" coordsize="5597,277" path="m4622,4482l10219,4482m4622,4482l10219,4482m4622,4482l4622,4758m10219,4482l10219,4758e" filled="false" stroked="true" strokeweight=".75pt" strokecolor="#dadada">
                  <v:path arrowok="t"/>
                  <v:stroke dashstyle="solid"/>
                </v:shape>
                <v:shape style="position:absolute;left:1808;top:4758;width:8410;height:288" id="docshape57" coordorigin="1809,4758" coordsize="8410,288" path="m1809,4758l10219,4758m1809,4758l1809,5046m4622,4758l4622,5046m4622,4758l4622,5046m10219,4758l10219,5046m10219,4758l10219,5046e" filled="false" stroked="true" strokeweight=".75pt" strokecolor="#dadada">
                  <v:path arrowok="t"/>
                  <v:stroke dashstyle="solid"/>
                </v:shape>
                <v:rect style="position:absolute;left:1872;top:4847;width:99;height:99" id="docshape58" filled="true" fillcolor="#4f81bd" stroked="false">
                  <v:fill type="solid"/>
                </v:rect>
                <v:shape style="position:absolute;left:1808;top:5045;width:8410;height:507" id="docshape59" coordorigin="1809,5046" coordsize="8410,507" path="m1809,5046l10219,5046m1809,5046l1809,5553m4622,5046l4622,5553m4622,5046l4622,5553m10219,5046l10219,5553m10219,5046l10219,5553e" filled="false" stroked="true" strokeweight=".75pt" strokecolor="#dadada">
                  <v:path arrowok="t"/>
                  <v:stroke dashstyle="solid"/>
                </v:shape>
                <v:rect style="position:absolute;left:1872;top:5135;width:99;height:99" id="docshape60" filled="true" fillcolor="#c0504d" stroked="false">
                  <v:fill type="solid"/>
                </v:rect>
                <v:shape style="position:absolute;left:1808;top:5552;width:8410;height:507" id="docshape61" coordorigin="1809,5553" coordsize="8410,507" path="m1809,5553l10219,5553m1809,5553l1809,6059m1809,6059l10219,6059m4622,5553l4622,6059m4622,5553l4622,6059m10219,5553l10219,6059m10219,5553l10219,6059e" filled="false" stroked="true" strokeweight=".75pt" strokecolor="#dadada">
                  <v:path arrowok="t"/>
                  <v:stroke dashstyle="solid"/>
                </v:shape>
                <v:rect style="position:absolute;left:1872;top:5641;width:99;height:99" id="docshape62" filled="true" fillcolor="#9bbb59" stroked="false">
                  <v:fill type="solid"/>
                </v:rect>
                <v:rect style="position:absolute;left:2133;top:6278;width:99;height:99" id="docshape63" filled="true" fillcolor="#4f81bd" stroked="false">
                  <v:fill type="solid"/>
                </v:rect>
                <v:rect style="position:absolute;left:3090;top:6278;width:99;height:99" id="docshape64" filled="true" fillcolor="#c0504d" stroked="false">
                  <v:fill type="solid"/>
                </v:rect>
                <v:rect style="position:absolute;left:6273;top:6278;width:99;height:99" id="docshape65" filled="true" fillcolor="#9bbb59" stroked="false">
                  <v:fill type="solid"/>
                </v:rect>
                <v:rect style="position:absolute;left:1468;top:1366;width:8970;height:5250" id="docshape66" filled="false" stroked="true" strokeweight=".75pt" strokecolor="#dadada">
                  <v:stroke dashstyle="solid"/>
                </v:rect>
                <v:shape style="position:absolute;left:4181;top:1502;width:294;height:180" type="#_x0000_t202" id="docshape67"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250</w:t>
                        </w:r>
                      </w:p>
                    </w:txbxContent>
                  </v:textbox>
                  <w10:wrap type="none"/>
                </v:shape>
                <v:shape style="position:absolute;left:5264;top:1938;width:294;height:180" type="#_x0000_t202" id="docshape68"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196</w:t>
                        </w:r>
                      </w:p>
                    </w:txbxContent>
                  </v:textbox>
                  <w10:wrap type="none"/>
                </v:shape>
                <v:shape style="position:absolute;left:4181;top:2081;width:294;height:759" type="#_x0000_t202" id="docshape69" filled="false" stroked="false">
                  <v:textbox inset="0,0,0,0">
                    <w:txbxContent>
                      <w:p>
                        <w:pPr>
                          <w:spacing w:line="183" w:lineRule="exact" w:before="0"/>
                          <w:ind w:left="0" w:right="0" w:firstLine="0"/>
                          <w:jc w:val="left"/>
                          <w:rPr>
                            <w:rFonts w:ascii="Calibri"/>
                            <w:sz w:val="18"/>
                          </w:rPr>
                        </w:pPr>
                        <w:r>
                          <w:rPr>
                            <w:rFonts w:ascii="Calibri"/>
                            <w:color w:val="595958"/>
                            <w:spacing w:val="-5"/>
                            <w:sz w:val="18"/>
                          </w:rPr>
                          <w:t>200</w:t>
                        </w:r>
                      </w:p>
                      <w:p>
                        <w:pPr>
                          <w:spacing w:line="240" w:lineRule="auto" w:before="139"/>
                          <w:rPr>
                            <w:rFonts w:ascii="Calibri"/>
                            <w:sz w:val="18"/>
                          </w:rPr>
                        </w:pPr>
                      </w:p>
                      <w:p>
                        <w:pPr>
                          <w:spacing w:line="216" w:lineRule="exact" w:before="0"/>
                          <w:ind w:left="0" w:right="0" w:firstLine="0"/>
                          <w:jc w:val="left"/>
                          <w:rPr>
                            <w:rFonts w:ascii="Calibri"/>
                            <w:sz w:val="18"/>
                          </w:rPr>
                        </w:pPr>
                        <w:r>
                          <w:rPr>
                            <w:rFonts w:ascii="Calibri"/>
                            <w:color w:val="595958"/>
                            <w:spacing w:val="-5"/>
                            <w:sz w:val="18"/>
                          </w:rPr>
                          <w:t>150</w:t>
                        </w:r>
                      </w:p>
                    </w:txbxContent>
                  </v:textbox>
                  <w10:wrap type="none"/>
                </v:shape>
                <v:shape style="position:absolute;left:5885;top:2702;width:294;height:180" type="#_x0000_t202" id="docshape70"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130</w:t>
                        </w:r>
                      </w:p>
                    </w:txbxContent>
                  </v:textbox>
                  <w10:wrap type="none"/>
                </v:shape>
                <v:shape style="position:absolute;left:8063;top:2864;width:294;height:180" type="#_x0000_t202" id="docshape71"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116</w:t>
                        </w:r>
                      </w:p>
                    </w:txbxContent>
                  </v:textbox>
                  <w10:wrap type="none"/>
                </v:shape>
                <v:shape style="position:absolute;left:6505;top:3049;width:294;height:180" type="#_x0000_t202" id="docshape72"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100</w:t>
                        </w:r>
                      </w:p>
                    </w:txbxContent>
                  </v:textbox>
                  <w10:wrap type="none"/>
                </v:shape>
                <v:shape style="position:absolute;left:4181;top:3239;width:294;height:180" type="#_x0000_t202" id="docshape73"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100</w:t>
                        </w:r>
                      </w:p>
                    </w:txbxContent>
                  </v:textbox>
                  <w10:wrap type="none"/>
                </v:shape>
                <v:shape style="position:absolute;left:8728;top:3338;width:203;height:180" type="#_x0000_t202" id="docshape74"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75</w:t>
                        </w:r>
                      </w:p>
                    </w:txbxContent>
                  </v:textbox>
                  <w10:wrap type="none"/>
                </v:shape>
                <v:shape style="position:absolute;left:2012;top:3512;width:7856;height:2912" type="#_x0000_t202" id="docshape75" filled="false" stroked="false">
                  <v:textbox inset="0,0,0,0">
                    <w:txbxContent>
                      <w:p>
                        <w:pPr>
                          <w:spacing w:line="183" w:lineRule="exact" w:before="0"/>
                          <w:ind w:left="7336" w:right="0" w:firstLine="0"/>
                          <w:jc w:val="left"/>
                          <w:rPr>
                            <w:rFonts w:ascii="Calibri"/>
                            <w:sz w:val="18"/>
                          </w:rPr>
                        </w:pPr>
                        <w:r>
                          <w:rPr>
                            <w:rFonts w:ascii="Calibri"/>
                            <w:color w:val="3E3E3E"/>
                            <w:spacing w:val="-5"/>
                            <w:sz w:val="18"/>
                          </w:rPr>
                          <w:t>60</w:t>
                        </w:r>
                      </w:p>
                      <w:p>
                        <w:pPr>
                          <w:spacing w:before="86"/>
                          <w:ind w:left="2260" w:right="0" w:firstLine="0"/>
                          <w:jc w:val="left"/>
                          <w:rPr>
                            <w:rFonts w:ascii="Calibri"/>
                            <w:sz w:val="18"/>
                          </w:rPr>
                        </w:pPr>
                        <w:r>
                          <w:rPr>
                            <w:rFonts w:ascii="Calibri"/>
                            <w:color w:val="595958"/>
                            <w:spacing w:val="-5"/>
                            <w:sz w:val="18"/>
                          </w:rPr>
                          <w:t>50</w:t>
                        </w:r>
                      </w:p>
                      <w:p>
                        <w:pPr>
                          <w:spacing w:line="240" w:lineRule="auto" w:before="139"/>
                          <w:rPr>
                            <w:rFonts w:ascii="Calibri"/>
                            <w:sz w:val="18"/>
                          </w:rPr>
                        </w:pPr>
                      </w:p>
                      <w:p>
                        <w:pPr>
                          <w:spacing w:before="0"/>
                          <w:ind w:left="2351" w:right="0" w:firstLine="0"/>
                          <w:jc w:val="left"/>
                          <w:rPr>
                            <w:rFonts w:ascii="Calibri"/>
                            <w:sz w:val="18"/>
                          </w:rPr>
                        </w:pPr>
                        <w:r>
                          <w:rPr>
                            <w:rFonts w:ascii="Calibri"/>
                            <w:color w:val="595958"/>
                            <w:spacing w:val="-10"/>
                            <w:sz w:val="18"/>
                          </w:rPr>
                          <w:t>0</w:t>
                        </w:r>
                      </w:p>
                      <w:p>
                        <w:pPr>
                          <w:spacing w:before="196"/>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7"/>
                          <w:ind w:left="1161" w:right="5164" w:hanging="1157"/>
                          <w:jc w:val="left"/>
                          <w:rPr>
                            <w:rFonts w:ascii="Calibri" w:hAnsi="Calibri"/>
                            <w:sz w:val="18"/>
                          </w:rPr>
                        </w:pPr>
                        <w:r>
                          <w:rPr>
                            <w:rFonts w:ascii="Calibri" w:hAnsi="Calibri"/>
                            <w:color w:val="595958"/>
                            <w:sz w:val="18"/>
                          </w:rPr>
                          <w:t>N</w:t>
                        </w:r>
                        <w:r>
                          <w:rPr>
                            <w:rFonts w:ascii="Calibri" w:hAnsi="Calibri"/>
                            <w:color w:val="595958"/>
                            <w:spacing w:val="-11"/>
                            <w:sz w:val="18"/>
                          </w:rPr>
                          <w:t> </w:t>
                        </w:r>
                        <w:r>
                          <w:rPr>
                            <w:rFonts w:ascii="Calibri" w:hAnsi="Calibri"/>
                            <w:color w:val="595958"/>
                            <w:sz w:val="18"/>
                          </w:rPr>
                          <w:t>окрашенных</w:t>
                        </w:r>
                        <w:r>
                          <w:rPr>
                            <w:rFonts w:ascii="Calibri" w:hAnsi="Calibri"/>
                            <w:color w:val="595958"/>
                            <w:spacing w:val="-10"/>
                            <w:sz w:val="18"/>
                          </w:rPr>
                          <w:t> </w:t>
                        </w:r>
                        <w:r>
                          <w:rPr>
                            <w:rFonts w:ascii="Calibri" w:hAnsi="Calibri"/>
                            <w:color w:val="595958"/>
                            <w:sz w:val="18"/>
                          </w:rPr>
                          <w:t>MitoTracker</w:t>
                        </w:r>
                        <w:r>
                          <w:rPr>
                            <w:rFonts w:ascii="Calibri" w:hAnsi="Calibri"/>
                            <w:color w:val="595958"/>
                            <w:spacing w:val="-10"/>
                            <w:sz w:val="18"/>
                          </w:rPr>
                          <w:t> </w:t>
                        </w:r>
                        <w:r>
                          <w:rPr>
                            <w:rFonts w:ascii="Calibri" w:hAnsi="Calibri"/>
                            <w:color w:val="595958"/>
                            <w:sz w:val="18"/>
                          </w:rPr>
                          <w:t>Green </w:t>
                        </w:r>
                        <w:r>
                          <w:rPr>
                            <w:rFonts w:ascii="Calibri" w:hAnsi="Calibri"/>
                            <w:color w:val="595958"/>
                            <w:spacing w:val="-6"/>
                            <w:sz w:val="18"/>
                          </w:rPr>
                          <w:t>FM</w:t>
                        </w:r>
                      </w:p>
                      <w:p>
                        <w:pPr>
                          <w:spacing w:before="68"/>
                          <w:ind w:left="768" w:right="5164" w:hanging="769"/>
                          <w:jc w:val="left"/>
                          <w:rPr>
                            <w:rFonts w:ascii="Calibri" w:hAnsi="Calibri"/>
                            <w:sz w:val="18"/>
                          </w:rPr>
                        </w:pPr>
                        <w:r>
                          <w:rPr>
                            <w:rFonts w:ascii="Calibri" w:hAnsi="Calibri"/>
                            <w:color w:val="595958"/>
                            <w:sz w:val="18"/>
                          </w:rPr>
                          <w:t>N</w:t>
                        </w:r>
                        <w:r>
                          <w:rPr>
                            <w:rFonts w:ascii="Calibri" w:hAnsi="Calibri"/>
                            <w:color w:val="595958"/>
                            <w:spacing w:val="-11"/>
                            <w:sz w:val="18"/>
                          </w:rPr>
                          <w:t> </w:t>
                        </w:r>
                        <w:r>
                          <w:rPr>
                            <w:rFonts w:ascii="Calibri" w:hAnsi="Calibri"/>
                            <w:color w:val="595958"/>
                            <w:sz w:val="18"/>
                          </w:rPr>
                          <w:t>окрашенных</w:t>
                        </w:r>
                        <w:r>
                          <w:rPr>
                            <w:rFonts w:ascii="Calibri" w:hAnsi="Calibri"/>
                            <w:color w:val="595958"/>
                            <w:spacing w:val="-10"/>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 Red</w:t>
                        </w:r>
                        <w:r>
                          <w:rPr>
                            <w:rFonts w:ascii="Calibri" w:hAnsi="Calibri"/>
                            <w:color w:val="595958"/>
                            <w:spacing w:val="-2"/>
                            <w:sz w:val="18"/>
                          </w:rPr>
                          <w:t> </w:t>
                        </w:r>
                        <w:r>
                          <w:rPr>
                            <w:rFonts w:ascii="Calibri" w:hAnsi="Calibri"/>
                            <w:color w:val="595958"/>
                            <w:sz w:val="18"/>
                          </w:rPr>
                          <w:t>CMXRos</w:t>
                        </w:r>
                      </w:p>
                      <w:p>
                        <w:pPr>
                          <w:tabs>
                            <w:tab w:pos="1218" w:val="left" w:leader="none"/>
                            <w:tab w:pos="4402" w:val="left" w:leader="none"/>
                          </w:tabs>
                          <w:spacing w:line="216" w:lineRule="exact" w:before="197"/>
                          <w:ind w:left="262"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r>
                          <w:rPr>
                            <w:rFonts w:ascii="Calibri" w:hAnsi="Calibri"/>
                            <w:color w:val="595958"/>
                            <w:sz w:val="18"/>
                          </w:rPr>
                          <w:tab/>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r>
                          <w:rPr>
                            <w:rFonts w:ascii="Calibri" w:hAnsi="Calibri"/>
                            <w:color w:val="595958"/>
                            <w:sz w:val="18"/>
                          </w:rPr>
                          <w:tab/>
                          <w:t>N</w:t>
                        </w:r>
                        <w:r>
                          <w:rPr>
                            <w:rFonts w:ascii="Calibri" w:hAnsi="Calibri"/>
                            <w:color w:val="595958"/>
                            <w:spacing w:val="-5"/>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LumiTracker</w:t>
                        </w:r>
                        <w:r>
                          <w:rPr>
                            <w:rFonts w:ascii="Calibri" w:hAnsi="Calibri"/>
                            <w:color w:val="595958"/>
                            <w:spacing w:val="-2"/>
                            <w:sz w:val="18"/>
                          </w:rPr>
                          <w:t> </w:t>
                        </w:r>
                        <w:r>
                          <w:rPr>
                            <w:rFonts w:ascii="Calibri" w:hAnsi="Calibri"/>
                            <w:color w:val="595958"/>
                            <w:sz w:val="18"/>
                          </w:rPr>
                          <w:t>Mito</w:t>
                        </w:r>
                        <w:r>
                          <w:rPr>
                            <w:rFonts w:ascii="Calibri" w:hAnsi="Calibri"/>
                            <w:color w:val="595958"/>
                            <w:spacing w:val="-2"/>
                            <w:sz w:val="18"/>
                          </w:rPr>
                          <w:t> </w:t>
                        </w:r>
                        <w:r>
                          <w:rPr>
                            <w:rFonts w:ascii="Calibri" w:hAnsi="Calibri"/>
                            <w:color w:val="595958"/>
                            <w:sz w:val="18"/>
                          </w:rPr>
                          <w:t>Red</w:t>
                        </w:r>
                        <w:r>
                          <w:rPr>
                            <w:rFonts w:ascii="Calibri" w:hAnsi="Calibri"/>
                            <w:color w:val="595958"/>
                            <w:spacing w:val="-2"/>
                            <w:sz w:val="18"/>
                          </w:rPr>
                          <w:t> CMXRos</w:t>
                        </w:r>
                      </w:p>
                    </w:txbxContent>
                  </v:textbox>
                  <w10:wrap type="none"/>
                </v:shape>
                <w10:wrap type="none"/>
              </v:group>
            </w:pict>
          </mc:Fallback>
        </mc:AlternateContent>
      </w:r>
      <w:r>
        <w:rPr/>
        <w:t>Полученные данные хоть и не имеют статистического значимого различия, но их тренды согласуются с увеличением подвижности сперматозоидов после экспериментального облучения, замеренной при помощи CASA-анализатора (см. выше п. 3.2.2, рисунок 31)</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113" w:after="1"/>
        <w:jc w:val="left"/>
        <w:rPr>
          <w:sz w:val="20"/>
        </w:rPr>
      </w:pPr>
    </w:p>
    <w:tbl>
      <w:tblPr>
        <w:tblW w:w="0" w:type="auto"/>
        <w:jc w:val="left"/>
        <w:tblInd w:w="4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9"/>
        <w:gridCol w:w="2379"/>
      </w:tblGrid>
      <w:tr>
        <w:trPr>
          <w:trHeight w:val="276" w:hRule="atLeast"/>
        </w:trPr>
        <w:tc>
          <w:tcPr>
            <w:tcW w:w="2469" w:type="dxa"/>
            <w:tcBorders>
              <w:right w:val="single" w:sz="6" w:space="0" w:color="DADADA"/>
            </w:tcBorders>
          </w:tcPr>
          <w:p>
            <w:pPr>
              <w:pStyle w:val="TableParagraph"/>
              <w:spacing w:before="17"/>
              <w:ind w:right="322"/>
              <w:jc w:val="center"/>
              <w:rPr>
                <w:rFonts w:ascii="Calibri" w:hAnsi="Calibri"/>
                <w:sz w:val="18"/>
              </w:rPr>
            </w:pPr>
            <w:r>
              <w:rPr>
                <w:rFonts w:ascii="Calibri" w:hAnsi="Calibri"/>
                <w:color w:val="595958"/>
                <w:sz w:val="18"/>
              </w:rPr>
              <w:t>Красный,</w:t>
            </w:r>
            <w:r>
              <w:rPr>
                <w:rFonts w:ascii="Calibri" w:hAnsi="Calibri"/>
                <w:color w:val="595958"/>
                <w:spacing w:val="-3"/>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0,02</w:t>
            </w:r>
            <w:r>
              <w:rPr>
                <w:rFonts w:ascii="Calibri" w:hAnsi="Calibri"/>
                <w:color w:val="595958"/>
                <w:spacing w:val="-1"/>
                <w:sz w:val="18"/>
              </w:rPr>
              <w:t> </w:t>
            </w:r>
            <w:r>
              <w:rPr>
                <w:rFonts w:ascii="Calibri" w:hAnsi="Calibri"/>
                <w:color w:val="595958"/>
                <w:spacing w:val="-5"/>
                <w:sz w:val="18"/>
              </w:rPr>
              <w:t>Дж</w:t>
            </w:r>
          </w:p>
        </w:tc>
        <w:tc>
          <w:tcPr>
            <w:tcW w:w="2379" w:type="dxa"/>
            <w:tcBorders>
              <w:left w:val="single" w:sz="6" w:space="0" w:color="DADADA"/>
            </w:tcBorders>
          </w:tcPr>
          <w:p>
            <w:pPr>
              <w:pStyle w:val="TableParagraph"/>
              <w:spacing w:before="17"/>
              <w:ind w:left="411" w:right="3"/>
              <w:jc w:val="center"/>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tc>
      </w:tr>
      <w:tr>
        <w:trPr>
          <w:trHeight w:val="287" w:hRule="atLeast"/>
        </w:trPr>
        <w:tc>
          <w:tcPr>
            <w:tcW w:w="2469" w:type="dxa"/>
            <w:tcBorders>
              <w:right w:val="single" w:sz="6" w:space="0" w:color="DADADA"/>
            </w:tcBorders>
          </w:tcPr>
          <w:p>
            <w:pPr>
              <w:pStyle w:val="TableParagraph"/>
              <w:spacing w:before="23"/>
              <w:ind w:right="319"/>
              <w:jc w:val="center"/>
              <w:rPr>
                <w:rFonts w:ascii="Calibri"/>
                <w:sz w:val="18"/>
              </w:rPr>
            </w:pPr>
            <w:r>
              <w:rPr>
                <w:rFonts w:ascii="Calibri"/>
                <w:color w:val="595958"/>
                <w:spacing w:val="-5"/>
                <w:sz w:val="18"/>
              </w:rPr>
              <w:t>196</w:t>
            </w:r>
          </w:p>
        </w:tc>
        <w:tc>
          <w:tcPr>
            <w:tcW w:w="2379" w:type="dxa"/>
            <w:tcBorders>
              <w:left w:val="single" w:sz="6" w:space="0" w:color="DADADA"/>
            </w:tcBorders>
          </w:tcPr>
          <w:p>
            <w:pPr>
              <w:pStyle w:val="TableParagraph"/>
              <w:spacing w:before="23"/>
              <w:ind w:left="411"/>
              <w:jc w:val="center"/>
              <w:rPr>
                <w:rFonts w:ascii="Calibri"/>
                <w:sz w:val="18"/>
              </w:rPr>
            </w:pPr>
            <w:r>
              <w:rPr>
                <w:rFonts w:ascii="Calibri"/>
                <w:color w:val="595958"/>
                <w:spacing w:val="-5"/>
                <w:sz w:val="18"/>
              </w:rPr>
              <w:t>116</w:t>
            </w:r>
          </w:p>
        </w:tc>
      </w:tr>
      <w:tr>
        <w:trPr>
          <w:trHeight w:val="506" w:hRule="atLeast"/>
        </w:trPr>
        <w:tc>
          <w:tcPr>
            <w:tcW w:w="2469" w:type="dxa"/>
            <w:tcBorders>
              <w:right w:val="single" w:sz="6" w:space="0" w:color="DADADA"/>
            </w:tcBorders>
          </w:tcPr>
          <w:p>
            <w:pPr>
              <w:pStyle w:val="TableParagraph"/>
              <w:spacing w:before="133"/>
              <w:ind w:right="319"/>
              <w:jc w:val="center"/>
              <w:rPr>
                <w:rFonts w:ascii="Calibri"/>
                <w:sz w:val="18"/>
              </w:rPr>
            </w:pPr>
            <w:r>
              <w:rPr>
                <w:rFonts w:ascii="Calibri"/>
                <w:color w:val="595958"/>
                <w:spacing w:val="-5"/>
                <w:sz w:val="18"/>
              </w:rPr>
              <w:t>130</w:t>
            </w:r>
          </w:p>
        </w:tc>
        <w:tc>
          <w:tcPr>
            <w:tcW w:w="2379" w:type="dxa"/>
            <w:tcBorders>
              <w:left w:val="single" w:sz="6" w:space="0" w:color="DADADA"/>
            </w:tcBorders>
          </w:tcPr>
          <w:p>
            <w:pPr>
              <w:pStyle w:val="TableParagraph"/>
              <w:spacing w:before="133"/>
              <w:ind w:left="411"/>
              <w:jc w:val="center"/>
              <w:rPr>
                <w:rFonts w:ascii="Calibri"/>
                <w:sz w:val="18"/>
              </w:rPr>
            </w:pPr>
            <w:r>
              <w:rPr>
                <w:rFonts w:ascii="Calibri"/>
                <w:color w:val="595958"/>
                <w:spacing w:val="-5"/>
                <w:sz w:val="18"/>
              </w:rPr>
              <w:t>75</w:t>
            </w:r>
          </w:p>
        </w:tc>
      </w:tr>
      <w:tr>
        <w:trPr>
          <w:trHeight w:val="506" w:hRule="atLeast"/>
        </w:trPr>
        <w:tc>
          <w:tcPr>
            <w:tcW w:w="2469" w:type="dxa"/>
            <w:tcBorders>
              <w:right w:val="single" w:sz="6" w:space="0" w:color="DADADA"/>
            </w:tcBorders>
          </w:tcPr>
          <w:p>
            <w:pPr>
              <w:pStyle w:val="TableParagraph"/>
              <w:spacing w:before="133"/>
              <w:ind w:right="319"/>
              <w:jc w:val="center"/>
              <w:rPr>
                <w:rFonts w:ascii="Calibri"/>
                <w:sz w:val="18"/>
              </w:rPr>
            </w:pPr>
            <w:r>
              <w:rPr>
                <w:rFonts w:ascii="Calibri"/>
                <w:color w:val="595958"/>
                <w:spacing w:val="-5"/>
                <w:sz w:val="18"/>
              </w:rPr>
              <w:t>100</w:t>
            </w:r>
          </w:p>
        </w:tc>
        <w:tc>
          <w:tcPr>
            <w:tcW w:w="2379" w:type="dxa"/>
            <w:tcBorders>
              <w:left w:val="single" w:sz="6" w:space="0" w:color="DADADA"/>
            </w:tcBorders>
          </w:tcPr>
          <w:p>
            <w:pPr>
              <w:pStyle w:val="TableParagraph"/>
              <w:spacing w:before="133"/>
              <w:ind w:left="411"/>
              <w:jc w:val="center"/>
              <w:rPr>
                <w:rFonts w:ascii="Calibri"/>
                <w:sz w:val="18"/>
              </w:rPr>
            </w:pPr>
            <w:r>
              <w:rPr>
                <w:rFonts w:ascii="Calibri"/>
                <w:color w:val="595958"/>
                <w:spacing w:val="-5"/>
                <w:sz w:val="18"/>
              </w:rPr>
              <w:t>60</w:t>
            </w:r>
          </w:p>
        </w:tc>
      </w:tr>
    </w:tbl>
    <w:p>
      <w:pPr>
        <w:pStyle w:val="BodyText"/>
        <w:spacing w:before="260"/>
        <w:jc w:val="left"/>
      </w:pPr>
    </w:p>
    <w:p>
      <w:pPr>
        <w:pStyle w:val="BodyText"/>
        <w:spacing w:line="256" w:lineRule="auto"/>
        <w:ind w:left="1089" w:hanging="946"/>
        <w:jc w:val="left"/>
      </w:pPr>
      <w:r>
        <w:rPr/>
        <w:t>Рисунок</w:t>
      </w:r>
      <w:r>
        <w:rPr>
          <w:spacing w:val="-6"/>
        </w:rPr>
        <w:t> </w:t>
      </w:r>
      <w:r>
        <w:rPr/>
        <w:t>41</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4"/>
        </w:rPr>
        <w:t> </w:t>
      </w:r>
      <w:r>
        <w:rPr/>
        <w:t>прижизненной</w:t>
      </w:r>
      <w:r>
        <w:rPr>
          <w:spacing w:val="-4"/>
        </w:rPr>
        <w:t> </w:t>
      </w:r>
      <w:r>
        <w:rPr/>
        <w:t>окраски</w:t>
      </w:r>
      <w:r>
        <w:rPr>
          <w:spacing w:val="-4"/>
        </w:rPr>
        <w:t> </w:t>
      </w:r>
      <w:r>
        <w:rPr/>
        <w:t>митохондрий</w:t>
      </w:r>
      <w:r>
        <w:rPr>
          <w:spacing w:val="-4"/>
        </w:rPr>
        <w:t> </w:t>
      </w:r>
      <w:r>
        <w:rPr/>
        <w:t>митотрекерами</w:t>
      </w:r>
      <w:r>
        <w:rPr>
          <w:spacing w:val="-5"/>
        </w:rPr>
        <w:t> </w:t>
      </w:r>
      <w:r>
        <w:rPr/>
        <w:t>после обработки эякулята красным светодиодом (630 нм, 5 минут, 0,02 Дж)</w:t>
      </w:r>
    </w:p>
    <w:p>
      <w:pPr>
        <w:pStyle w:val="BodyText"/>
        <w:spacing w:before="18"/>
        <w:jc w:val="left"/>
      </w:pPr>
    </w:p>
    <w:p>
      <w:pPr>
        <w:pStyle w:val="BodyText"/>
        <w:spacing w:line="256" w:lineRule="auto" w:before="1"/>
        <w:ind w:left="143" w:right="419" w:firstLine="708"/>
      </w:pPr>
      <w:r>
        <w:rPr/>
        <w:t>Незначительное увеличение доли сперматозоидов с прокрашенными митохондриями наблюдали в варианте облучения с использованием красного светодиода при общей сообщаемой энергии эякуляту в 0,02 Дж 66,33% (N=130) против 64,66% (N=75) в контроле (MitoTracker Green FM). При окраске</w:t>
      </w:r>
      <w:r>
        <w:rPr>
          <w:spacing w:val="40"/>
        </w:rPr>
        <w:t> </w:t>
      </w:r>
      <w:r>
        <w:rPr/>
        <w:t>митохондрий LumiTracker Mito Red CMXRos доля сперматозоидов с активными митохондриями составила 51,02% (N=100) в эксперименте против 51,72% (N=60) в контроле. Время облучения – 5 минут. Данные согласуются с незначительным увеличением подвижности сперматозоидов при проведении CASA-анализа, где не было получено статистически достоверной разницы опыта и контроля (см. выше п. 3.2.2, рисунок 29, Приложение В).</w:t>
      </w:r>
    </w:p>
    <w:p>
      <w:pPr>
        <w:pStyle w:val="BodyText"/>
        <w:spacing w:line="256" w:lineRule="auto"/>
        <w:ind w:left="143" w:right="420" w:firstLine="707"/>
      </w:pPr>
      <w:r>
        <w:rPr/>
        <w:t>В варианте облучения с использованием сочетания длин волн 400-750, 651,</w:t>
      </w:r>
      <w:r>
        <w:rPr>
          <w:spacing w:val="40"/>
        </w:rPr>
        <w:t> </w:t>
      </w:r>
      <w:r>
        <w:rPr/>
        <w:t>933 соотвествующих источникам: монохроматические светодиоды, лазер и инфракрасный светодиод соответственно была получена разница в активности митохондрий между сперматозоидами, подвергнутыми облучению и контрольными. Время облучения – 5 минут. Общая сообщаемая энергия 1,34 Дж, в эксперименте доля</w:t>
      </w:r>
      <w:r>
        <w:rPr>
          <w:spacing w:val="58"/>
        </w:rPr>
        <w:t> </w:t>
      </w:r>
      <w:r>
        <w:rPr/>
        <w:t>активных</w:t>
      </w:r>
      <w:r>
        <w:rPr>
          <w:spacing w:val="60"/>
        </w:rPr>
        <w:t> </w:t>
      </w:r>
      <w:r>
        <w:rPr/>
        <w:t>митохондрий</w:t>
      </w:r>
      <w:r>
        <w:rPr>
          <w:spacing w:val="59"/>
        </w:rPr>
        <w:t> </w:t>
      </w:r>
      <w:r>
        <w:rPr/>
        <w:t>–</w:t>
      </w:r>
      <w:r>
        <w:rPr>
          <w:spacing w:val="60"/>
        </w:rPr>
        <w:t> </w:t>
      </w:r>
      <w:r>
        <w:rPr/>
        <w:t>38,81%</w:t>
      </w:r>
      <w:r>
        <w:rPr>
          <w:spacing w:val="56"/>
        </w:rPr>
        <w:t> </w:t>
      </w:r>
      <w:r>
        <w:rPr/>
        <w:t>(N=26)</w:t>
      </w:r>
      <w:r>
        <w:rPr>
          <w:spacing w:val="59"/>
        </w:rPr>
        <w:t> </w:t>
      </w:r>
      <w:r>
        <w:rPr/>
        <w:t>против</w:t>
      </w:r>
      <w:r>
        <w:rPr>
          <w:spacing w:val="58"/>
        </w:rPr>
        <w:t> </w:t>
      </w:r>
      <w:r>
        <w:rPr/>
        <w:t>11,63%</w:t>
      </w:r>
      <w:r>
        <w:rPr>
          <w:spacing w:val="59"/>
        </w:rPr>
        <w:t> </w:t>
      </w:r>
      <w:r>
        <w:rPr/>
        <w:t>(N=20)</w:t>
      </w:r>
      <w:r>
        <w:rPr>
          <w:spacing w:val="59"/>
        </w:rPr>
        <w:t> </w:t>
      </w:r>
      <w:r>
        <w:rPr/>
        <w:t>в</w:t>
      </w:r>
      <w:r>
        <w:rPr>
          <w:spacing w:val="58"/>
        </w:rPr>
        <w:t> </w:t>
      </w:r>
      <w:r>
        <w:rPr>
          <w:spacing w:val="-2"/>
        </w:rPr>
        <w:t>контроле</w:t>
      </w:r>
    </w:p>
    <w:p>
      <w:pPr>
        <w:pStyle w:val="BodyText"/>
        <w:spacing w:after="0" w:line="256" w:lineRule="auto"/>
        <w:sectPr>
          <w:pgSz w:w="11910" w:h="16840"/>
          <w:pgMar w:header="0" w:footer="990" w:top="340" w:bottom="1200" w:left="708" w:right="425"/>
        </w:sectPr>
      </w:pPr>
    </w:p>
    <w:p>
      <w:pPr>
        <w:pStyle w:val="BodyText"/>
        <w:spacing w:line="256" w:lineRule="auto" w:before="69"/>
        <w:ind w:left="144" w:right="420"/>
      </w:pPr>
      <w:r>
        <w:rPr/>
        <mc:AlternateContent>
          <mc:Choice Requires="wps">
            <w:drawing>
              <wp:anchor distT="0" distB="0" distL="0" distR="0" allowOverlap="1" layoutInCell="1" locked="0" behindDoc="1" simplePos="0" relativeHeight="481476096">
                <wp:simplePos x="0" y="0"/>
                <wp:positionH relativeFrom="page">
                  <wp:posOffset>965835</wp:posOffset>
                </wp:positionH>
                <wp:positionV relativeFrom="paragraph">
                  <wp:posOffset>1346657</wp:posOffset>
                </wp:positionV>
                <wp:extent cx="5619750" cy="3028950"/>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5619750" cy="3028950"/>
                          <a:chExt cx="5619750" cy="3028950"/>
                        </a:xfrm>
                      </wpg:grpSpPr>
                      <wps:wsp>
                        <wps:cNvPr id="124" name="Graphic 124"/>
                        <wps:cNvSpPr/>
                        <wps:spPr>
                          <a:xfrm>
                            <a:off x="2033290" y="449630"/>
                            <a:ext cx="3442335" cy="914400"/>
                          </a:xfrm>
                          <a:custGeom>
                            <a:avLst/>
                            <a:gdLst/>
                            <a:ahLst/>
                            <a:cxnLst/>
                            <a:rect l="l" t="t" r="r" b="b"/>
                            <a:pathLst>
                              <a:path w="3442335" h="914400">
                                <a:moveTo>
                                  <a:pt x="3113638" y="914400"/>
                                </a:moveTo>
                                <a:lnTo>
                                  <a:pt x="3441992" y="914400"/>
                                </a:lnTo>
                              </a:path>
                              <a:path w="3442335" h="914400">
                                <a:moveTo>
                                  <a:pt x="0" y="914400"/>
                                </a:moveTo>
                                <a:lnTo>
                                  <a:pt x="329290" y="914400"/>
                                </a:lnTo>
                              </a:path>
                              <a:path w="3442335" h="914400">
                                <a:moveTo>
                                  <a:pt x="629518" y="914400"/>
                                </a:moveTo>
                                <a:lnTo>
                                  <a:pt x="2049886" y="914400"/>
                                </a:lnTo>
                              </a:path>
                              <a:path w="3442335" h="914400">
                                <a:moveTo>
                                  <a:pt x="2350114" y="914400"/>
                                </a:moveTo>
                                <a:lnTo>
                                  <a:pt x="2813410" y="914400"/>
                                </a:lnTo>
                              </a:path>
                              <a:path w="3442335" h="914400">
                                <a:moveTo>
                                  <a:pt x="0" y="762000"/>
                                </a:moveTo>
                                <a:lnTo>
                                  <a:pt x="329290" y="762000"/>
                                </a:lnTo>
                              </a:path>
                              <a:path w="3442335" h="914400">
                                <a:moveTo>
                                  <a:pt x="2350114" y="762000"/>
                                </a:moveTo>
                                <a:lnTo>
                                  <a:pt x="3441992" y="762000"/>
                                </a:lnTo>
                              </a:path>
                              <a:path w="3442335" h="914400">
                                <a:moveTo>
                                  <a:pt x="629518" y="762000"/>
                                </a:moveTo>
                                <a:lnTo>
                                  <a:pt x="2049886" y="762000"/>
                                </a:lnTo>
                              </a:path>
                              <a:path w="3442335" h="914400">
                                <a:moveTo>
                                  <a:pt x="0" y="609600"/>
                                </a:moveTo>
                                <a:lnTo>
                                  <a:pt x="2049886" y="609600"/>
                                </a:lnTo>
                              </a:path>
                              <a:path w="3442335" h="914400">
                                <a:moveTo>
                                  <a:pt x="2350114" y="609600"/>
                                </a:moveTo>
                                <a:lnTo>
                                  <a:pt x="3441992" y="609600"/>
                                </a:lnTo>
                              </a:path>
                              <a:path w="3442335" h="914400">
                                <a:moveTo>
                                  <a:pt x="0" y="457200"/>
                                </a:moveTo>
                                <a:lnTo>
                                  <a:pt x="2049886" y="457200"/>
                                </a:lnTo>
                              </a:path>
                              <a:path w="3442335" h="914400">
                                <a:moveTo>
                                  <a:pt x="2350114" y="457200"/>
                                </a:moveTo>
                                <a:lnTo>
                                  <a:pt x="3441992" y="457200"/>
                                </a:lnTo>
                              </a:path>
                              <a:path w="3442335" h="914400">
                                <a:moveTo>
                                  <a:pt x="0" y="304800"/>
                                </a:moveTo>
                                <a:lnTo>
                                  <a:pt x="2049886" y="304800"/>
                                </a:lnTo>
                              </a:path>
                              <a:path w="3442335" h="914400">
                                <a:moveTo>
                                  <a:pt x="2350114" y="304800"/>
                                </a:moveTo>
                                <a:lnTo>
                                  <a:pt x="3441992" y="304800"/>
                                </a:lnTo>
                              </a:path>
                              <a:path w="3442335" h="914400">
                                <a:moveTo>
                                  <a:pt x="0" y="152400"/>
                                </a:moveTo>
                                <a:lnTo>
                                  <a:pt x="2049886" y="152400"/>
                                </a:lnTo>
                              </a:path>
                              <a:path w="3442335" h="914400">
                                <a:moveTo>
                                  <a:pt x="2350114" y="152400"/>
                                </a:moveTo>
                                <a:lnTo>
                                  <a:pt x="3441992" y="152400"/>
                                </a:lnTo>
                              </a:path>
                              <a:path w="3442335" h="914400">
                                <a:moveTo>
                                  <a:pt x="0" y="0"/>
                                </a:moveTo>
                                <a:lnTo>
                                  <a:pt x="2049886" y="0"/>
                                </a:lnTo>
                              </a:path>
                              <a:path w="3442335" h="914400">
                                <a:moveTo>
                                  <a:pt x="2350114" y="0"/>
                                </a:moveTo>
                                <a:lnTo>
                                  <a:pt x="3441992" y="0"/>
                                </a:lnTo>
                              </a:path>
                            </a:pathLst>
                          </a:custGeom>
                          <a:ln w="9525">
                            <a:solidFill>
                              <a:srgbClr val="DADADA"/>
                            </a:solidFill>
                            <a:prstDash val="solid"/>
                          </a:ln>
                        </wps:spPr>
                        <wps:bodyPr wrap="square" lIns="0" tIns="0" rIns="0" bIns="0" rtlCol="0">
                          <a:prstTxWarp prst="textNoShape">
                            <a:avLst/>
                          </a:prstTxWarp>
                          <a:noAutofit/>
                        </wps:bodyPr>
                      </wps:wsp>
                      <wps:wsp>
                        <wps:cNvPr id="125" name="Graphic 125"/>
                        <wps:cNvSpPr/>
                        <wps:spPr>
                          <a:xfrm>
                            <a:off x="2033290" y="144462"/>
                            <a:ext cx="3442335" cy="1270"/>
                          </a:xfrm>
                          <a:custGeom>
                            <a:avLst/>
                            <a:gdLst/>
                            <a:ahLst/>
                            <a:cxnLst/>
                            <a:rect l="l" t="t" r="r" b="b"/>
                            <a:pathLst>
                              <a:path w="3442335" h="0">
                                <a:moveTo>
                                  <a:pt x="0" y="0"/>
                                </a:moveTo>
                                <a:lnTo>
                                  <a:pt x="3441992" y="0"/>
                                </a:lnTo>
                              </a:path>
                            </a:pathLst>
                          </a:custGeom>
                          <a:ln w="9525">
                            <a:solidFill>
                              <a:srgbClr val="DADADA"/>
                            </a:solidFill>
                            <a:prstDash val="solid"/>
                          </a:ln>
                        </wps:spPr>
                        <wps:bodyPr wrap="square" lIns="0" tIns="0" rIns="0" bIns="0" rtlCol="0">
                          <a:prstTxWarp prst="textNoShape">
                            <a:avLst/>
                          </a:prstTxWarp>
                          <a:noAutofit/>
                        </wps:bodyPr>
                      </wps:wsp>
                      <wps:wsp>
                        <wps:cNvPr id="126" name="Graphic 126"/>
                        <wps:cNvSpPr/>
                        <wps:spPr>
                          <a:xfrm>
                            <a:off x="2362568" y="358190"/>
                            <a:ext cx="2021205" cy="1310640"/>
                          </a:xfrm>
                          <a:custGeom>
                            <a:avLst/>
                            <a:gdLst/>
                            <a:ahLst/>
                            <a:cxnLst/>
                            <a:rect l="l" t="t" r="r" b="b"/>
                            <a:pathLst>
                              <a:path w="2021205" h="1310640">
                                <a:moveTo>
                                  <a:pt x="300228" y="800100"/>
                                </a:moveTo>
                                <a:lnTo>
                                  <a:pt x="0" y="800100"/>
                                </a:lnTo>
                                <a:lnTo>
                                  <a:pt x="0" y="1310068"/>
                                </a:lnTo>
                                <a:lnTo>
                                  <a:pt x="300228" y="1310068"/>
                                </a:lnTo>
                                <a:lnTo>
                                  <a:pt x="300228" y="800100"/>
                                </a:lnTo>
                                <a:close/>
                              </a:path>
                              <a:path w="2021205" h="1310640">
                                <a:moveTo>
                                  <a:pt x="2020836" y="0"/>
                                </a:moveTo>
                                <a:lnTo>
                                  <a:pt x="1720608" y="0"/>
                                </a:lnTo>
                                <a:lnTo>
                                  <a:pt x="1720608" y="1310068"/>
                                </a:lnTo>
                                <a:lnTo>
                                  <a:pt x="2020836" y="1310068"/>
                                </a:lnTo>
                                <a:lnTo>
                                  <a:pt x="2020836" y="0"/>
                                </a:lnTo>
                                <a:close/>
                              </a:path>
                            </a:pathLst>
                          </a:custGeom>
                          <a:solidFill>
                            <a:srgbClr val="4F81BD"/>
                          </a:solidFill>
                        </wps:spPr>
                        <wps:bodyPr wrap="square" lIns="0" tIns="0" rIns="0" bIns="0" rtlCol="0">
                          <a:prstTxWarp prst="textNoShape">
                            <a:avLst/>
                          </a:prstTxWarp>
                          <a:noAutofit/>
                        </wps:bodyPr>
                      </wps:wsp>
                      <wps:wsp>
                        <wps:cNvPr id="127" name="Graphic 127"/>
                        <wps:cNvSpPr/>
                        <wps:spPr>
                          <a:xfrm>
                            <a:off x="2743580" y="1470710"/>
                            <a:ext cx="300355" cy="198120"/>
                          </a:xfrm>
                          <a:custGeom>
                            <a:avLst/>
                            <a:gdLst/>
                            <a:ahLst/>
                            <a:cxnLst/>
                            <a:rect l="l" t="t" r="r" b="b"/>
                            <a:pathLst>
                              <a:path w="300355" h="198120">
                                <a:moveTo>
                                  <a:pt x="300227" y="0"/>
                                </a:moveTo>
                                <a:lnTo>
                                  <a:pt x="0" y="0"/>
                                </a:lnTo>
                                <a:lnTo>
                                  <a:pt x="0" y="197548"/>
                                </a:lnTo>
                                <a:lnTo>
                                  <a:pt x="300227" y="197548"/>
                                </a:lnTo>
                                <a:lnTo>
                                  <a:pt x="300227" y="0"/>
                                </a:lnTo>
                                <a:close/>
                              </a:path>
                            </a:pathLst>
                          </a:custGeom>
                          <a:solidFill>
                            <a:srgbClr val="C0504D"/>
                          </a:solidFill>
                        </wps:spPr>
                        <wps:bodyPr wrap="square" lIns="0" tIns="0" rIns="0" bIns="0" rtlCol="0">
                          <a:prstTxWarp prst="textNoShape">
                            <a:avLst/>
                          </a:prstTxWarp>
                          <a:noAutofit/>
                        </wps:bodyPr>
                      </wps:wsp>
                      <wps:wsp>
                        <wps:cNvPr id="128" name="Graphic 128"/>
                        <wps:cNvSpPr/>
                        <wps:spPr>
                          <a:xfrm>
                            <a:off x="4846701" y="1303070"/>
                            <a:ext cx="300355" cy="365760"/>
                          </a:xfrm>
                          <a:custGeom>
                            <a:avLst/>
                            <a:gdLst/>
                            <a:ahLst/>
                            <a:cxnLst/>
                            <a:rect l="l" t="t" r="r" b="b"/>
                            <a:pathLst>
                              <a:path w="300355" h="365760">
                                <a:moveTo>
                                  <a:pt x="300227" y="0"/>
                                </a:moveTo>
                                <a:lnTo>
                                  <a:pt x="0" y="0"/>
                                </a:lnTo>
                                <a:lnTo>
                                  <a:pt x="0" y="365188"/>
                                </a:lnTo>
                                <a:lnTo>
                                  <a:pt x="300227" y="365188"/>
                                </a:lnTo>
                                <a:lnTo>
                                  <a:pt x="300227" y="0"/>
                                </a:lnTo>
                                <a:close/>
                              </a:path>
                            </a:pathLst>
                          </a:custGeom>
                          <a:solidFill>
                            <a:srgbClr val="9BBB59"/>
                          </a:solidFill>
                        </wps:spPr>
                        <wps:bodyPr wrap="square" lIns="0" tIns="0" rIns="0" bIns="0" rtlCol="0">
                          <a:prstTxWarp prst="textNoShape">
                            <a:avLst/>
                          </a:prstTxWarp>
                          <a:noAutofit/>
                        </wps:bodyPr>
                      </wps:wsp>
                      <wps:wsp>
                        <wps:cNvPr id="129" name="Graphic 129"/>
                        <wps:cNvSpPr/>
                        <wps:spPr>
                          <a:xfrm>
                            <a:off x="261581" y="190075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30" name="Graphic 130"/>
                        <wps:cNvSpPr/>
                        <wps:spPr>
                          <a:xfrm>
                            <a:off x="261581" y="2083130"/>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31" name="Graphic 131"/>
                        <wps:cNvSpPr/>
                        <wps:spPr>
                          <a:xfrm>
                            <a:off x="261581" y="2405011"/>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32" name="Graphic 132"/>
                        <wps:cNvSpPr/>
                        <wps:spPr>
                          <a:xfrm>
                            <a:off x="384149" y="280944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33" name="Graphic 133"/>
                        <wps:cNvSpPr/>
                        <wps:spPr>
                          <a:xfrm>
                            <a:off x="927011" y="280944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34" name="Graphic 134"/>
                        <wps:cNvSpPr/>
                        <wps:spPr>
                          <a:xfrm>
                            <a:off x="2935655" y="280944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35" name="Graphic 135"/>
                        <wps:cNvSpPr/>
                        <wps:spPr>
                          <a:xfrm>
                            <a:off x="4762" y="4762"/>
                            <a:ext cx="5610225" cy="3019425"/>
                          </a:xfrm>
                          <a:custGeom>
                            <a:avLst/>
                            <a:gdLst/>
                            <a:ahLst/>
                            <a:cxnLst/>
                            <a:rect l="l" t="t" r="r" b="b"/>
                            <a:pathLst>
                              <a:path w="5610225" h="3019425">
                                <a:moveTo>
                                  <a:pt x="0" y="0"/>
                                </a:moveTo>
                                <a:lnTo>
                                  <a:pt x="5610224" y="0"/>
                                </a:lnTo>
                                <a:lnTo>
                                  <a:pt x="5610224" y="3019425"/>
                                </a:lnTo>
                                <a:lnTo>
                                  <a:pt x="0" y="3019425"/>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136" name="Textbox 136"/>
                        <wps:cNvSpPr txBox="1"/>
                        <wps:spPr>
                          <a:xfrm>
                            <a:off x="1753558" y="91226"/>
                            <a:ext cx="186690" cy="1638300"/>
                          </a:xfrm>
                          <a:prstGeom prst="rect">
                            <a:avLst/>
                          </a:prstGeom>
                        </wps:spPr>
                        <wps:txbx>
                          <w:txbxContent>
                            <w:p>
                              <w:pPr>
                                <w:spacing w:line="183" w:lineRule="exact" w:before="0"/>
                                <w:ind w:left="0" w:right="18" w:firstLine="0"/>
                                <w:jc w:val="right"/>
                                <w:rPr>
                                  <w:rFonts w:ascii="Calibri"/>
                                  <w:sz w:val="18"/>
                                </w:rPr>
                              </w:pPr>
                              <w:r>
                                <w:rPr>
                                  <w:rFonts w:ascii="Calibri"/>
                                  <w:color w:val="595958"/>
                                  <w:spacing w:val="-5"/>
                                  <w:sz w:val="18"/>
                                </w:rPr>
                                <w:t>200</w:t>
                              </w:r>
                            </w:p>
                            <w:p>
                              <w:pPr>
                                <w:spacing w:before="20"/>
                                <w:ind w:left="0" w:right="18" w:firstLine="0"/>
                                <w:jc w:val="right"/>
                                <w:rPr>
                                  <w:rFonts w:ascii="Calibri"/>
                                  <w:sz w:val="18"/>
                                </w:rPr>
                              </w:pPr>
                              <w:r>
                                <w:rPr>
                                  <w:rFonts w:ascii="Calibri"/>
                                  <w:color w:val="595958"/>
                                  <w:spacing w:val="-5"/>
                                  <w:sz w:val="18"/>
                                </w:rPr>
                                <w:t>180</w:t>
                              </w:r>
                            </w:p>
                            <w:p>
                              <w:pPr>
                                <w:spacing w:before="20"/>
                                <w:ind w:left="0" w:right="18" w:firstLine="0"/>
                                <w:jc w:val="right"/>
                                <w:rPr>
                                  <w:rFonts w:ascii="Calibri"/>
                                  <w:sz w:val="18"/>
                                </w:rPr>
                              </w:pPr>
                              <w:r>
                                <w:rPr>
                                  <w:rFonts w:ascii="Calibri"/>
                                  <w:color w:val="595958"/>
                                  <w:spacing w:val="-5"/>
                                  <w:sz w:val="18"/>
                                </w:rPr>
                                <w:t>160</w:t>
                              </w:r>
                            </w:p>
                            <w:p>
                              <w:pPr>
                                <w:spacing w:before="20"/>
                                <w:ind w:left="0" w:right="18" w:firstLine="0"/>
                                <w:jc w:val="right"/>
                                <w:rPr>
                                  <w:rFonts w:ascii="Calibri"/>
                                  <w:sz w:val="18"/>
                                </w:rPr>
                              </w:pPr>
                              <w:r>
                                <w:rPr>
                                  <w:rFonts w:ascii="Calibri"/>
                                  <w:color w:val="595958"/>
                                  <w:spacing w:val="-5"/>
                                  <w:sz w:val="18"/>
                                </w:rPr>
                                <w:t>140</w:t>
                              </w:r>
                            </w:p>
                            <w:p>
                              <w:pPr>
                                <w:spacing w:before="21"/>
                                <w:ind w:left="0" w:right="18" w:firstLine="0"/>
                                <w:jc w:val="right"/>
                                <w:rPr>
                                  <w:rFonts w:ascii="Calibri"/>
                                  <w:sz w:val="18"/>
                                </w:rPr>
                              </w:pPr>
                              <w:r>
                                <w:rPr>
                                  <w:rFonts w:ascii="Calibri"/>
                                  <w:color w:val="595958"/>
                                  <w:spacing w:val="-5"/>
                                  <w:sz w:val="18"/>
                                </w:rPr>
                                <w:t>120</w:t>
                              </w:r>
                            </w:p>
                            <w:p>
                              <w:pPr>
                                <w:spacing w:before="20"/>
                                <w:ind w:left="0" w:right="18" w:firstLine="0"/>
                                <w:jc w:val="right"/>
                                <w:rPr>
                                  <w:rFonts w:ascii="Calibri"/>
                                  <w:sz w:val="18"/>
                                </w:rPr>
                              </w:pPr>
                              <w:r>
                                <w:rPr>
                                  <w:rFonts w:ascii="Calibri"/>
                                  <w:color w:val="595958"/>
                                  <w:spacing w:val="-5"/>
                                  <w:sz w:val="18"/>
                                </w:rPr>
                                <w:t>100</w:t>
                              </w:r>
                            </w:p>
                            <w:p>
                              <w:pPr>
                                <w:spacing w:before="20"/>
                                <w:ind w:left="0" w:right="18" w:firstLine="0"/>
                                <w:jc w:val="right"/>
                                <w:rPr>
                                  <w:rFonts w:ascii="Calibri"/>
                                  <w:sz w:val="18"/>
                                </w:rPr>
                              </w:pPr>
                              <w:r>
                                <w:rPr>
                                  <w:rFonts w:ascii="Calibri"/>
                                  <w:color w:val="595958"/>
                                  <w:spacing w:val="-5"/>
                                  <w:sz w:val="18"/>
                                </w:rPr>
                                <w:t>80</w:t>
                              </w:r>
                            </w:p>
                            <w:p>
                              <w:pPr>
                                <w:spacing w:before="20"/>
                                <w:ind w:left="0" w:right="18" w:firstLine="0"/>
                                <w:jc w:val="right"/>
                                <w:rPr>
                                  <w:rFonts w:ascii="Calibri"/>
                                  <w:sz w:val="18"/>
                                </w:rPr>
                              </w:pPr>
                              <w:r>
                                <w:rPr>
                                  <w:rFonts w:ascii="Calibri"/>
                                  <w:color w:val="595958"/>
                                  <w:spacing w:val="-5"/>
                                  <w:sz w:val="18"/>
                                </w:rPr>
                                <w:t>60</w:t>
                              </w:r>
                            </w:p>
                            <w:p>
                              <w:pPr>
                                <w:spacing w:before="20"/>
                                <w:ind w:left="0" w:right="18" w:firstLine="0"/>
                                <w:jc w:val="right"/>
                                <w:rPr>
                                  <w:rFonts w:ascii="Calibri"/>
                                  <w:sz w:val="18"/>
                                </w:rPr>
                              </w:pPr>
                              <w:r>
                                <w:rPr>
                                  <w:rFonts w:ascii="Calibri"/>
                                  <w:color w:val="595958"/>
                                  <w:spacing w:val="-5"/>
                                  <w:sz w:val="18"/>
                                </w:rPr>
                                <w:t>40</w:t>
                              </w:r>
                            </w:p>
                            <w:p>
                              <w:pPr>
                                <w:spacing w:before="21"/>
                                <w:ind w:left="0" w:right="18" w:firstLine="0"/>
                                <w:jc w:val="right"/>
                                <w:rPr>
                                  <w:rFonts w:ascii="Calibri"/>
                                  <w:sz w:val="18"/>
                                </w:rPr>
                              </w:pPr>
                              <w:r>
                                <w:rPr>
                                  <w:rFonts w:ascii="Calibri"/>
                                  <w:color w:val="595958"/>
                                  <w:spacing w:val="-5"/>
                                  <w:sz w:val="18"/>
                                </w:rPr>
                                <w:t>20</w:t>
                              </w:r>
                            </w:p>
                            <w:p>
                              <w:pPr>
                                <w:spacing w:line="216" w:lineRule="exact" w:before="20"/>
                                <w:ind w:left="0" w:right="18" w:firstLine="0"/>
                                <w:jc w:val="right"/>
                                <w:rPr>
                                  <w:rFonts w:ascii="Calibri"/>
                                  <w:sz w:val="18"/>
                                </w:rPr>
                              </w:pPr>
                              <w:r>
                                <w:rPr>
                                  <w:rFonts w:ascii="Calibri"/>
                                  <w:color w:val="595958"/>
                                  <w:spacing w:val="-10"/>
                                  <w:sz w:val="18"/>
                                </w:rPr>
                                <w:t>0</w:t>
                              </w:r>
                            </w:p>
                          </w:txbxContent>
                        </wps:txbx>
                        <wps:bodyPr wrap="square" lIns="0" tIns="0" rIns="0" bIns="0" rtlCol="0">
                          <a:noAutofit/>
                        </wps:bodyPr>
                      </wps:wsp>
                      <wps:wsp>
                        <wps:cNvPr id="137" name="Textbox 137"/>
                        <wps:cNvSpPr txBox="1"/>
                        <wps:spPr>
                          <a:xfrm>
                            <a:off x="2033290" y="183695"/>
                            <a:ext cx="3455035" cy="114300"/>
                          </a:xfrm>
                          <a:prstGeom prst="rect">
                            <a:avLst/>
                          </a:prstGeom>
                        </wps:spPr>
                        <wps:txbx>
                          <w:txbxContent>
                            <w:p>
                              <w:pPr>
                                <w:tabs>
                                  <w:tab w:pos="3327" w:val="left" w:leader="none"/>
                                  <w:tab w:pos="5420"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172</w:t>
                              </w:r>
                              <w:r>
                                <w:rPr>
                                  <w:rFonts w:ascii="Calibri"/>
                                  <w:color w:val="3E3E3E"/>
                                  <w:sz w:val="18"/>
                                  <w:u w:val="single" w:color="DADADA"/>
                                </w:rPr>
                                <w:tab/>
                              </w:r>
                            </w:p>
                          </w:txbxContent>
                        </wps:txbx>
                        <wps:bodyPr wrap="square" lIns="0" tIns="0" rIns="0" bIns="0" rtlCol="0">
                          <a:noAutofit/>
                        </wps:bodyPr>
                      </wps:wsp>
                      <wps:wsp>
                        <wps:cNvPr id="138" name="Textbox 138"/>
                        <wps:cNvSpPr txBox="1"/>
                        <wps:spPr>
                          <a:xfrm>
                            <a:off x="2454332" y="983681"/>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67</w:t>
                              </w:r>
                            </w:p>
                          </w:txbxContent>
                        </wps:txbx>
                        <wps:bodyPr wrap="square" lIns="0" tIns="0" rIns="0" bIns="0" rtlCol="0">
                          <a:noAutofit/>
                        </wps:bodyPr>
                      </wps:wsp>
                      <wps:wsp>
                        <wps:cNvPr id="139" name="Textbox 139"/>
                        <wps:cNvSpPr txBox="1"/>
                        <wps:spPr>
                          <a:xfrm>
                            <a:off x="4938299" y="1128499"/>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48</w:t>
                              </w:r>
                            </w:p>
                          </w:txbxContent>
                        </wps:txbx>
                        <wps:bodyPr wrap="square" lIns="0" tIns="0" rIns="0" bIns="0" rtlCol="0">
                          <a:noAutofit/>
                        </wps:bodyPr>
                      </wps:wsp>
                      <wps:wsp>
                        <wps:cNvPr id="140" name="Textbox 140"/>
                        <wps:cNvSpPr txBox="1"/>
                        <wps:spPr>
                          <a:xfrm>
                            <a:off x="2835865" y="1296062"/>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26</w:t>
                              </w:r>
                            </w:p>
                          </w:txbxContent>
                        </wps:txbx>
                        <wps:bodyPr wrap="square" lIns="0" tIns="0" rIns="0" bIns="0" rtlCol="0">
                          <a:noAutofit/>
                        </wps:bodyPr>
                      </wps:wsp>
                      <wps:wsp>
                        <wps:cNvPr id="141" name="Textbox 141"/>
                        <wps:cNvSpPr txBox="1"/>
                        <wps:spPr>
                          <a:xfrm>
                            <a:off x="3217284" y="1318922"/>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23</w:t>
                              </w:r>
                            </w:p>
                          </w:txbxContent>
                        </wps:txbx>
                        <wps:bodyPr wrap="square" lIns="0" tIns="0" rIns="0" bIns="0" rtlCol="0">
                          <a:noAutofit/>
                        </wps:bodyPr>
                      </wps:wsp>
                      <wps:wsp>
                        <wps:cNvPr id="142" name="Textbox 142"/>
                        <wps:cNvSpPr txBox="1"/>
                        <wps:spPr>
                          <a:xfrm>
                            <a:off x="4556880" y="1341782"/>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20</w:t>
                              </w:r>
                            </w:p>
                          </w:txbxContent>
                        </wps:txbx>
                        <wps:bodyPr wrap="square" lIns="0" tIns="0" rIns="0" bIns="0" rtlCol="0">
                          <a:noAutofit/>
                        </wps:bodyPr>
                      </wps:wsp>
                      <wps:wsp>
                        <wps:cNvPr id="143" name="Textbox 143"/>
                        <wps:cNvSpPr txBox="1"/>
                        <wps:spPr>
                          <a:xfrm>
                            <a:off x="473555" y="2787256"/>
                            <a:ext cx="4796155" cy="114300"/>
                          </a:xfrm>
                          <a:prstGeom prst="rect">
                            <a:avLst/>
                          </a:prstGeom>
                        </wps:spPr>
                        <wps:txbx>
                          <w:txbxContent>
                            <w:p>
                              <w:pPr>
                                <w:tabs>
                                  <w:tab w:pos="854" w:val="left" w:leader="none"/>
                                  <w:tab w:pos="4018" w:val="left" w:leader="none"/>
                                </w:tabs>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r>
                                <w:rPr>
                                  <w:rFonts w:ascii="Calibri" w:hAnsi="Calibri"/>
                                  <w:color w:val="595958"/>
                                  <w:sz w:val="18"/>
                                </w:rPr>
                                <w:tab/>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r>
                                <w:rPr>
                                  <w:rFonts w:ascii="Calibri" w:hAnsi="Calibri"/>
                                  <w:color w:val="595958"/>
                                  <w:sz w:val="18"/>
                                </w:rPr>
                                <w:tab/>
                                <w:t>N</w:t>
                              </w:r>
                              <w:r>
                                <w:rPr>
                                  <w:rFonts w:ascii="Calibri" w:hAnsi="Calibri"/>
                                  <w:color w:val="595958"/>
                                  <w:spacing w:val="-5"/>
                                  <w:sz w:val="18"/>
                                </w:rPr>
                                <w:t> </w:t>
                              </w:r>
                              <w:r>
                                <w:rPr>
                                  <w:rFonts w:ascii="Calibri" w:hAnsi="Calibri"/>
                                  <w:color w:val="595958"/>
                                  <w:sz w:val="18"/>
                                </w:rPr>
                                <w:t>окрашенных</w:t>
                              </w:r>
                              <w:r>
                                <w:rPr>
                                  <w:rFonts w:ascii="Calibri" w:hAnsi="Calibri"/>
                                  <w:color w:val="595958"/>
                                  <w:spacing w:val="76"/>
                                  <w:sz w:val="18"/>
                                </w:rPr>
                                <w:t> </w:t>
                              </w:r>
                              <w:r>
                                <w:rPr>
                                  <w:rFonts w:ascii="Calibri" w:hAnsi="Calibri"/>
                                  <w:color w:val="595958"/>
                                  <w:sz w:val="18"/>
                                </w:rPr>
                                <w:t>LumiTracker</w:t>
                              </w:r>
                              <w:r>
                                <w:rPr>
                                  <w:rFonts w:ascii="Calibri" w:hAnsi="Calibri"/>
                                  <w:color w:val="595958"/>
                                  <w:spacing w:val="-3"/>
                                  <w:sz w:val="18"/>
                                </w:rPr>
                                <w:t> </w:t>
                              </w:r>
                              <w:r>
                                <w:rPr>
                                  <w:rFonts w:ascii="Calibri" w:hAnsi="Calibri"/>
                                  <w:color w:val="595958"/>
                                  <w:sz w:val="18"/>
                                </w:rPr>
                                <w:t>Mito Red </w:t>
                              </w:r>
                              <w:r>
                                <w:rPr>
                                  <w:rFonts w:ascii="Calibri" w:hAnsi="Calibri"/>
                                  <w:color w:val="595958"/>
                                  <w:spacing w:val="-2"/>
                                  <w:sz w:val="18"/>
                                </w:rPr>
                                <w:t>CMXRos</w:t>
                              </w:r>
                            </w:p>
                          </w:txbxContent>
                        </wps:txbx>
                        <wps:bodyPr wrap="square" lIns="0" tIns="0" rIns="0" bIns="0" rtlCol="0">
                          <a:noAutofit/>
                        </wps:bodyPr>
                      </wps:wsp>
                    </wpg:wgp>
                  </a:graphicData>
                </a:graphic>
              </wp:anchor>
            </w:drawing>
          </mc:Choice>
          <mc:Fallback>
            <w:pict>
              <v:group style="position:absolute;margin-left:76.050003pt;margin-top:106.036003pt;width:442.5pt;height:238.5pt;mso-position-horizontal-relative:page;mso-position-vertical-relative:paragraph;z-index:-21840384" id="docshapegroup76" coordorigin="1521,2121" coordsize="8850,4770">
                <v:shape style="position:absolute;left:4723;top:2828;width:5421;height:1440" id="docshape77" coordorigin="4723,2829" coordsize="5421,1440" path="m9626,4269l10143,4269m4723,4269l5242,4269m5714,4269l7951,4269m8424,4269l9154,4269m4723,4029l5242,4029m8424,4029l10143,4029m5714,4029l7951,4029m4723,3789l7951,3789m8424,3789l10143,3789m4723,3549l7951,3549m8424,3549l10143,3549m4723,3309l7951,3309m8424,3309l10143,3309m4723,3069l7951,3069m8424,3069l10143,3069m4723,2829l7951,2829m8424,2829l10143,2829e" filled="false" stroked="true" strokeweight=".75pt" strokecolor="#dadada">
                  <v:path arrowok="t"/>
                  <v:stroke dashstyle="solid"/>
                </v:shape>
                <v:line style="position:absolute" from="4723,2348" to="10143,2348" stroked="true" strokeweight=".75pt" strokecolor="#dadada">
                  <v:stroke dashstyle="solid"/>
                </v:line>
                <v:shape style="position:absolute;left:5241;top:2684;width:3183;height:2064" id="docshape78" coordorigin="5242,2685" coordsize="3183,2064" path="m5714,3945l5242,3945,5242,4748,5714,4748,5714,3945xm8424,2685l7951,2685,7951,4748,8424,4748,8424,2685xe" filled="true" fillcolor="#4f81bd" stroked="false">
                  <v:path arrowok="t"/>
                  <v:fill type="solid"/>
                </v:shape>
                <v:rect style="position:absolute;left:5841;top:4436;width:473;height:312" id="docshape79" filled="true" fillcolor="#c0504d" stroked="false">
                  <v:fill type="solid"/>
                </v:rect>
                <v:rect style="position:absolute;left:9153;top:4172;width:473;height:576" id="docshape80" filled="true" fillcolor="#9bbb59" stroked="false">
                  <v:fill type="solid"/>
                </v:rect>
                <v:rect style="position:absolute;left:1932;top:5114;width:99;height:99" id="docshape81" filled="true" fillcolor="#4f81bd" stroked="false">
                  <v:fill type="solid"/>
                </v:rect>
                <v:rect style="position:absolute;left:1932;top:5401;width:99;height:99" id="docshape82" filled="true" fillcolor="#c0504d" stroked="false">
                  <v:fill type="solid"/>
                </v:rect>
                <v:rect style="position:absolute;left:1932;top:5908;width:99;height:99" id="docshape83" filled="true" fillcolor="#9bbb59" stroked="false">
                  <v:fill type="solid"/>
                </v:rect>
                <v:rect style="position:absolute;left:2125;top:6545;width:99;height:99" id="docshape84" filled="true" fillcolor="#4f81bd" stroked="false">
                  <v:fill type="solid"/>
                </v:rect>
                <v:rect style="position:absolute;left:2980;top:6545;width:99;height:99" id="docshape85" filled="true" fillcolor="#c0504d" stroked="false">
                  <v:fill type="solid"/>
                </v:rect>
                <v:rect style="position:absolute;left:6144;top:6545;width:99;height:99" id="docshape86" filled="true" fillcolor="#9bbb59" stroked="false">
                  <v:fill type="solid"/>
                </v:rect>
                <v:rect style="position:absolute;left:1528;top:2128;width:8835;height:4755" id="docshape87" filled="false" stroked="true" strokeweight=".75pt" strokecolor="#dadada">
                  <v:stroke dashstyle="solid"/>
                </v:rect>
                <v:shape style="position:absolute;left:4282;top:2264;width:294;height:2580" type="#_x0000_t202" id="docshape88" filled="false" stroked="false">
                  <v:textbox inset="0,0,0,0">
                    <w:txbxContent>
                      <w:p>
                        <w:pPr>
                          <w:spacing w:line="183" w:lineRule="exact" w:before="0"/>
                          <w:ind w:left="0" w:right="18" w:firstLine="0"/>
                          <w:jc w:val="right"/>
                          <w:rPr>
                            <w:rFonts w:ascii="Calibri"/>
                            <w:sz w:val="18"/>
                          </w:rPr>
                        </w:pPr>
                        <w:r>
                          <w:rPr>
                            <w:rFonts w:ascii="Calibri"/>
                            <w:color w:val="595958"/>
                            <w:spacing w:val="-5"/>
                            <w:sz w:val="18"/>
                          </w:rPr>
                          <w:t>200</w:t>
                        </w:r>
                      </w:p>
                      <w:p>
                        <w:pPr>
                          <w:spacing w:before="20"/>
                          <w:ind w:left="0" w:right="18" w:firstLine="0"/>
                          <w:jc w:val="right"/>
                          <w:rPr>
                            <w:rFonts w:ascii="Calibri"/>
                            <w:sz w:val="18"/>
                          </w:rPr>
                        </w:pPr>
                        <w:r>
                          <w:rPr>
                            <w:rFonts w:ascii="Calibri"/>
                            <w:color w:val="595958"/>
                            <w:spacing w:val="-5"/>
                            <w:sz w:val="18"/>
                          </w:rPr>
                          <w:t>180</w:t>
                        </w:r>
                      </w:p>
                      <w:p>
                        <w:pPr>
                          <w:spacing w:before="20"/>
                          <w:ind w:left="0" w:right="18" w:firstLine="0"/>
                          <w:jc w:val="right"/>
                          <w:rPr>
                            <w:rFonts w:ascii="Calibri"/>
                            <w:sz w:val="18"/>
                          </w:rPr>
                        </w:pPr>
                        <w:r>
                          <w:rPr>
                            <w:rFonts w:ascii="Calibri"/>
                            <w:color w:val="595958"/>
                            <w:spacing w:val="-5"/>
                            <w:sz w:val="18"/>
                          </w:rPr>
                          <w:t>160</w:t>
                        </w:r>
                      </w:p>
                      <w:p>
                        <w:pPr>
                          <w:spacing w:before="20"/>
                          <w:ind w:left="0" w:right="18" w:firstLine="0"/>
                          <w:jc w:val="right"/>
                          <w:rPr>
                            <w:rFonts w:ascii="Calibri"/>
                            <w:sz w:val="18"/>
                          </w:rPr>
                        </w:pPr>
                        <w:r>
                          <w:rPr>
                            <w:rFonts w:ascii="Calibri"/>
                            <w:color w:val="595958"/>
                            <w:spacing w:val="-5"/>
                            <w:sz w:val="18"/>
                          </w:rPr>
                          <w:t>140</w:t>
                        </w:r>
                      </w:p>
                      <w:p>
                        <w:pPr>
                          <w:spacing w:before="21"/>
                          <w:ind w:left="0" w:right="18" w:firstLine="0"/>
                          <w:jc w:val="right"/>
                          <w:rPr>
                            <w:rFonts w:ascii="Calibri"/>
                            <w:sz w:val="18"/>
                          </w:rPr>
                        </w:pPr>
                        <w:r>
                          <w:rPr>
                            <w:rFonts w:ascii="Calibri"/>
                            <w:color w:val="595958"/>
                            <w:spacing w:val="-5"/>
                            <w:sz w:val="18"/>
                          </w:rPr>
                          <w:t>120</w:t>
                        </w:r>
                      </w:p>
                      <w:p>
                        <w:pPr>
                          <w:spacing w:before="20"/>
                          <w:ind w:left="0" w:right="18" w:firstLine="0"/>
                          <w:jc w:val="right"/>
                          <w:rPr>
                            <w:rFonts w:ascii="Calibri"/>
                            <w:sz w:val="18"/>
                          </w:rPr>
                        </w:pPr>
                        <w:r>
                          <w:rPr>
                            <w:rFonts w:ascii="Calibri"/>
                            <w:color w:val="595958"/>
                            <w:spacing w:val="-5"/>
                            <w:sz w:val="18"/>
                          </w:rPr>
                          <w:t>100</w:t>
                        </w:r>
                      </w:p>
                      <w:p>
                        <w:pPr>
                          <w:spacing w:before="20"/>
                          <w:ind w:left="0" w:right="18" w:firstLine="0"/>
                          <w:jc w:val="right"/>
                          <w:rPr>
                            <w:rFonts w:ascii="Calibri"/>
                            <w:sz w:val="18"/>
                          </w:rPr>
                        </w:pPr>
                        <w:r>
                          <w:rPr>
                            <w:rFonts w:ascii="Calibri"/>
                            <w:color w:val="595958"/>
                            <w:spacing w:val="-5"/>
                            <w:sz w:val="18"/>
                          </w:rPr>
                          <w:t>80</w:t>
                        </w:r>
                      </w:p>
                      <w:p>
                        <w:pPr>
                          <w:spacing w:before="20"/>
                          <w:ind w:left="0" w:right="18" w:firstLine="0"/>
                          <w:jc w:val="right"/>
                          <w:rPr>
                            <w:rFonts w:ascii="Calibri"/>
                            <w:sz w:val="18"/>
                          </w:rPr>
                        </w:pPr>
                        <w:r>
                          <w:rPr>
                            <w:rFonts w:ascii="Calibri"/>
                            <w:color w:val="595958"/>
                            <w:spacing w:val="-5"/>
                            <w:sz w:val="18"/>
                          </w:rPr>
                          <w:t>60</w:t>
                        </w:r>
                      </w:p>
                      <w:p>
                        <w:pPr>
                          <w:spacing w:before="20"/>
                          <w:ind w:left="0" w:right="18" w:firstLine="0"/>
                          <w:jc w:val="right"/>
                          <w:rPr>
                            <w:rFonts w:ascii="Calibri"/>
                            <w:sz w:val="18"/>
                          </w:rPr>
                        </w:pPr>
                        <w:r>
                          <w:rPr>
                            <w:rFonts w:ascii="Calibri"/>
                            <w:color w:val="595958"/>
                            <w:spacing w:val="-5"/>
                            <w:sz w:val="18"/>
                          </w:rPr>
                          <w:t>40</w:t>
                        </w:r>
                      </w:p>
                      <w:p>
                        <w:pPr>
                          <w:spacing w:before="21"/>
                          <w:ind w:left="0" w:right="18" w:firstLine="0"/>
                          <w:jc w:val="right"/>
                          <w:rPr>
                            <w:rFonts w:ascii="Calibri"/>
                            <w:sz w:val="18"/>
                          </w:rPr>
                        </w:pPr>
                        <w:r>
                          <w:rPr>
                            <w:rFonts w:ascii="Calibri"/>
                            <w:color w:val="595958"/>
                            <w:spacing w:val="-5"/>
                            <w:sz w:val="18"/>
                          </w:rPr>
                          <w:t>20</w:t>
                        </w:r>
                      </w:p>
                      <w:p>
                        <w:pPr>
                          <w:spacing w:line="216" w:lineRule="exact" w:before="20"/>
                          <w:ind w:left="0" w:right="18" w:firstLine="0"/>
                          <w:jc w:val="right"/>
                          <w:rPr>
                            <w:rFonts w:ascii="Calibri"/>
                            <w:sz w:val="18"/>
                          </w:rPr>
                        </w:pPr>
                        <w:r>
                          <w:rPr>
                            <w:rFonts w:ascii="Calibri"/>
                            <w:color w:val="595958"/>
                            <w:spacing w:val="-10"/>
                            <w:sz w:val="18"/>
                          </w:rPr>
                          <w:t>0</w:t>
                        </w:r>
                      </w:p>
                    </w:txbxContent>
                  </v:textbox>
                  <w10:wrap type="none"/>
                </v:shape>
                <v:shape style="position:absolute;left:4723;top:2410;width:5441;height:180" type="#_x0000_t202" id="docshape89" filled="false" stroked="false">
                  <v:textbox inset="0,0,0,0">
                    <w:txbxContent>
                      <w:p>
                        <w:pPr>
                          <w:tabs>
                            <w:tab w:pos="3327" w:val="left" w:leader="none"/>
                            <w:tab w:pos="5420"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172</w:t>
                        </w:r>
                        <w:r>
                          <w:rPr>
                            <w:rFonts w:ascii="Calibri"/>
                            <w:color w:val="3E3E3E"/>
                            <w:sz w:val="18"/>
                            <w:u w:val="single" w:color="DADADA"/>
                          </w:rPr>
                          <w:tab/>
                        </w:r>
                      </w:p>
                    </w:txbxContent>
                  </v:textbox>
                  <w10:wrap type="none"/>
                </v:shape>
                <v:shape style="position:absolute;left:5386;top:3669;width:203;height:180" type="#_x0000_t202" id="docshape90"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67</w:t>
                        </w:r>
                      </w:p>
                    </w:txbxContent>
                  </v:textbox>
                  <w10:wrap type="none"/>
                </v:shape>
                <v:shape style="position:absolute;left:9297;top:3897;width:203;height:180" type="#_x0000_t202" id="docshape91"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48</w:t>
                        </w:r>
                      </w:p>
                    </w:txbxContent>
                  </v:textbox>
                  <w10:wrap type="none"/>
                </v:shape>
                <v:shape style="position:absolute;left:5986;top:4161;width:203;height:180" type="#_x0000_t202" id="docshape92"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26</w:t>
                        </w:r>
                      </w:p>
                    </w:txbxContent>
                  </v:textbox>
                  <w10:wrap type="none"/>
                </v:shape>
                <v:shape style="position:absolute;left:6587;top:4197;width:203;height:180" type="#_x0000_t202" id="docshape93"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23</w:t>
                        </w:r>
                      </w:p>
                    </w:txbxContent>
                  </v:textbox>
                  <w10:wrap type="none"/>
                </v:shape>
                <v:shape style="position:absolute;left:8697;top:4233;width:203;height:180" type="#_x0000_t202" id="docshape94"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20</w:t>
                        </w:r>
                      </w:p>
                    </w:txbxContent>
                  </v:textbox>
                  <w10:wrap type="none"/>
                </v:shape>
                <v:shape style="position:absolute;left:2266;top:6510;width:7553;height:180" type="#_x0000_t202" id="docshape95" filled="false" stroked="false">
                  <v:textbox inset="0,0,0,0">
                    <w:txbxContent>
                      <w:p>
                        <w:pPr>
                          <w:tabs>
                            <w:tab w:pos="854" w:val="left" w:leader="none"/>
                            <w:tab w:pos="4018" w:val="left" w:leader="none"/>
                          </w:tabs>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r>
                          <w:rPr>
                            <w:rFonts w:ascii="Calibri" w:hAnsi="Calibri"/>
                            <w:color w:val="595958"/>
                            <w:sz w:val="18"/>
                          </w:rPr>
                          <w:tab/>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r>
                          <w:rPr>
                            <w:rFonts w:ascii="Calibri" w:hAnsi="Calibri"/>
                            <w:color w:val="595958"/>
                            <w:sz w:val="18"/>
                          </w:rPr>
                          <w:tab/>
                          <w:t>N</w:t>
                        </w:r>
                        <w:r>
                          <w:rPr>
                            <w:rFonts w:ascii="Calibri" w:hAnsi="Calibri"/>
                            <w:color w:val="595958"/>
                            <w:spacing w:val="-5"/>
                            <w:sz w:val="18"/>
                          </w:rPr>
                          <w:t> </w:t>
                        </w:r>
                        <w:r>
                          <w:rPr>
                            <w:rFonts w:ascii="Calibri" w:hAnsi="Calibri"/>
                            <w:color w:val="595958"/>
                            <w:sz w:val="18"/>
                          </w:rPr>
                          <w:t>окрашенных</w:t>
                        </w:r>
                        <w:r>
                          <w:rPr>
                            <w:rFonts w:ascii="Calibri" w:hAnsi="Calibri"/>
                            <w:color w:val="595958"/>
                            <w:spacing w:val="76"/>
                            <w:sz w:val="18"/>
                          </w:rPr>
                          <w:t> </w:t>
                        </w:r>
                        <w:r>
                          <w:rPr>
                            <w:rFonts w:ascii="Calibri" w:hAnsi="Calibri"/>
                            <w:color w:val="595958"/>
                            <w:sz w:val="18"/>
                          </w:rPr>
                          <w:t>LumiTracker</w:t>
                        </w:r>
                        <w:r>
                          <w:rPr>
                            <w:rFonts w:ascii="Calibri" w:hAnsi="Calibri"/>
                            <w:color w:val="595958"/>
                            <w:spacing w:val="-3"/>
                            <w:sz w:val="18"/>
                          </w:rPr>
                          <w:t> </w:t>
                        </w:r>
                        <w:r>
                          <w:rPr>
                            <w:rFonts w:ascii="Calibri" w:hAnsi="Calibri"/>
                            <w:color w:val="595958"/>
                            <w:sz w:val="18"/>
                          </w:rPr>
                          <w:t>Mito Red </w:t>
                        </w:r>
                        <w:r>
                          <w:rPr>
                            <w:rFonts w:ascii="Calibri" w:hAnsi="Calibri"/>
                            <w:color w:val="595958"/>
                            <w:spacing w:val="-2"/>
                            <w:sz w:val="18"/>
                          </w:rPr>
                          <w:t>CMXRos</w:t>
                        </w:r>
                      </w:p>
                    </w:txbxContent>
                  </v:textbox>
                  <w10:wrap type="none"/>
                </v:shape>
                <w10:wrap type="none"/>
              </v:group>
            </w:pict>
          </mc:Fallback>
        </mc:AlternateContent>
      </w:r>
      <w:r>
        <w:rPr/>
        <w:t>(MitoTracker Green FM). При окраске митохондрий LumiTracker Mito Red CMXRos доля сперматозоидов с активными митохондриями составила 34,33% (N=23) в эксперименте против 27,91% (N=48) в контроле. Относительно небольшое число подсчитанных сперматозоидов продиктовано низкой концентрацией</w:t>
      </w:r>
      <w:r>
        <w:rPr>
          <w:spacing w:val="40"/>
        </w:rPr>
        <w:t> </w:t>
      </w:r>
      <w:r>
        <w:rPr/>
        <w:t>сперматозоидов в единице объема исследуемого образца.</w:t>
      </w: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179" w:after="1"/>
        <w:jc w:val="left"/>
        <w:rPr>
          <w:sz w:val="20"/>
        </w:rPr>
      </w:pPr>
    </w:p>
    <w:tbl>
      <w:tblPr>
        <w:tblW w:w="0" w:type="auto"/>
        <w:jc w:val="left"/>
        <w:tblInd w:w="1168" w:type="dxa"/>
        <w:tblBorders>
          <w:top w:val="single" w:sz="51" w:space="0" w:color="FFFFFF"/>
          <w:left w:val="single" w:sz="51" w:space="0" w:color="FFFFFF"/>
          <w:bottom w:val="single" w:sz="51" w:space="0" w:color="FFFFFF"/>
          <w:right w:val="single" w:sz="51" w:space="0" w:color="FFFFFF"/>
          <w:insideH w:val="single" w:sz="51" w:space="0" w:color="FFFFFF"/>
          <w:insideV w:val="single" w:sz="51" w:space="0" w:color="FFFFFF"/>
        </w:tblBorders>
        <w:tblLayout w:type="fixed"/>
        <w:tblCellMar>
          <w:top w:w="0" w:type="dxa"/>
          <w:left w:w="0" w:type="dxa"/>
          <w:bottom w:w="0" w:type="dxa"/>
          <w:right w:w="0" w:type="dxa"/>
        </w:tblCellMar>
        <w:tblLook w:val="01E0"/>
      </w:tblPr>
      <w:tblGrid>
        <w:gridCol w:w="2855"/>
        <w:gridCol w:w="1055"/>
        <w:gridCol w:w="600"/>
        <w:gridCol w:w="536"/>
        <w:gridCol w:w="518"/>
        <w:gridCol w:w="1054"/>
        <w:gridCol w:w="536"/>
        <w:gridCol w:w="64"/>
        <w:gridCol w:w="1054"/>
      </w:tblGrid>
      <w:tr>
        <w:trPr>
          <w:trHeight w:val="224" w:hRule="atLeast"/>
        </w:trPr>
        <w:tc>
          <w:tcPr>
            <w:tcW w:w="3910" w:type="dxa"/>
            <w:gridSpan w:val="2"/>
            <w:tcBorders>
              <w:top w:val="nil"/>
              <w:left w:val="nil"/>
              <w:bottom w:val="nil"/>
            </w:tcBorders>
          </w:tcPr>
          <w:p>
            <w:pPr>
              <w:pStyle w:val="TableParagraph"/>
              <w:rPr>
                <w:sz w:val="16"/>
              </w:rPr>
            </w:pPr>
          </w:p>
        </w:tc>
        <w:tc>
          <w:tcPr>
            <w:tcW w:w="600" w:type="dxa"/>
            <w:tcBorders>
              <w:top w:val="nil"/>
              <w:bottom w:val="single" w:sz="6" w:space="0" w:color="DADADA"/>
            </w:tcBorders>
            <w:shd w:val="clear" w:color="auto" w:fill="C0504D"/>
          </w:tcPr>
          <w:p>
            <w:pPr>
              <w:pStyle w:val="TableParagraph"/>
              <w:rPr>
                <w:sz w:val="16"/>
              </w:rPr>
            </w:pPr>
          </w:p>
        </w:tc>
        <w:tc>
          <w:tcPr>
            <w:tcW w:w="536" w:type="dxa"/>
            <w:tcBorders>
              <w:top w:val="nil"/>
              <w:bottom w:val="single" w:sz="6" w:space="0" w:color="DADADA"/>
              <w:right w:val="nil"/>
            </w:tcBorders>
            <w:shd w:val="clear" w:color="auto" w:fill="9BBB59"/>
          </w:tcPr>
          <w:p>
            <w:pPr>
              <w:pStyle w:val="TableParagraph"/>
              <w:rPr>
                <w:sz w:val="16"/>
              </w:rPr>
            </w:pPr>
          </w:p>
        </w:tc>
        <w:tc>
          <w:tcPr>
            <w:tcW w:w="1572" w:type="dxa"/>
            <w:gridSpan w:val="2"/>
            <w:tcBorders>
              <w:top w:val="nil"/>
              <w:left w:val="nil"/>
              <w:bottom w:val="single" w:sz="6" w:space="0" w:color="DADADA"/>
            </w:tcBorders>
          </w:tcPr>
          <w:p>
            <w:pPr>
              <w:pStyle w:val="TableParagraph"/>
              <w:rPr>
                <w:sz w:val="16"/>
              </w:rPr>
            </w:pPr>
          </w:p>
        </w:tc>
        <w:tc>
          <w:tcPr>
            <w:tcW w:w="536" w:type="dxa"/>
            <w:tcBorders>
              <w:top w:val="single" w:sz="6" w:space="0" w:color="DADADA"/>
              <w:bottom w:val="single" w:sz="6" w:space="0" w:color="DADADA"/>
              <w:right w:val="nil"/>
            </w:tcBorders>
            <w:shd w:val="clear" w:color="auto" w:fill="C0504D"/>
          </w:tcPr>
          <w:p>
            <w:pPr>
              <w:pStyle w:val="TableParagraph"/>
              <w:rPr>
                <w:sz w:val="16"/>
              </w:rPr>
            </w:pPr>
          </w:p>
        </w:tc>
        <w:tc>
          <w:tcPr>
            <w:tcW w:w="64" w:type="dxa"/>
            <w:tcBorders>
              <w:top w:val="single" w:sz="6" w:space="0" w:color="DADADA"/>
              <w:left w:val="nil"/>
              <w:bottom w:val="single" w:sz="6" w:space="0" w:color="DADADA"/>
              <w:right w:val="single" w:sz="52" w:space="0" w:color="FFFFFF"/>
            </w:tcBorders>
            <w:shd w:val="clear" w:color="auto" w:fill="C0504D"/>
          </w:tcPr>
          <w:p>
            <w:pPr>
              <w:pStyle w:val="TableParagraph"/>
              <w:rPr>
                <w:sz w:val="16"/>
              </w:rPr>
            </w:pPr>
          </w:p>
        </w:tc>
        <w:tc>
          <w:tcPr>
            <w:tcW w:w="1054" w:type="dxa"/>
            <w:tcBorders>
              <w:top w:val="nil"/>
              <w:left w:val="single" w:sz="52" w:space="0" w:color="FFFFFF"/>
              <w:bottom w:val="single" w:sz="6" w:space="0" w:color="DADADA"/>
              <w:right w:val="nil"/>
            </w:tcBorders>
          </w:tcPr>
          <w:p>
            <w:pPr>
              <w:pStyle w:val="TableParagraph"/>
              <w:rPr>
                <w:sz w:val="16"/>
              </w:rPr>
            </w:pPr>
          </w:p>
        </w:tc>
      </w:tr>
      <w:tr>
        <w:trPr>
          <w:trHeight w:val="261" w:hRule="atLeast"/>
        </w:trPr>
        <w:tc>
          <w:tcPr>
            <w:tcW w:w="2855" w:type="dxa"/>
            <w:tcBorders>
              <w:top w:val="nil"/>
              <w:left w:val="nil"/>
              <w:bottom w:val="single" w:sz="6" w:space="0" w:color="DADADA"/>
              <w:right w:val="single" w:sz="6" w:space="0" w:color="DADADA"/>
            </w:tcBorders>
          </w:tcPr>
          <w:p>
            <w:pPr>
              <w:pStyle w:val="TableParagraph"/>
              <w:rPr>
                <w:sz w:val="18"/>
              </w:rPr>
            </w:pPr>
          </w:p>
        </w:tc>
        <w:tc>
          <w:tcPr>
            <w:tcW w:w="2709"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0"/>
              <w:ind w:left="539"/>
              <w:rPr>
                <w:rFonts w:ascii="Calibri" w:hAnsi="Calibri"/>
                <w:sz w:val="18"/>
              </w:rPr>
            </w:pPr>
            <w:r>
              <w:rPr>
                <w:rFonts w:ascii="Calibri" w:hAnsi="Calibri"/>
                <w:color w:val="595958"/>
                <w:sz w:val="18"/>
              </w:rPr>
              <w:t>Full,</w:t>
            </w:r>
            <w:r>
              <w:rPr>
                <w:rFonts w:ascii="Calibri" w:hAnsi="Calibri"/>
                <w:color w:val="595958"/>
                <w:spacing w:val="1"/>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1,34</w:t>
            </w:r>
            <w:r>
              <w:rPr>
                <w:rFonts w:ascii="Calibri" w:hAnsi="Calibri"/>
                <w:color w:val="595958"/>
                <w:spacing w:val="-1"/>
                <w:sz w:val="18"/>
              </w:rPr>
              <w:t> </w:t>
            </w:r>
            <w:r>
              <w:rPr>
                <w:rFonts w:ascii="Calibri" w:hAnsi="Calibri"/>
                <w:color w:val="595958"/>
                <w:spacing w:val="-5"/>
                <w:sz w:val="18"/>
              </w:rPr>
              <w:t>Дж</w:t>
            </w:r>
          </w:p>
        </w:tc>
        <w:tc>
          <w:tcPr>
            <w:tcW w:w="2708"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0"/>
              <w:ind w:left="423"/>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tc>
      </w:tr>
      <w:tr>
        <w:trPr>
          <w:trHeight w:val="272" w:hRule="atLeast"/>
        </w:trPr>
        <w:tc>
          <w:tcPr>
            <w:tcW w:w="2855" w:type="dxa"/>
            <w:tcBorders>
              <w:top w:val="single" w:sz="6" w:space="0" w:color="DADADA"/>
              <w:left w:val="single" w:sz="6" w:space="0" w:color="DADADA"/>
              <w:bottom w:val="single" w:sz="6" w:space="0" w:color="DADADA"/>
              <w:right w:val="single" w:sz="6" w:space="0" w:color="DADADA"/>
            </w:tcBorders>
          </w:tcPr>
          <w:p>
            <w:pPr>
              <w:pStyle w:val="TableParagraph"/>
              <w:spacing w:before="10"/>
              <w:ind w:left="204"/>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tc>
        <w:tc>
          <w:tcPr>
            <w:tcW w:w="2709"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5"/>
              <w:ind w:left="15"/>
              <w:jc w:val="center"/>
              <w:rPr>
                <w:rFonts w:ascii="Calibri"/>
                <w:sz w:val="18"/>
              </w:rPr>
            </w:pPr>
            <w:r>
              <w:rPr>
                <w:rFonts w:ascii="Calibri"/>
                <w:color w:val="595958"/>
                <w:spacing w:val="-5"/>
                <w:sz w:val="18"/>
              </w:rPr>
              <w:t>67</w:t>
            </w:r>
          </w:p>
        </w:tc>
        <w:tc>
          <w:tcPr>
            <w:tcW w:w="2708"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5"/>
              <w:ind w:left="19"/>
              <w:jc w:val="center"/>
              <w:rPr>
                <w:rFonts w:ascii="Calibri"/>
                <w:sz w:val="18"/>
              </w:rPr>
            </w:pPr>
            <w:r>
              <w:rPr>
                <w:rFonts w:ascii="Calibri"/>
                <w:color w:val="595958"/>
                <w:spacing w:val="-5"/>
                <w:sz w:val="18"/>
              </w:rPr>
              <w:t>172</w:t>
            </w:r>
          </w:p>
        </w:tc>
      </w:tr>
      <w:tr>
        <w:trPr>
          <w:trHeight w:val="491" w:hRule="atLeast"/>
        </w:trPr>
        <w:tc>
          <w:tcPr>
            <w:tcW w:w="2855" w:type="dxa"/>
            <w:tcBorders>
              <w:top w:val="single" w:sz="6" w:space="0" w:color="DADADA"/>
              <w:left w:val="single" w:sz="6" w:space="0" w:color="DADADA"/>
              <w:bottom w:val="single" w:sz="6" w:space="0" w:color="DADADA"/>
              <w:right w:val="single" w:sz="6" w:space="0" w:color="DADADA"/>
            </w:tcBorders>
          </w:tcPr>
          <w:p>
            <w:pPr>
              <w:pStyle w:val="TableParagraph"/>
              <w:spacing w:before="10"/>
              <w:ind w:left="1365" w:hanging="1160"/>
              <w:rPr>
                <w:rFonts w:ascii="Calibri" w:hAnsi="Calibri"/>
                <w:sz w:val="18"/>
              </w:rPr>
            </w:pPr>
            <w:r>
              <w:rPr>
                <w:rFonts w:ascii="Calibri" w:hAnsi="Calibri"/>
                <w:color w:val="595958"/>
                <w:sz w:val="18"/>
              </w:rPr>
              <w:t>N</w:t>
            </w:r>
            <w:r>
              <w:rPr>
                <w:rFonts w:ascii="Calibri" w:hAnsi="Calibri"/>
                <w:color w:val="595958"/>
                <w:spacing w:val="-11"/>
                <w:sz w:val="18"/>
              </w:rPr>
              <w:t> </w:t>
            </w:r>
            <w:r>
              <w:rPr>
                <w:rFonts w:ascii="Calibri" w:hAnsi="Calibri"/>
                <w:color w:val="595958"/>
                <w:sz w:val="18"/>
              </w:rPr>
              <w:t>окрашенных</w:t>
            </w:r>
            <w:r>
              <w:rPr>
                <w:rFonts w:ascii="Calibri" w:hAnsi="Calibri"/>
                <w:color w:val="595958"/>
                <w:spacing w:val="-10"/>
                <w:sz w:val="18"/>
              </w:rPr>
              <w:t> </w:t>
            </w:r>
            <w:r>
              <w:rPr>
                <w:rFonts w:ascii="Calibri" w:hAnsi="Calibri"/>
                <w:color w:val="595958"/>
                <w:sz w:val="18"/>
              </w:rPr>
              <w:t>MitoTracker</w:t>
            </w:r>
            <w:r>
              <w:rPr>
                <w:rFonts w:ascii="Calibri" w:hAnsi="Calibri"/>
                <w:color w:val="595958"/>
                <w:spacing w:val="-10"/>
                <w:sz w:val="18"/>
              </w:rPr>
              <w:t> </w:t>
            </w:r>
            <w:r>
              <w:rPr>
                <w:rFonts w:ascii="Calibri" w:hAnsi="Calibri"/>
                <w:color w:val="595958"/>
                <w:sz w:val="18"/>
              </w:rPr>
              <w:t>Green </w:t>
            </w:r>
            <w:r>
              <w:rPr>
                <w:rFonts w:ascii="Calibri" w:hAnsi="Calibri"/>
                <w:color w:val="595958"/>
                <w:spacing w:val="-6"/>
                <w:sz w:val="18"/>
              </w:rPr>
              <w:t>FM</w:t>
            </w:r>
          </w:p>
        </w:tc>
        <w:tc>
          <w:tcPr>
            <w:tcW w:w="2709"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25"/>
              <w:ind w:left="15"/>
              <w:jc w:val="center"/>
              <w:rPr>
                <w:rFonts w:ascii="Calibri"/>
                <w:sz w:val="18"/>
              </w:rPr>
            </w:pPr>
            <w:r>
              <w:rPr>
                <w:rFonts w:ascii="Calibri"/>
                <w:color w:val="595958"/>
                <w:spacing w:val="-5"/>
                <w:sz w:val="18"/>
              </w:rPr>
              <w:t>26</w:t>
            </w:r>
          </w:p>
        </w:tc>
        <w:tc>
          <w:tcPr>
            <w:tcW w:w="2708"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25"/>
              <w:ind w:left="19"/>
              <w:jc w:val="center"/>
              <w:rPr>
                <w:rFonts w:ascii="Calibri"/>
                <w:sz w:val="18"/>
              </w:rPr>
            </w:pPr>
            <w:r>
              <w:rPr>
                <w:rFonts w:ascii="Calibri"/>
                <w:color w:val="595958"/>
                <w:spacing w:val="-5"/>
                <w:sz w:val="18"/>
              </w:rPr>
              <w:t>20</w:t>
            </w:r>
          </w:p>
        </w:tc>
      </w:tr>
      <w:tr>
        <w:trPr>
          <w:trHeight w:val="491" w:hRule="atLeast"/>
        </w:trPr>
        <w:tc>
          <w:tcPr>
            <w:tcW w:w="2855" w:type="dxa"/>
            <w:tcBorders>
              <w:top w:val="single" w:sz="6" w:space="0" w:color="DADADA"/>
              <w:left w:val="single" w:sz="6" w:space="0" w:color="DADADA"/>
              <w:bottom w:val="single" w:sz="6" w:space="0" w:color="DADADA"/>
              <w:right w:val="single" w:sz="6" w:space="0" w:color="DADADA"/>
            </w:tcBorders>
          </w:tcPr>
          <w:p>
            <w:pPr>
              <w:pStyle w:val="TableParagraph"/>
              <w:spacing w:before="10"/>
              <w:ind w:left="1010" w:hanging="807"/>
              <w:rPr>
                <w:rFonts w:ascii="Calibri" w:hAnsi="Calibri"/>
                <w:sz w:val="18"/>
              </w:rPr>
            </w:pPr>
            <w:r>
              <w:rPr>
                <w:rFonts w:ascii="Calibri" w:hAnsi="Calibri"/>
                <w:color w:val="595958"/>
                <w:sz w:val="18"/>
              </w:rPr>
              <w:t>N</w:t>
            </w:r>
            <w:r>
              <w:rPr>
                <w:rFonts w:ascii="Calibri" w:hAnsi="Calibri"/>
                <w:color w:val="595958"/>
                <w:spacing w:val="-9"/>
                <w:sz w:val="18"/>
              </w:rPr>
              <w:t> </w:t>
            </w:r>
            <w:r>
              <w:rPr>
                <w:rFonts w:ascii="Calibri" w:hAnsi="Calibri"/>
                <w:color w:val="595958"/>
                <w:sz w:val="18"/>
              </w:rPr>
              <w:t>окрашенных</w:t>
            </w:r>
            <w:r>
              <w:rPr>
                <w:rFonts w:ascii="Calibri" w:hAnsi="Calibri"/>
                <w:color w:val="595958"/>
                <w:spacing w:val="58"/>
                <w:sz w:val="18"/>
              </w:rPr>
              <w:t> </w:t>
            </w:r>
            <w:r>
              <w:rPr>
                <w:rFonts w:ascii="Calibri" w:hAnsi="Calibri"/>
                <w:color w:val="595958"/>
                <w:sz w:val="18"/>
              </w:rPr>
              <w:t>LumiTracker</w:t>
            </w:r>
            <w:r>
              <w:rPr>
                <w:rFonts w:ascii="Calibri" w:hAnsi="Calibri"/>
                <w:color w:val="595958"/>
                <w:spacing w:val="-9"/>
                <w:sz w:val="18"/>
              </w:rPr>
              <w:t> </w:t>
            </w:r>
            <w:r>
              <w:rPr>
                <w:rFonts w:ascii="Calibri" w:hAnsi="Calibri"/>
                <w:color w:val="595958"/>
                <w:sz w:val="18"/>
              </w:rPr>
              <w:t>Mito Red</w:t>
            </w:r>
            <w:r>
              <w:rPr>
                <w:rFonts w:ascii="Calibri" w:hAnsi="Calibri"/>
                <w:color w:val="595958"/>
                <w:spacing w:val="-2"/>
                <w:sz w:val="18"/>
              </w:rPr>
              <w:t> </w:t>
            </w:r>
            <w:r>
              <w:rPr>
                <w:rFonts w:ascii="Calibri" w:hAnsi="Calibri"/>
                <w:color w:val="595958"/>
                <w:sz w:val="18"/>
              </w:rPr>
              <w:t>CMXRos</w:t>
            </w:r>
          </w:p>
        </w:tc>
        <w:tc>
          <w:tcPr>
            <w:tcW w:w="2709"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25"/>
              <w:ind w:left="15"/>
              <w:jc w:val="center"/>
              <w:rPr>
                <w:rFonts w:ascii="Calibri"/>
                <w:sz w:val="18"/>
              </w:rPr>
            </w:pPr>
            <w:r>
              <w:rPr>
                <w:rFonts w:ascii="Calibri"/>
                <w:color w:val="595958"/>
                <w:spacing w:val="-5"/>
                <w:sz w:val="18"/>
              </w:rPr>
              <w:t>23</w:t>
            </w:r>
          </w:p>
        </w:tc>
        <w:tc>
          <w:tcPr>
            <w:tcW w:w="2708" w:type="dxa"/>
            <w:gridSpan w:val="4"/>
            <w:tcBorders>
              <w:top w:val="single" w:sz="6" w:space="0" w:color="DADADA"/>
              <w:left w:val="single" w:sz="6" w:space="0" w:color="DADADA"/>
              <w:bottom w:val="single" w:sz="6" w:space="0" w:color="DADADA"/>
              <w:right w:val="single" w:sz="6" w:space="0" w:color="DADADA"/>
            </w:tcBorders>
          </w:tcPr>
          <w:p>
            <w:pPr>
              <w:pStyle w:val="TableParagraph"/>
              <w:spacing w:before="125"/>
              <w:ind w:left="19"/>
              <w:jc w:val="center"/>
              <w:rPr>
                <w:rFonts w:ascii="Calibri"/>
                <w:sz w:val="18"/>
              </w:rPr>
            </w:pPr>
            <w:r>
              <w:rPr>
                <w:rFonts w:ascii="Calibri"/>
                <w:color w:val="595958"/>
                <w:spacing w:val="-5"/>
                <w:sz w:val="18"/>
              </w:rPr>
              <w:t>48</w:t>
            </w:r>
          </w:p>
        </w:tc>
      </w:tr>
    </w:tbl>
    <w:p>
      <w:pPr>
        <w:pStyle w:val="BodyText"/>
        <w:spacing w:before="268"/>
        <w:jc w:val="left"/>
      </w:pPr>
    </w:p>
    <w:p>
      <w:pPr>
        <w:pStyle w:val="BodyText"/>
        <w:spacing w:line="256" w:lineRule="auto"/>
        <w:ind w:left="71" w:right="348"/>
        <w:jc w:val="center"/>
        <w:rPr>
          <w:sz w:val="24"/>
        </w:rPr>
      </w:pPr>
      <w:r>
        <w:rPr/>
        <w:t>Рисунок</w:t>
      </w:r>
      <w:r>
        <w:rPr>
          <w:spacing w:val="-7"/>
        </w:rPr>
        <w:t> </w:t>
      </w:r>
      <w:r>
        <w:rPr/>
        <w:t>42</w:t>
      </w:r>
      <w:r>
        <w:rPr>
          <w:spacing w:val="-6"/>
        </w:rPr>
        <w:t> </w:t>
      </w:r>
      <w:r>
        <w:rPr>
          <w:rFonts w:ascii="Arial MT" w:hAnsi="Arial MT"/>
          <w:color w:val="454545"/>
          <w:sz w:val="21"/>
        </w:rPr>
        <w:t>—</w:t>
      </w:r>
      <w:r>
        <w:rPr>
          <w:rFonts w:ascii="Arial MT" w:hAnsi="Arial MT"/>
          <w:color w:val="454545"/>
          <w:spacing w:val="-4"/>
          <w:sz w:val="21"/>
        </w:rPr>
        <w:t> </w:t>
      </w:r>
      <w:r>
        <w:rPr/>
        <w:t>Результаты</w:t>
      </w:r>
      <w:r>
        <w:rPr>
          <w:spacing w:val="-4"/>
        </w:rPr>
        <w:t> </w:t>
      </w:r>
      <w:r>
        <w:rPr/>
        <w:t>прижизненной</w:t>
      </w:r>
      <w:r>
        <w:rPr>
          <w:spacing w:val="-4"/>
        </w:rPr>
        <w:t> </w:t>
      </w:r>
      <w:r>
        <w:rPr/>
        <w:t>окраски</w:t>
      </w:r>
      <w:r>
        <w:rPr>
          <w:spacing w:val="-4"/>
        </w:rPr>
        <w:t> </w:t>
      </w:r>
      <w:r>
        <w:rPr/>
        <w:t>митохондрий</w:t>
      </w:r>
      <w:r>
        <w:rPr>
          <w:spacing w:val="-4"/>
        </w:rPr>
        <w:t> </w:t>
      </w:r>
      <w:r>
        <w:rPr/>
        <w:t>митотрекерами</w:t>
      </w:r>
      <w:r>
        <w:rPr>
          <w:spacing w:val="-6"/>
        </w:rPr>
        <w:t> </w:t>
      </w:r>
      <w:r>
        <w:rPr/>
        <w:t>после обработки эякулята сочетанием длин волн 400-750, 651, 933 соответствующих источникам: монохроматические светодиоды, лазер и инфракрасный светодиод соответственно, 5 минут, </w:t>
      </w:r>
      <w:r>
        <w:rPr>
          <w:sz w:val="24"/>
        </w:rPr>
        <w:t>1,34 Дж</w:t>
      </w:r>
    </w:p>
    <w:p>
      <w:pPr>
        <w:pStyle w:val="BodyText"/>
        <w:jc w:val="left"/>
        <w:rPr>
          <w:sz w:val="20"/>
        </w:rPr>
      </w:pPr>
    </w:p>
    <w:p>
      <w:pPr>
        <w:pStyle w:val="BodyText"/>
        <w:spacing w:before="190"/>
        <w:jc w:val="left"/>
        <w:rPr>
          <w:sz w:val="20"/>
        </w:rPr>
      </w:pPr>
      <w:r>
        <w:rPr>
          <w:sz w:val="20"/>
        </w:rPr>
        <mc:AlternateContent>
          <mc:Choice Requires="wps">
            <w:drawing>
              <wp:anchor distT="0" distB="0" distL="0" distR="0" allowOverlap="1" layoutInCell="1" locked="0" behindDoc="1" simplePos="0" relativeHeight="487614976">
                <wp:simplePos x="0" y="0"/>
                <wp:positionH relativeFrom="page">
                  <wp:posOffset>985202</wp:posOffset>
                </wp:positionH>
                <wp:positionV relativeFrom="paragraph">
                  <wp:posOffset>282272</wp:posOffset>
                </wp:positionV>
                <wp:extent cx="5943600" cy="2857500"/>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5943600" cy="2857500"/>
                          <a:chExt cx="5943600" cy="2857500"/>
                        </a:xfrm>
                      </wpg:grpSpPr>
                      <wps:wsp>
                        <wps:cNvPr id="145" name="Graphic 145"/>
                        <wps:cNvSpPr/>
                        <wps:spPr>
                          <a:xfrm>
                            <a:off x="2183530" y="443471"/>
                            <a:ext cx="3615690" cy="1043940"/>
                          </a:xfrm>
                          <a:custGeom>
                            <a:avLst/>
                            <a:gdLst/>
                            <a:ahLst/>
                            <a:cxnLst/>
                            <a:rect l="l" t="t" r="r" b="b"/>
                            <a:pathLst>
                              <a:path w="3615690" h="1043940">
                                <a:moveTo>
                                  <a:pt x="2869355" y="1043939"/>
                                </a:moveTo>
                                <a:lnTo>
                                  <a:pt x="2954699" y="1043939"/>
                                </a:lnTo>
                              </a:path>
                              <a:path w="3615690" h="1043940">
                                <a:moveTo>
                                  <a:pt x="2468543" y="1043939"/>
                                </a:moveTo>
                                <a:lnTo>
                                  <a:pt x="2553887" y="1043939"/>
                                </a:lnTo>
                              </a:path>
                              <a:path w="3615690" h="1043940">
                                <a:moveTo>
                                  <a:pt x="0" y="1043939"/>
                                </a:moveTo>
                                <a:lnTo>
                                  <a:pt x="345611" y="1043939"/>
                                </a:lnTo>
                              </a:path>
                              <a:path w="3615690" h="1043940">
                                <a:moveTo>
                                  <a:pt x="1061891" y="1043939"/>
                                </a:moveTo>
                                <a:lnTo>
                                  <a:pt x="1147235" y="1043939"/>
                                </a:lnTo>
                              </a:path>
                              <a:path w="3615690" h="1043940">
                                <a:moveTo>
                                  <a:pt x="1462703" y="1043939"/>
                                </a:moveTo>
                                <a:lnTo>
                                  <a:pt x="2153075" y="1043939"/>
                                </a:lnTo>
                              </a:path>
                              <a:path w="3615690" h="1043940">
                                <a:moveTo>
                                  <a:pt x="661079" y="1043939"/>
                                </a:moveTo>
                                <a:lnTo>
                                  <a:pt x="746423" y="1043939"/>
                                </a:lnTo>
                              </a:path>
                              <a:path w="3615690" h="1043940">
                                <a:moveTo>
                                  <a:pt x="3270167" y="1043939"/>
                                </a:moveTo>
                                <a:lnTo>
                                  <a:pt x="3615601" y="1043939"/>
                                </a:lnTo>
                              </a:path>
                              <a:path w="3615690" h="1043940">
                                <a:moveTo>
                                  <a:pt x="3270167" y="894588"/>
                                </a:moveTo>
                                <a:lnTo>
                                  <a:pt x="3615601" y="894588"/>
                                </a:lnTo>
                              </a:path>
                              <a:path w="3615690" h="1043940">
                                <a:moveTo>
                                  <a:pt x="2869355" y="894588"/>
                                </a:moveTo>
                                <a:lnTo>
                                  <a:pt x="2954699" y="894588"/>
                                </a:lnTo>
                              </a:path>
                              <a:path w="3615690" h="1043940">
                                <a:moveTo>
                                  <a:pt x="0" y="894588"/>
                                </a:moveTo>
                                <a:lnTo>
                                  <a:pt x="345611" y="894588"/>
                                </a:lnTo>
                              </a:path>
                              <a:path w="3615690" h="1043940">
                                <a:moveTo>
                                  <a:pt x="2468543" y="894588"/>
                                </a:moveTo>
                                <a:lnTo>
                                  <a:pt x="2553887" y="894588"/>
                                </a:lnTo>
                              </a:path>
                              <a:path w="3615690" h="1043940">
                                <a:moveTo>
                                  <a:pt x="1462703" y="894588"/>
                                </a:moveTo>
                                <a:lnTo>
                                  <a:pt x="2153075" y="894588"/>
                                </a:lnTo>
                              </a:path>
                              <a:path w="3615690" h="1043940">
                                <a:moveTo>
                                  <a:pt x="1061891" y="894588"/>
                                </a:moveTo>
                                <a:lnTo>
                                  <a:pt x="1147235" y="894588"/>
                                </a:lnTo>
                              </a:path>
                              <a:path w="3615690" h="1043940">
                                <a:moveTo>
                                  <a:pt x="661079" y="894588"/>
                                </a:moveTo>
                                <a:lnTo>
                                  <a:pt x="746423" y="894588"/>
                                </a:lnTo>
                              </a:path>
                              <a:path w="3615690" h="1043940">
                                <a:moveTo>
                                  <a:pt x="2869355" y="745236"/>
                                </a:moveTo>
                                <a:lnTo>
                                  <a:pt x="2954699" y="745236"/>
                                </a:lnTo>
                              </a:path>
                              <a:path w="3615690" h="1043940">
                                <a:moveTo>
                                  <a:pt x="1462703" y="745236"/>
                                </a:moveTo>
                                <a:lnTo>
                                  <a:pt x="2153075" y="745236"/>
                                </a:lnTo>
                              </a:path>
                              <a:path w="3615690" h="1043940">
                                <a:moveTo>
                                  <a:pt x="0" y="745236"/>
                                </a:moveTo>
                                <a:lnTo>
                                  <a:pt x="345611" y="745236"/>
                                </a:lnTo>
                              </a:path>
                              <a:path w="3615690" h="1043940">
                                <a:moveTo>
                                  <a:pt x="2468543" y="745236"/>
                                </a:moveTo>
                                <a:lnTo>
                                  <a:pt x="2553887" y="745236"/>
                                </a:lnTo>
                              </a:path>
                              <a:path w="3615690" h="1043940">
                                <a:moveTo>
                                  <a:pt x="661079" y="745236"/>
                                </a:moveTo>
                                <a:lnTo>
                                  <a:pt x="1147235" y="745236"/>
                                </a:lnTo>
                              </a:path>
                              <a:path w="3615690" h="1043940">
                                <a:moveTo>
                                  <a:pt x="3270167" y="745236"/>
                                </a:moveTo>
                                <a:lnTo>
                                  <a:pt x="3615601" y="745236"/>
                                </a:lnTo>
                              </a:path>
                              <a:path w="3615690" h="1043940">
                                <a:moveTo>
                                  <a:pt x="1462703" y="595884"/>
                                </a:moveTo>
                                <a:lnTo>
                                  <a:pt x="2153075" y="595884"/>
                                </a:lnTo>
                              </a:path>
                              <a:path w="3615690" h="1043940">
                                <a:moveTo>
                                  <a:pt x="2468543" y="595884"/>
                                </a:moveTo>
                                <a:lnTo>
                                  <a:pt x="3615601" y="595884"/>
                                </a:lnTo>
                              </a:path>
                              <a:path w="3615690" h="1043940">
                                <a:moveTo>
                                  <a:pt x="0" y="595884"/>
                                </a:moveTo>
                                <a:lnTo>
                                  <a:pt x="345611" y="595884"/>
                                </a:lnTo>
                              </a:path>
                              <a:path w="3615690" h="1043940">
                                <a:moveTo>
                                  <a:pt x="661079" y="595884"/>
                                </a:moveTo>
                                <a:lnTo>
                                  <a:pt x="1147235" y="595884"/>
                                </a:lnTo>
                              </a:path>
                              <a:path w="3615690" h="1043940">
                                <a:moveTo>
                                  <a:pt x="2468543" y="446531"/>
                                </a:moveTo>
                                <a:lnTo>
                                  <a:pt x="3615601" y="446531"/>
                                </a:lnTo>
                              </a:path>
                              <a:path w="3615690" h="1043940">
                                <a:moveTo>
                                  <a:pt x="0" y="446531"/>
                                </a:moveTo>
                                <a:lnTo>
                                  <a:pt x="345611" y="446531"/>
                                </a:lnTo>
                              </a:path>
                              <a:path w="3615690" h="1043940">
                                <a:moveTo>
                                  <a:pt x="661079" y="446531"/>
                                </a:moveTo>
                                <a:lnTo>
                                  <a:pt x="2153075" y="446531"/>
                                </a:lnTo>
                              </a:path>
                              <a:path w="3615690" h="1043940">
                                <a:moveTo>
                                  <a:pt x="0" y="297179"/>
                                </a:moveTo>
                                <a:lnTo>
                                  <a:pt x="345611" y="297179"/>
                                </a:lnTo>
                              </a:path>
                              <a:path w="3615690" h="1043940">
                                <a:moveTo>
                                  <a:pt x="661079" y="297179"/>
                                </a:moveTo>
                                <a:lnTo>
                                  <a:pt x="2153075" y="297179"/>
                                </a:lnTo>
                              </a:path>
                              <a:path w="3615690" h="1043940">
                                <a:moveTo>
                                  <a:pt x="2468543" y="297179"/>
                                </a:moveTo>
                                <a:lnTo>
                                  <a:pt x="3615601" y="297179"/>
                                </a:lnTo>
                              </a:path>
                              <a:path w="3615690" h="1043940">
                                <a:moveTo>
                                  <a:pt x="0" y="147827"/>
                                </a:moveTo>
                                <a:lnTo>
                                  <a:pt x="345611" y="147827"/>
                                </a:lnTo>
                              </a:path>
                              <a:path w="3615690" h="1043940">
                                <a:moveTo>
                                  <a:pt x="661079" y="147827"/>
                                </a:moveTo>
                                <a:lnTo>
                                  <a:pt x="2153075" y="147827"/>
                                </a:lnTo>
                              </a:path>
                              <a:path w="3615690" h="1043940">
                                <a:moveTo>
                                  <a:pt x="2468543" y="147827"/>
                                </a:moveTo>
                                <a:lnTo>
                                  <a:pt x="3615601" y="147827"/>
                                </a:lnTo>
                              </a:path>
                              <a:path w="3615690" h="1043940">
                                <a:moveTo>
                                  <a:pt x="0" y="0"/>
                                </a:moveTo>
                                <a:lnTo>
                                  <a:pt x="345611" y="0"/>
                                </a:lnTo>
                              </a:path>
                              <a:path w="3615690" h="1043940">
                                <a:moveTo>
                                  <a:pt x="661079" y="0"/>
                                </a:moveTo>
                                <a:lnTo>
                                  <a:pt x="2153075" y="0"/>
                                </a:lnTo>
                              </a:path>
                              <a:path w="3615690" h="1043940">
                                <a:moveTo>
                                  <a:pt x="2468543" y="0"/>
                                </a:moveTo>
                                <a:lnTo>
                                  <a:pt x="3615601" y="0"/>
                                </a:lnTo>
                              </a:path>
                            </a:pathLst>
                          </a:custGeom>
                          <a:ln w="9525">
                            <a:solidFill>
                              <a:srgbClr val="DADADA"/>
                            </a:solidFill>
                            <a:prstDash val="solid"/>
                          </a:ln>
                        </wps:spPr>
                        <wps:bodyPr wrap="square" lIns="0" tIns="0" rIns="0" bIns="0" rtlCol="0">
                          <a:prstTxWarp prst="textNoShape">
                            <a:avLst/>
                          </a:prstTxWarp>
                          <a:noAutofit/>
                        </wps:bodyPr>
                      </wps:wsp>
                      <wps:wsp>
                        <wps:cNvPr id="146" name="Graphic 146"/>
                        <wps:cNvSpPr/>
                        <wps:spPr>
                          <a:xfrm>
                            <a:off x="2183530" y="144462"/>
                            <a:ext cx="3615690" cy="1270"/>
                          </a:xfrm>
                          <a:custGeom>
                            <a:avLst/>
                            <a:gdLst/>
                            <a:ahLst/>
                            <a:cxnLst/>
                            <a:rect l="l" t="t" r="r" b="b"/>
                            <a:pathLst>
                              <a:path w="3615690" h="0">
                                <a:moveTo>
                                  <a:pt x="0" y="0"/>
                                </a:moveTo>
                                <a:lnTo>
                                  <a:pt x="3615601" y="0"/>
                                </a:lnTo>
                              </a:path>
                            </a:pathLst>
                          </a:custGeom>
                          <a:ln w="9525">
                            <a:solidFill>
                              <a:srgbClr val="DADADA"/>
                            </a:solidFill>
                            <a:prstDash val="solid"/>
                          </a:ln>
                        </wps:spPr>
                        <wps:bodyPr wrap="square" lIns="0" tIns="0" rIns="0" bIns="0" rtlCol="0">
                          <a:prstTxWarp prst="textNoShape">
                            <a:avLst/>
                          </a:prstTxWarp>
                          <a:noAutofit/>
                        </wps:bodyPr>
                      </wps:wsp>
                      <wps:wsp>
                        <wps:cNvPr id="147" name="Graphic 147"/>
                        <wps:cNvSpPr/>
                        <wps:spPr>
                          <a:xfrm>
                            <a:off x="2529141" y="323075"/>
                            <a:ext cx="2123440" cy="1313815"/>
                          </a:xfrm>
                          <a:custGeom>
                            <a:avLst/>
                            <a:gdLst/>
                            <a:ahLst/>
                            <a:cxnLst/>
                            <a:rect l="l" t="t" r="r" b="b"/>
                            <a:pathLst>
                              <a:path w="2123440" h="1313815">
                                <a:moveTo>
                                  <a:pt x="315468" y="59436"/>
                                </a:moveTo>
                                <a:lnTo>
                                  <a:pt x="0" y="59436"/>
                                </a:lnTo>
                                <a:lnTo>
                                  <a:pt x="0" y="1313230"/>
                                </a:lnTo>
                                <a:lnTo>
                                  <a:pt x="315468" y="1313230"/>
                                </a:lnTo>
                                <a:lnTo>
                                  <a:pt x="315468" y="59436"/>
                                </a:lnTo>
                                <a:close/>
                              </a:path>
                              <a:path w="2123440" h="1313815">
                                <a:moveTo>
                                  <a:pt x="2122932" y="0"/>
                                </a:moveTo>
                                <a:lnTo>
                                  <a:pt x="1807464" y="0"/>
                                </a:lnTo>
                                <a:lnTo>
                                  <a:pt x="1807464" y="1313230"/>
                                </a:lnTo>
                                <a:lnTo>
                                  <a:pt x="2122932" y="1313230"/>
                                </a:lnTo>
                                <a:lnTo>
                                  <a:pt x="2122932" y="0"/>
                                </a:lnTo>
                                <a:close/>
                              </a:path>
                            </a:pathLst>
                          </a:custGeom>
                          <a:solidFill>
                            <a:srgbClr val="4F81BD"/>
                          </a:solidFill>
                        </wps:spPr>
                        <wps:bodyPr wrap="square" lIns="0" tIns="0" rIns="0" bIns="0" rtlCol="0">
                          <a:prstTxWarp prst="textNoShape">
                            <a:avLst/>
                          </a:prstTxWarp>
                          <a:noAutofit/>
                        </wps:bodyPr>
                      </wps:wsp>
                      <wps:wsp>
                        <wps:cNvPr id="148" name="Graphic 148"/>
                        <wps:cNvSpPr/>
                        <wps:spPr>
                          <a:xfrm>
                            <a:off x="2929953" y="1054595"/>
                            <a:ext cx="2123440" cy="582295"/>
                          </a:xfrm>
                          <a:custGeom>
                            <a:avLst/>
                            <a:gdLst/>
                            <a:ahLst/>
                            <a:cxnLst/>
                            <a:rect l="l" t="t" r="r" b="b"/>
                            <a:pathLst>
                              <a:path w="2123440" h="582295">
                                <a:moveTo>
                                  <a:pt x="315455" y="164592"/>
                                </a:moveTo>
                                <a:lnTo>
                                  <a:pt x="0" y="164592"/>
                                </a:lnTo>
                                <a:lnTo>
                                  <a:pt x="0" y="581710"/>
                                </a:lnTo>
                                <a:lnTo>
                                  <a:pt x="315455" y="581710"/>
                                </a:lnTo>
                                <a:lnTo>
                                  <a:pt x="315455" y="164592"/>
                                </a:lnTo>
                                <a:close/>
                              </a:path>
                              <a:path w="2123440" h="582295">
                                <a:moveTo>
                                  <a:pt x="2122932" y="0"/>
                                </a:moveTo>
                                <a:lnTo>
                                  <a:pt x="1807464" y="0"/>
                                </a:lnTo>
                                <a:lnTo>
                                  <a:pt x="1807464" y="581710"/>
                                </a:lnTo>
                                <a:lnTo>
                                  <a:pt x="2122932" y="581710"/>
                                </a:lnTo>
                                <a:lnTo>
                                  <a:pt x="2122932" y="0"/>
                                </a:lnTo>
                                <a:close/>
                              </a:path>
                            </a:pathLst>
                          </a:custGeom>
                          <a:solidFill>
                            <a:srgbClr val="C0504D"/>
                          </a:solidFill>
                        </wps:spPr>
                        <wps:bodyPr wrap="square" lIns="0" tIns="0" rIns="0" bIns="0" rtlCol="0">
                          <a:prstTxWarp prst="textNoShape">
                            <a:avLst/>
                          </a:prstTxWarp>
                          <a:noAutofit/>
                        </wps:bodyPr>
                      </wps:wsp>
                      <wps:wsp>
                        <wps:cNvPr id="149" name="Graphic 149"/>
                        <wps:cNvSpPr/>
                        <wps:spPr>
                          <a:xfrm>
                            <a:off x="3330765" y="1024115"/>
                            <a:ext cx="2123440" cy="612775"/>
                          </a:xfrm>
                          <a:custGeom>
                            <a:avLst/>
                            <a:gdLst/>
                            <a:ahLst/>
                            <a:cxnLst/>
                            <a:rect l="l" t="t" r="r" b="b"/>
                            <a:pathLst>
                              <a:path w="2123440" h="612775">
                                <a:moveTo>
                                  <a:pt x="315455" y="0"/>
                                </a:moveTo>
                                <a:lnTo>
                                  <a:pt x="0" y="0"/>
                                </a:lnTo>
                                <a:lnTo>
                                  <a:pt x="0" y="612190"/>
                                </a:lnTo>
                                <a:lnTo>
                                  <a:pt x="315455" y="612190"/>
                                </a:lnTo>
                                <a:lnTo>
                                  <a:pt x="315455" y="0"/>
                                </a:lnTo>
                                <a:close/>
                              </a:path>
                              <a:path w="2123440" h="612775">
                                <a:moveTo>
                                  <a:pt x="2122932" y="15240"/>
                                </a:moveTo>
                                <a:lnTo>
                                  <a:pt x="1807464" y="15240"/>
                                </a:lnTo>
                                <a:lnTo>
                                  <a:pt x="1807464" y="612190"/>
                                </a:lnTo>
                                <a:lnTo>
                                  <a:pt x="2122932" y="612190"/>
                                </a:lnTo>
                                <a:lnTo>
                                  <a:pt x="2122932" y="15240"/>
                                </a:lnTo>
                                <a:close/>
                              </a:path>
                            </a:pathLst>
                          </a:custGeom>
                          <a:solidFill>
                            <a:srgbClr val="9BBB59"/>
                          </a:solidFill>
                        </wps:spPr>
                        <wps:bodyPr wrap="square" lIns="0" tIns="0" rIns="0" bIns="0" rtlCol="0">
                          <a:prstTxWarp prst="textNoShape">
                            <a:avLst/>
                          </a:prstTxWarp>
                          <a:noAutofit/>
                        </wps:bodyPr>
                      </wps:wsp>
                      <wps:wsp>
                        <wps:cNvPr id="150" name="Graphic 150"/>
                        <wps:cNvSpPr/>
                        <wps:spPr>
                          <a:xfrm>
                            <a:off x="2183530" y="1636310"/>
                            <a:ext cx="3615690" cy="175895"/>
                          </a:xfrm>
                          <a:custGeom>
                            <a:avLst/>
                            <a:gdLst/>
                            <a:ahLst/>
                            <a:cxnLst/>
                            <a:rect l="l" t="t" r="r" b="b"/>
                            <a:pathLst>
                              <a:path w="3615690" h="175895">
                                <a:moveTo>
                                  <a:pt x="0" y="0"/>
                                </a:moveTo>
                                <a:lnTo>
                                  <a:pt x="3615601" y="0"/>
                                </a:lnTo>
                              </a:path>
                              <a:path w="3615690" h="175895">
                                <a:moveTo>
                                  <a:pt x="0" y="0"/>
                                </a:moveTo>
                                <a:lnTo>
                                  <a:pt x="3615601" y="0"/>
                                </a:lnTo>
                              </a:path>
                              <a:path w="3615690" h="175895">
                                <a:moveTo>
                                  <a:pt x="0" y="0"/>
                                </a:moveTo>
                                <a:lnTo>
                                  <a:pt x="0" y="175793"/>
                                </a:lnTo>
                              </a:path>
                              <a:path w="3615690" h="175895">
                                <a:moveTo>
                                  <a:pt x="1807133" y="0"/>
                                </a:moveTo>
                                <a:lnTo>
                                  <a:pt x="1807133" y="175793"/>
                                </a:lnTo>
                              </a:path>
                              <a:path w="3615690" h="175895">
                                <a:moveTo>
                                  <a:pt x="3615601" y="0"/>
                                </a:moveTo>
                                <a:lnTo>
                                  <a:pt x="3615601" y="175793"/>
                                </a:lnTo>
                              </a:path>
                            </a:pathLst>
                          </a:custGeom>
                          <a:ln w="9525">
                            <a:solidFill>
                              <a:srgbClr val="DADADA"/>
                            </a:solidFill>
                            <a:prstDash val="solid"/>
                          </a:ln>
                        </wps:spPr>
                        <wps:bodyPr wrap="square" lIns="0" tIns="0" rIns="0" bIns="0" rtlCol="0">
                          <a:prstTxWarp prst="textNoShape">
                            <a:avLst/>
                          </a:prstTxWarp>
                          <a:noAutofit/>
                        </wps:bodyPr>
                      </wps:wsp>
                      <wps:wsp>
                        <wps:cNvPr id="151" name="Graphic 151"/>
                        <wps:cNvSpPr/>
                        <wps:spPr>
                          <a:xfrm>
                            <a:off x="220661" y="1812099"/>
                            <a:ext cx="5578475" cy="182880"/>
                          </a:xfrm>
                          <a:custGeom>
                            <a:avLst/>
                            <a:gdLst/>
                            <a:ahLst/>
                            <a:cxnLst/>
                            <a:rect l="l" t="t" r="r" b="b"/>
                            <a:pathLst>
                              <a:path w="5578475" h="182880">
                                <a:moveTo>
                                  <a:pt x="0" y="0"/>
                                </a:moveTo>
                                <a:lnTo>
                                  <a:pt x="5578475" y="0"/>
                                </a:lnTo>
                              </a:path>
                              <a:path w="5578475" h="182880">
                                <a:moveTo>
                                  <a:pt x="0" y="0"/>
                                </a:moveTo>
                                <a:lnTo>
                                  <a:pt x="0" y="182371"/>
                                </a:lnTo>
                              </a:path>
                              <a:path w="5578475" h="182880">
                                <a:moveTo>
                                  <a:pt x="1962531" y="0"/>
                                </a:moveTo>
                                <a:lnTo>
                                  <a:pt x="1962531" y="182371"/>
                                </a:lnTo>
                              </a:path>
                              <a:path w="5578475" h="182880">
                                <a:moveTo>
                                  <a:pt x="1962531" y="0"/>
                                </a:moveTo>
                                <a:lnTo>
                                  <a:pt x="1962531" y="182371"/>
                                </a:lnTo>
                              </a:path>
                              <a:path w="5578475" h="182880">
                                <a:moveTo>
                                  <a:pt x="3769995" y="0"/>
                                </a:moveTo>
                                <a:lnTo>
                                  <a:pt x="3769995" y="182371"/>
                                </a:lnTo>
                              </a:path>
                              <a:path w="5578475" h="182880">
                                <a:moveTo>
                                  <a:pt x="3769995" y="0"/>
                                </a:moveTo>
                                <a:lnTo>
                                  <a:pt x="3769995" y="182371"/>
                                </a:lnTo>
                              </a:path>
                              <a:path w="5578475" h="182880">
                                <a:moveTo>
                                  <a:pt x="5578475" y="0"/>
                                </a:moveTo>
                                <a:lnTo>
                                  <a:pt x="5578475" y="182371"/>
                                </a:lnTo>
                              </a:path>
                              <a:path w="5578475" h="182880">
                                <a:moveTo>
                                  <a:pt x="5578475" y="0"/>
                                </a:moveTo>
                                <a:lnTo>
                                  <a:pt x="5578475" y="182371"/>
                                </a:lnTo>
                              </a:path>
                            </a:pathLst>
                          </a:custGeom>
                          <a:ln w="9525">
                            <a:solidFill>
                              <a:srgbClr val="DADADA"/>
                            </a:solidFill>
                            <a:prstDash val="solid"/>
                          </a:ln>
                        </wps:spPr>
                        <wps:bodyPr wrap="square" lIns="0" tIns="0" rIns="0" bIns="0" rtlCol="0">
                          <a:prstTxWarp prst="textNoShape">
                            <a:avLst/>
                          </a:prstTxWarp>
                          <a:noAutofit/>
                        </wps:bodyPr>
                      </wps:wsp>
                      <wps:wsp>
                        <wps:cNvPr id="152" name="Graphic 152"/>
                        <wps:cNvSpPr/>
                        <wps:spPr>
                          <a:xfrm>
                            <a:off x="261569" y="186881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53" name="Graphic 153"/>
                        <wps:cNvSpPr/>
                        <wps:spPr>
                          <a:xfrm>
                            <a:off x="220661" y="1994470"/>
                            <a:ext cx="5578475" cy="182880"/>
                          </a:xfrm>
                          <a:custGeom>
                            <a:avLst/>
                            <a:gdLst/>
                            <a:ahLst/>
                            <a:cxnLst/>
                            <a:rect l="l" t="t" r="r" b="b"/>
                            <a:pathLst>
                              <a:path w="5578475" h="182880">
                                <a:moveTo>
                                  <a:pt x="0" y="0"/>
                                </a:moveTo>
                                <a:lnTo>
                                  <a:pt x="5578475" y="0"/>
                                </a:lnTo>
                              </a:path>
                              <a:path w="5578475" h="182880">
                                <a:moveTo>
                                  <a:pt x="0" y="0"/>
                                </a:moveTo>
                                <a:lnTo>
                                  <a:pt x="0" y="182372"/>
                                </a:lnTo>
                              </a:path>
                              <a:path w="5578475" h="182880">
                                <a:moveTo>
                                  <a:pt x="1962531" y="0"/>
                                </a:moveTo>
                                <a:lnTo>
                                  <a:pt x="1962531" y="182372"/>
                                </a:lnTo>
                              </a:path>
                              <a:path w="5578475" h="182880">
                                <a:moveTo>
                                  <a:pt x="1962531" y="0"/>
                                </a:moveTo>
                                <a:lnTo>
                                  <a:pt x="1962531" y="182372"/>
                                </a:lnTo>
                              </a:path>
                              <a:path w="5578475" h="182880">
                                <a:moveTo>
                                  <a:pt x="3769995" y="0"/>
                                </a:moveTo>
                                <a:lnTo>
                                  <a:pt x="3769995" y="182372"/>
                                </a:lnTo>
                              </a:path>
                              <a:path w="5578475" h="182880">
                                <a:moveTo>
                                  <a:pt x="3769995" y="0"/>
                                </a:moveTo>
                                <a:lnTo>
                                  <a:pt x="3769995" y="182372"/>
                                </a:lnTo>
                              </a:path>
                              <a:path w="5578475" h="182880">
                                <a:moveTo>
                                  <a:pt x="5578475" y="0"/>
                                </a:moveTo>
                                <a:lnTo>
                                  <a:pt x="5578475" y="182372"/>
                                </a:lnTo>
                              </a:path>
                              <a:path w="5578475" h="182880">
                                <a:moveTo>
                                  <a:pt x="5578475" y="0"/>
                                </a:moveTo>
                                <a:lnTo>
                                  <a:pt x="5578475" y="182372"/>
                                </a:lnTo>
                              </a:path>
                            </a:pathLst>
                          </a:custGeom>
                          <a:ln w="9525">
                            <a:solidFill>
                              <a:srgbClr val="DADADA"/>
                            </a:solidFill>
                            <a:prstDash val="solid"/>
                          </a:ln>
                        </wps:spPr>
                        <wps:bodyPr wrap="square" lIns="0" tIns="0" rIns="0" bIns="0" rtlCol="0">
                          <a:prstTxWarp prst="textNoShape">
                            <a:avLst/>
                          </a:prstTxWarp>
                          <a:noAutofit/>
                        </wps:bodyPr>
                      </wps:wsp>
                      <wps:wsp>
                        <wps:cNvPr id="154" name="Graphic 154"/>
                        <wps:cNvSpPr/>
                        <wps:spPr>
                          <a:xfrm>
                            <a:off x="261569" y="205118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55" name="Graphic 155"/>
                        <wps:cNvSpPr/>
                        <wps:spPr>
                          <a:xfrm>
                            <a:off x="220661" y="2176840"/>
                            <a:ext cx="5578475" cy="321945"/>
                          </a:xfrm>
                          <a:custGeom>
                            <a:avLst/>
                            <a:gdLst/>
                            <a:ahLst/>
                            <a:cxnLst/>
                            <a:rect l="l" t="t" r="r" b="b"/>
                            <a:pathLst>
                              <a:path w="5578475" h="321945">
                                <a:moveTo>
                                  <a:pt x="0" y="0"/>
                                </a:moveTo>
                                <a:lnTo>
                                  <a:pt x="5578475" y="0"/>
                                </a:lnTo>
                              </a:path>
                              <a:path w="5578475" h="321945">
                                <a:moveTo>
                                  <a:pt x="0" y="0"/>
                                </a:moveTo>
                                <a:lnTo>
                                  <a:pt x="0" y="321881"/>
                                </a:lnTo>
                              </a:path>
                              <a:path w="5578475" h="321945">
                                <a:moveTo>
                                  <a:pt x="0" y="321881"/>
                                </a:moveTo>
                                <a:lnTo>
                                  <a:pt x="5578475" y="321881"/>
                                </a:lnTo>
                              </a:path>
                              <a:path w="5578475" h="321945">
                                <a:moveTo>
                                  <a:pt x="1962531" y="0"/>
                                </a:moveTo>
                                <a:lnTo>
                                  <a:pt x="1962531" y="321881"/>
                                </a:lnTo>
                              </a:path>
                              <a:path w="5578475" h="321945">
                                <a:moveTo>
                                  <a:pt x="1962531" y="0"/>
                                </a:moveTo>
                                <a:lnTo>
                                  <a:pt x="1962531" y="321881"/>
                                </a:lnTo>
                              </a:path>
                              <a:path w="5578475" h="321945">
                                <a:moveTo>
                                  <a:pt x="3769995" y="0"/>
                                </a:moveTo>
                                <a:lnTo>
                                  <a:pt x="3769995" y="321881"/>
                                </a:lnTo>
                              </a:path>
                              <a:path w="5578475" h="321945">
                                <a:moveTo>
                                  <a:pt x="3769995" y="0"/>
                                </a:moveTo>
                                <a:lnTo>
                                  <a:pt x="3769995" y="321881"/>
                                </a:lnTo>
                              </a:path>
                              <a:path w="5578475" h="321945">
                                <a:moveTo>
                                  <a:pt x="5578475" y="0"/>
                                </a:moveTo>
                                <a:lnTo>
                                  <a:pt x="5578475" y="321881"/>
                                </a:lnTo>
                              </a:path>
                              <a:path w="5578475" h="321945">
                                <a:moveTo>
                                  <a:pt x="5578475" y="0"/>
                                </a:moveTo>
                                <a:lnTo>
                                  <a:pt x="5578475" y="321881"/>
                                </a:lnTo>
                              </a:path>
                            </a:pathLst>
                          </a:custGeom>
                          <a:ln w="9525">
                            <a:solidFill>
                              <a:srgbClr val="DADADA"/>
                            </a:solidFill>
                            <a:prstDash val="solid"/>
                          </a:ln>
                        </wps:spPr>
                        <wps:bodyPr wrap="square" lIns="0" tIns="0" rIns="0" bIns="0" rtlCol="0">
                          <a:prstTxWarp prst="textNoShape">
                            <a:avLst/>
                          </a:prstTxWarp>
                          <a:noAutofit/>
                        </wps:bodyPr>
                      </wps:wsp>
                      <wps:wsp>
                        <wps:cNvPr id="156" name="Graphic 156"/>
                        <wps:cNvSpPr/>
                        <wps:spPr>
                          <a:xfrm>
                            <a:off x="261569" y="2233561"/>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57" name="Graphic 157"/>
                        <wps:cNvSpPr/>
                        <wps:spPr>
                          <a:xfrm>
                            <a:off x="492620" y="263799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58" name="Graphic 158"/>
                        <wps:cNvSpPr/>
                        <wps:spPr>
                          <a:xfrm>
                            <a:off x="1127772" y="263799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59" name="Graphic 159"/>
                        <wps:cNvSpPr/>
                        <wps:spPr>
                          <a:xfrm>
                            <a:off x="3202774" y="2637993"/>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60" name="Graphic 160"/>
                        <wps:cNvSpPr/>
                        <wps:spPr>
                          <a:xfrm>
                            <a:off x="4762" y="4762"/>
                            <a:ext cx="5934075" cy="2847975"/>
                          </a:xfrm>
                          <a:custGeom>
                            <a:avLst/>
                            <a:gdLst/>
                            <a:ahLst/>
                            <a:cxnLst/>
                            <a:rect l="l" t="t" r="r" b="b"/>
                            <a:pathLst>
                              <a:path w="5934075" h="2847975">
                                <a:moveTo>
                                  <a:pt x="0" y="0"/>
                                </a:moveTo>
                                <a:lnTo>
                                  <a:pt x="5934075" y="0"/>
                                </a:lnTo>
                                <a:lnTo>
                                  <a:pt x="5934075" y="2847975"/>
                                </a:lnTo>
                                <a:lnTo>
                                  <a:pt x="0" y="2847975"/>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161" name="Textbox 161"/>
                        <wps:cNvSpPr txBox="1"/>
                        <wps:spPr>
                          <a:xfrm>
                            <a:off x="3292186" y="2615801"/>
                            <a:ext cx="221869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3"/>
                                  <w:sz w:val="18"/>
                                </w:rPr>
                                <w:t> </w:t>
                              </w:r>
                              <w:r>
                                <w:rPr>
                                  <w:rFonts w:ascii="Calibri" w:hAnsi="Calibri"/>
                                  <w:color w:val="595958"/>
                                  <w:sz w:val="18"/>
                                </w:rPr>
                                <w:t>окрашенных</w:t>
                              </w:r>
                              <w:r>
                                <w:rPr>
                                  <w:rFonts w:ascii="Calibri" w:hAnsi="Calibri"/>
                                  <w:color w:val="595958"/>
                                  <w:spacing w:val="38"/>
                                  <w:sz w:val="18"/>
                                </w:rPr>
                                <w:t> </w:t>
                              </w:r>
                              <w:r>
                                <w:rPr>
                                  <w:rFonts w:ascii="Calibri" w:hAnsi="Calibri"/>
                                  <w:color w:val="595958"/>
                                  <w:sz w:val="18"/>
                                </w:rPr>
                                <w:t>LumiTracker</w:t>
                              </w:r>
                              <w:r>
                                <w:rPr>
                                  <w:rFonts w:ascii="Calibri" w:hAnsi="Calibri"/>
                                  <w:color w:val="595958"/>
                                  <w:spacing w:val="-5"/>
                                  <w:sz w:val="18"/>
                                </w:rPr>
                                <w:t> </w:t>
                              </w:r>
                              <w:r>
                                <w:rPr>
                                  <w:rFonts w:ascii="Calibri" w:hAnsi="Calibri"/>
                                  <w:color w:val="595958"/>
                                  <w:sz w:val="18"/>
                                </w:rPr>
                                <w:t>Mito</w:t>
                              </w:r>
                              <w:r>
                                <w:rPr>
                                  <w:rFonts w:ascii="Calibri" w:hAnsi="Calibri"/>
                                  <w:color w:val="595958"/>
                                  <w:spacing w:val="-1"/>
                                  <w:sz w:val="18"/>
                                </w:rPr>
                                <w:t> </w:t>
                              </w:r>
                              <w:r>
                                <w:rPr>
                                  <w:rFonts w:ascii="Calibri" w:hAnsi="Calibri"/>
                                  <w:color w:val="595958"/>
                                  <w:sz w:val="18"/>
                                </w:rPr>
                                <w:t>Red </w:t>
                              </w:r>
                              <w:r>
                                <w:rPr>
                                  <w:rFonts w:ascii="Calibri" w:hAnsi="Calibri"/>
                                  <w:color w:val="595958"/>
                                  <w:spacing w:val="-2"/>
                                  <w:sz w:val="18"/>
                                </w:rPr>
                                <w:t>CMXRos</w:t>
                              </w:r>
                            </w:p>
                          </w:txbxContent>
                        </wps:txbx>
                        <wps:bodyPr wrap="square" lIns="0" tIns="0" rIns="0" bIns="0" rtlCol="0">
                          <a:noAutofit/>
                        </wps:bodyPr>
                      </wps:wsp>
                      <wps:wsp>
                        <wps:cNvPr id="162" name="Textbox 162"/>
                        <wps:cNvSpPr txBox="1"/>
                        <wps:spPr>
                          <a:xfrm>
                            <a:off x="1217176" y="2615801"/>
                            <a:ext cx="181165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txbxContent>
                        </wps:txbx>
                        <wps:bodyPr wrap="square" lIns="0" tIns="0" rIns="0" bIns="0" rtlCol="0">
                          <a:noAutofit/>
                        </wps:bodyPr>
                      </wps:wsp>
                      <wps:wsp>
                        <wps:cNvPr id="163" name="Textbox 163"/>
                        <wps:cNvSpPr txBox="1"/>
                        <wps:spPr>
                          <a:xfrm>
                            <a:off x="582028" y="2615801"/>
                            <a:ext cx="37211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txbxContent>
                        </wps:txbx>
                        <wps:bodyPr wrap="square" lIns="0" tIns="0" rIns="0" bIns="0" rtlCol="0">
                          <a:noAutofit/>
                        </wps:bodyPr>
                      </wps:wsp>
                      <wps:wsp>
                        <wps:cNvPr id="164" name="Textbox 164"/>
                        <wps:cNvSpPr txBox="1"/>
                        <wps:spPr>
                          <a:xfrm>
                            <a:off x="4837308" y="2284293"/>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40</w:t>
                              </w:r>
                            </w:p>
                          </w:txbxContent>
                        </wps:txbx>
                        <wps:bodyPr wrap="square" lIns="0" tIns="0" rIns="0" bIns="0" rtlCol="0">
                          <a:noAutofit/>
                        </wps:bodyPr>
                      </wps:wsp>
                      <wps:wsp>
                        <wps:cNvPr id="165" name="Textbox 165"/>
                        <wps:cNvSpPr txBox="1"/>
                        <wps:spPr>
                          <a:xfrm>
                            <a:off x="3029539" y="2284293"/>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41</w:t>
                              </w:r>
                            </w:p>
                          </w:txbxContent>
                        </wps:txbx>
                        <wps:bodyPr wrap="square" lIns="0" tIns="0" rIns="0" bIns="0" rtlCol="0">
                          <a:noAutofit/>
                        </wps:bodyPr>
                      </wps:wsp>
                      <wps:wsp>
                        <wps:cNvPr id="166" name="Textbox 166"/>
                        <wps:cNvSpPr txBox="1"/>
                        <wps:spPr>
                          <a:xfrm>
                            <a:off x="4302345" y="1670625"/>
                            <a:ext cx="1196975" cy="476250"/>
                          </a:xfrm>
                          <a:prstGeom prst="rect">
                            <a:avLst/>
                          </a:prstGeom>
                        </wps:spPr>
                        <wps:txbx>
                          <w:txbxContent>
                            <w:p>
                              <w:pPr>
                                <w:spacing w:line="183" w:lineRule="exact" w:before="0"/>
                                <w:ind w:left="-1" w:right="18" w:firstLine="0"/>
                                <w:jc w:val="center"/>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p>
                              <w:pPr>
                                <w:spacing w:before="62"/>
                                <w:ind w:left="4" w:right="18" w:firstLine="0"/>
                                <w:jc w:val="center"/>
                                <w:rPr>
                                  <w:rFonts w:ascii="Calibri"/>
                                  <w:sz w:val="18"/>
                                </w:rPr>
                              </w:pPr>
                              <w:r>
                                <w:rPr>
                                  <w:rFonts w:ascii="Calibri"/>
                                  <w:color w:val="595958"/>
                                  <w:spacing w:val="-5"/>
                                  <w:sz w:val="18"/>
                                </w:rPr>
                                <w:t>88</w:t>
                              </w:r>
                            </w:p>
                            <w:p>
                              <w:pPr>
                                <w:spacing w:line="216" w:lineRule="exact" w:before="67"/>
                                <w:ind w:left="4" w:right="18" w:firstLine="0"/>
                                <w:jc w:val="center"/>
                                <w:rPr>
                                  <w:rFonts w:ascii="Calibri"/>
                                  <w:sz w:val="18"/>
                                </w:rPr>
                              </w:pPr>
                              <w:r>
                                <w:rPr>
                                  <w:rFonts w:ascii="Calibri"/>
                                  <w:color w:val="595958"/>
                                  <w:spacing w:val="-5"/>
                                  <w:sz w:val="18"/>
                                </w:rPr>
                                <w:t>39</w:t>
                              </w:r>
                            </w:p>
                          </w:txbxContent>
                        </wps:txbx>
                        <wps:bodyPr wrap="square" lIns="0" tIns="0" rIns="0" bIns="0" rtlCol="0">
                          <a:noAutofit/>
                        </wps:bodyPr>
                      </wps:wsp>
                      <wps:wsp>
                        <wps:cNvPr id="167" name="Textbox 167"/>
                        <wps:cNvSpPr txBox="1"/>
                        <wps:spPr>
                          <a:xfrm>
                            <a:off x="2607276" y="1670625"/>
                            <a:ext cx="972819" cy="476250"/>
                          </a:xfrm>
                          <a:prstGeom prst="rect">
                            <a:avLst/>
                          </a:prstGeom>
                        </wps:spPr>
                        <wps:txbx>
                          <w:txbxContent>
                            <w:p>
                              <w:pPr>
                                <w:spacing w:line="183" w:lineRule="exact" w:before="0"/>
                                <w:ind w:left="0" w:right="18" w:firstLine="0"/>
                                <w:jc w:val="center"/>
                                <w:rPr>
                                  <w:rFonts w:ascii="Calibri" w:hAnsi="Calibri"/>
                                  <w:sz w:val="18"/>
                                </w:rPr>
                              </w:pPr>
                              <w:r>
                                <w:rPr>
                                  <w:rFonts w:ascii="Calibri" w:hAnsi="Calibri"/>
                                  <w:color w:val="595958"/>
                                  <w:sz w:val="18"/>
                                </w:rPr>
                                <w:t>IR,</w:t>
                              </w:r>
                              <w:r>
                                <w:rPr>
                                  <w:rFonts w:ascii="Calibri" w:hAnsi="Calibri"/>
                                  <w:color w:val="595958"/>
                                  <w:spacing w:val="-2"/>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2"/>
                                  <w:sz w:val="18"/>
                                </w:rPr>
                                <w:t> </w:t>
                              </w:r>
                              <w:r>
                                <w:rPr>
                                  <w:rFonts w:ascii="Calibri" w:hAnsi="Calibri"/>
                                  <w:color w:val="595958"/>
                                  <w:sz w:val="18"/>
                                </w:rPr>
                                <w:t>1,03 </w:t>
                              </w:r>
                              <w:r>
                                <w:rPr>
                                  <w:rFonts w:ascii="Calibri" w:hAnsi="Calibri"/>
                                  <w:color w:val="595958"/>
                                  <w:spacing w:val="-5"/>
                                  <w:sz w:val="18"/>
                                </w:rPr>
                                <w:t>Дж</w:t>
                              </w:r>
                            </w:p>
                            <w:p>
                              <w:pPr>
                                <w:spacing w:before="62"/>
                                <w:ind w:left="0" w:right="17" w:firstLine="0"/>
                                <w:jc w:val="center"/>
                                <w:rPr>
                                  <w:rFonts w:ascii="Calibri"/>
                                  <w:sz w:val="18"/>
                                </w:rPr>
                              </w:pPr>
                              <w:r>
                                <w:rPr>
                                  <w:rFonts w:ascii="Calibri"/>
                                  <w:color w:val="595958"/>
                                  <w:spacing w:val="-5"/>
                                  <w:sz w:val="18"/>
                                </w:rPr>
                                <w:t>84</w:t>
                              </w:r>
                            </w:p>
                            <w:p>
                              <w:pPr>
                                <w:spacing w:line="216" w:lineRule="exact" w:before="67"/>
                                <w:ind w:left="0" w:right="16" w:firstLine="0"/>
                                <w:jc w:val="center"/>
                                <w:rPr>
                                  <w:rFonts w:ascii="Calibri"/>
                                  <w:sz w:val="18"/>
                                </w:rPr>
                              </w:pPr>
                              <w:r>
                                <w:rPr>
                                  <w:rFonts w:ascii="Calibri"/>
                                  <w:color w:val="595958"/>
                                  <w:spacing w:val="-5"/>
                                  <w:sz w:val="18"/>
                                </w:rPr>
                                <w:t>28</w:t>
                              </w:r>
                            </w:p>
                          </w:txbxContent>
                        </wps:txbx>
                        <wps:bodyPr wrap="square" lIns="0" tIns="0" rIns="0" bIns="0" rtlCol="0">
                          <a:noAutofit/>
                        </wps:bodyPr>
                      </wps:wsp>
                      <wps:wsp>
                        <wps:cNvPr id="168" name="Textbox 168"/>
                        <wps:cNvSpPr txBox="1"/>
                        <wps:spPr>
                          <a:xfrm>
                            <a:off x="350029" y="1846629"/>
                            <a:ext cx="1812289" cy="619760"/>
                          </a:xfrm>
                          <a:prstGeom prst="rect">
                            <a:avLst/>
                          </a:prstGeom>
                        </wps:spPr>
                        <wps:txbx>
                          <w:txbxContent>
                            <w:p>
                              <w:pPr>
                                <w:spacing w:line="183"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7"/>
                                <w:ind w:left="1" w:right="0" w:hanging="1"/>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p>
                              <w:pPr>
                                <w:spacing w:before="65"/>
                                <w:ind w:left="1110" w:right="0" w:hanging="1109"/>
                                <w:jc w:val="left"/>
                                <w:rPr>
                                  <w:rFonts w:ascii="Calibri" w:hAnsi="Calibri"/>
                                  <w:sz w:val="18"/>
                                </w:rPr>
                              </w:pPr>
                              <w:r>
                                <w:rPr>
                                  <w:rFonts w:ascii="Calibri" w:hAnsi="Calibri"/>
                                  <w:color w:val="595958"/>
                                  <w:sz w:val="18"/>
                                </w:rPr>
                                <w:t>N</w:t>
                              </w:r>
                              <w:r>
                                <w:rPr>
                                  <w:rFonts w:ascii="Calibri" w:hAnsi="Calibri"/>
                                  <w:color w:val="595958"/>
                                  <w:spacing w:val="-8"/>
                                  <w:sz w:val="18"/>
                                </w:rPr>
                                <w:t> </w:t>
                              </w:r>
                              <w:r>
                                <w:rPr>
                                  <w:rFonts w:ascii="Calibri" w:hAnsi="Calibri"/>
                                  <w:color w:val="595958"/>
                                  <w:sz w:val="18"/>
                                </w:rPr>
                                <w:t>окрашенных</w:t>
                              </w:r>
                              <w:r>
                                <w:rPr>
                                  <w:rFonts w:ascii="Calibri" w:hAnsi="Calibri"/>
                                  <w:color w:val="595958"/>
                                  <w:spacing w:val="26"/>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w:t>
                              </w:r>
                              <w:r>
                                <w:rPr>
                                  <w:rFonts w:ascii="Calibri" w:hAnsi="Calibri"/>
                                  <w:color w:val="595958"/>
                                  <w:spacing w:val="-7"/>
                                  <w:sz w:val="18"/>
                                </w:rPr>
                                <w:t> </w:t>
                              </w:r>
                              <w:r>
                                <w:rPr>
                                  <w:rFonts w:ascii="Calibri" w:hAnsi="Calibri"/>
                                  <w:color w:val="595958"/>
                                  <w:sz w:val="18"/>
                                </w:rPr>
                                <w:t>Red </w:t>
                              </w:r>
                              <w:r>
                                <w:rPr>
                                  <w:rFonts w:ascii="Calibri" w:hAnsi="Calibri"/>
                                  <w:color w:val="595958"/>
                                  <w:spacing w:val="-2"/>
                                  <w:sz w:val="18"/>
                                </w:rPr>
                                <w:t>CMXRos</w:t>
                              </w:r>
                            </w:p>
                          </w:txbxContent>
                        </wps:txbx>
                        <wps:bodyPr wrap="square" lIns="0" tIns="0" rIns="0" bIns="0" rtlCol="0">
                          <a:noAutofit/>
                        </wps:bodyPr>
                      </wps:wsp>
                      <wps:wsp>
                        <wps:cNvPr id="169" name="Textbox 169"/>
                        <wps:cNvSpPr txBox="1"/>
                        <wps:spPr>
                          <a:xfrm>
                            <a:off x="3028853" y="1044481"/>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28</w:t>
                              </w:r>
                            </w:p>
                          </w:txbxContent>
                        </wps:txbx>
                        <wps:bodyPr wrap="square" lIns="0" tIns="0" rIns="0" bIns="0" rtlCol="0">
                          <a:noAutofit/>
                        </wps:bodyPr>
                      </wps:wsp>
                      <wps:wsp>
                        <wps:cNvPr id="170" name="Textbox 170"/>
                        <wps:cNvSpPr txBox="1"/>
                        <wps:spPr>
                          <a:xfrm>
                            <a:off x="5237243" y="865487"/>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40</w:t>
                              </w:r>
                            </w:p>
                          </w:txbxContent>
                        </wps:txbx>
                        <wps:bodyPr wrap="square" lIns="0" tIns="0" rIns="0" bIns="0" rtlCol="0">
                          <a:noAutofit/>
                        </wps:bodyPr>
                      </wps:wsp>
                      <wps:wsp>
                        <wps:cNvPr id="171" name="Textbox 171"/>
                        <wps:cNvSpPr txBox="1"/>
                        <wps:spPr>
                          <a:xfrm>
                            <a:off x="4836622" y="880346"/>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39</w:t>
                              </w:r>
                            </w:p>
                          </w:txbxContent>
                        </wps:txbx>
                        <wps:bodyPr wrap="square" lIns="0" tIns="0" rIns="0" bIns="0" rtlCol="0">
                          <a:noAutofit/>
                        </wps:bodyPr>
                      </wps:wsp>
                      <wps:wsp>
                        <wps:cNvPr id="172" name="Textbox 172"/>
                        <wps:cNvSpPr txBox="1"/>
                        <wps:spPr>
                          <a:xfrm>
                            <a:off x="3429475" y="850513"/>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41</w:t>
                              </w:r>
                            </w:p>
                          </w:txbxContent>
                        </wps:txbx>
                        <wps:bodyPr wrap="square" lIns="0" tIns="0" rIns="0" bIns="0" rtlCol="0">
                          <a:noAutofit/>
                        </wps:bodyPr>
                      </wps:wsp>
                      <wps:wsp>
                        <wps:cNvPr id="173" name="Textbox 173"/>
                        <wps:cNvSpPr txBox="1"/>
                        <wps:spPr>
                          <a:xfrm>
                            <a:off x="4436000" y="149397"/>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88</w:t>
                              </w:r>
                            </w:p>
                          </w:txbxContent>
                        </wps:txbx>
                        <wps:bodyPr wrap="square" lIns="0" tIns="0" rIns="0" bIns="0" rtlCol="0">
                          <a:noAutofit/>
                        </wps:bodyPr>
                      </wps:wsp>
                      <wps:wsp>
                        <wps:cNvPr id="174" name="Textbox 174"/>
                        <wps:cNvSpPr txBox="1"/>
                        <wps:spPr>
                          <a:xfrm>
                            <a:off x="2183530" y="209062"/>
                            <a:ext cx="3628390" cy="114300"/>
                          </a:xfrm>
                          <a:prstGeom prst="rect">
                            <a:avLst/>
                          </a:prstGeom>
                        </wps:spPr>
                        <wps:txbx>
                          <w:txbxContent>
                            <w:p>
                              <w:pPr>
                                <w:tabs>
                                  <w:tab w:pos="700" w:val="left" w:leader="none"/>
                                  <w:tab w:pos="5693"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84</w:t>
                              </w:r>
                              <w:r>
                                <w:rPr>
                                  <w:rFonts w:ascii="Calibri"/>
                                  <w:color w:val="3E3E3E"/>
                                  <w:sz w:val="18"/>
                                  <w:u w:val="single" w:color="DADADA"/>
                                </w:rPr>
                                <w:tab/>
                              </w:r>
                            </w:p>
                          </w:txbxContent>
                        </wps:txbx>
                        <wps:bodyPr wrap="square" lIns="0" tIns="0" rIns="0" bIns="0" rtlCol="0">
                          <a:noAutofit/>
                        </wps:bodyPr>
                      </wps:wsp>
                      <wps:wsp>
                        <wps:cNvPr id="175" name="Textbox 175"/>
                        <wps:cNvSpPr txBox="1"/>
                        <wps:spPr>
                          <a:xfrm>
                            <a:off x="1903455" y="91219"/>
                            <a:ext cx="186690" cy="1605915"/>
                          </a:xfrm>
                          <a:prstGeom prst="rect">
                            <a:avLst/>
                          </a:prstGeom>
                        </wps:spPr>
                        <wps:txbx>
                          <w:txbxContent>
                            <w:p>
                              <w:pPr>
                                <w:spacing w:line="183" w:lineRule="exact" w:before="0"/>
                                <w:ind w:left="0" w:right="0" w:firstLine="0"/>
                                <w:jc w:val="left"/>
                                <w:rPr>
                                  <w:rFonts w:ascii="Calibri"/>
                                  <w:sz w:val="18"/>
                                </w:rPr>
                              </w:pPr>
                              <w:r>
                                <w:rPr>
                                  <w:rFonts w:ascii="Calibri"/>
                                  <w:color w:val="595958"/>
                                  <w:spacing w:val="-5"/>
                                  <w:sz w:val="18"/>
                                </w:rPr>
                                <w:t>100</w:t>
                              </w:r>
                            </w:p>
                            <w:p>
                              <w:pPr>
                                <w:spacing w:before="15"/>
                                <w:ind w:left="91" w:right="0" w:firstLine="0"/>
                                <w:jc w:val="left"/>
                                <w:rPr>
                                  <w:rFonts w:ascii="Calibri"/>
                                  <w:sz w:val="18"/>
                                </w:rPr>
                              </w:pPr>
                              <w:r>
                                <w:rPr>
                                  <w:rFonts w:ascii="Calibri"/>
                                  <w:color w:val="595958"/>
                                  <w:spacing w:val="-5"/>
                                  <w:sz w:val="18"/>
                                </w:rPr>
                                <w:t>90</w:t>
                              </w:r>
                            </w:p>
                            <w:p>
                              <w:pPr>
                                <w:spacing w:before="15"/>
                                <w:ind w:left="91" w:right="0" w:firstLine="0"/>
                                <w:jc w:val="left"/>
                                <w:rPr>
                                  <w:rFonts w:ascii="Calibri"/>
                                  <w:sz w:val="18"/>
                                </w:rPr>
                              </w:pPr>
                              <w:r>
                                <w:rPr>
                                  <w:rFonts w:ascii="Calibri"/>
                                  <w:color w:val="595958"/>
                                  <w:spacing w:val="-5"/>
                                  <w:sz w:val="18"/>
                                </w:rPr>
                                <w:t>80</w:t>
                              </w:r>
                            </w:p>
                            <w:p>
                              <w:pPr>
                                <w:spacing w:before="15"/>
                                <w:ind w:left="91" w:right="0" w:firstLine="0"/>
                                <w:jc w:val="left"/>
                                <w:rPr>
                                  <w:rFonts w:ascii="Calibri"/>
                                  <w:sz w:val="18"/>
                                </w:rPr>
                              </w:pPr>
                              <w:r>
                                <w:rPr>
                                  <w:rFonts w:ascii="Calibri"/>
                                  <w:color w:val="595958"/>
                                  <w:spacing w:val="-5"/>
                                  <w:sz w:val="18"/>
                                </w:rPr>
                                <w:t>70</w:t>
                              </w:r>
                            </w:p>
                            <w:p>
                              <w:pPr>
                                <w:spacing w:before="15"/>
                                <w:ind w:left="91" w:right="0" w:firstLine="0"/>
                                <w:jc w:val="left"/>
                                <w:rPr>
                                  <w:rFonts w:ascii="Calibri"/>
                                  <w:sz w:val="18"/>
                                </w:rPr>
                              </w:pPr>
                              <w:r>
                                <w:rPr>
                                  <w:rFonts w:ascii="Calibri"/>
                                  <w:color w:val="595958"/>
                                  <w:spacing w:val="-5"/>
                                  <w:sz w:val="18"/>
                                </w:rPr>
                                <w:t>60</w:t>
                              </w:r>
                            </w:p>
                            <w:p>
                              <w:pPr>
                                <w:spacing w:before="16"/>
                                <w:ind w:left="91" w:right="0" w:firstLine="0"/>
                                <w:jc w:val="left"/>
                                <w:rPr>
                                  <w:rFonts w:ascii="Calibri"/>
                                  <w:sz w:val="18"/>
                                </w:rPr>
                              </w:pPr>
                              <w:r>
                                <w:rPr>
                                  <w:rFonts w:ascii="Calibri"/>
                                  <w:color w:val="595958"/>
                                  <w:spacing w:val="-5"/>
                                  <w:sz w:val="18"/>
                                </w:rPr>
                                <w:t>50</w:t>
                              </w:r>
                            </w:p>
                            <w:p>
                              <w:pPr>
                                <w:spacing w:before="15"/>
                                <w:ind w:left="91" w:right="0" w:firstLine="0"/>
                                <w:jc w:val="left"/>
                                <w:rPr>
                                  <w:rFonts w:ascii="Calibri"/>
                                  <w:sz w:val="18"/>
                                </w:rPr>
                              </w:pPr>
                              <w:r>
                                <w:rPr>
                                  <w:rFonts w:ascii="Calibri"/>
                                  <w:color w:val="595958"/>
                                  <w:spacing w:val="-5"/>
                                  <w:sz w:val="18"/>
                                </w:rPr>
                                <w:t>40</w:t>
                              </w:r>
                            </w:p>
                            <w:p>
                              <w:pPr>
                                <w:spacing w:before="15"/>
                                <w:ind w:left="91" w:right="0" w:firstLine="0"/>
                                <w:jc w:val="left"/>
                                <w:rPr>
                                  <w:rFonts w:ascii="Calibri"/>
                                  <w:sz w:val="18"/>
                                </w:rPr>
                              </w:pPr>
                              <w:r>
                                <w:rPr>
                                  <w:rFonts w:ascii="Calibri"/>
                                  <w:color w:val="595958"/>
                                  <w:spacing w:val="-5"/>
                                  <w:sz w:val="18"/>
                                </w:rPr>
                                <w:t>30</w:t>
                              </w:r>
                            </w:p>
                            <w:p>
                              <w:pPr>
                                <w:spacing w:before="15"/>
                                <w:ind w:left="91" w:right="0" w:firstLine="0"/>
                                <w:jc w:val="left"/>
                                <w:rPr>
                                  <w:rFonts w:ascii="Calibri"/>
                                  <w:sz w:val="18"/>
                                </w:rPr>
                              </w:pPr>
                              <w:r>
                                <w:rPr>
                                  <w:rFonts w:ascii="Calibri"/>
                                  <w:color w:val="595958"/>
                                  <w:spacing w:val="-5"/>
                                  <w:sz w:val="18"/>
                                </w:rPr>
                                <w:t>20</w:t>
                              </w:r>
                            </w:p>
                            <w:p>
                              <w:pPr>
                                <w:spacing w:before="15"/>
                                <w:ind w:left="91" w:right="0" w:firstLine="0"/>
                                <w:jc w:val="left"/>
                                <w:rPr>
                                  <w:rFonts w:ascii="Calibri"/>
                                  <w:sz w:val="18"/>
                                </w:rPr>
                              </w:pPr>
                              <w:r>
                                <w:rPr>
                                  <w:rFonts w:ascii="Calibri"/>
                                  <w:color w:val="595958"/>
                                  <w:spacing w:val="-5"/>
                                  <w:sz w:val="18"/>
                                </w:rPr>
                                <w:t>10</w:t>
                              </w:r>
                            </w:p>
                            <w:p>
                              <w:pPr>
                                <w:spacing w:line="216" w:lineRule="exact" w:before="15"/>
                                <w:ind w:left="182" w:right="0" w:firstLine="0"/>
                                <w:jc w:val="left"/>
                                <w:rPr>
                                  <w:rFonts w:ascii="Calibri"/>
                                  <w:sz w:val="18"/>
                                </w:rPr>
                              </w:pPr>
                              <w:r>
                                <w:rPr>
                                  <w:rFonts w:ascii="Calibri"/>
                                  <w:color w:val="595958"/>
                                  <w:spacing w:val="-10"/>
                                  <w:sz w:val="18"/>
                                </w:rPr>
                                <w:t>0</w:t>
                              </w:r>
                            </w:p>
                          </w:txbxContent>
                        </wps:txbx>
                        <wps:bodyPr wrap="square" lIns="0" tIns="0" rIns="0" bIns="0" rtlCol="0">
                          <a:noAutofit/>
                        </wps:bodyPr>
                      </wps:wsp>
                    </wpg:wgp>
                  </a:graphicData>
                </a:graphic>
              </wp:anchor>
            </w:drawing>
          </mc:Choice>
          <mc:Fallback>
            <w:pict>
              <v:group style="position:absolute;margin-left:77.574997pt;margin-top:22.226194pt;width:468pt;height:225pt;mso-position-horizontal-relative:page;mso-position-vertical-relative:paragraph;z-index:-15701504;mso-wrap-distance-left:0;mso-wrap-distance-right:0" id="docshapegroup96" coordorigin="1551,445" coordsize="9360,4500">
                <v:shape style="position:absolute;left:4990;top:1142;width:5694;height:1644" id="docshape97" coordorigin="4990,1143" coordsize="5694,1644" path="m9509,2787l9643,2787m8878,2787l9012,2787m4990,2787l5534,2787m6662,2787l6797,2787m7294,2787l8381,2787m6031,2787l6166,2787m10140,2787l10684,2787m10140,2552l10684,2552m9509,2552l9643,2552m4990,2552l5534,2552m8878,2552l9012,2552m7294,2552l8381,2552m6662,2552l6797,2552m6031,2552l6166,2552m9509,2317l9643,2317m7294,2317l8381,2317m4990,2317l5534,2317m8878,2317l9012,2317m6031,2317l6797,2317m10140,2317l10684,2317m7294,2081l8381,2081m8878,2081l10684,2081m4990,2081l5534,2081m6031,2081l6797,2081m8878,1846l10684,1846m4990,1846l5534,1846m6031,1846l8381,1846m4990,1611l5534,1611m6031,1611l8381,1611m8878,1611l10684,1611m4990,1376l5534,1376m6031,1376l8381,1376m8878,1376l10684,1376m4990,1143l5534,1143m6031,1143l8381,1143m8878,1143l10684,1143e" filled="false" stroked="true" strokeweight=".75pt" strokecolor="#dadada">
                  <v:path arrowok="t"/>
                  <v:stroke dashstyle="solid"/>
                </v:shape>
                <v:line style="position:absolute" from="4990,672" to="10684,672" stroked="true" strokeweight=".75pt" strokecolor="#dadada">
                  <v:stroke dashstyle="solid"/>
                </v:line>
                <v:shape style="position:absolute;left:5534;top:953;width:3344;height:2069" id="docshape98" coordorigin="5534,953" coordsize="3344,2069" path="m6031,1047l5534,1047,5534,3021,6031,3021,6031,1047xm8878,953l8381,953,8381,3021,8878,3021,8878,953xe" filled="true" fillcolor="#4f81bd" stroked="false">
                  <v:path arrowok="t"/>
                  <v:fill type="solid"/>
                </v:shape>
                <v:shape style="position:absolute;left:6165;top:2105;width:3344;height:917" id="docshape99" coordorigin="6166,2105" coordsize="3344,917" path="m6662,2365l6166,2365,6166,3021,6662,3021,6662,2365xm9509,2105l9012,2105,9012,3021,9509,3021,9509,2105xe" filled="true" fillcolor="#c0504d" stroked="false">
                  <v:path arrowok="t"/>
                  <v:fill type="solid"/>
                </v:shape>
                <v:shape style="position:absolute;left:6796;top:2057;width:3344;height:965" id="docshape100" coordorigin="6797,2057" coordsize="3344,965" path="m7294,2057l6797,2057,6797,3021,7294,3021,7294,2057xm10140,2081l9643,2081,9643,3021,10140,3021,10140,2081xe" filled="true" fillcolor="#9bbb59" stroked="false">
                  <v:path arrowok="t"/>
                  <v:fill type="solid"/>
                </v:shape>
                <v:shape style="position:absolute;left:4990;top:3021;width:5694;height:277" id="docshape101" coordorigin="4990,3021" coordsize="5694,277" path="m4990,3021l10684,3021m4990,3021l10684,3021m4990,3021l4990,3298m7836,3021l7836,3298m10684,3021l10684,3298e" filled="false" stroked="true" strokeweight=".75pt" strokecolor="#dadada">
                  <v:path arrowok="t"/>
                  <v:stroke dashstyle="solid"/>
                </v:shape>
                <v:shape style="position:absolute;left:1899;top:3298;width:8785;height:288" id="docshape102" coordorigin="1899,3298" coordsize="8785,288" path="m1899,3298l10684,3298m1899,3298l1899,3585m4990,3298l4990,3585m4990,3298l4990,3585m7836,3298l7836,3585m7836,3298l7836,3585m10684,3298l10684,3585m10684,3298l10684,3585e" filled="false" stroked="true" strokeweight=".75pt" strokecolor="#dadada">
                  <v:path arrowok="t"/>
                  <v:stroke dashstyle="solid"/>
                </v:shape>
                <v:rect style="position:absolute;left:1963;top:3387;width:99;height:99" id="docshape103" filled="true" fillcolor="#4f81bd" stroked="false">
                  <v:fill type="solid"/>
                </v:rect>
                <v:shape style="position:absolute;left:1899;top:3585;width:8785;height:288" id="docshape104" coordorigin="1899,3585" coordsize="8785,288" path="m1899,3585l10684,3585m1899,3585l1899,3873m4990,3585l4990,3873m4990,3585l4990,3873m7836,3585l7836,3873m7836,3585l7836,3873m10684,3585l10684,3873m10684,3585l10684,3873e" filled="false" stroked="true" strokeweight=".75pt" strokecolor="#dadada">
                  <v:path arrowok="t"/>
                  <v:stroke dashstyle="solid"/>
                </v:shape>
                <v:rect style="position:absolute;left:1963;top:3674;width:99;height:99" id="docshape105" filled="true" fillcolor="#c0504d" stroked="false">
                  <v:fill type="solid"/>
                </v:rect>
                <v:shape style="position:absolute;left:1899;top:3872;width:8785;height:507" id="docshape106" coordorigin="1899,3873" coordsize="8785,507" path="m1899,3873l10684,3873m1899,3873l1899,4380m1899,4380l10684,4380m4990,3873l4990,4380m4990,3873l4990,4380m7836,3873l7836,4380m7836,3873l7836,4380m10684,3873l10684,4380m10684,3873l10684,4380e" filled="false" stroked="true" strokeweight=".75pt" strokecolor="#dadada">
                  <v:path arrowok="t"/>
                  <v:stroke dashstyle="solid"/>
                </v:shape>
                <v:rect style="position:absolute;left:1963;top:3961;width:99;height:99" id="docshape107" filled="true" fillcolor="#9bbb59" stroked="false">
                  <v:fill type="solid"/>
                </v:rect>
                <v:rect style="position:absolute;left:2327;top:4598;width:99;height:99" id="docshape108" filled="true" fillcolor="#4f81bd" stroked="false">
                  <v:fill type="solid"/>
                </v:rect>
                <v:rect style="position:absolute;left:3327;top:4598;width:99;height:99" id="docshape109" filled="true" fillcolor="#c0504d" stroked="false">
                  <v:fill type="solid"/>
                </v:rect>
                <v:rect style="position:absolute;left:6595;top:4598;width:99;height:99" id="docshape110" filled="true" fillcolor="#9bbb59" stroked="false">
                  <v:fill type="solid"/>
                </v:rect>
                <v:rect style="position:absolute;left:1559;top:452;width:9345;height:4485" id="docshape111" filled="false" stroked="true" strokeweight=".75pt" strokecolor="#dadada">
                  <v:stroke dashstyle="solid"/>
                </v:rect>
                <v:shape style="position:absolute;left:6736;top:4563;width:3494;height:180" type="#_x0000_t202" id="docshape112"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3"/>
                            <w:sz w:val="18"/>
                          </w:rPr>
                          <w:t> </w:t>
                        </w:r>
                        <w:r>
                          <w:rPr>
                            <w:rFonts w:ascii="Calibri" w:hAnsi="Calibri"/>
                            <w:color w:val="595958"/>
                            <w:sz w:val="18"/>
                          </w:rPr>
                          <w:t>окрашенных</w:t>
                        </w:r>
                        <w:r>
                          <w:rPr>
                            <w:rFonts w:ascii="Calibri" w:hAnsi="Calibri"/>
                            <w:color w:val="595958"/>
                            <w:spacing w:val="38"/>
                            <w:sz w:val="18"/>
                          </w:rPr>
                          <w:t> </w:t>
                        </w:r>
                        <w:r>
                          <w:rPr>
                            <w:rFonts w:ascii="Calibri" w:hAnsi="Calibri"/>
                            <w:color w:val="595958"/>
                            <w:sz w:val="18"/>
                          </w:rPr>
                          <w:t>LumiTracker</w:t>
                        </w:r>
                        <w:r>
                          <w:rPr>
                            <w:rFonts w:ascii="Calibri" w:hAnsi="Calibri"/>
                            <w:color w:val="595958"/>
                            <w:spacing w:val="-5"/>
                            <w:sz w:val="18"/>
                          </w:rPr>
                          <w:t> </w:t>
                        </w:r>
                        <w:r>
                          <w:rPr>
                            <w:rFonts w:ascii="Calibri" w:hAnsi="Calibri"/>
                            <w:color w:val="595958"/>
                            <w:sz w:val="18"/>
                          </w:rPr>
                          <w:t>Mito</w:t>
                        </w:r>
                        <w:r>
                          <w:rPr>
                            <w:rFonts w:ascii="Calibri" w:hAnsi="Calibri"/>
                            <w:color w:val="595958"/>
                            <w:spacing w:val="-1"/>
                            <w:sz w:val="18"/>
                          </w:rPr>
                          <w:t> </w:t>
                        </w:r>
                        <w:r>
                          <w:rPr>
                            <w:rFonts w:ascii="Calibri" w:hAnsi="Calibri"/>
                            <w:color w:val="595958"/>
                            <w:sz w:val="18"/>
                          </w:rPr>
                          <w:t>Red </w:t>
                        </w:r>
                        <w:r>
                          <w:rPr>
                            <w:rFonts w:ascii="Calibri" w:hAnsi="Calibri"/>
                            <w:color w:val="595958"/>
                            <w:spacing w:val="-2"/>
                            <w:sz w:val="18"/>
                          </w:rPr>
                          <w:t>CMXRos</w:t>
                        </w:r>
                      </w:p>
                    </w:txbxContent>
                  </v:textbox>
                  <w10:wrap type="none"/>
                </v:shape>
                <v:shape style="position:absolute;left:3468;top:4563;width:2853;height:180" type="#_x0000_t202" id="docshape113"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txbxContent>
                  </v:textbox>
                  <w10:wrap type="none"/>
                </v:shape>
                <v:shape style="position:absolute;left:2468;top:4563;width:586;height:180" type="#_x0000_t202" id="docshape114"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txbxContent>
                  </v:textbox>
                  <w10:wrap type="none"/>
                </v:shape>
                <v:shape style="position:absolute;left:9169;top:4041;width:203;height:180" type="#_x0000_t202" id="docshape115"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40</w:t>
                        </w:r>
                      </w:p>
                    </w:txbxContent>
                  </v:textbox>
                  <w10:wrap type="none"/>
                </v:shape>
                <v:shape style="position:absolute;left:6322;top:4041;width:203;height:180" type="#_x0000_t202" id="docshape116"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41</w:t>
                        </w:r>
                      </w:p>
                    </w:txbxContent>
                  </v:textbox>
                  <w10:wrap type="none"/>
                </v:shape>
                <v:shape style="position:absolute;left:8326;top:3075;width:1885;height:750" type="#_x0000_t202" id="docshape117" filled="false" stroked="false">
                  <v:textbox inset="0,0,0,0">
                    <w:txbxContent>
                      <w:p>
                        <w:pPr>
                          <w:spacing w:line="183" w:lineRule="exact" w:before="0"/>
                          <w:ind w:left="-1" w:right="18" w:firstLine="0"/>
                          <w:jc w:val="center"/>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p>
                        <w:pPr>
                          <w:spacing w:before="62"/>
                          <w:ind w:left="4" w:right="18" w:firstLine="0"/>
                          <w:jc w:val="center"/>
                          <w:rPr>
                            <w:rFonts w:ascii="Calibri"/>
                            <w:sz w:val="18"/>
                          </w:rPr>
                        </w:pPr>
                        <w:r>
                          <w:rPr>
                            <w:rFonts w:ascii="Calibri"/>
                            <w:color w:val="595958"/>
                            <w:spacing w:val="-5"/>
                            <w:sz w:val="18"/>
                          </w:rPr>
                          <w:t>88</w:t>
                        </w:r>
                      </w:p>
                      <w:p>
                        <w:pPr>
                          <w:spacing w:line="216" w:lineRule="exact" w:before="67"/>
                          <w:ind w:left="4" w:right="18" w:firstLine="0"/>
                          <w:jc w:val="center"/>
                          <w:rPr>
                            <w:rFonts w:ascii="Calibri"/>
                            <w:sz w:val="18"/>
                          </w:rPr>
                        </w:pPr>
                        <w:r>
                          <w:rPr>
                            <w:rFonts w:ascii="Calibri"/>
                            <w:color w:val="595958"/>
                            <w:spacing w:val="-5"/>
                            <w:sz w:val="18"/>
                          </w:rPr>
                          <w:t>39</w:t>
                        </w:r>
                      </w:p>
                    </w:txbxContent>
                  </v:textbox>
                  <w10:wrap type="none"/>
                </v:shape>
                <v:shape style="position:absolute;left:5657;top:3075;width:1532;height:750" type="#_x0000_t202" id="docshape118" filled="false" stroked="false">
                  <v:textbox inset="0,0,0,0">
                    <w:txbxContent>
                      <w:p>
                        <w:pPr>
                          <w:spacing w:line="183" w:lineRule="exact" w:before="0"/>
                          <w:ind w:left="0" w:right="18" w:firstLine="0"/>
                          <w:jc w:val="center"/>
                          <w:rPr>
                            <w:rFonts w:ascii="Calibri" w:hAnsi="Calibri"/>
                            <w:sz w:val="18"/>
                          </w:rPr>
                        </w:pPr>
                        <w:r>
                          <w:rPr>
                            <w:rFonts w:ascii="Calibri" w:hAnsi="Calibri"/>
                            <w:color w:val="595958"/>
                            <w:sz w:val="18"/>
                          </w:rPr>
                          <w:t>IR,</w:t>
                        </w:r>
                        <w:r>
                          <w:rPr>
                            <w:rFonts w:ascii="Calibri" w:hAnsi="Calibri"/>
                            <w:color w:val="595958"/>
                            <w:spacing w:val="-2"/>
                            <w:sz w:val="18"/>
                          </w:rPr>
                          <w:t> </w:t>
                        </w:r>
                        <w:r>
                          <w:rPr>
                            <w:rFonts w:ascii="Calibri" w:hAnsi="Calibri"/>
                            <w:color w:val="595958"/>
                            <w:sz w:val="18"/>
                          </w:rPr>
                          <w:t>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2"/>
                            <w:sz w:val="18"/>
                          </w:rPr>
                          <w:t> </w:t>
                        </w:r>
                        <w:r>
                          <w:rPr>
                            <w:rFonts w:ascii="Calibri" w:hAnsi="Calibri"/>
                            <w:color w:val="595958"/>
                            <w:sz w:val="18"/>
                          </w:rPr>
                          <w:t>1,03 </w:t>
                        </w:r>
                        <w:r>
                          <w:rPr>
                            <w:rFonts w:ascii="Calibri" w:hAnsi="Calibri"/>
                            <w:color w:val="595958"/>
                            <w:spacing w:val="-5"/>
                            <w:sz w:val="18"/>
                          </w:rPr>
                          <w:t>Дж</w:t>
                        </w:r>
                      </w:p>
                      <w:p>
                        <w:pPr>
                          <w:spacing w:before="62"/>
                          <w:ind w:left="0" w:right="17" w:firstLine="0"/>
                          <w:jc w:val="center"/>
                          <w:rPr>
                            <w:rFonts w:ascii="Calibri"/>
                            <w:sz w:val="18"/>
                          </w:rPr>
                        </w:pPr>
                        <w:r>
                          <w:rPr>
                            <w:rFonts w:ascii="Calibri"/>
                            <w:color w:val="595958"/>
                            <w:spacing w:val="-5"/>
                            <w:sz w:val="18"/>
                          </w:rPr>
                          <w:t>84</w:t>
                        </w:r>
                      </w:p>
                      <w:p>
                        <w:pPr>
                          <w:spacing w:line="216" w:lineRule="exact" w:before="67"/>
                          <w:ind w:left="0" w:right="16" w:firstLine="0"/>
                          <w:jc w:val="center"/>
                          <w:rPr>
                            <w:rFonts w:ascii="Calibri"/>
                            <w:sz w:val="18"/>
                          </w:rPr>
                        </w:pPr>
                        <w:r>
                          <w:rPr>
                            <w:rFonts w:ascii="Calibri"/>
                            <w:color w:val="595958"/>
                            <w:spacing w:val="-5"/>
                            <w:sz w:val="18"/>
                          </w:rPr>
                          <w:t>28</w:t>
                        </w:r>
                      </w:p>
                    </w:txbxContent>
                  </v:textbox>
                  <w10:wrap type="none"/>
                </v:shape>
                <v:shape style="position:absolute;left:2102;top:3352;width:2854;height:976" type="#_x0000_t202" id="docshape119" filled="false" stroked="false">
                  <v:textbox inset="0,0,0,0">
                    <w:txbxContent>
                      <w:p>
                        <w:pPr>
                          <w:spacing w:line="183"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7"/>
                          <w:ind w:left="1" w:right="0" w:hanging="1"/>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p>
                        <w:pPr>
                          <w:spacing w:before="65"/>
                          <w:ind w:left="1110" w:right="0" w:hanging="1109"/>
                          <w:jc w:val="left"/>
                          <w:rPr>
                            <w:rFonts w:ascii="Calibri" w:hAnsi="Calibri"/>
                            <w:sz w:val="18"/>
                          </w:rPr>
                        </w:pPr>
                        <w:r>
                          <w:rPr>
                            <w:rFonts w:ascii="Calibri" w:hAnsi="Calibri"/>
                            <w:color w:val="595958"/>
                            <w:sz w:val="18"/>
                          </w:rPr>
                          <w:t>N</w:t>
                        </w:r>
                        <w:r>
                          <w:rPr>
                            <w:rFonts w:ascii="Calibri" w:hAnsi="Calibri"/>
                            <w:color w:val="595958"/>
                            <w:spacing w:val="-8"/>
                            <w:sz w:val="18"/>
                          </w:rPr>
                          <w:t> </w:t>
                        </w:r>
                        <w:r>
                          <w:rPr>
                            <w:rFonts w:ascii="Calibri" w:hAnsi="Calibri"/>
                            <w:color w:val="595958"/>
                            <w:sz w:val="18"/>
                          </w:rPr>
                          <w:t>окрашенных</w:t>
                        </w:r>
                        <w:r>
                          <w:rPr>
                            <w:rFonts w:ascii="Calibri" w:hAnsi="Calibri"/>
                            <w:color w:val="595958"/>
                            <w:spacing w:val="26"/>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w:t>
                        </w:r>
                        <w:r>
                          <w:rPr>
                            <w:rFonts w:ascii="Calibri" w:hAnsi="Calibri"/>
                            <w:color w:val="595958"/>
                            <w:spacing w:val="-7"/>
                            <w:sz w:val="18"/>
                          </w:rPr>
                          <w:t> </w:t>
                        </w:r>
                        <w:r>
                          <w:rPr>
                            <w:rFonts w:ascii="Calibri" w:hAnsi="Calibri"/>
                            <w:color w:val="595958"/>
                            <w:sz w:val="18"/>
                          </w:rPr>
                          <w:t>Red </w:t>
                        </w:r>
                        <w:r>
                          <w:rPr>
                            <w:rFonts w:ascii="Calibri" w:hAnsi="Calibri"/>
                            <w:color w:val="595958"/>
                            <w:spacing w:val="-2"/>
                            <w:sz w:val="18"/>
                          </w:rPr>
                          <w:t>CMXRos</w:t>
                        </w:r>
                      </w:p>
                    </w:txbxContent>
                  </v:textbox>
                  <w10:wrap type="none"/>
                </v:shape>
                <v:shape style="position:absolute;left:6321;top:2089;width:203;height:180" type="#_x0000_t202" id="docshape120"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28</w:t>
                        </w:r>
                      </w:p>
                    </w:txbxContent>
                  </v:textbox>
                  <w10:wrap type="none"/>
                </v:shape>
                <v:shape style="position:absolute;left:9799;top:1807;width:203;height:180" type="#_x0000_t202" id="docshape121"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40</w:t>
                        </w:r>
                      </w:p>
                    </w:txbxContent>
                  </v:textbox>
                  <w10:wrap type="none"/>
                </v:shape>
                <v:shape style="position:absolute;left:9168;top:1830;width:203;height:180" type="#_x0000_t202" id="docshape122"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39</w:t>
                        </w:r>
                      </w:p>
                    </w:txbxContent>
                  </v:textbox>
                  <w10:wrap type="none"/>
                </v:shape>
                <v:shape style="position:absolute;left:6952;top:1783;width:203;height:180" type="#_x0000_t202" id="docshape123"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41</w:t>
                        </w:r>
                      </w:p>
                    </w:txbxContent>
                  </v:textbox>
                  <w10:wrap type="none"/>
                </v:shape>
                <v:shape style="position:absolute;left:8537;top:679;width:203;height:180" type="#_x0000_t202" id="docshape124"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88</w:t>
                        </w:r>
                      </w:p>
                    </w:txbxContent>
                  </v:textbox>
                  <w10:wrap type="none"/>
                </v:shape>
                <v:shape style="position:absolute;left:4990;top:773;width:5714;height:180" type="#_x0000_t202" id="docshape125" filled="false" stroked="false">
                  <v:textbox inset="0,0,0,0">
                    <w:txbxContent>
                      <w:p>
                        <w:pPr>
                          <w:tabs>
                            <w:tab w:pos="700" w:val="left" w:leader="none"/>
                            <w:tab w:pos="5693"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84</w:t>
                        </w:r>
                        <w:r>
                          <w:rPr>
                            <w:rFonts w:ascii="Calibri"/>
                            <w:color w:val="3E3E3E"/>
                            <w:sz w:val="18"/>
                            <w:u w:val="single" w:color="DADADA"/>
                          </w:rPr>
                          <w:tab/>
                        </w:r>
                      </w:p>
                    </w:txbxContent>
                  </v:textbox>
                  <w10:wrap type="none"/>
                </v:shape>
                <v:shape style="position:absolute;left:4549;top:588;width:294;height:2529" type="#_x0000_t202" id="docshape126" filled="false" stroked="false">
                  <v:textbox inset="0,0,0,0">
                    <w:txbxContent>
                      <w:p>
                        <w:pPr>
                          <w:spacing w:line="183" w:lineRule="exact" w:before="0"/>
                          <w:ind w:left="0" w:right="0" w:firstLine="0"/>
                          <w:jc w:val="left"/>
                          <w:rPr>
                            <w:rFonts w:ascii="Calibri"/>
                            <w:sz w:val="18"/>
                          </w:rPr>
                        </w:pPr>
                        <w:r>
                          <w:rPr>
                            <w:rFonts w:ascii="Calibri"/>
                            <w:color w:val="595958"/>
                            <w:spacing w:val="-5"/>
                            <w:sz w:val="18"/>
                          </w:rPr>
                          <w:t>100</w:t>
                        </w:r>
                      </w:p>
                      <w:p>
                        <w:pPr>
                          <w:spacing w:before="15"/>
                          <w:ind w:left="91" w:right="0" w:firstLine="0"/>
                          <w:jc w:val="left"/>
                          <w:rPr>
                            <w:rFonts w:ascii="Calibri"/>
                            <w:sz w:val="18"/>
                          </w:rPr>
                        </w:pPr>
                        <w:r>
                          <w:rPr>
                            <w:rFonts w:ascii="Calibri"/>
                            <w:color w:val="595958"/>
                            <w:spacing w:val="-5"/>
                            <w:sz w:val="18"/>
                          </w:rPr>
                          <w:t>90</w:t>
                        </w:r>
                      </w:p>
                      <w:p>
                        <w:pPr>
                          <w:spacing w:before="15"/>
                          <w:ind w:left="91" w:right="0" w:firstLine="0"/>
                          <w:jc w:val="left"/>
                          <w:rPr>
                            <w:rFonts w:ascii="Calibri"/>
                            <w:sz w:val="18"/>
                          </w:rPr>
                        </w:pPr>
                        <w:r>
                          <w:rPr>
                            <w:rFonts w:ascii="Calibri"/>
                            <w:color w:val="595958"/>
                            <w:spacing w:val="-5"/>
                            <w:sz w:val="18"/>
                          </w:rPr>
                          <w:t>80</w:t>
                        </w:r>
                      </w:p>
                      <w:p>
                        <w:pPr>
                          <w:spacing w:before="15"/>
                          <w:ind w:left="91" w:right="0" w:firstLine="0"/>
                          <w:jc w:val="left"/>
                          <w:rPr>
                            <w:rFonts w:ascii="Calibri"/>
                            <w:sz w:val="18"/>
                          </w:rPr>
                        </w:pPr>
                        <w:r>
                          <w:rPr>
                            <w:rFonts w:ascii="Calibri"/>
                            <w:color w:val="595958"/>
                            <w:spacing w:val="-5"/>
                            <w:sz w:val="18"/>
                          </w:rPr>
                          <w:t>70</w:t>
                        </w:r>
                      </w:p>
                      <w:p>
                        <w:pPr>
                          <w:spacing w:before="15"/>
                          <w:ind w:left="91" w:right="0" w:firstLine="0"/>
                          <w:jc w:val="left"/>
                          <w:rPr>
                            <w:rFonts w:ascii="Calibri"/>
                            <w:sz w:val="18"/>
                          </w:rPr>
                        </w:pPr>
                        <w:r>
                          <w:rPr>
                            <w:rFonts w:ascii="Calibri"/>
                            <w:color w:val="595958"/>
                            <w:spacing w:val="-5"/>
                            <w:sz w:val="18"/>
                          </w:rPr>
                          <w:t>60</w:t>
                        </w:r>
                      </w:p>
                      <w:p>
                        <w:pPr>
                          <w:spacing w:before="16"/>
                          <w:ind w:left="91" w:right="0" w:firstLine="0"/>
                          <w:jc w:val="left"/>
                          <w:rPr>
                            <w:rFonts w:ascii="Calibri"/>
                            <w:sz w:val="18"/>
                          </w:rPr>
                        </w:pPr>
                        <w:r>
                          <w:rPr>
                            <w:rFonts w:ascii="Calibri"/>
                            <w:color w:val="595958"/>
                            <w:spacing w:val="-5"/>
                            <w:sz w:val="18"/>
                          </w:rPr>
                          <w:t>50</w:t>
                        </w:r>
                      </w:p>
                      <w:p>
                        <w:pPr>
                          <w:spacing w:before="15"/>
                          <w:ind w:left="91" w:right="0" w:firstLine="0"/>
                          <w:jc w:val="left"/>
                          <w:rPr>
                            <w:rFonts w:ascii="Calibri"/>
                            <w:sz w:val="18"/>
                          </w:rPr>
                        </w:pPr>
                        <w:r>
                          <w:rPr>
                            <w:rFonts w:ascii="Calibri"/>
                            <w:color w:val="595958"/>
                            <w:spacing w:val="-5"/>
                            <w:sz w:val="18"/>
                          </w:rPr>
                          <w:t>40</w:t>
                        </w:r>
                      </w:p>
                      <w:p>
                        <w:pPr>
                          <w:spacing w:before="15"/>
                          <w:ind w:left="91" w:right="0" w:firstLine="0"/>
                          <w:jc w:val="left"/>
                          <w:rPr>
                            <w:rFonts w:ascii="Calibri"/>
                            <w:sz w:val="18"/>
                          </w:rPr>
                        </w:pPr>
                        <w:r>
                          <w:rPr>
                            <w:rFonts w:ascii="Calibri"/>
                            <w:color w:val="595958"/>
                            <w:spacing w:val="-5"/>
                            <w:sz w:val="18"/>
                          </w:rPr>
                          <w:t>30</w:t>
                        </w:r>
                      </w:p>
                      <w:p>
                        <w:pPr>
                          <w:spacing w:before="15"/>
                          <w:ind w:left="91" w:right="0" w:firstLine="0"/>
                          <w:jc w:val="left"/>
                          <w:rPr>
                            <w:rFonts w:ascii="Calibri"/>
                            <w:sz w:val="18"/>
                          </w:rPr>
                        </w:pPr>
                        <w:r>
                          <w:rPr>
                            <w:rFonts w:ascii="Calibri"/>
                            <w:color w:val="595958"/>
                            <w:spacing w:val="-5"/>
                            <w:sz w:val="18"/>
                          </w:rPr>
                          <w:t>20</w:t>
                        </w:r>
                      </w:p>
                      <w:p>
                        <w:pPr>
                          <w:spacing w:before="15"/>
                          <w:ind w:left="91" w:right="0" w:firstLine="0"/>
                          <w:jc w:val="left"/>
                          <w:rPr>
                            <w:rFonts w:ascii="Calibri"/>
                            <w:sz w:val="18"/>
                          </w:rPr>
                        </w:pPr>
                        <w:r>
                          <w:rPr>
                            <w:rFonts w:ascii="Calibri"/>
                            <w:color w:val="595958"/>
                            <w:spacing w:val="-5"/>
                            <w:sz w:val="18"/>
                          </w:rPr>
                          <w:t>10</w:t>
                        </w:r>
                      </w:p>
                      <w:p>
                        <w:pPr>
                          <w:spacing w:line="216" w:lineRule="exact" w:before="15"/>
                          <w:ind w:left="182" w:right="0" w:firstLine="0"/>
                          <w:jc w:val="left"/>
                          <w:rPr>
                            <w:rFonts w:ascii="Calibri"/>
                            <w:sz w:val="18"/>
                          </w:rPr>
                        </w:pPr>
                        <w:r>
                          <w:rPr>
                            <w:rFonts w:ascii="Calibri"/>
                            <w:color w:val="595958"/>
                            <w:spacing w:val="-10"/>
                            <w:sz w:val="18"/>
                          </w:rPr>
                          <w:t>0</w:t>
                        </w:r>
                      </w:p>
                    </w:txbxContent>
                  </v:textbox>
                  <w10:wrap type="none"/>
                </v:shape>
                <w10:wrap type="topAndBottom"/>
              </v:group>
            </w:pict>
          </mc:Fallback>
        </mc:AlternateContent>
      </w:r>
    </w:p>
    <w:p>
      <w:pPr>
        <w:pStyle w:val="BodyText"/>
        <w:spacing w:before="50"/>
        <w:jc w:val="left"/>
      </w:pPr>
    </w:p>
    <w:p>
      <w:pPr>
        <w:pStyle w:val="BodyText"/>
        <w:spacing w:line="256" w:lineRule="auto"/>
        <w:ind w:left="71" w:right="348"/>
        <w:jc w:val="center"/>
        <w:rPr>
          <w:sz w:val="32"/>
        </w:rPr>
      </w:pPr>
      <w:r>
        <w:rPr/>
        <w:t>Рисунок</w:t>
      </w:r>
      <w:r>
        <w:rPr>
          <w:spacing w:val="-7"/>
        </w:rPr>
        <w:t> </w:t>
      </w:r>
      <w:r>
        <w:rPr/>
        <w:t>43</w:t>
      </w:r>
      <w:r>
        <w:rPr>
          <w:spacing w:val="-6"/>
        </w:rPr>
        <w:t> </w:t>
      </w:r>
      <w:r>
        <w:rPr>
          <w:rFonts w:ascii="Arial MT" w:hAnsi="Arial MT"/>
          <w:color w:val="454545"/>
          <w:sz w:val="21"/>
        </w:rPr>
        <w:t>—</w:t>
      </w:r>
      <w:r>
        <w:rPr>
          <w:rFonts w:ascii="Arial MT" w:hAnsi="Arial MT"/>
          <w:color w:val="454545"/>
          <w:spacing w:val="-4"/>
          <w:sz w:val="21"/>
        </w:rPr>
        <w:t> </w:t>
      </w:r>
      <w:r>
        <w:rPr/>
        <w:t>Результаты</w:t>
      </w:r>
      <w:r>
        <w:rPr>
          <w:spacing w:val="-4"/>
        </w:rPr>
        <w:t> </w:t>
      </w:r>
      <w:r>
        <w:rPr/>
        <w:t>прижизненной</w:t>
      </w:r>
      <w:r>
        <w:rPr>
          <w:spacing w:val="-4"/>
        </w:rPr>
        <w:t> </w:t>
      </w:r>
      <w:r>
        <w:rPr/>
        <w:t>окраски</w:t>
      </w:r>
      <w:r>
        <w:rPr>
          <w:spacing w:val="-4"/>
        </w:rPr>
        <w:t> </w:t>
      </w:r>
      <w:r>
        <w:rPr/>
        <w:t>митохондрий</w:t>
      </w:r>
      <w:r>
        <w:rPr>
          <w:spacing w:val="-4"/>
        </w:rPr>
        <w:t> </w:t>
      </w:r>
      <w:r>
        <w:rPr/>
        <w:t>митотрекерами</w:t>
      </w:r>
      <w:r>
        <w:rPr>
          <w:spacing w:val="-6"/>
        </w:rPr>
        <w:t> </w:t>
      </w:r>
      <w:r>
        <w:rPr/>
        <w:t>после обработки эякулята инфракрасным светодиодом (933 нм, 5 минут, 1,03 Дж</w:t>
      </w:r>
      <w:r>
        <w:rPr>
          <w:sz w:val="32"/>
        </w:rPr>
        <w:t>)</w:t>
      </w:r>
    </w:p>
    <w:p>
      <w:pPr>
        <w:pStyle w:val="BodyText"/>
        <w:spacing w:after="0" w:line="256" w:lineRule="auto"/>
        <w:jc w:val="center"/>
        <w:rPr>
          <w:sz w:val="32"/>
        </w:rPr>
        <w:sectPr>
          <w:pgSz w:w="11910" w:h="16840"/>
          <w:pgMar w:header="0" w:footer="990" w:top="340" w:bottom="1200" w:left="708" w:right="425"/>
        </w:sectPr>
      </w:pPr>
    </w:p>
    <w:p>
      <w:pPr>
        <w:pStyle w:val="BodyText"/>
        <w:spacing w:line="256" w:lineRule="auto" w:before="69"/>
        <w:ind w:left="144" w:right="420" w:firstLine="707"/>
      </w:pPr>
      <w:r>
        <w:rPr/>
        <w:t>Облучение эякулята инфракрасным светодиодом с сообщаемой энергией в</w:t>
      </w:r>
      <w:r>
        <w:rPr>
          <w:spacing w:val="40"/>
        </w:rPr>
        <w:t> </w:t>
      </w:r>
      <w:r>
        <w:rPr/>
        <w:t>1,03 Дж на протяжении 5 минут дало противоречащие друг другу данные между применяемыми витальными флуоресцентными красителями: в эксперименте доля активных митохондрий – 33,33% (N=28) против 44,32% (N=39) в контроле (MitoTracker Green FM). При окраске митохондрий LumiTracker Mito Red CMXRos доля сперматозоидов с активными митохондриями составила 48,81% (N=41) в эксперименте против 45,45% (N=40) в контроле.</w:t>
      </w:r>
    </w:p>
    <w:p>
      <w:pPr>
        <w:pStyle w:val="BodyText"/>
        <w:spacing w:before="72"/>
        <w:jc w:val="left"/>
        <w:rPr>
          <w:sz w:val="20"/>
        </w:rPr>
      </w:pPr>
      <w:r>
        <w:rPr>
          <w:sz w:val="20"/>
        </w:rPr>
        <mc:AlternateContent>
          <mc:Choice Requires="wps">
            <w:drawing>
              <wp:anchor distT="0" distB="0" distL="0" distR="0" allowOverlap="1" layoutInCell="1" locked="0" behindDoc="1" simplePos="0" relativeHeight="487616000">
                <wp:simplePos x="0" y="0"/>
                <wp:positionH relativeFrom="page">
                  <wp:posOffset>985202</wp:posOffset>
                </wp:positionH>
                <wp:positionV relativeFrom="paragraph">
                  <wp:posOffset>207660</wp:posOffset>
                </wp:positionV>
                <wp:extent cx="5991225" cy="3724275"/>
                <wp:effectExtent l="0" t="0" r="0" b="0"/>
                <wp:wrapTopAndBottom/>
                <wp:docPr id="176" name="Group 176"/>
                <wp:cNvGraphicFramePr>
                  <a:graphicFrameLocks/>
                </wp:cNvGraphicFramePr>
                <a:graphic>
                  <a:graphicData uri="http://schemas.microsoft.com/office/word/2010/wordprocessingGroup">
                    <wpg:wgp>
                      <wpg:cNvPr id="176" name="Group 176"/>
                      <wpg:cNvGrpSpPr/>
                      <wpg:grpSpPr>
                        <a:xfrm>
                          <a:off x="0" y="0"/>
                          <a:ext cx="5991225" cy="3724275"/>
                          <a:chExt cx="5991225" cy="3724275"/>
                        </a:xfrm>
                      </wpg:grpSpPr>
                      <wps:wsp>
                        <wps:cNvPr id="177" name="Graphic 177"/>
                        <wps:cNvSpPr/>
                        <wps:spPr>
                          <a:xfrm>
                            <a:off x="2183530" y="615441"/>
                            <a:ext cx="3663315" cy="1416050"/>
                          </a:xfrm>
                          <a:custGeom>
                            <a:avLst/>
                            <a:gdLst/>
                            <a:ahLst/>
                            <a:cxnLst/>
                            <a:rect l="l" t="t" r="r" b="b"/>
                            <a:pathLst>
                              <a:path w="3663315" h="1416050">
                                <a:moveTo>
                                  <a:pt x="1480991" y="1415796"/>
                                </a:moveTo>
                                <a:lnTo>
                                  <a:pt x="2182031" y="1415796"/>
                                </a:lnTo>
                              </a:path>
                              <a:path w="3663315" h="1416050">
                                <a:moveTo>
                                  <a:pt x="670223" y="1415796"/>
                                </a:moveTo>
                                <a:lnTo>
                                  <a:pt x="755567" y="1415796"/>
                                </a:lnTo>
                              </a:path>
                              <a:path w="3663315" h="1416050">
                                <a:moveTo>
                                  <a:pt x="0" y="1415796"/>
                                </a:moveTo>
                                <a:lnTo>
                                  <a:pt x="350183" y="1415796"/>
                                </a:lnTo>
                              </a:path>
                              <a:path w="3663315" h="1416050">
                                <a:moveTo>
                                  <a:pt x="2500547" y="1415796"/>
                                </a:moveTo>
                                <a:lnTo>
                                  <a:pt x="2587415" y="1415796"/>
                                </a:lnTo>
                              </a:path>
                              <a:path w="3663315" h="1416050">
                                <a:moveTo>
                                  <a:pt x="1075607" y="1415796"/>
                                </a:moveTo>
                                <a:lnTo>
                                  <a:pt x="1162475" y="1415796"/>
                                </a:lnTo>
                              </a:path>
                              <a:path w="3663315" h="1416050">
                                <a:moveTo>
                                  <a:pt x="670223" y="944879"/>
                                </a:moveTo>
                                <a:lnTo>
                                  <a:pt x="755567" y="944879"/>
                                </a:lnTo>
                              </a:path>
                              <a:path w="3663315" h="1416050">
                                <a:moveTo>
                                  <a:pt x="1075607" y="944879"/>
                                </a:moveTo>
                                <a:lnTo>
                                  <a:pt x="2182031" y="944879"/>
                                </a:lnTo>
                              </a:path>
                              <a:path w="3663315" h="1416050">
                                <a:moveTo>
                                  <a:pt x="2500547" y="944879"/>
                                </a:moveTo>
                                <a:lnTo>
                                  <a:pt x="3663226" y="944879"/>
                                </a:lnTo>
                              </a:path>
                              <a:path w="3663315" h="1416050">
                                <a:moveTo>
                                  <a:pt x="0" y="944879"/>
                                </a:moveTo>
                                <a:lnTo>
                                  <a:pt x="350183" y="944879"/>
                                </a:lnTo>
                              </a:path>
                              <a:path w="3663315" h="1416050">
                                <a:moveTo>
                                  <a:pt x="0" y="472440"/>
                                </a:moveTo>
                                <a:lnTo>
                                  <a:pt x="350183" y="472440"/>
                                </a:lnTo>
                              </a:path>
                              <a:path w="3663315" h="1416050">
                                <a:moveTo>
                                  <a:pt x="670223" y="472440"/>
                                </a:moveTo>
                                <a:lnTo>
                                  <a:pt x="2182031" y="472440"/>
                                </a:lnTo>
                              </a:path>
                              <a:path w="3663315" h="1416050">
                                <a:moveTo>
                                  <a:pt x="2500547" y="472440"/>
                                </a:moveTo>
                                <a:lnTo>
                                  <a:pt x="3663226" y="472440"/>
                                </a:lnTo>
                              </a:path>
                              <a:path w="3663315" h="1416050">
                                <a:moveTo>
                                  <a:pt x="670223" y="0"/>
                                </a:moveTo>
                                <a:lnTo>
                                  <a:pt x="3663226" y="0"/>
                                </a:lnTo>
                              </a:path>
                              <a:path w="3663315" h="1416050">
                                <a:moveTo>
                                  <a:pt x="0" y="0"/>
                                </a:moveTo>
                                <a:lnTo>
                                  <a:pt x="350183" y="0"/>
                                </a:lnTo>
                              </a:path>
                            </a:pathLst>
                          </a:custGeom>
                          <a:ln w="9525">
                            <a:solidFill>
                              <a:srgbClr val="DADADA"/>
                            </a:solidFill>
                            <a:prstDash val="solid"/>
                          </a:ln>
                        </wps:spPr>
                        <wps:bodyPr wrap="square" lIns="0" tIns="0" rIns="0" bIns="0" rtlCol="0">
                          <a:prstTxWarp prst="textNoShape">
                            <a:avLst/>
                          </a:prstTxWarp>
                          <a:noAutofit/>
                        </wps:bodyPr>
                      </wps:wsp>
                      <wps:wsp>
                        <wps:cNvPr id="178" name="Graphic 178"/>
                        <wps:cNvSpPr/>
                        <wps:spPr>
                          <a:xfrm>
                            <a:off x="2183530" y="144462"/>
                            <a:ext cx="3663315" cy="1270"/>
                          </a:xfrm>
                          <a:custGeom>
                            <a:avLst/>
                            <a:gdLst/>
                            <a:ahLst/>
                            <a:cxnLst/>
                            <a:rect l="l" t="t" r="r" b="b"/>
                            <a:pathLst>
                              <a:path w="3663315" h="0">
                                <a:moveTo>
                                  <a:pt x="0" y="0"/>
                                </a:moveTo>
                                <a:lnTo>
                                  <a:pt x="3663226" y="0"/>
                                </a:lnTo>
                              </a:path>
                            </a:pathLst>
                          </a:custGeom>
                          <a:ln w="9525">
                            <a:solidFill>
                              <a:srgbClr val="DADADA"/>
                            </a:solidFill>
                            <a:prstDash val="solid"/>
                          </a:ln>
                        </wps:spPr>
                        <wps:bodyPr wrap="square" lIns="0" tIns="0" rIns="0" bIns="0" rtlCol="0">
                          <a:prstTxWarp prst="textNoShape">
                            <a:avLst/>
                          </a:prstTxWarp>
                          <a:noAutofit/>
                        </wps:bodyPr>
                      </wps:wsp>
                      <wps:wsp>
                        <wps:cNvPr id="179" name="Graphic 179"/>
                        <wps:cNvSpPr/>
                        <wps:spPr>
                          <a:xfrm>
                            <a:off x="2533713" y="455421"/>
                            <a:ext cx="2150745" cy="2047875"/>
                          </a:xfrm>
                          <a:custGeom>
                            <a:avLst/>
                            <a:gdLst/>
                            <a:ahLst/>
                            <a:cxnLst/>
                            <a:rect l="l" t="t" r="r" b="b"/>
                            <a:pathLst>
                              <a:path w="2150745" h="2047875">
                                <a:moveTo>
                                  <a:pt x="320040" y="0"/>
                                </a:moveTo>
                                <a:lnTo>
                                  <a:pt x="0" y="0"/>
                                </a:lnTo>
                                <a:lnTo>
                                  <a:pt x="0" y="2047684"/>
                                </a:lnTo>
                                <a:lnTo>
                                  <a:pt x="320040" y="2047684"/>
                                </a:lnTo>
                                <a:lnTo>
                                  <a:pt x="320040" y="0"/>
                                </a:lnTo>
                                <a:close/>
                              </a:path>
                              <a:path w="2150745" h="2047875">
                                <a:moveTo>
                                  <a:pt x="2150364" y="519684"/>
                                </a:moveTo>
                                <a:lnTo>
                                  <a:pt x="1831848" y="519684"/>
                                </a:lnTo>
                                <a:lnTo>
                                  <a:pt x="1831848" y="2047671"/>
                                </a:lnTo>
                                <a:lnTo>
                                  <a:pt x="2150364" y="2047671"/>
                                </a:lnTo>
                                <a:lnTo>
                                  <a:pt x="2150364" y="519684"/>
                                </a:lnTo>
                                <a:close/>
                              </a:path>
                            </a:pathLst>
                          </a:custGeom>
                          <a:solidFill>
                            <a:srgbClr val="4F81BD"/>
                          </a:solidFill>
                        </wps:spPr>
                        <wps:bodyPr wrap="square" lIns="0" tIns="0" rIns="0" bIns="0" rtlCol="0">
                          <a:prstTxWarp prst="textNoShape">
                            <a:avLst/>
                          </a:prstTxWarp>
                          <a:noAutofit/>
                        </wps:bodyPr>
                      </wps:wsp>
                      <wps:wsp>
                        <wps:cNvPr id="180" name="Graphic 180"/>
                        <wps:cNvSpPr/>
                        <wps:spPr>
                          <a:xfrm>
                            <a:off x="2939097" y="1427733"/>
                            <a:ext cx="2152015" cy="1075690"/>
                          </a:xfrm>
                          <a:custGeom>
                            <a:avLst/>
                            <a:gdLst/>
                            <a:ahLst/>
                            <a:cxnLst/>
                            <a:rect l="l" t="t" r="r" b="b"/>
                            <a:pathLst>
                              <a:path w="2152015" h="1075690">
                                <a:moveTo>
                                  <a:pt x="320040" y="0"/>
                                </a:moveTo>
                                <a:lnTo>
                                  <a:pt x="0" y="0"/>
                                </a:lnTo>
                                <a:lnTo>
                                  <a:pt x="0" y="1075359"/>
                                </a:lnTo>
                                <a:lnTo>
                                  <a:pt x="320040" y="1075359"/>
                                </a:lnTo>
                                <a:lnTo>
                                  <a:pt x="320040" y="0"/>
                                </a:lnTo>
                                <a:close/>
                              </a:path>
                              <a:path w="2152015" h="1075690">
                                <a:moveTo>
                                  <a:pt x="2151888" y="594360"/>
                                </a:moveTo>
                                <a:lnTo>
                                  <a:pt x="1831848" y="594360"/>
                                </a:lnTo>
                                <a:lnTo>
                                  <a:pt x="1831848" y="1075372"/>
                                </a:lnTo>
                                <a:lnTo>
                                  <a:pt x="2151888" y="1075372"/>
                                </a:lnTo>
                                <a:lnTo>
                                  <a:pt x="2151888" y="594360"/>
                                </a:lnTo>
                                <a:close/>
                              </a:path>
                            </a:pathLst>
                          </a:custGeom>
                          <a:solidFill>
                            <a:srgbClr val="C0504D"/>
                          </a:solidFill>
                        </wps:spPr>
                        <wps:bodyPr wrap="square" lIns="0" tIns="0" rIns="0" bIns="0" rtlCol="0">
                          <a:prstTxWarp prst="textNoShape">
                            <a:avLst/>
                          </a:prstTxWarp>
                          <a:noAutofit/>
                        </wps:bodyPr>
                      </wps:wsp>
                      <wps:wsp>
                        <wps:cNvPr id="181" name="Graphic 181"/>
                        <wps:cNvSpPr/>
                        <wps:spPr>
                          <a:xfrm>
                            <a:off x="3346005" y="1738629"/>
                            <a:ext cx="2150745" cy="764540"/>
                          </a:xfrm>
                          <a:custGeom>
                            <a:avLst/>
                            <a:gdLst/>
                            <a:ahLst/>
                            <a:cxnLst/>
                            <a:rect l="l" t="t" r="r" b="b"/>
                            <a:pathLst>
                              <a:path w="2150745" h="764540">
                                <a:moveTo>
                                  <a:pt x="318516" y="0"/>
                                </a:moveTo>
                                <a:lnTo>
                                  <a:pt x="0" y="0"/>
                                </a:lnTo>
                                <a:lnTo>
                                  <a:pt x="0" y="764463"/>
                                </a:lnTo>
                                <a:lnTo>
                                  <a:pt x="318516" y="764463"/>
                                </a:lnTo>
                                <a:lnTo>
                                  <a:pt x="318516" y="0"/>
                                </a:lnTo>
                                <a:close/>
                              </a:path>
                              <a:path w="2150745" h="764540">
                                <a:moveTo>
                                  <a:pt x="2150364" y="348996"/>
                                </a:moveTo>
                                <a:lnTo>
                                  <a:pt x="1830324" y="348996"/>
                                </a:lnTo>
                                <a:lnTo>
                                  <a:pt x="1830324" y="764463"/>
                                </a:lnTo>
                                <a:lnTo>
                                  <a:pt x="2150364" y="764463"/>
                                </a:lnTo>
                                <a:lnTo>
                                  <a:pt x="2150364" y="348996"/>
                                </a:lnTo>
                                <a:close/>
                              </a:path>
                            </a:pathLst>
                          </a:custGeom>
                          <a:solidFill>
                            <a:srgbClr val="9BBB59"/>
                          </a:solidFill>
                        </wps:spPr>
                        <wps:bodyPr wrap="square" lIns="0" tIns="0" rIns="0" bIns="0" rtlCol="0">
                          <a:prstTxWarp prst="textNoShape">
                            <a:avLst/>
                          </a:prstTxWarp>
                          <a:noAutofit/>
                        </wps:bodyPr>
                      </wps:wsp>
                      <wps:wsp>
                        <wps:cNvPr id="182" name="Graphic 182"/>
                        <wps:cNvSpPr/>
                        <wps:spPr>
                          <a:xfrm>
                            <a:off x="2183530" y="2503087"/>
                            <a:ext cx="3663315" cy="175895"/>
                          </a:xfrm>
                          <a:custGeom>
                            <a:avLst/>
                            <a:gdLst/>
                            <a:ahLst/>
                            <a:cxnLst/>
                            <a:rect l="l" t="t" r="r" b="b"/>
                            <a:pathLst>
                              <a:path w="3663315" h="175895">
                                <a:moveTo>
                                  <a:pt x="0" y="0"/>
                                </a:moveTo>
                                <a:lnTo>
                                  <a:pt x="3663226" y="0"/>
                                </a:lnTo>
                              </a:path>
                              <a:path w="3663315" h="175895">
                                <a:moveTo>
                                  <a:pt x="0" y="0"/>
                                </a:moveTo>
                                <a:lnTo>
                                  <a:pt x="3663226" y="0"/>
                                </a:lnTo>
                              </a:path>
                              <a:path w="3663315" h="175895">
                                <a:moveTo>
                                  <a:pt x="0" y="0"/>
                                </a:moveTo>
                                <a:lnTo>
                                  <a:pt x="0" y="175793"/>
                                </a:lnTo>
                              </a:path>
                              <a:path w="3663315" h="175895">
                                <a:moveTo>
                                  <a:pt x="1831517" y="0"/>
                                </a:moveTo>
                                <a:lnTo>
                                  <a:pt x="1831517" y="175793"/>
                                </a:lnTo>
                              </a:path>
                              <a:path w="3663315" h="175895">
                                <a:moveTo>
                                  <a:pt x="3663226" y="0"/>
                                </a:moveTo>
                                <a:lnTo>
                                  <a:pt x="3663226" y="175793"/>
                                </a:lnTo>
                              </a:path>
                            </a:pathLst>
                          </a:custGeom>
                          <a:ln w="9525">
                            <a:solidFill>
                              <a:srgbClr val="DADADA"/>
                            </a:solidFill>
                            <a:prstDash val="solid"/>
                          </a:ln>
                        </wps:spPr>
                        <wps:bodyPr wrap="square" lIns="0" tIns="0" rIns="0" bIns="0" rtlCol="0">
                          <a:prstTxWarp prst="textNoShape">
                            <a:avLst/>
                          </a:prstTxWarp>
                          <a:noAutofit/>
                        </wps:bodyPr>
                      </wps:wsp>
                      <wps:wsp>
                        <wps:cNvPr id="183" name="Graphic 183"/>
                        <wps:cNvSpPr/>
                        <wps:spPr>
                          <a:xfrm>
                            <a:off x="220661" y="2678876"/>
                            <a:ext cx="5626100" cy="182880"/>
                          </a:xfrm>
                          <a:custGeom>
                            <a:avLst/>
                            <a:gdLst/>
                            <a:ahLst/>
                            <a:cxnLst/>
                            <a:rect l="l" t="t" r="r" b="b"/>
                            <a:pathLst>
                              <a:path w="5626100" h="182880">
                                <a:moveTo>
                                  <a:pt x="0" y="0"/>
                                </a:moveTo>
                                <a:lnTo>
                                  <a:pt x="5626100" y="0"/>
                                </a:lnTo>
                              </a:path>
                              <a:path w="5626100" h="182880">
                                <a:moveTo>
                                  <a:pt x="0" y="0"/>
                                </a:moveTo>
                                <a:lnTo>
                                  <a:pt x="0" y="182372"/>
                                </a:lnTo>
                              </a:path>
                              <a:path w="5626100" h="182880">
                                <a:moveTo>
                                  <a:pt x="1962531" y="0"/>
                                </a:moveTo>
                                <a:lnTo>
                                  <a:pt x="1962531" y="182372"/>
                                </a:lnTo>
                              </a:path>
                              <a:path w="5626100" h="182880">
                                <a:moveTo>
                                  <a:pt x="1962531" y="0"/>
                                </a:moveTo>
                                <a:lnTo>
                                  <a:pt x="1962531" y="182372"/>
                                </a:lnTo>
                              </a:path>
                              <a:path w="5626100" h="182880">
                                <a:moveTo>
                                  <a:pt x="3794379" y="0"/>
                                </a:moveTo>
                                <a:lnTo>
                                  <a:pt x="3794379" y="182372"/>
                                </a:lnTo>
                              </a:path>
                              <a:path w="5626100" h="182880">
                                <a:moveTo>
                                  <a:pt x="3794379" y="0"/>
                                </a:moveTo>
                                <a:lnTo>
                                  <a:pt x="3794379" y="182372"/>
                                </a:lnTo>
                              </a:path>
                              <a:path w="5626100" h="182880">
                                <a:moveTo>
                                  <a:pt x="5626100" y="0"/>
                                </a:moveTo>
                                <a:lnTo>
                                  <a:pt x="5626100" y="182372"/>
                                </a:lnTo>
                              </a:path>
                              <a:path w="5626100" h="182880">
                                <a:moveTo>
                                  <a:pt x="5626100" y="0"/>
                                </a:moveTo>
                                <a:lnTo>
                                  <a:pt x="5626100" y="182372"/>
                                </a:lnTo>
                              </a:path>
                            </a:pathLst>
                          </a:custGeom>
                          <a:ln w="9525">
                            <a:solidFill>
                              <a:srgbClr val="DADADA"/>
                            </a:solidFill>
                            <a:prstDash val="solid"/>
                          </a:ln>
                        </wps:spPr>
                        <wps:bodyPr wrap="square" lIns="0" tIns="0" rIns="0" bIns="0" rtlCol="0">
                          <a:prstTxWarp prst="textNoShape">
                            <a:avLst/>
                          </a:prstTxWarp>
                          <a:noAutofit/>
                        </wps:bodyPr>
                      </wps:wsp>
                      <wps:wsp>
                        <wps:cNvPr id="184" name="Graphic 184"/>
                        <wps:cNvSpPr/>
                        <wps:spPr>
                          <a:xfrm>
                            <a:off x="261569" y="2735592"/>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85" name="Graphic 185"/>
                        <wps:cNvSpPr/>
                        <wps:spPr>
                          <a:xfrm>
                            <a:off x="220661" y="2861247"/>
                            <a:ext cx="5626100" cy="182880"/>
                          </a:xfrm>
                          <a:custGeom>
                            <a:avLst/>
                            <a:gdLst/>
                            <a:ahLst/>
                            <a:cxnLst/>
                            <a:rect l="l" t="t" r="r" b="b"/>
                            <a:pathLst>
                              <a:path w="5626100" h="182880">
                                <a:moveTo>
                                  <a:pt x="0" y="0"/>
                                </a:moveTo>
                                <a:lnTo>
                                  <a:pt x="5626100" y="0"/>
                                </a:lnTo>
                              </a:path>
                              <a:path w="5626100" h="182880">
                                <a:moveTo>
                                  <a:pt x="0" y="0"/>
                                </a:moveTo>
                                <a:lnTo>
                                  <a:pt x="0" y="182372"/>
                                </a:lnTo>
                              </a:path>
                              <a:path w="5626100" h="182880">
                                <a:moveTo>
                                  <a:pt x="1962531" y="0"/>
                                </a:moveTo>
                                <a:lnTo>
                                  <a:pt x="1962531" y="182372"/>
                                </a:lnTo>
                              </a:path>
                              <a:path w="5626100" h="182880">
                                <a:moveTo>
                                  <a:pt x="1962531" y="0"/>
                                </a:moveTo>
                                <a:lnTo>
                                  <a:pt x="1962531" y="182372"/>
                                </a:lnTo>
                              </a:path>
                              <a:path w="5626100" h="182880">
                                <a:moveTo>
                                  <a:pt x="3794379" y="0"/>
                                </a:moveTo>
                                <a:lnTo>
                                  <a:pt x="3794379" y="182372"/>
                                </a:lnTo>
                              </a:path>
                              <a:path w="5626100" h="182880">
                                <a:moveTo>
                                  <a:pt x="3794379" y="0"/>
                                </a:moveTo>
                                <a:lnTo>
                                  <a:pt x="3794379" y="182372"/>
                                </a:lnTo>
                              </a:path>
                              <a:path w="5626100" h="182880">
                                <a:moveTo>
                                  <a:pt x="5626100" y="0"/>
                                </a:moveTo>
                                <a:lnTo>
                                  <a:pt x="5626100" y="182372"/>
                                </a:lnTo>
                              </a:path>
                              <a:path w="5626100" h="182880">
                                <a:moveTo>
                                  <a:pt x="5626100" y="0"/>
                                </a:moveTo>
                                <a:lnTo>
                                  <a:pt x="5626100" y="182372"/>
                                </a:lnTo>
                              </a:path>
                            </a:pathLst>
                          </a:custGeom>
                          <a:ln w="9525">
                            <a:solidFill>
                              <a:srgbClr val="DADADA"/>
                            </a:solidFill>
                            <a:prstDash val="solid"/>
                          </a:ln>
                        </wps:spPr>
                        <wps:bodyPr wrap="square" lIns="0" tIns="0" rIns="0" bIns="0" rtlCol="0">
                          <a:prstTxWarp prst="textNoShape">
                            <a:avLst/>
                          </a:prstTxWarp>
                          <a:noAutofit/>
                        </wps:bodyPr>
                      </wps:wsp>
                      <wps:wsp>
                        <wps:cNvPr id="186" name="Graphic 186"/>
                        <wps:cNvSpPr/>
                        <wps:spPr>
                          <a:xfrm>
                            <a:off x="261569" y="2917964"/>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87" name="Graphic 187"/>
                        <wps:cNvSpPr/>
                        <wps:spPr>
                          <a:xfrm>
                            <a:off x="220661" y="3043618"/>
                            <a:ext cx="5626100" cy="321945"/>
                          </a:xfrm>
                          <a:custGeom>
                            <a:avLst/>
                            <a:gdLst/>
                            <a:ahLst/>
                            <a:cxnLst/>
                            <a:rect l="l" t="t" r="r" b="b"/>
                            <a:pathLst>
                              <a:path w="5626100" h="321945">
                                <a:moveTo>
                                  <a:pt x="0" y="0"/>
                                </a:moveTo>
                                <a:lnTo>
                                  <a:pt x="5626100" y="0"/>
                                </a:lnTo>
                              </a:path>
                              <a:path w="5626100" h="321945">
                                <a:moveTo>
                                  <a:pt x="0" y="0"/>
                                </a:moveTo>
                                <a:lnTo>
                                  <a:pt x="0" y="321881"/>
                                </a:lnTo>
                              </a:path>
                              <a:path w="5626100" h="321945">
                                <a:moveTo>
                                  <a:pt x="0" y="321881"/>
                                </a:moveTo>
                                <a:lnTo>
                                  <a:pt x="5626100" y="321881"/>
                                </a:lnTo>
                              </a:path>
                              <a:path w="5626100" h="321945">
                                <a:moveTo>
                                  <a:pt x="1962531" y="0"/>
                                </a:moveTo>
                                <a:lnTo>
                                  <a:pt x="1962531" y="321881"/>
                                </a:lnTo>
                              </a:path>
                              <a:path w="5626100" h="321945">
                                <a:moveTo>
                                  <a:pt x="1962531" y="0"/>
                                </a:moveTo>
                                <a:lnTo>
                                  <a:pt x="1962531" y="321881"/>
                                </a:lnTo>
                              </a:path>
                              <a:path w="5626100" h="321945">
                                <a:moveTo>
                                  <a:pt x="3794379" y="0"/>
                                </a:moveTo>
                                <a:lnTo>
                                  <a:pt x="3794379" y="321881"/>
                                </a:lnTo>
                              </a:path>
                              <a:path w="5626100" h="321945">
                                <a:moveTo>
                                  <a:pt x="3794379" y="0"/>
                                </a:moveTo>
                                <a:lnTo>
                                  <a:pt x="3794379" y="321881"/>
                                </a:lnTo>
                              </a:path>
                              <a:path w="5626100" h="321945">
                                <a:moveTo>
                                  <a:pt x="5626100" y="0"/>
                                </a:moveTo>
                                <a:lnTo>
                                  <a:pt x="5626100" y="321881"/>
                                </a:lnTo>
                              </a:path>
                              <a:path w="5626100" h="321945">
                                <a:moveTo>
                                  <a:pt x="5626100" y="0"/>
                                </a:moveTo>
                                <a:lnTo>
                                  <a:pt x="5626100" y="321881"/>
                                </a:lnTo>
                              </a:path>
                            </a:pathLst>
                          </a:custGeom>
                          <a:ln w="9525">
                            <a:solidFill>
                              <a:srgbClr val="DADADA"/>
                            </a:solidFill>
                            <a:prstDash val="solid"/>
                          </a:ln>
                        </wps:spPr>
                        <wps:bodyPr wrap="square" lIns="0" tIns="0" rIns="0" bIns="0" rtlCol="0">
                          <a:prstTxWarp prst="textNoShape">
                            <a:avLst/>
                          </a:prstTxWarp>
                          <a:noAutofit/>
                        </wps:bodyPr>
                      </wps:wsp>
                      <wps:wsp>
                        <wps:cNvPr id="188" name="Graphic 188"/>
                        <wps:cNvSpPr/>
                        <wps:spPr>
                          <a:xfrm>
                            <a:off x="261569" y="310033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89" name="Graphic 189"/>
                        <wps:cNvSpPr/>
                        <wps:spPr>
                          <a:xfrm>
                            <a:off x="512178" y="3504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F81BD"/>
                          </a:solidFill>
                        </wps:spPr>
                        <wps:bodyPr wrap="square" lIns="0" tIns="0" rIns="0" bIns="0" rtlCol="0">
                          <a:prstTxWarp prst="textNoShape">
                            <a:avLst/>
                          </a:prstTxWarp>
                          <a:noAutofit/>
                        </wps:bodyPr>
                      </wps:wsp>
                      <wps:wsp>
                        <wps:cNvPr id="190" name="Graphic 190"/>
                        <wps:cNvSpPr/>
                        <wps:spPr>
                          <a:xfrm>
                            <a:off x="1164501" y="3504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C0504D"/>
                          </a:solidFill>
                        </wps:spPr>
                        <wps:bodyPr wrap="square" lIns="0" tIns="0" rIns="0" bIns="0" rtlCol="0">
                          <a:prstTxWarp prst="textNoShape">
                            <a:avLst/>
                          </a:prstTxWarp>
                          <a:noAutofit/>
                        </wps:bodyPr>
                      </wps:wsp>
                      <wps:wsp>
                        <wps:cNvPr id="191" name="Graphic 191"/>
                        <wps:cNvSpPr/>
                        <wps:spPr>
                          <a:xfrm>
                            <a:off x="3256686" y="3504768"/>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9BBB59"/>
                          </a:solidFill>
                        </wps:spPr>
                        <wps:bodyPr wrap="square" lIns="0" tIns="0" rIns="0" bIns="0" rtlCol="0">
                          <a:prstTxWarp prst="textNoShape">
                            <a:avLst/>
                          </a:prstTxWarp>
                          <a:noAutofit/>
                        </wps:bodyPr>
                      </wps:wsp>
                      <wps:wsp>
                        <wps:cNvPr id="192" name="Graphic 192"/>
                        <wps:cNvSpPr/>
                        <wps:spPr>
                          <a:xfrm>
                            <a:off x="4762" y="4762"/>
                            <a:ext cx="5981700" cy="3714750"/>
                          </a:xfrm>
                          <a:custGeom>
                            <a:avLst/>
                            <a:gdLst/>
                            <a:ahLst/>
                            <a:cxnLst/>
                            <a:rect l="l" t="t" r="r" b="b"/>
                            <a:pathLst>
                              <a:path w="5981700" h="3714750">
                                <a:moveTo>
                                  <a:pt x="0" y="0"/>
                                </a:moveTo>
                                <a:lnTo>
                                  <a:pt x="5981700" y="0"/>
                                </a:lnTo>
                                <a:lnTo>
                                  <a:pt x="5981700" y="3714750"/>
                                </a:lnTo>
                                <a:lnTo>
                                  <a:pt x="0" y="3714750"/>
                                </a:lnTo>
                                <a:lnTo>
                                  <a:pt x="0" y="0"/>
                                </a:lnTo>
                                <a:close/>
                              </a:path>
                            </a:pathLst>
                          </a:custGeom>
                          <a:ln w="9525">
                            <a:solidFill>
                              <a:srgbClr val="DADADA"/>
                            </a:solidFill>
                            <a:prstDash val="solid"/>
                          </a:ln>
                        </wps:spPr>
                        <wps:bodyPr wrap="square" lIns="0" tIns="0" rIns="0" bIns="0" rtlCol="0">
                          <a:prstTxWarp prst="textNoShape">
                            <a:avLst/>
                          </a:prstTxWarp>
                          <a:noAutofit/>
                        </wps:bodyPr>
                      </wps:wsp>
                      <wps:wsp>
                        <wps:cNvPr id="193" name="Textbox 193"/>
                        <wps:cNvSpPr txBox="1"/>
                        <wps:spPr>
                          <a:xfrm>
                            <a:off x="3346095" y="3482578"/>
                            <a:ext cx="219265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3"/>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LumiTracker</w:t>
                              </w:r>
                              <w:r>
                                <w:rPr>
                                  <w:rFonts w:ascii="Calibri" w:hAnsi="Calibri"/>
                                  <w:color w:val="595958"/>
                                  <w:spacing w:val="-2"/>
                                  <w:sz w:val="18"/>
                                </w:rPr>
                                <w:t> </w:t>
                              </w:r>
                              <w:r>
                                <w:rPr>
                                  <w:rFonts w:ascii="Calibri" w:hAnsi="Calibri"/>
                                  <w:color w:val="595958"/>
                                  <w:sz w:val="18"/>
                                </w:rPr>
                                <w:t>Mito</w:t>
                              </w:r>
                              <w:r>
                                <w:rPr>
                                  <w:rFonts w:ascii="Calibri" w:hAnsi="Calibri"/>
                                  <w:color w:val="595958"/>
                                  <w:spacing w:val="-2"/>
                                  <w:sz w:val="18"/>
                                </w:rPr>
                                <w:t> </w:t>
                              </w:r>
                              <w:r>
                                <w:rPr>
                                  <w:rFonts w:ascii="Calibri" w:hAnsi="Calibri"/>
                                  <w:color w:val="595958"/>
                                  <w:sz w:val="18"/>
                                </w:rPr>
                                <w:t>Red</w:t>
                              </w:r>
                              <w:r>
                                <w:rPr>
                                  <w:rFonts w:ascii="Calibri" w:hAnsi="Calibri"/>
                                  <w:color w:val="595958"/>
                                  <w:spacing w:val="-2"/>
                                  <w:sz w:val="18"/>
                                </w:rPr>
                                <w:t> CMXRos</w:t>
                              </w:r>
                            </w:p>
                          </w:txbxContent>
                        </wps:txbx>
                        <wps:bodyPr wrap="square" lIns="0" tIns="0" rIns="0" bIns="0" rtlCol="0">
                          <a:noAutofit/>
                        </wps:bodyPr>
                      </wps:wsp>
                      <wps:wsp>
                        <wps:cNvPr id="194" name="Textbox 194"/>
                        <wps:cNvSpPr txBox="1"/>
                        <wps:spPr>
                          <a:xfrm>
                            <a:off x="1253909" y="3482578"/>
                            <a:ext cx="181165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txbxContent>
                        </wps:txbx>
                        <wps:bodyPr wrap="square" lIns="0" tIns="0" rIns="0" bIns="0" rtlCol="0">
                          <a:noAutofit/>
                        </wps:bodyPr>
                      </wps:wsp>
                      <wps:wsp>
                        <wps:cNvPr id="195" name="Textbox 195"/>
                        <wps:cNvSpPr txBox="1"/>
                        <wps:spPr>
                          <a:xfrm>
                            <a:off x="601585" y="3482578"/>
                            <a:ext cx="37211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txbxContent>
                        </wps:txbx>
                        <wps:bodyPr wrap="square" lIns="0" tIns="0" rIns="0" bIns="0" rtlCol="0">
                          <a:noAutofit/>
                        </wps:bodyPr>
                      </wps:wsp>
                      <wps:wsp>
                        <wps:cNvPr id="196" name="Textbox 196"/>
                        <wps:cNvSpPr txBox="1"/>
                        <wps:spPr>
                          <a:xfrm>
                            <a:off x="4873147" y="3151070"/>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44</w:t>
                              </w:r>
                            </w:p>
                          </w:txbxContent>
                        </wps:txbx>
                        <wps:bodyPr wrap="square" lIns="0" tIns="0" rIns="0" bIns="0" rtlCol="0">
                          <a:noAutofit/>
                        </wps:bodyPr>
                      </wps:wsp>
                      <wps:wsp>
                        <wps:cNvPr id="197" name="Textbox 197"/>
                        <wps:cNvSpPr txBox="1"/>
                        <wps:spPr>
                          <a:xfrm>
                            <a:off x="3041489" y="3151070"/>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81</w:t>
                              </w:r>
                            </w:p>
                          </w:txbxContent>
                        </wps:txbx>
                        <wps:bodyPr wrap="square" lIns="0" tIns="0" rIns="0" bIns="0" rtlCol="0">
                          <a:noAutofit/>
                        </wps:bodyPr>
                      </wps:wsp>
                      <wps:wsp>
                        <wps:cNvPr id="198" name="Textbox 198"/>
                        <wps:cNvSpPr txBox="1"/>
                        <wps:spPr>
                          <a:xfrm>
                            <a:off x="4309324" y="2537404"/>
                            <a:ext cx="1254760" cy="476250"/>
                          </a:xfrm>
                          <a:prstGeom prst="rect">
                            <a:avLst/>
                          </a:prstGeom>
                        </wps:spPr>
                        <wps:txbx>
                          <w:txbxContent>
                            <w:p>
                              <w:pPr>
                                <w:spacing w:line="183" w:lineRule="exact" w:before="0"/>
                                <w:ind w:left="0" w:right="18" w:firstLine="0"/>
                                <w:jc w:val="center"/>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25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p>
                              <w:pPr>
                                <w:spacing w:before="62"/>
                                <w:ind w:left="0" w:right="15" w:firstLine="0"/>
                                <w:jc w:val="center"/>
                                <w:rPr>
                                  <w:rFonts w:ascii="Calibri"/>
                                  <w:sz w:val="18"/>
                                </w:rPr>
                              </w:pPr>
                              <w:r>
                                <w:rPr>
                                  <w:rFonts w:ascii="Calibri"/>
                                  <w:color w:val="595958"/>
                                  <w:spacing w:val="-5"/>
                                  <w:sz w:val="18"/>
                                </w:rPr>
                                <w:t>162</w:t>
                              </w:r>
                            </w:p>
                            <w:p>
                              <w:pPr>
                                <w:spacing w:line="216" w:lineRule="exact" w:before="67"/>
                                <w:ind w:left="0" w:right="15" w:firstLine="0"/>
                                <w:jc w:val="center"/>
                                <w:rPr>
                                  <w:rFonts w:ascii="Calibri"/>
                                  <w:sz w:val="18"/>
                                </w:rPr>
                              </w:pPr>
                              <w:r>
                                <w:rPr>
                                  <w:rFonts w:ascii="Calibri"/>
                                  <w:color w:val="595958"/>
                                  <w:spacing w:val="-5"/>
                                  <w:sz w:val="18"/>
                                </w:rPr>
                                <w:t>51</w:t>
                              </w:r>
                            </w:p>
                          </w:txbxContent>
                        </wps:txbx>
                        <wps:bodyPr wrap="square" lIns="0" tIns="0" rIns="0" bIns="0" rtlCol="0">
                          <a:noAutofit/>
                        </wps:bodyPr>
                      </wps:wsp>
                      <wps:wsp>
                        <wps:cNvPr id="199" name="Textbox 199"/>
                        <wps:cNvSpPr txBox="1"/>
                        <wps:spPr>
                          <a:xfrm>
                            <a:off x="2590481" y="2537404"/>
                            <a:ext cx="1030605" cy="476250"/>
                          </a:xfrm>
                          <a:prstGeom prst="rect">
                            <a:avLst/>
                          </a:prstGeom>
                        </wps:spPr>
                        <wps:txbx>
                          <w:txbxContent>
                            <w:p>
                              <w:pPr>
                                <w:spacing w:line="183" w:lineRule="exact" w:before="0"/>
                                <w:ind w:left="0" w:right="18" w:firstLine="0"/>
                                <w:jc w:val="center"/>
                                <w:rPr>
                                  <w:rFonts w:ascii="Calibri" w:hAnsi="Calibri"/>
                                  <w:sz w:val="18"/>
                                </w:rPr>
                              </w:pPr>
                              <w:r>
                                <w:rPr>
                                  <w:rFonts w:ascii="Calibri" w:hAnsi="Calibri"/>
                                  <w:color w:val="595958"/>
                                  <w:sz w:val="18"/>
                                </w:rPr>
                                <w:t>IR,</w:t>
                              </w:r>
                              <w:r>
                                <w:rPr>
                                  <w:rFonts w:ascii="Calibri" w:hAnsi="Calibri"/>
                                  <w:color w:val="595958"/>
                                  <w:spacing w:val="-2"/>
                                  <w:sz w:val="18"/>
                                </w:rPr>
                                <w:t> </w:t>
                              </w:r>
                              <w:r>
                                <w:rPr>
                                  <w:rFonts w:ascii="Calibri" w:hAnsi="Calibri"/>
                                  <w:color w:val="595958"/>
                                  <w:sz w:val="18"/>
                                </w:rPr>
                                <w:t>25 минут,</w:t>
                              </w:r>
                              <w:r>
                                <w:rPr>
                                  <w:rFonts w:ascii="Calibri" w:hAnsi="Calibri"/>
                                  <w:color w:val="595958"/>
                                  <w:spacing w:val="-2"/>
                                  <w:sz w:val="18"/>
                                </w:rPr>
                                <w:t> </w:t>
                              </w:r>
                              <w:r>
                                <w:rPr>
                                  <w:rFonts w:ascii="Calibri" w:hAnsi="Calibri"/>
                                  <w:color w:val="595958"/>
                                  <w:sz w:val="18"/>
                                </w:rPr>
                                <w:t>5,15 </w:t>
                              </w:r>
                              <w:r>
                                <w:rPr>
                                  <w:rFonts w:ascii="Calibri" w:hAnsi="Calibri"/>
                                  <w:color w:val="595958"/>
                                  <w:spacing w:val="-5"/>
                                  <w:sz w:val="18"/>
                                </w:rPr>
                                <w:t>Дж</w:t>
                              </w:r>
                            </w:p>
                            <w:p>
                              <w:pPr>
                                <w:spacing w:before="62"/>
                                <w:ind w:left="0" w:right="17" w:firstLine="0"/>
                                <w:jc w:val="center"/>
                                <w:rPr>
                                  <w:rFonts w:ascii="Calibri"/>
                                  <w:sz w:val="18"/>
                                </w:rPr>
                              </w:pPr>
                              <w:r>
                                <w:rPr>
                                  <w:rFonts w:ascii="Calibri"/>
                                  <w:color w:val="595958"/>
                                  <w:spacing w:val="-5"/>
                                  <w:sz w:val="18"/>
                                </w:rPr>
                                <w:t>217</w:t>
                              </w:r>
                            </w:p>
                            <w:p>
                              <w:pPr>
                                <w:spacing w:line="216" w:lineRule="exact" w:before="67"/>
                                <w:ind w:left="0" w:right="17" w:firstLine="0"/>
                                <w:jc w:val="center"/>
                                <w:rPr>
                                  <w:rFonts w:ascii="Calibri"/>
                                  <w:sz w:val="18"/>
                                </w:rPr>
                              </w:pPr>
                              <w:r>
                                <w:rPr>
                                  <w:rFonts w:ascii="Calibri"/>
                                  <w:color w:val="595958"/>
                                  <w:spacing w:val="-5"/>
                                  <w:sz w:val="18"/>
                                </w:rPr>
                                <w:t>114</w:t>
                              </w:r>
                            </w:p>
                          </w:txbxContent>
                        </wps:txbx>
                        <wps:bodyPr wrap="square" lIns="0" tIns="0" rIns="0" bIns="0" rtlCol="0">
                          <a:noAutofit/>
                        </wps:bodyPr>
                      </wps:wsp>
                      <wps:wsp>
                        <wps:cNvPr id="200" name="Textbox 200"/>
                        <wps:cNvSpPr txBox="1"/>
                        <wps:spPr>
                          <a:xfrm>
                            <a:off x="349712" y="2449611"/>
                            <a:ext cx="1812289" cy="883285"/>
                          </a:xfrm>
                          <a:prstGeom prst="rect">
                            <a:avLst/>
                          </a:prstGeom>
                        </wps:spPr>
                        <wps:txbx>
                          <w:txbxContent>
                            <w:p>
                              <w:pPr>
                                <w:spacing w:line="183" w:lineRule="exact" w:before="0"/>
                                <w:ind w:left="0" w:right="130" w:firstLine="0"/>
                                <w:jc w:val="right"/>
                                <w:rPr>
                                  <w:rFonts w:ascii="Calibri"/>
                                  <w:sz w:val="18"/>
                                </w:rPr>
                              </w:pPr>
                              <w:r>
                                <w:rPr>
                                  <w:rFonts w:ascii="Calibri"/>
                                  <w:color w:val="595958"/>
                                  <w:spacing w:val="-10"/>
                                  <w:sz w:val="18"/>
                                </w:rPr>
                                <w:t>0</w:t>
                              </w:r>
                            </w:p>
                            <w:p>
                              <w:pPr>
                                <w:spacing w:before="195"/>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8"/>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p>
                              <w:pPr>
                                <w:spacing w:before="65"/>
                                <w:ind w:left="1089" w:right="0" w:hanging="1090"/>
                                <w:jc w:val="left"/>
                                <w:rPr>
                                  <w:rFonts w:ascii="Calibri" w:hAnsi="Calibri"/>
                                  <w:sz w:val="18"/>
                                </w:rPr>
                              </w:pPr>
                              <w:r>
                                <w:rPr>
                                  <w:rFonts w:ascii="Calibri" w:hAnsi="Calibri"/>
                                  <w:color w:val="595958"/>
                                  <w:sz w:val="18"/>
                                </w:rPr>
                                <w:t>N</w:t>
                              </w:r>
                              <w:r>
                                <w:rPr>
                                  <w:rFonts w:ascii="Calibri" w:hAnsi="Calibri"/>
                                  <w:color w:val="595958"/>
                                  <w:spacing w:val="-10"/>
                                  <w:sz w:val="18"/>
                                </w:rPr>
                                <w:t> </w:t>
                              </w:r>
                              <w:r>
                                <w:rPr>
                                  <w:rFonts w:ascii="Calibri" w:hAnsi="Calibri"/>
                                  <w:color w:val="595958"/>
                                  <w:sz w:val="18"/>
                                </w:rPr>
                                <w:t>окрашенных</w:t>
                              </w:r>
                              <w:r>
                                <w:rPr>
                                  <w:rFonts w:ascii="Calibri" w:hAnsi="Calibri"/>
                                  <w:color w:val="595958"/>
                                  <w:spacing w:val="-8"/>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w:t>
                              </w:r>
                              <w:r>
                                <w:rPr>
                                  <w:rFonts w:ascii="Calibri" w:hAnsi="Calibri"/>
                                  <w:color w:val="595958"/>
                                  <w:spacing w:val="-8"/>
                                  <w:sz w:val="18"/>
                                </w:rPr>
                                <w:t> </w:t>
                              </w:r>
                              <w:r>
                                <w:rPr>
                                  <w:rFonts w:ascii="Calibri" w:hAnsi="Calibri"/>
                                  <w:color w:val="595958"/>
                                  <w:sz w:val="18"/>
                                </w:rPr>
                                <w:t>Red </w:t>
                              </w:r>
                              <w:r>
                                <w:rPr>
                                  <w:rFonts w:ascii="Calibri" w:hAnsi="Calibri"/>
                                  <w:color w:val="595958"/>
                                  <w:spacing w:val="-2"/>
                                  <w:sz w:val="18"/>
                                </w:rPr>
                                <w:t>CMXRos</w:t>
                              </w:r>
                            </w:p>
                          </w:txbxContent>
                        </wps:txbx>
                        <wps:bodyPr wrap="square" lIns="0" tIns="0" rIns="0" bIns="0" rtlCol="0">
                          <a:noAutofit/>
                        </wps:bodyPr>
                      </wps:wsp>
                      <wps:wsp>
                        <wps:cNvPr id="201" name="Textbox 201"/>
                        <wps:cNvSpPr txBox="1"/>
                        <wps:spPr>
                          <a:xfrm>
                            <a:off x="5090985" y="1913887"/>
                            <a:ext cx="768985" cy="114300"/>
                          </a:xfrm>
                          <a:prstGeom prst="rect">
                            <a:avLst/>
                          </a:prstGeom>
                        </wps:spPr>
                        <wps:txbx>
                          <w:txbxContent>
                            <w:p>
                              <w:pPr>
                                <w:tabs>
                                  <w:tab w:pos="295" w:val="left" w:leader="none"/>
                                  <w:tab w:pos="1190"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44</w:t>
                              </w:r>
                              <w:r>
                                <w:rPr>
                                  <w:rFonts w:ascii="Calibri"/>
                                  <w:color w:val="3E3E3E"/>
                                  <w:sz w:val="18"/>
                                  <w:u w:val="single" w:color="DADADA"/>
                                </w:rPr>
                                <w:tab/>
                              </w:r>
                            </w:p>
                          </w:txbxContent>
                        </wps:txbx>
                        <wps:bodyPr wrap="square" lIns="0" tIns="0" rIns="0" bIns="0" rtlCol="0">
                          <a:noAutofit/>
                        </wps:bodyPr>
                      </wps:wsp>
                      <wps:wsp>
                        <wps:cNvPr id="202" name="Textbox 202"/>
                        <wps:cNvSpPr txBox="1"/>
                        <wps:spPr>
                          <a:xfrm>
                            <a:off x="1961812" y="1977895"/>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50</w:t>
                              </w:r>
                            </w:p>
                          </w:txbxContent>
                        </wps:txbx>
                        <wps:bodyPr wrap="square" lIns="0" tIns="0" rIns="0" bIns="0" rtlCol="0">
                          <a:noAutofit/>
                        </wps:bodyPr>
                      </wps:wsp>
                      <wps:wsp>
                        <wps:cNvPr id="203" name="Textbox 203"/>
                        <wps:cNvSpPr txBox="1"/>
                        <wps:spPr>
                          <a:xfrm>
                            <a:off x="4872461" y="1847822"/>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51</w:t>
                              </w:r>
                            </w:p>
                          </w:txbxContent>
                        </wps:txbx>
                        <wps:bodyPr wrap="square" lIns="0" tIns="0" rIns="0" bIns="0" rtlCol="0">
                          <a:noAutofit/>
                        </wps:bodyPr>
                      </wps:wsp>
                      <wps:wsp>
                        <wps:cNvPr id="204" name="Textbox 204"/>
                        <wps:cNvSpPr txBox="1"/>
                        <wps:spPr>
                          <a:xfrm>
                            <a:off x="3446797" y="1564815"/>
                            <a:ext cx="128905"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81</w:t>
                              </w:r>
                            </w:p>
                          </w:txbxContent>
                        </wps:txbx>
                        <wps:bodyPr wrap="square" lIns="0" tIns="0" rIns="0" bIns="0" rtlCol="0">
                          <a:noAutofit/>
                        </wps:bodyPr>
                      </wps:wsp>
                      <wps:wsp>
                        <wps:cNvPr id="205" name="Textbox 205"/>
                        <wps:cNvSpPr txBox="1"/>
                        <wps:spPr>
                          <a:xfrm>
                            <a:off x="1903862" y="1506179"/>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100</w:t>
                              </w:r>
                            </w:p>
                          </w:txbxContent>
                        </wps:txbx>
                        <wps:bodyPr wrap="square" lIns="0" tIns="0" rIns="0" bIns="0" rtlCol="0">
                          <a:noAutofit/>
                        </wps:bodyPr>
                      </wps:wsp>
                      <wps:wsp>
                        <wps:cNvPr id="206" name="Textbox 206"/>
                        <wps:cNvSpPr txBox="1"/>
                        <wps:spPr>
                          <a:xfrm>
                            <a:off x="3011886" y="1253462"/>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114</w:t>
                              </w:r>
                            </w:p>
                          </w:txbxContent>
                        </wps:txbx>
                        <wps:bodyPr wrap="square" lIns="0" tIns="0" rIns="0" bIns="0" rtlCol="0">
                          <a:noAutofit/>
                        </wps:bodyPr>
                      </wps:wsp>
                      <wps:wsp>
                        <wps:cNvPr id="207" name="Textbox 207"/>
                        <wps:cNvSpPr txBox="1"/>
                        <wps:spPr>
                          <a:xfrm>
                            <a:off x="1903862" y="1034463"/>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150</w:t>
                              </w:r>
                            </w:p>
                          </w:txbxContent>
                        </wps:txbx>
                        <wps:bodyPr wrap="square" lIns="0" tIns="0" rIns="0" bIns="0" rtlCol="0">
                          <a:noAutofit/>
                        </wps:bodyPr>
                      </wps:wsp>
                      <wps:wsp>
                        <wps:cNvPr id="208" name="Textbox 208"/>
                        <wps:cNvSpPr txBox="1"/>
                        <wps:spPr>
                          <a:xfrm>
                            <a:off x="4437550" y="800605"/>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162</w:t>
                              </w:r>
                            </w:p>
                          </w:txbxContent>
                        </wps:txbx>
                        <wps:bodyPr wrap="square" lIns="0" tIns="0" rIns="0" bIns="0" rtlCol="0">
                          <a:noAutofit/>
                        </wps:bodyPr>
                      </wps:wsp>
                      <wps:wsp>
                        <wps:cNvPr id="209" name="Textbox 209"/>
                        <wps:cNvSpPr txBox="1"/>
                        <wps:spPr>
                          <a:xfrm>
                            <a:off x="1903862" y="562747"/>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200</w:t>
                              </w:r>
                            </w:p>
                          </w:txbxContent>
                        </wps:txbx>
                        <wps:bodyPr wrap="square" lIns="0" tIns="0" rIns="0" bIns="0" rtlCol="0">
                          <a:noAutofit/>
                        </wps:bodyPr>
                      </wps:wsp>
                      <wps:wsp>
                        <wps:cNvPr id="210" name="Textbox 210"/>
                        <wps:cNvSpPr txBox="1"/>
                        <wps:spPr>
                          <a:xfrm>
                            <a:off x="2605892" y="281683"/>
                            <a:ext cx="186690" cy="114300"/>
                          </a:xfrm>
                          <a:prstGeom prst="rect">
                            <a:avLst/>
                          </a:prstGeom>
                        </wps:spPr>
                        <wps:txbx>
                          <w:txbxContent>
                            <w:p>
                              <w:pPr>
                                <w:spacing w:line="180" w:lineRule="exact" w:before="0"/>
                                <w:ind w:left="0" w:right="0" w:firstLine="0"/>
                                <w:jc w:val="left"/>
                                <w:rPr>
                                  <w:rFonts w:ascii="Calibri"/>
                                  <w:sz w:val="18"/>
                                </w:rPr>
                              </w:pPr>
                              <w:r>
                                <w:rPr>
                                  <w:rFonts w:ascii="Calibri"/>
                                  <w:color w:val="3E3E3E"/>
                                  <w:spacing w:val="-5"/>
                                  <w:sz w:val="18"/>
                                </w:rPr>
                                <w:t>217</w:t>
                              </w:r>
                            </w:p>
                          </w:txbxContent>
                        </wps:txbx>
                        <wps:bodyPr wrap="square" lIns="0" tIns="0" rIns="0" bIns="0" rtlCol="0">
                          <a:noAutofit/>
                        </wps:bodyPr>
                      </wps:wsp>
                      <wps:wsp>
                        <wps:cNvPr id="211" name="Textbox 211"/>
                        <wps:cNvSpPr txBox="1"/>
                        <wps:spPr>
                          <a:xfrm>
                            <a:off x="1903862" y="91031"/>
                            <a:ext cx="186690" cy="114300"/>
                          </a:xfrm>
                          <a:prstGeom prst="rect">
                            <a:avLst/>
                          </a:prstGeom>
                        </wps:spPr>
                        <wps:txbx>
                          <w:txbxContent>
                            <w:p>
                              <w:pPr>
                                <w:spacing w:line="180" w:lineRule="exact" w:before="0"/>
                                <w:ind w:left="0" w:right="0" w:firstLine="0"/>
                                <w:jc w:val="left"/>
                                <w:rPr>
                                  <w:rFonts w:ascii="Calibri"/>
                                  <w:sz w:val="18"/>
                                </w:rPr>
                              </w:pPr>
                              <w:r>
                                <w:rPr>
                                  <w:rFonts w:ascii="Calibri"/>
                                  <w:color w:val="595958"/>
                                  <w:spacing w:val="-5"/>
                                  <w:sz w:val="18"/>
                                </w:rPr>
                                <w:t>250</w:t>
                              </w:r>
                            </w:p>
                          </w:txbxContent>
                        </wps:txbx>
                        <wps:bodyPr wrap="square" lIns="0" tIns="0" rIns="0" bIns="0" rtlCol="0">
                          <a:noAutofit/>
                        </wps:bodyPr>
                      </wps:wsp>
                    </wpg:wgp>
                  </a:graphicData>
                </a:graphic>
              </wp:anchor>
            </w:drawing>
          </mc:Choice>
          <mc:Fallback>
            <w:pict>
              <v:group style="position:absolute;margin-left:77.574997pt;margin-top:16.35124pt;width:471.75pt;height:293.25pt;mso-position-horizontal-relative:page;mso-position-vertical-relative:paragraph;z-index:-15700480;mso-wrap-distance-left:0;mso-wrap-distance-right:0" id="docshapegroup127" coordorigin="1551,327" coordsize="9435,5865">
                <v:shape style="position:absolute;left:4990;top:1296;width:5769;height:2230" id="docshape128" coordorigin="4990,1296" coordsize="5769,2230" path="m7322,3526l8426,3526m6046,3526l6180,3526m4990,3526l5542,3526m8928,3526l9065,3526m6684,3526l6821,3526m6046,2784l6180,2784m6684,2784l8426,2784m8928,2784l10759,2784m4990,2784l5542,2784m4990,2040l5542,2040m6046,2040l8426,2040m8928,2040l10759,2040m6046,1296l10759,1296m4990,1296l5542,1296e" filled="false" stroked="true" strokeweight=".75pt" strokecolor="#dadada">
                  <v:path arrowok="t"/>
                  <v:stroke dashstyle="solid"/>
                </v:shape>
                <v:line style="position:absolute" from="4990,555" to="10759,555" stroked="true" strokeweight=".75pt" strokecolor="#dadada">
                  <v:stroke dashstyle="solid"/>
                </v:line>
                <v:shape style="position:absolute;left:5541;top:1044;width:3387;height:3225" id="docshape129" coordorigin="5542,1044" coordsize="3387,3225" path="m6046,1044l5542,1044,5542,4269,6046,4269,6046,1044xm8928,1863l8426,1863,8426,4269,8928,4269,8928,1863xe" filled="true" fillcolor="#4f81bd" stroked="false">
                  <v:path arrowok="t"/>
                  <v:fill type="solid"/>
                </v:shape>
                <v:shape style="position:absolute;left:6180;top:2575;width:3389;height:1694" id="docshape130" coordorigin="6180,2575" coordsize="3389,1694" path="m6684,2575l6180,2575,6180,4269,6684,4269,6684,2575xm9569,3511l9065,3511,9065,4269,9569,4269,9569,3511xe" filled="true" fillcolor="#c0504d" stroked="false">
                  <v:path arrowok="t"/>
                  <v:fill type="solid"/>
                </v:shape>
                <v:shape style="position:absolute;left:6820;top:3065;width:3387;height:1204" id="docshape131" coordorigin="6821,3065" coordsize="3387,1204" path="m7322,3065l6821,3065,6821,4269,7322,4269,7322,3065xm10207,3615l9703,3615,9703,4269,10207,4269,10207,3615xe" filled="true" fillcolor="#9bbb59" stroked="false">
                  <v:path arrowok="t"/>
                  <v:fill type="solid"/>
                </v:shape>
                <v:shape style="position:absolute;left:4990;top:4268;width:5769;height:277" id="docshape132" coordorigin="4990,4269" coordsize="5769,277" path="m4990,4269l10759,4269m4990,4269l10759,4269m4990,4269l4990,4546m7874,4269l7874,4546m10759,4269l10759,4546e" filled="false" stroked="true" strokeweight=".75pt" strokecolor="#dadada">
                  <v:path arrowok="t"/>
                  <v:stroke dashstyle="solid"/>
                </v:shape>
                <v:shape style="position:absolute;left:1899;top:4545;width:8860;height:288" id="docshape133" coordorigin="1899,4546" coordsize="8860,288" path="m1899,4546l10759,4546m1899,4546l1899,4833m4990,4546l4990,4833m4990,4546l4990,4833m7874,4546l7874,4833m7874,4546l7874,4833m10759,4546l10759,4833m10759,4546l10759,4833e" filled="false" stroked="true" strokeweight=".75pt" strokecolor="#dadada">
                  <v:path arrowok="t"/>
                  <v:stroke dashstyle="solid"/>
                </v:shape>
                <v:rect style="position:absolute;left:1963;top:4635;width:99;height:99" id="docshape134" filled="true" fillcolor="#4f81bd" stroked="false">
                  <v:fill type="solid"/>
                </v:rect>
                <v:shape style="position:absolute;left:1899;top:4832;width:8860;height:288" id="docshape135" coordorigin="1899,4833" coordsize="8860,288" path="m1899,4833l10759,4833m1899,4833l1899,5120m4990,4833l4990,5120m4990,4833l4990,5120m7874,4833l7874,5120m7874,4833l7874,5120m10759,4833l10759,5120m10759,4833l10759,5120e" filled="false" stroked="true" strokeweight=".75pt" strokecolor="#dadada">
                  <v:path arrowok="t"/>
                  <v:stroke dashstyle="solid"/>
                </v:shape>
                <v:rect style="position:absolute;left:1963;top:4922;width:99;height:99" id="docshape136" filled="true" fillcolor="#c0504d" stroked="false">
                  <v:fill type="solid"/>
                </v:rect>
                <v:shape style="position:absolute;left:1899;top:5120;width:8860;height:507" id="docshape137" coordorigin="1899,5120" coordsize="8860,507" path="m1899,5120l10759,5120m1899,5120l1899,5627m1899,5627l10759,5627m4990,5120l4990,5627m4990,5120l4990,5627m7874,5120l7874,5627m7874,5120l7874,5627m10759,5120l10759,5627m10759,5120l10759,5627e" filled="false" stroked="true" strokeweight=".75pt" strokecolor="#dadada">
                  <v:path arrowok="t"/>
                  <v:stroke dashstyle="solid"/>
                </v:shape>
                <v:rect style="position:absolute;left:1963;top:5209;width:99;height:99" id="docshape138" filled="true" fillcolor="#9bbb59" stroked="false">
                  <v:fill type="solid"/>
                </v:rect>
                <v:rect style="position:absolute;left:2358;top:5846;width:99;height:99" id="docshape139" filled="true" fillcolor="#4f81bd" stroked="false">
                  <v:fill type="solid"/>
                </v:rect>
                <v:rect style="position:absolute;left:3385;top:5846;width:99;height:99" id="docshape140" filled="true" fillcolor="#c0504d" stroked="false">
                  <v:fill type="solid"/>
                </v:rect>
                <v:rect style="position:absolute;left:6680;top:5846;width:99;height:99" id="docshape141" filled="true" fillcolor="#9bbb59" stroked="false">
                  <v:fill type="solid"/>
                </v:rect>
                <v:rect style="position:absolute;left:1559;top:334;width:9420;height:5850" id="docshape142" filled="false" stroked="true" strokeweight=".75pt" strokecolor="#dadada">
                  <v:stroke dashstyle="solid"/>
                </v:rect>
                <v:shape style="position:absolute;left:6820;top:5811;width:3453;height:180" type="#_x0000_t202" id="docshape143"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3"/>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LumiTracker</w:t>
                        </w:r>
                        <w:r>
                          <w:rPr>
                            <w:rFonts w:ascii="Calibri" w:hAnsi="Calibri"/>
                            <w:color w:val="595958"/>
                            <w:spacing w:val="-2"/>
                            <w:sz w:val="18"/>
                          </w:rPr>
                          <w:t> </w:t>
                        </w:r>
                        <w:r>
                          <w:rPr>
                            <w:rFonts w:ascii="Calibri" w:hAnsi="Calibri"/>
                            <w:color w:val="595958"/>
                            <w:sz w:val="18"/>
                          </w:rPr>
                          <w:t>Mito</w:t>
                        </w:r>
                        <w:r>
                          <w:rPr>
                            <w:rFonts w:ascii="Calibri" w:hAnsi="Calibri"/>
                            <w:color w:val="595958"/>
                            <w:spacing w:val="-2"/>
                            <w:sz w:val="18"/>
                          </w:rPr>
                          <w:t> </w:t>
                        </w:r>
                        <w:r>
                          <w:rPr>
                            <w:rFonts w:ascii="Calibri" w:hAnsi="Calibri"/>
                            <w:color w:val="595958"/>
                            <w:sz w:val="18"/>
                          </w:rPr>
                          <w:t>Red</w:t>
                        </w:r>
                        <w:r>
                          <w:rPr>
                            <w:rFonts w:ascii="Calibri" w:hAnsi="Calibri"/>
                            <w:color w:val="595958"/>
                            <w:spacing w:val="-2"/>
                            <w:sz w:val="18"/>
                          </w:rPr>
                          <w:t> CMXRos</w:t>
                        </w:r>
                      </w:p>
                    </w:txbxContent>
                  </v:textbox>
                  <w10:wrap type="none"/>
                </v:shape>
                <v:shape style="position:absolute;left:3526;top:5811;width:2853;height:180" type="#_x0000_t202" id="docshape144"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txbxContent>
                  </v:textbox>
                  <w10:wrap type="none"/>
                </v:shape>
                <v:shape style="position:absolute;left:2498;top:5811;width:586;height:180" type="#_x0000_t202" id="docshape145" filled="false" stroked="false">
                  <v:textbox inset="0,0,0,0">
                    <w:txbxContent>
                      <w:p>
                        <w:pPr>
                          <w:spacing w:line="180" w:lineRule="exact" w:before="0"/>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txbxContent>
                  </v:textbox>
                  <w10:wrap type="none"/>
                </v:shape>
                <v:shape style="position:absolute;left:9225;top:5289;width:203;height:180" type="#_x0000_t202" id="docshape146"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44</w:t>
                        </w:r>
                      </w:p>
                    </w:txbxContent>
                  </v:textbox>
                  <w10:wrap type="none"/>
                </v:shape>
                <v:shape style="position:absolute;left:6341;top:5289;width:203;height:180" type="#_x0000_t202" id="docshape147"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81</w:t>
                        </w:r>
                      </w:p>
                    </w:txbxContent>
                  </v:textbox>
                  <w10:wrap type="none"/>
                </v:shape>
                <v:shape style="position:absolute;left:8337;top:4322;width:1976;height:750" type="#_x0000_t202" id="docshape148" filled="false" stroked="false">
                  <v:textbox inset="0,0,0,0">
                    <w:txbxContent>
                      <w:p>
                        <w:pPr>
                          <w:spacing w:line="183" w:lineRule="exact" w:before="0"/>
                          <w:ind w:left="0" w:right="18" w:firstLine="0"/>
                          <w:jc w:val="center"/>
                          <w:rPr>
                            <w:rFonts w:ascii="Calibri" w:hAnsi="Calibri"/>
                            <w:sz w:val="18"/>
                          </w:rPr>
                        </w:pPr>
                        <w:r>
                          <w:rPr>
                            <w:rFonts w:ascii="Calibri" w:hAnsi="Calibri"/>
                            <w:color w:val="595958"/>
                            <w:sz w:val="18"/>
                          </w:rPr>
                          <w:t>Контроль,</w:t>
                        </w:r>
                        <w:r>
                          <w:rPr>
                            <w:rFonts w:ascii="Calibri" w:hAnsi="Calibri"/>
                            <w:color w:val="595958"/>
                            <w:spacing w:val="-3"/>
                            <w:sz w:val="18"/>
                          </w:rPr>
                          <w:t> </w:t>
                        </w:r>
                        <w:r>
                          <w:rPr>
                            <w:rFonts w:ascii="Calibri" w:hAnsi="Calibri"/>
                            <w:color w:val="595958"/>
                            <w:sz w:val="18"/>
                          </w:rPr>
                          <w:t>25</w:t>
                        </w:r>
                        <w:r>
                          <w:rPr>
                            <w:rFonts w:ascii="Calibri" w:hAnsi="Calibri"/>
                            <w:color w:val="595958"/>
                            <w:spacing w:val="-1"/>
                            <w:sz w:val="18"/>
                          </w:rPr>
                          <w:t> </w:t>
                        </w:r>
                        <w:r>
                          <w:rPr>
                            <w:rFonts w:ascii="Calibri" w:hAnsi="Calibri"/>
                            <w:color w:val="595958"/>
                            <w:sz w:val="18"/>
                          </w:rPr>
                          <w:t>минут,</w:t>
                        </w:r>
                        <w:r>
                          <w:rPr>
                            <w:rFonts w:ascii="Calibri" w:hAnsi="Calibri"/>
                            <w:color w:val="595958"/>
                            <w:spacing w:val="-3"/>
                            <w:sz w:val="18"/>
                          </w:rPr>
                          <w:t> </w:t>
                        </w:r>
                        <w:r>
                          <w:rPr>
                            <w:rFonts w:ascii="Calibri" w:hAnsi="Calibri"/>
                            <w:color w:val="595958"/>
                            <w:sz w:val="18"/>
                          </w:rPr>
                          <w:t>0 </w:t>
                        </w:r>
                        <w:r>
                          <w:rPr>
                            <w:rFonts w:ascii="Calibri" w:hAnsi="Calibri"/>
                            <w:color w:val="595958"/>
                            <w:spacing w:val="-5"/>
                            <w:sz w:val="18"/>
                          </w:rPr>
                          <w:t>Дж</w:t>
                        </w:r>
                      </w:p>
                      <w:p>
                        <w:pPr>
                          <w:spacing w:before="62"/>
                          <w:ind w:left="0" w:right="15" w:firstLine="0"/>
                          <w:jc w:val="center"/>
                          <w:rPr>
                            <w:rFonts w:ascii="Calibri"/>
                            <w:sz w:val="18"/>
                          </w:rPr>
                        </w:pPr>
                        <w:r>
                          <w:rPr>
                            <w:rFonts w:ascii="Calibri"/>
                            <w:color w:val="595958"/>
                            <w:spacing w:val="-5"/>
                            <w:sz w:val="18"/>
                          </w:rPr>
                          <w:t>162</w:t>
                        </w:r>
                      </w:p>
                      <w:p>
                        <w:pPr>
                          <w:spacing w:line="216" w:lineRule="exact" w:before="67"/>
                          <w:ind w:left="0" w:right="15" w:firstLine="0"/>
                          <w:jc w:val="center"/>
                          <w:rPr>
                            <w:rFonts w:ascii="Calibri"/>
                            <w:sz w:val="18"/>
                          </w:rPr>
                        </w:pPr>
                        <w:r>
                          <w:rPr>
                            <w:rFonts w:ascii="Calibri"/>
                            <w:color w:val="595958"/>
                            <w:spacing w:val="-5"/>
                            <w:sz w:val="18"/>
                          </w:rPr>
                          <w:t>51</w:t>
                        </w:r>
                      </w:p>
                    </w:txbxContent>
                  </v:textbox>
                  <w10:wrap type="none"/>
                </v:shape>
                <v:shape style="position:absolute;left:5631;top:4322;width:1623;height:750" type="#_x0000_t202" id="docshape149" filled="false" stroked="false">
                  <v:textbox inset="0,0,0,0">
                    <w:txbxContent>
                      <w:p>
                        <w:pPr>
                          <w:spacing w:line="183" w:lineRule="exact" w:before="0"/>
                          <w:ind w:left="0" w:right="18" w:firstLine="0"/>
                          <w:jc w:val="center"/>
                          <w:rPr>
                            <w:rFonts w:ascii="Calibri" w:hAnsi="Calibri"/>
                            <w:sz w:val="18"/>
                          </w:rPr>
                        </w:pPr>
                        <w:r>
                          <w:rPr>
                            <w:rFonts w:ascii="Calibri" w:hAnsi="Calibri"/>
                            <w:color w:val="595958"/>
                            <w:sz w:val="18"/>
                          </w:rPr>
                          <w:t>IR,</w:t>
                        </w:r>
                        <w:r>
                          <w:rPr>
                            <w:rFonts w:ascii="Calibri" w:hAnsi="Calibri"/>
                            <w:color w:val="595958"/>
                            <w:spacing w:val="-2"/>
                            <w:sz w:val="18"/>
                          </w:rPr>
                          <w:t> </w:t>
                        </w:r>
                        <w:r>
                          <w:rPr>
                            <w:rFonts w:ascii="Calibri" w:hAnsi="Calibri"/>
                            <w:color w:val="595958"/>
                            <w:sz w:val="18"/>
                          </w:rPr>
                          <w:t>25 минут,</w:t>
                        </w:r>
                        <w:r>
                          <w:rPr>
                            <w:rFonts w:ascii="Calibri" w:hAnsi="Calibri"/>
                            <w:color w:val="595958"/>
                            <w:spacing w:val="-2"/>
                            <w:sz w:val="18"/>
                          </w:rPr>
                          <w:t> </w:t>
                        </w:r>
                        <w:r>
                          <w:rPr>
                            <w:rFonts w:ascii="Calibri" w:hAnsi="Calibri"/>
                            <w:color w:val="595958"/>
                            <w:sz w:val="18"/>
                          </w:rPr>
                          <w:t>5,15 </w:t>
                        </w:r>
                        <w:r>
                          <w:rPr>
                            <w:rFonts w:ascii="Calibri" w:hAnsi="Calibri"/>
                            <w:color w:val="595958"/>
                            <w:spacing w:val="-5"/>
                            <w:sz w:val="18"/>
                          </w:rPr>
                          <w:t>Дж</w:t>
                        </w:r>
                      </w:p>
                      <w:p>
                        <w:pPr>
                          <w:spacing w:before="62"/>
                          <w:ind w:left="0" w:right="17" w:firstLine="0"/>
                          <w:jc w:val="center"/>
                          <w:rPr>
                            <w:rFonts w:ascii="Calibri"/>
                            <w:sz w:val="18"/>
                          </w:rPr>
                        </w:pPr>
                        <w:r>
                          <w:rPr>
                            <w:rFonts w:ascii="Calibri"/>
                            <w:color w:val="595958"/>
                            <w:spacing w:val="-5"/>
                            <w:sz w:val="18"/>
                          </w:rPr>
                          <w:t>217</w:t>
                        </w:r>
                      </w:p>
                      <w:p>
                        <w:pPr>
                          <w:spacing w:line="216" w:lineRule="exact" w:before="67"/>
                          <w:ind w:left="0" w:right="17" w:firstLine="0"/>
                          <w:jc w:val="center"/>
                          <w:rPr>
                            <w:rFonts w:ascii="Calibri"/>
                            <w:sz w:val="18"/>
                          </w:rPr>
                        </w:pPr>
                        <w:r>
                          <w:rPr>
                            <w:rFonts w:ascii="Calibri"/>
                            <w:color w:val="595958"/>
                            <w:spacing w:val="-5"/>
                            <w:sz w:val="18"/>
                          </w:rPr>
                          <w:t>114</w:t>
                        </w:r>
                      </w:p>
                    </w:txbxContent>
                  </v:textbox>
                  <w10:wrap type="none"/>
                </v:shape>
                <v:shape style="position:absolute;left:2102;top:4184;width:2854;height:1391" type="#_x0000_t202" id="docshape150" filled="false" stroked="false">
                  <v:textbox inset="0,0,0,0">
                    <w:txbxContent>
                      <w:p>
                        <w:pPr>
                          <w:spacing w:line="183" w:lineRule="exact" w:before="0"/>
                          <w:ind w:left="0" w:right="130" w:firstLine="0"/>
                          <w:jc w:val="right"/>
                          <w:rPr>
                            <w:rFonts w:ascii="Calibri"/>
                            <w:sz w:val="18"/>
                          </w:rPr>
                        </w:pPr>
                        <w:r>
                          <w:rPr>
                            <w:rFonts w:ascii="Calibri"/>
                            <w:color w:val="595958"/>
                            <w:spacing w:val="-10"/>
                            <w:sz w:val="18"/>
                          </w:rPr>
                          <w:t>0</w:t>
                        </w:r>
                      </w:p>
                      <w:p>
                        <w:pPr>
                          <w:spacing w:before="195"/>
                          <w:ind w:left="0" w:right="0" w:firstLine="0"/>
                          <w:jc w:val="left"/>
                          <w:rPr>
                            <w:rFonts w:ascii="Calibri" w:hAnsi="Calibri"/>
                            <w:sz w:val="18"/>
                          </w:rPr>
                        </w:pPr>
                        <w:r>
                          <w:rPr>
                            <w:rFonts w:ascii="Calibri" w:hAnsi="Calibri"/>
                            <w:color w:val="595958"/>
                            <w:sz w:val="18"/>
                          </w:rPr>
                          <w:t>N</w:t>
                        </w:r>
                        <w:r>
                          <w:rPr>
                            <w:rFonts w:ascii="Calibri" w:hAnsi="Calibri"/>
                            <w:color w:val="595958"/>
                            <w:spacing w:val="-1"/>
                            <w:sz w:val="18"/>
                          </w:rPr>
                          <w:t> </w:t>
                        </w:r>
                        <w:r>
                          <w:rPr>
                            <w:rFonts w:ascii="Calibri" w:hAnsi="Calibri"/>
                            <w:color w:val="595958"/>
                            <w:spacing w:val="-4"/>
                            <w:sz w:val="18"/>
                          </w:rPr>
                          <w:t>всего</w:t>
                        </w:r>
                      </w:p>
                      <w:p>
                        <w:pPr>
                          <w:spacing w:before="68"/>
                          <w:ind w:left="0" w:right="0" w:firstLine="0"/>
                          <w:jc w:val="left"/>
                          <w:rPr>
                            <w:rFonts w:ascii="Calibri" w:hAnsi="Calibri"/>
                            <w:sz w:val="18"/>
                          </w:rPr>
                        </w:pPr>
                        <w:r>
                          <w:rPr>
                            <w:rFonts w:ascii="Calibri" w:hAnsi="Calibri"/>
                            <w:color w:val="595958"/>
                            <w:sz w:val="18"/>
                          </w:rPr>
                          <w:t>N</w:t>
                        </w:r>
                        <w:r>
                          <w:rPr>
                            <w:rFonts w:ascii="Calibri" w:hAnsi="Calibri"/>
                            <w:color w:val="595958"/>
                            <w:spacing w:val="-4"/>
                            <w:sz w:val="18"/>
                          </w:rPr>
                          <w:t> </w:t>
                        </w:r>
                        <w:r>
                          <w:rPr>
                            <w:rFonts w:ascii="Calibri" w:hAnsi="Calibri"/>
                            <w:color w:val="595958"/>
                            <w:sz w:val="18"/>
                          </w:rPr>
                          <w:t>окрашенных</w:t>
                        </w:r>
                        <w:r>
                          <w:rPr>
                            <w:rFonts w:ascii="Calibri" w:hAnsi="Calibri"/>
                            <w:color w:val="595958"/>
                            <w:spacing w:val="-2"/>
                            <w:sz w:val="18"/>
                          </w:rPr>
                          <w:t> </w:t>
                        </w:r>
                        <w:r>
                          <w:rPr>
                            <w:rFonts w:ascii="Calibri" w:hAnsi="Calibri"/>
                            <w:color w:val="595958"/>
                            <w:sz w:val="18"/>
                          </w:rPr>
                          <w:t>MitoTracker</w:t>
                        </w:r>
                        <w:r>
                          <w:rPr>
                            <w:rFonts w:ascii="Calibri" w:hAnsi="Calibri"/>
                            <w:color w:val="595958"/>
                            <w:spacing w:val="-6"/>
                            <w:sz w:val="18"/>
                          </w:rPr>
                          <w:t> </w:t>
                        </w:r>
                        <w:r>
                          <w:rPr>
                            <w:rFonts w:ascii="Calibri" w:hAnsi="Calibri"/>
                            <w:color w:val="595958"/>
                            <w:sz w:val="18"/>
                          </w:rPr>
                          <w:t>Green</w:t>
                        </w:r>
                        <w:r>
                          <w:rPr>
                            <w:rFonts w:ascii="Calibri" w:hAnsi="Calibri"/>
                            <w:color w:val="595958"/>
                            <w:spacing w:val="1"/>
                            <w:sz w:val="18"/>
                          </w:rPr>
                          <w:t> </w:t>
                        </w:r>
                        <w:r>
                          <w:rPr>
                            <w:rFonts w:ascii="Calibri" w:hAnsi="Calibri"/>
                            <w:color w:val="595958"/>
                            <w:spacing w:val="-5"/>
                            <w:sz w:val="18"/>
                          </w:rPr>
                          <w:t>FM</w:t>
                        </w:r>
                      </w:p>
                      <w:p>
                        <w:pPr>
                          <w:spacing w:before="65"/>
                          <w:ind w:left="1089" w:right="0" w:hanging="1090"/>
                          <w:jc w:val="left"/>
                          <w:rPr>
                            <w:rFonts w:ascii="Calibri" w:hAnsi="Calibri"/>
                            <w:sz w:val="18"/>
                          </w:rPr>
                        </w:pPr>
                        <w:r>
                          <w:rPr>
                            <w:rFonts w:ascii="Calibri" w:hAnsi="Calibri"/>
                            <w:color w:val="595958"/>
                            <w:sz w:val="18"/>
                          </w:rPr>
                          <w:t>N</w:t>
                        </w:r>
                        <w:r>
                          <w:rPr>
                            <w:rFonts w:ascii="Calibri" w:hAnsi="Calibri"/>
                            <w:color w:val="595958"/>
                            <w:spacing w:val="-10"/>
                            <w:sz w:val="18"/>
                          </w:rPr>
                          <w:t> </w:t>
                        </w:r>
                        <w:r>
                          <w:rPr>
                            <w:rFonts w:ascii="Calibri" w:hAnsi="Calibri"/>
                            <w:color w:val="595958"/>
                            <w:sz w:val="18"/>
                          </w:rPr>
                          <w:t>окрашенных</w:t>
                        </w:r>
                        <w:r>
                          <w:rPr>
                            <w:rFonts w:ascii="Calibri" w:hAnsi="Calibri"/>
                            <w:color w:val="595958"/>
                            <w:spacing w:val="-8"/>
                            <w:sz w:val="18"/>
                          </w:rPr>
                          <w:t> </w:t>
                        </w:r>
                        <w:r>
                          <w:rPr>
                            <w:rFonts w:ascii="Calibri" w:hAnsi="Calibri"/>
                            <w:color w:val="595958"/>
                            <w:sz w:val="18"/>
                          </w:rPr>
                          <w:t>LumiTracker</w:t>
                        </w:r>
                        <w:r>
                          <w:rPr>
                            <w:rFonts w:ascii="Calibri" w:hAnsi="Calibri"/>
                            <w:color w:val="595958"/>
                            <w:spacing w:val="-10"/>
                            <w:sz w:val="18"/>
                          </w:rPr>
                          <w:t> </w:t>
                        </w:r>
                        <w:r>
                          <w:rPr>
                            <w:rFonts w:ascii="Calibri" w:hAnsi="Calibri"/>
                            <w:color w:val="595958"/>
                            <w:sz w:val="18"/>
                          </w:rPr>
                          <w:t>Mito</w:t>
                        </w:r>
                        <w:r>
                          <w:rPr>
                            <w:rFonts w:ascii="Calibri" w:hAnsi="Calibri"/>
                            <w:color w:val="595958"/>
                            <w:spacing w:val="-8"/>
                            <w:sz w:val="18"/>
                          </w:rPr>
                          <w:t> </w:t>
                        </w:r>
                        <w:r>
                          <w:rPr>
                            <w:rFonts w:ascii="Calibri" w:hAnsi="Calibri"/>
                            <w:color w:val="595958"/>
                            <w:sz w:val="18"/>
                          </w:rPr>
                          <w:t>Red </w:t>
                        </w:r>
                        <w:r>
                          <w:rPr>
                            <w:rFonts w:ascii="Calibri" w:hAnsi="Calibri"/>
                            <w:color w:val="595958"/>
                            <w:spacing w:val="-2"/>
                            <w:sz w:val="18"/>
                          </w:rPr>
                          <w:t>CMXRos</w:t>
                        </w:r>
                      </w:p>
                    </w:txbxContent>
                  </v:textbox>
                  <w10:wrap type="none"/>
                </v:shape>
                <v:shape style="position:absolute;left:9568;top:3341;width:1211;height:180" type="#_x0000_t202" id="docshape151" filled="false" stroked="false">
                  <v:textbox inset="0,0,0,0">
                    <w:txbxContent>
                      <w:p>
                        <w:pPr>
                          <w:tabs>
                            <w:tab w:pos="295" w:val="left" w:leader="none"/>
                            <w:tab w:pos="1190" w:val="left" w:leader="none"/>
                          </w:tabs>
                          <w:spacing w:line="180" w:lineRule="exact" w:before="0"/>
                          <w:ind w:left="0" w:right="0" w:firstLine="0"/>
                          <w:jc w:val="left"/>
                          <w:rPr>
                            <w:rFonts w:ascii="Calibri"/>
                            <w:sz w:val="18"/>
                          </w:rPr>
                        </w:pPr>
                        <w:r>
                          <w:rPr>
                            <w:rFonts w:ascii="Calibri"/>
                            <w:color w:val="3E3E3E"/>
                            <w:sz w:val="18"/>
                            <w:u w:val="single" w:color="DADADA"/>
                          </w:rPr>
                          <w:tab/>
                        </w:r>
                        <w:r>
                          <w:rPr>
                            <w:rFonts w:ascii="Calibri"/>
                            <w:color w:val="3E3E3E"/>
                            <w:spacing w:val="-5"/>
                            <w:sz w:val="18"/>
                            <w:u w:val="single" w:color="DADADA"/>
                          </w:rPr>
                          <w:t>44</w:t>
                        </w:r>
                        <w:r>
                          <w:rPr>
                            <w:rFonts w:ascii="Calibri"/>
                            <w:color w:val="3E3E3E"/>
                            <w:sz w:val="18"/>
                            <w:u w:val="single" w:color="DADADA"/>
                          </w:rPr>
                          <w:tab/>
                        </w:r>
                      </w:p>
                    </w:txbxContent>
                  </v:textbox>
                  <w10:wrap type="none"/>
                </v:shape>
                <v:shape style="position:absolute;left:4640;top:3441;width:203;height:180" type="#_x0000_t202" id="docshape152"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50</w:t>
                        </w:r>
                      </w:p>
                    </w:txbxContent>
                  </v:textbox>
                  <w10:wrap type="none"/>
                </v:shape>
                <v:shape style="position:absolute;left:9224;top:3236;width:203;height:180" type="#_x0000_t202" id="docshape153"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51</w:t>
                        </w:r>
                      </w:p>
                    </w:txbxContent>
                  </v:textbox>
                  <w10:wrap type="none"/>
                </v:shape>
                <v:shape style="position:absolute;left:6979;top:2791;width:203;height:180" type="#_x0000_t202" id="docshape154"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81</w:t>
                        </w:r>
                      </w:p>
                    </w:txbxContent>
                  </v:textbox>
                  <w10:wrap type="none"/>
                </v:shape>
                <v:shape style="position:absolute;left:4549;top:2698;width:294;height:180" type="#_x0000_t202" id="docshape155"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100</w:t>
                        </w:r>
                      </w:p>
                    </w:txbxContent>
                  </v:textbox>
                  <w10:wrap type="none"/>
                </v:shape>
                <v:shape style="position:absolute;left:6294;top:2300;width:294;height:180" type="#_x0000_t202" id="docshape156"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114</w:t>
                        </w:r>
                      </w:p>
                    </w:txbxContent>
                  </v:textbox>
                  <w10:wrap type="none"/>
                </v:shape>
                <v:shape style="position:absolute;left:4549;top:1956;width:294;height:180" type="#_x0000_t202" id="docshape157"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150</w:t>
                        </w:r>
                      </w:p>
                    </w:txbxContent>
                  </v:textbox>
                  <w10:wrap type="none"/>
                </v:shape>
                <v:shape style="position:absolute;left:8539;top:1587;width:294;height:180" type="#_x0000_t202" id="docshape158"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162</w:t>
                        </w:r>
                      </w:p>
                    </w:txbxContent>
                  </v:textbox>
                  <w10:wrap type="none"/>
                </v:shape>
                <v:shape style="position:absolute;left:4549;top:1213;width:294;height:180" type="#_x0000_t202" id="docshape159"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200</w:t>
                        </w:r>
                      </w:p>
                    </w:txbxContent>
                  </v:textbox>
                  <w10:wrap type="none"/>
                </v:shape>
                <v:shape style="position:absolute;left:5655;top:770;width:294;height:180" type="#_x0000_t202" id="docshape160" filled="false" stroked="false">
                  <v:textbox inset="0,0,0,0">
                    <w:txbxContent>
                      <w:p>
                        <w:pPr>
                          <w:spacing w:line="180" w:lineRule="exact" w:before="0"/>
                          <w:ind w:left="0" w:right="0" w:firstLine="0"/>
                          <w:jc w:val="left"/>
                          <w:rPr>
                            <w:rFonts w:ascii="Calibri"/>
                            <w:sz w:val="18"/>
                          </w:rPr>
                        </w:pPr>
                        <w:r>
                          <w:rPr>
                            <w:rFonts w:ascii="Calibri"/>
                            <w:color w:val="3E3E3E"/>
                            <w:spacing w:val="-5"/>
                            <w:sz w:val="18"/>
                          </w:rPr>
                          <w:t>217</w:t>
                        </w:r>
                      </w:p>
                    </w:txbxContent>
                  </v:textbox>
                  <w10:wrap type="none"/>
                </v:shape>
                <v:shape style="position:absolute;left:4549;top:470;width:294;height:180" type="#_x0000_t202" id="docshape161" filled="false" stroked="false">
                  <v:textbox inset="0,0,0,0">
                    <w:txbxContent>
                      <w:p>
                        <w:pPr>
                          <w:spacing w:line="180" w:lineRule="exact" w:before="0"/>
                          <w:ind w:left="0" w:right="0" w:firstLine="0"/>
                          <w:jc w:val="left"/>
                          <w:rPr>
                            <w:rFonts w:ascii="Calibri"/>
                            <w:sz w:val="18"/>
                          </w:rPr>
                        </w:pPr>
                        <w:r>
                          <w:rPr>
                            <w:rFonts w:ascii="Calibri"/>
                            <w:color w:val="595958"/>
                            <w:spacing w:val="-5"/>
                            <w:sz w:val="18"/>
                          </w:rPr>
                          <w:t>250</w:t>
                        </w:r>
                      </w:p>
                    </w:txbxContent>
                  </v:textbox>
                  <w10:wrap type="none"/>
                </v:shape>
                <w10:wrap type="topAndBottom"/>
              </v:group>
            </w:pict>
          </mc:Fallback>
        </mc:AlternateContent>
      </w:r>
    </w:p>
    <w:p>
      <w:pPr>
        <w:pStyle w:val="BodyText"/>
        <w:spacing w:before="36"/>
        <w:jc w:val="left"/>
      </w:pPr>
    </w:p>
    <w:p>
      <w:pPr>
        <w:pStyle w:val="BodyText"/>
        <w:spacing w:line="256" w:lineRule="auto"/>
        <w:ind w:left="715" w:hanging="572"/>
        <w:jc w:val="left"/>
      </w:pPr>
      <w:r>
        <w:rPr/>
        <w:t>Рисунок</w:t>
      </w:r>
      <w:r>
        <w:rPr>
          <w:spacing w:val="-6"/>
        </w:rPr>
        <w:t> </w:t>
      </w:r>
      <w:r>
        <w:rPr/>
        <w:t>44</w:t>
      </w:r>
      <w:r>
        <w:rPr>
          <w:spacing w:val="-5"/>
        </w:rPr>
        <w:t> </w:t>
      </w:r>
      <w:r>
        <w:rPr>
          <w:rFonts w:ascii="Arial MT" w:hAnsi="Arial MT"/>
          <w:color w:val="454545"/>
          <w:sz w:val="21"/>
        </w:rPr>
        <w:t>—</w:t>
      </w:r>
      <w:r>
        <w:rPr>
          <w:rFonts w:ascii="Arial MT" w:hAnsi="Arial MT"/>
          <w:color w:val="454545"/>
          <w:spacing w:val="-4"/>
          <w:sz w:val="21"/>
        </w:rPr>
        <w:t> </w:t>
      </w:r>
      <w:r>
        <w:rPr/>
        <w:t>Результаты</w:t>
      </w:r>
      <w:r>
        <w:rPr>
          <w:spacing w:val="-4"/>
        </w:rPr>
        <w:t> </w:t>
      </w:r>
      <w:r>
        <w:rPr/>
        <w:t>прижизненной</w:t>
      </w:r>
      <w:r>
        <w:rPr>
          <w:spacing w:val="-4"/>
        </w:rPr>
        <w:t> </w:t>
      </w:r>
      <w:r>
        <w:rPr/>
        <w:t>окраски</w:t>
      </w:r>
      <w:r>
        <w:rPr>
          <w:spacing w:val="-4"/>
        </w:rPr>
        <w:t> </w:t>
      </w:r>
      <w:r>
        <w:rPr/>
        <w:t>митохондрий</w:t>
      </w:r>
      <w:r>
        <w:rPr>
          <w:spacing w:val="-4"/>
        </w:rPr>
        <w:t> </w:t>
      </w:r>
      <w:r>
        <w:rPr/>
        <w:t>митотрекерами</w:t>
      </w:r>
      <w:r>
        <w:rPr>
          <w:spacing w:val="-5"/>
        </w:rPr>
        <w:t> </w:t>
      </w:r>
      <w:r>
        <w:rPr/>
        <w:t>после обработки эякулята инфракрасным светодиодом (933 нм, 25 минут, </w:t>
      </w:r>
      <w:r>
        <w:rPr>
          <w:sz w:val="24"/>
        </w:rPr>
        <w:t>5,15 Дж</w:t>
      </w:r>
      <w:r>
        <w:rPr/>
        <w:t>)</w:t>
      </w:r>
    </w:p>
    <w:p>
      <w:pPr>
        <w:pStyle w:val="BodyText"/>
        <w:spacing w:before="18"/>
        <w:jc w:val="left"/>
      </w:pPr>
    </w:p>
    <w:p>
      <w:pPr>
        <w:pStyle w:val="BodyText"/>
        <w:spacing w:line="256" w:lineRule="auto"/>
        <w:ind w:left="143" w:right="419" w:firstLine="707"/>
      </w:pPr>
      <w:r>
        <w:rPr/>
        <w:t>Обработка</w:t>
      </w:r>
      <w:r>
        <w:rPr>
          <w:spacing w:val="-4"/>
        </w:rPr>
        <w:t> </w:t>
      </w:r>
      <w:r>
        <w:rPr/>
        <w:t>эякулята</w:t>
      </w:r>
      <w:r>
        <w:rPr>
          <w:spacing w:val="-5"/>
        </w:rPr>
        <w:t> </w:t>
      </w:r>
      <w:r>
        <w:rPr/>
        <w:t>инфракрасным</w:t>
      </w:r>
      <w:r>
        <w:rPr>
          <w:spacing w:val="-4"/>
        </w:rPr>
        <w:t> </w:t>
      </w:r>
      <w:r>
        <w:rPr/>
        <w:t>светодиодом</w:t>
      </w:r>
      <w:r>
        <w:rPr>
          <w:spacing w:val="-4"/>
        </w:rPr>
        <w:t> </w:t>
      </w:r>
      <w:r>
        <w:rPr/>
        <w:t>с</w:t>
      </w:r>
      <w:r>
        <w:rPr>
          <w:spacing w:val="-4"/>
        </w:rPr>
        <w:t> </w:t>
      </w:r>
      <w:r>
        <w:rPr/>
        <w:t>сообщаемой</w:t>
      </w:r>
      <w:r>
        <w:rPr>
          <w:spacing w:val="-3"/>
        </w:rPr>
        <w:t> </w:t>
      </w:r>
      <w:r>
        <w:rPr/>
        <w:t>энергией</w:t>
      </w:r>
      <w:r>
        <w:rPr>
          <w:spacing w:val="-3"/>
        </w:rPr>
        <w:t> </w:t>
      </w:r>
      <w:r>
        <w:rPr/>
        <w:t>в</w:t>
      </w:r>
      <w:r>
        <w:rPr>
          <w:spacing w:val="-4"/>
        </w:rPr>
        <w:t> </w:t>
      </w:r>
      <w:r>
        <w:rPr/>
        <w:t>5,15 Дж на протяжении 25 минут привело к значительному увеличению доли окрашенных, метаболически активных, митохондрий по сравнению с контролем – 52,53% (N=114) против 31,48% (N=51) в контроле (MitoTracker Green FM). При окраске митохондрий LumiTracker Mito Red CMXRos доля сперматозоидов с активными митохондриями составила 37,33% (N=81) в эксперименте против 27,16% (N=44) в контроле. В данном варианте облучения стоит отметить потенциально негативный эффект от длительного времени нахождения сперматозоидов вне полового тракта и вне среды для культивирования, что может оказать влияние на повышение уровня АФК до патологического предела, привести к увеличению индекса фрагментации ДНК сперматозоидов, изменению осмолярности среды. Для подобного варианта облучения следует подобрать протокол с применением кульутальной среды, благоприятной для сперматозоидов.</w:t>
      </w:r>
    </w:p>
    <w:p>
      <w:pPr>
        <w:pStyle w:val="BodyText"/>
        <w:spacing w:line="307" w:lineRule="exact"/>
        <w:ind w:left="852"/>
      </w:pPr>
      <w:r>
        <w:rPr/>
        <w:t>На</w:t>
      </w:r>
      <w:r>
        <w:rPr>
          <w:spacing w:val="66"/>
        </w:rPr>
        <w:t> </w:t>
      </w:r>
      <w:r>
        <w:rPr/>
        <w:t>рисунке</w:t>
      </w:r>
      <w:r>
        <w:rPr>
          <w:spacing w:val="69"/>
        </w:rPr>
        <w:t> </w:t>
      </w:r>
      <w:r>
        <w:rPr/>
        <w:t>45</w:t>
      </w:r>
      <w:r>
        <w:rPr>
          <w:spacing w:val="70"/>
        </w:rPr>
        <w:t> </w:t>
      </w:r>
      <w:r>
        <w:rPr/>
        <w:t>показано</w:t>
      </w:r>
      <w:r>
        <w:rPr>
          <w:spacing w:val="69"/>
        </w:rPr>
        <w:t> </w:t>
      </w:r>
      <w:r>
        <w:rPr/>
        <w:t>увеличение</w:t>
      </w:r>
      <w:r>
        <w:rPr>
          <w:spacing w:val="66"/>
        </w:rPr>
        <w:t> </w:t>
      </w:r>
      <w:r>
        <w:rPr/>
        <w:t>интенсивности</w:t>
      </w:r>
      <w:r>
        <w:rPr>
          <w:spacing w:val="69"/>
        </w:rPr>
        <w:t> </w:t>
      </w:r>
      <w:r>
        <w:rPr/>
        <w:t>свечения</w:t>
      </w:r>
      <w:r>
        <w:rPr>
          <w:spacing w:val="69"/>
        </w:rPr>
        <w:t> </w:t>
      </w:r>
      <w:r>
        <w:rPr>
          <w:spacing w:val="-2"/>
        </w:rPr>
        <w:t>митохондрий</w:t>
      </w:r>
    </w:p>
    <w:p>
      <w:pPr>
        <w:pStyle w:val="BodyText"/>
        <w:spacing w:before="24"/>
        <w:ind w:left="144"/>
      </w:pPr>
      <w:r>
        <w:rPr/>
        <w:t>сперматозоидов</w:t>
      </w:r>
      <w:r>
        <w:rPr>
          <w:spacing w:val="-8"/>
        </w:rPr>
        <w:t> </w:t>
      </w:r>
      <w:r>
        <w:rPr/>
        <w:t>после</w:t>
      </w:r>
      <w:r>
        <w:rPr>
          <w:spacing w:val="-8"/>
        </w:rPr>
        <w:t> </w:t>
      </w:r>
      <w:r>
        <w:rPr/>
        <w:t>воздействия</w:t>
      </w:r>
      <w:r>
        <w:rPr>
          <w:spacing w:val="-7"/>
        </w:rPr>
        <w:t> </w:t>
      </w:r>
      <w:r>
        <w:rPr>
          <w:spacing w:val="-5"/>
        </w:rPr>
        <w:t>ЭМИ</w:t>
      </w:r>
    </w:p>
    <w:p>
      <w:pPr>
        <w:pStyle w:val="BodyText"/>
        <w:spacing w:after="0"/>
        <w:sectPr>
          <w:pgSz w:w="11910" w:h="16840"/>
          <w:pgMar w:header="0" w:footer="990" w:top="340" w:bottom="1200" w:left="708" w:right="425"/>
        </w:sectPr>
      </w:pPr>
    </w:p>
    <w:tbl>
      <w:tblPr>
        <w:tblW w:w="0" w:type="auto"/>
        <w:jc w:val="left"/>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4"/>
        <w:gridCol w:w="3199"/>
        <w:gridCol w:w="3307"/>
      </w:tblGrid>
      <w:tr>
        <w:trPr>
          <w:trHeight w:val="2121" w:hRule="atLeast"/>
        </w:trPr>
        <w:tc>
          <w:tcPr>
            <w:tcW w:w="3324" w:type="dxa"/>
          </w:tcPr>
          <w:p>
            <w:pPr>
              <w:pStyle w:val="TableParagraph"/>
              <w:spacing w:before="6"/>
              <w:rPr>
                <w:sz w:val="2"/>
              </w:rPr>
            </w:pPr>
          </w:p>
          <w:p>
            <w:pPr>
              <w:pStyle w:val="TableParagraph"/>
              <w:ind w:left="565"/>
              <w:rPr>
                <w:sz w:val="20"/>
              </w:rPr>
            </w:pPr>
            <w:r>
              <w:rPr>
                <w:sz w:val="20"/>
              </w:rPr>
              <w:drawing>
                <wp:inline distT="0" distB="0" distL="0" distR="0">
                  <wp:extent cx="1386245" cy="1292352"/>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70" cstate="print"/>
                          <a:stretch>
                            <a:fillRect/>
                          </a:stretch>
                        </pic:blipFill>
                        <pic:spPr>
                          <a:xfrm>
                            <a:off x="0" y="0"/>
                            <a:ext cx="1386245" cy="1292352"/>
                          </a:xfrm>
                          <a:prstGeom prst="rect">
                            <a:avLst/>
                          </a:prstGeom>
                        </pic:spPr>
                      </pic:pic>
                    </a:graphicData>
                  </a:graphic>
                </wp:inline>
              </w:drawing>
            </w:r>
            <w:r>
              <w:rPr>
                <w:sz w:val="20"/>
              </w:rPr>
            </w:r>
          </w:p>
        </w:tc>
        <w:tc>
          <w:tcPr>
            <w:tcW w:w="3199" w:type="dxa"/>
          </w:tcPr>
          <w:p>
            <w:pPr>
              <w:pStyle w:val="TableParagraph"/>
              <w:ind w:left="486"/>
              <w:rPr>
                <w:sz w:val="20"/>
              </w:rPr>
            </w:pPr>
            <w:r>
              <w:rPr>
                <w:sz w:val="20"/>
              </w:rPr>
              <w:drawing>
                <wp:inline distT="0" distB="0" distL="0" distR="0">
                  <wp:extent cx="1428067" cy="1343405"/>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71" cstate="print"/>
                          <a:stretch>
                            <a:fillRect/>
                          </a:stretch>
                        </pic:blipFill>
                        <pic:spPr>
                          <a:xfrm>
                            <a:off x="0" y="0"/>
                            <a:ext cx="1428067" cy="1343405"/>
                          </a:xfrm>
                          <a:prstGeom prst="rect">
                            <a:avLst/>
                          </a:prstGeom>
                        </pic:spPr>
                      </pic:pic>
                    </a:graphicData>
                  </a:graphic>
                </wp:inline>
              </w:drawing>
            </w:r>
            <w:r>
              <w:rPr>
                <w:sz w:val="20"/>
              </w:rPr>
            </w:r>
          </w:p>
        </w:tc>
        <w:tc>
          <w:tcPr>
            <w:tcW w:w="3307" w:type="dxa"/>
          </w:tcPr>
          <w:p>
            <w:pPr>
              <w:pStyle w:val="TableParagraph"/>
              <w:ind w:left="543"/>
              <w:rPr>
                <w:sz w:val="20"/>
              </w:rPr>
            </w:pPr>
            <w:r>
              <w:rPr>
                <w:sz w:val="20"/>
              </w:rPr>
              <w:drawing>
                <wp:inline distT="0" distB="0" distL="0" distR="0">
                  <wp:extent cx="1412642" cy="1322831"/>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72" cstate="print"/>
                          <a:stretch>
                            <a:fillRect/>
                          </a:stretch>
                        </pic:blipFill>
                        <pic:spPr>
                          <a:xfrm>
                            <a:off x="0" y="0"/>
                            <a:ext cx="1412642" cy="1322831"/>
                          </a:xfrm>
                          <a:prstGeom prst="rect">
                            <a:avLst/>
                          </a:prstGeom>
                        </pic:spPr>
                      </pic:pic>
                    </a:graphicData>
                  </a:graphic>
                </wp:inline>
              </w:drawing>
            </w:r>
            <w:r>
              <w:rPr>
                <w:sz w:val="20"/>
              </w:rPr>
            </w:r>
          </w:p>
        </w:tc>
      </w:tr>
      <w:tr>
        <w:trPr>
          <w:trHeight w:val="244" w:hRule="atLeast"/>
        </w:trPr>
        <w:tc>
          <w:tcPr>
            <w:tcW w:w="3324" w:type="dxa"/>
          </w:tcPr>
          <w:p>
            <w:pPr>
              <w:pStyle w:val="TableParagraph"/>
              <w:spacing w:line="224" w:lineRule="exact"/>
              <w:ind w:left="7" w:right="1"/>
              <w:jc w:val="center"/>
              <w:rPr>
                <w:b/>
                <w:sz w:val="20"/>
              </w:rPr>
            </w:pPr>
            <w:r>
              <w:rPr>
                <w:b/>
                <w:spacing w:val="-10"/>
                <w:sz w:val="20"/>
              </w:rPr>
              <w:t>a</w:t>
            </w:r>
          </w:p>
        </w:tc>
        <w:tc>
          <w:tcPr>
            <w:tcW w:w="3199" w:type="dxa"/>
          </w:tcPr>
          <w:p>
            <w:pPr>
              <w:pStyle w:val="TableParagraph"/>
              <w:spacing w:line="224" w:lineRule="exact"/>
              <w:ind w:left="7"/>
              <w:jc w:val="center"/>
              <w:rPr>
                <w:b/>
                <w:sz w:val="20"/>
              </w:rPr>
            </w:pPr>
            <w:r>
              <w:rPr>
                <w:b/>
                <w:spacing w:val="-10"/>
                <w:sz w:val="20"/>
              </w:rPr>
              <w:t>b</w:t>
            </w:r>
          </w:p>
        </w:tc>
        <w:tc>
          <w:tcPr>
            <w:tcW w:w="3307" w:type="dxa"/>
          </w:tcPr>
          <w:p>
            <w:pPr>
              <w:pStyle w:val="TableParagraph"/>
              <w:spacing w:line="224" w:lineRule="exact"/>
              <w:ind w:left="9" w:right="2"/>
              <w:jc w:val="center"/>
              <w:rPr>
                <w:b/>
                <w:sz w:val="20"/>
              </w:rPr>
            </w:pPr>
            <w:r>
              <w:rPr>
                <w:b/>
                <w:spacing w:val="-10"/>
                <w:sz w:val="20"/>
              </w:rPr>
              <w:t>c</w:t>
            </w:r>
          </w:p>
        </w:tc>
      </w:tr>
      <w:tr>
        <w:trPr>
          <w:trHeight w:val="2058" w:hRule="atLeast"/>
        </w:trPr>
        <w:tc>
          <w:tcPr>
            <w:tcW w:w="3324" w:type="dxa"/>
          </w:tcPr>
          <w:p>
            <w:pPr>
              <w:pStyle w:val="TableParagraph"/>
              <w:spacing w:before="4"/>
              <w:rPr>
                <w:sz w:val="2"/>
              </w:rPr>
            </w:pPr>
          </w:p>
          <w:p>
            <w:pPr>
              <w:pStyle w:val="TableParagraph"/>
              <w:ind w:left="513"/>
              <w:rPr>
                <w:sz w:val="20"/>
              </w:rPr>
            </w:pPr>
            <w:r>
              <w:rPr>
                <w:sz w:val="20"/>
              </w:rPr>
              <w:drawing>
                <wp:inline distT="0" distB="0" distL="0" distR="0">
                  <wp:extent cx="1463478" cy="1265586"/>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73" cstate="print"/>
                          <a:stretch>
                            <a:fillRect/>
                          </a:stretch>
                        </pic:blipFill>
                        <pic:spPr>
                          <a:xfrm>
                            <a:off x="0" y="0"/>
                            <a:ext cx="1463478" cy="1265586"/>
                          </a:xfrm>
                          <a:prstGeom prst="rect">
                            <a:avLst/>
                          </a:prstGeom>
                        </pic:spPr>
                      </pic:pic>
                    </a:graphicData>
                  </a:graphic>
                </wp:inline>
              </w:drawing>
            </w:r>
            <w:r>
              <w:rPr>
                <w:sz w:val="20"/>
              </w:rPr>
            </w:r>
          </w:p>
        </w:tc>
        <w:tc>
          <w:tcPr>
            <w:tcW w:w="3199" w:type="dxa"/>
          </w:tcPr>
          <w:p>
            <w:pPr>
              <w:pStyle w:val="TableParagraph"/>
              <w:spacing w:before="3"/>
              <w:rPr>
                <w:sz w:val="2"/>
              </w:rPr>
            </w:pPr>
          </w:p>
          <w:p>
            <w:pPr>
              <w:pStyle w:val="TableParagraph"/>
              <w:ind w:left="458"/>
              <w:rPr>
                <w:sz w:val="20"/>
              </w:rPr>
            </w:pPr>
            <w:r>
              <w:rPr>
                <w:sz w:val="20"/>
              </w:rPr>
              <w:drawing>
                <wp:inline distT="0" distB="0" distL="0" distR="0">
                  <wp:extent cx="1437261" cy="1253299"/>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74" cstate="print"/>
                          <a:stretch>
                            <a:fillRect/>
                          </a:stretch>
                        </pic:blipFill>
                        <pic:spPr>
                          <a:xfrm>
                            <a:off x="0" y="0"/>
                            <a:ext cx="1437261" cy="1253299"/>
                          </a:xfrm>
                          <a:prstGeom prst="rect">
                            <a:avLst/>
                          </a:prstGeom>
                        </pic:spPr>
                      </pic:pic>
                    </a:graphicData>
                  </a:graphic>
                </wp:inline>
              </w:drawing>
            </w:r>
            <w:r>
              <w:rPr>
                <w:sz w:val="20"/>
              </w:rPr>
            </w:r>
          </w:p>
        </w:tc>
        <w:tc>
          <w:tcPr>
            <w:tcW w:w="3307" w:type="dxa"/>
          </w:tcPr>
          <w:p>
            <w:pPr>
              <w:pStyle w:val="TableParagraph"/>
              <w:spacing w:before="10"/>
              <w:rPr>
                <w:sz w:val="4"/>
              </w:rPr>
            </w:pPr>
          </w:p>
          <w:p>
            <w:pPr>
              <w:pStyle w:val="TableParagraph"/>
              <w:ind w:left="513"/>
              <w:rPr>
                <w:sz w:val="20"/>
              </w:rPr>
            </w:pPr>
            <w:r>
              <w:rPr>
                <w:sz w:val="20"/>
              </w:rPr>
              <w:drawing>
                <wp:inline distT="0" distB="0" distL="0" distR="0">
                  <wp:extent cx="1433333" cy="1216437"/>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75" cstate="print"/>
                          <a:stretch>
                            <a:fillRect/>
                          </a:stretch>
                        </pic:blipFill>
                        <pic:spPr>
                          <a:xfrm>
                            <a:off x="0" y="0"/>
                            <a:ext cx="1433333" cy="1216437"/>
                          </a:xfrm>
                          <a:prstGeom prst="rect">
                            <a:avLst/>
                          </a:prstGeom>
                        </pic:spPr>
                      </pic:pic>
                    </a:graphicData>
                  </a:graphic>
                </wp:inline>
              </w:drawing>
            </w:r>
            <w:r>
              <w:rPr>
                <w:sz w:val="20"/>
              </w:rPr>
            </w:r>
          </w:p>
        </w:tc>
      </w:tr>
      <w:tr>
        <w:trPr>
          <w:trHeight w:val="244" w:hRule="atLeast"/>
        </w:trPr>
        <w:tc>
          <w:tcPr>
            <w:tcW w:w="3324" w:type="dxa"/>
          </w:tcPr>
          <w:p>
            <w:pPr>
              <w:pStyle w:val="TableParagraph"/>
              <w:spacing w:line="224" w:lineRule="exact"/>
              <w:ind w:left="7"/>
              <w:jc w:val="center"/>
              <w:rPr>
                <w:b/>
                <w:sz w:val="20"/>
              </w:rPr>
            </w:pPr>
            <w:r>
              <w:rPr>
                <w:b/>
                <w:spacing w:val="-10"/>
                <w:sz w:val="20"/>
              </w:rPr>
              <w:t>d</w:t>
            </w:r>
          </w:p>
        </w:tc>
        <w:tc>
          <w:tcPr>
            <w:tcW w:w="3199" w:type="dxa"/>
          </w:tcPr>
          <w:p>
            <w:pPr>
              <w:pStyle w:val="TableParagraph"/>
              <w:spacing w:line="224" w:lineRule="exact"/>
              <w:ind w:left="7" w:right="3"/>
              <w:jc w:val="center"/>
              <w:rPr>
                <w:b/>
                <w:sz w:val="20"/>
              </w:rPr>
            </w:pPr>
            <w:r>
              <w:rPr>
                <w:b/>
                <w:spacing w:val="-10"/>
                <w:sz w:val="20"/>
              </w:rPr>
              <w:t>e</w:t>
            </w:r>
          </w:p>
        </w:tc>
        <w:tc>
          <w:tcPr>
            <w:tcW w:w="3307" w:type="dxa"/>
          </w:tcPr>
          <w:p>
            <w:pPr>
              <w:pStyle w:val="TableParagraph"/>
              <w:spacing w:line="224" w:lineRule="exact"/>
              <w:ind w:left="9"/>
              <w:jc w:val="center"/>
              <w:rPr>
                <w:b/>
                <w:sz w:val="20"/>
              </w:rPr>
            </w:pPr>
            <w:r>
              <w:rPr>
                <w:b/>
                <w:spacing w:val="-10"/>
                <w:sz w:val="20"/>
              </w:rPr>
              <w:t>f</w:t>
            </w:r>
          </w:p>
        </w:tc>
      </w:tr>
      <w:tr>
        <w:trPr>
          <w:trHeight w:val="2092" w:hRule="atLeast"/>
        </w:trPr>
        <w:tc>
          <w:tcPr>
            <w:tcW w:w="3324" w:type="dxa"/>
          </w:tcPr>
          <w:p>
            <w:pPr>
              <w:pStyle w:val="TableParagraph"/>
              <w:ind w:left="547"/>
              <w:rPr>
                <w:sz w:val="20"/>
              </w:rPr>
            </w:pPr>
            <w:r>
              <w:rPr>
                <w:sz w:val="20"/>
              </w:rPr>
              <w:drawing>
                <wp:inline distT="0" distB="0" distL="0" distR="0">
                  <wp:extent cx="1407090" cy="1306544"/>
                  <wp:effectExtent l="0" t="0" r="0" b="0"/>
                  <wp:docPr id="218" name="Image 218"/>
                  <wp:cNvGraphicFramePr>
                    <a:graphicFrameLocks/>
                  </wp:cNvGraphicFramePr>
                  <a:graphic>
                    <a:graphicData uri="http://schemas.openxmlformats.org/drawingml/2006/picture">
                      <pic:pic>
                        <pic:nvPicPr>
                          <pic:cNvPr id="218" name="Image 218"/>
                          <pic:cNvPicPr/>
                        </pic:nvPicPr>
                        <pic:blipFill>
                          <a:blip r:embed="rId76" cstate="print"/>
                          <a:stretch>
                            <a:fillRect/>
                          </a:stretch>
                        </pic:blipFill>
                        <pic:spPr>
                          <a:xfrm>
                            <a:off x="0" y="0"/>
                            <a:ext cx="1407090" cy="1306544"/>
                          </a:xfrm>
                          <a:prstGeom prst="rect">
                            <a:avLst/>
                          </a:prstGeom>
                        </pic:spPr>
                      </pic:pic>
                    </a:graphicData>
                  </a:graphic>
                </wp:inline>
              </w:drawing>
            </w:r>
            <w:r>
              <w:rPr>
                <w:sz w:val="20"/>
              </w:rPr>
            </w:r>
          </w:p>
        </w:tc>
        <w:tc>
          <w:tcPr>
            <w:tcW w:w="3199" w:type="dxa"/>
          </w:tcPr>
          <w:p>
            <w:pPr>
              <w:pStyle w:val="TableParagraph"/>
              <w:ind w:left="485"/>
              <w:rPr>
                <w:sz w:val="20"/>
              </w:rPr>
            </w:pPr>
            <w:r>
              <w:rPr>
                <w:sz w:val="20"/>
              </w:rPr>
              <w:drawing>
                <wp:inline distT="0" distB="0" distL="0" distR="0">
                  <wp:extent cx="1409674" cy="1286065"/>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77" cstate="print"/>
                          <a:stretch>
                            <a:fillRect/>
                          </a:stretch>
                        </pic:blipFill>
                        <pic:spPr>
                          <a:xfrm>
                            <a:off x="0" y="0"/>
                            <a:ext cx="1409674" cy="1286065"/>
                          </a:xfrm>
                          <a:prstGeom prst="rect">
                            <a:avLst/>
                          </a:prstGeom>
                        </pic:spPr>
                      </pic:pic>
                    </a:graphicData>
                  </a:graphic>
                </wp:inline>
              </w:drawing>
            </w:r>
            <w:r>
              <w:rPr>
                <w:sz w:val="20"/>
              </w:rPr>
            </w:r>
          </w:p>
        </w:tc>
        <w:tc>
          <w:tcPr>
            <w:tcW w:w="3307" w:type="dxa"/>
          </w:tcPr>
          <w:p>
            <w:pPr>
              <w:pStyle w:val="TableParagraph"/>
              <w:spacing w:before="7"/>
              <w:rPr>
                <w:sz w:val="2"/>
              </w:rPr>
            </w:pPr>
          </w:p>
          <w:p>
            <w:pPr>
              <w:pStyle w:val="TableParagraph"/>
              <w:ind w:left="543"/>
              <w:rPr>
                <w:sz w:val="20"/>
              </w:rPr>
            </w:pPr>
            <w:r>
              <w:rPr>
                <w:sz w:val="20"/>
              </w:rPr>
              <w:drawing>
                <wp:inline distT="0" distB="0" distL="0" distR="0">
                  <wp:extent cx="1410015" cy="1281969"/>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78" cstate="print"/>
                          <a:stretch>
                            <a:fillRect/>
                          </a:stretch>
                        </pic:blipFill>
                        <pic:spPr>
                          <a:xfrm>
                            <a:off x="0" y="0"/>
                            <a:ext cx="1410015" cy="1281969"/>
                          </a:xfrm>
                          <a:prstGeom prst="rect">
                            <a:avLst/>
                          </a:prstGeom>
                        </pic:spPr>
                      </pic:pic>
                    </a:graphicData>
                  </a:graphic>
                </wp:inline>
              </w:drawing>
            </w:r>
            <w:r>
              <w:rPr>
                <w:sz w:val="20"/>
              </w:rPr>
            </w:r>
          </w:p>
        </w:tc>
      </w:tr>
      <w:tr>
        <w:trPr>
          <w:trHeight w:val="244" w:hRule="atLeast"/>
        </w:trPr>
        <w:tc>
          <w:tcPr>
            <w:tcW w:w="3324" w:type="dxa"/>
          </w:tcPr>
          <w:p>
            <w:pPr>
              <w:pStyle w:val="TableParagraph"/>
              <w:spacing w:line="224" w:lineRule="exact"/>
              <w:ind w:left="7" w:right="1"/>
              <w:jc w:val="center"/>
              <w:rPr>
                <w:b/>
                <w:sz w:val="20"/>
              </w:rPr>
            </w:pPr>
            <w:r>
              <w:rPr>
                <w:b/>
                <w:spacing w:val="-10"/>
                <w:sz w:val="20"/>
              </w:rPr>
              <w:t>g</w:t>
            </w:r>
          </w:p>
        </w:tc>
        <w:tc>
          <w:tcPr>
            <w:tcW w:w="3199" w:type="dxa"/>
          </w:tcPr>
          <w:p>
            <w:pPr>
              <w:pStyle w:val="TableParagraph"/>
              <w:spacing w:line="224" w:lineRule="exact"/>
              <w:ind w:left="7"/>
              <w:jc w:val="center"/>
              <w:rPr>
                <w:b/>
                <w:sz w:val="20"/>
              </w:rPr>
            </w:pPr>
            <w:r>
              <w:rPr>
                <w:b/>
                <w:spacing w:val="-10"/>
                <w:sz w:val="20"/>
              </w:rPr>
              <w:t>h</w:t>
            </w:r>
          </w:p>
        </w:tc>
        <w:tc>
          <w:tcPr>
            <w:tcW w:w="3307" w:type="dxa"/>
          </w:tcPr>
          <w:p>
            <w:pPr>
              <w:pStyle w:val="TableParagraph"/>
              <w:spacing w:line="224" w:lineRule="exact"/>
              <w:ind w:left="9" w:right="2"/>
              <w:jc w:val="center"/>
              <w:rPr>
                <w:b/>
                <w:sz w:val="20"/>
              </w:rPr>
            </w:pPr>
            <w:r>
              <w:rPr>
                <w:b/>
                <w:spacing w:val="-10"/>
                <w:sz w:val="20"/>
              </w:rPr>
              <w:t>i</w:t>
            </w:r>
          </w:p>
        </w:tc>
      </w:tr>
      <w:tr>
        <w:trPr>
          <w:trHeight w:val="2097" w:hRule="atLeast"/>
        </w:trPr>
        <w:tc>
          <w:tcPr>
            <w:tcW w:w="3324" w:type="dxa"/>
          </w:tcPr>
          <w:p>
            <w:pPr>
              <w:pStyle w:val="TableParagraph"/>
              <w:ind w:left="622"/>
              <w:rPr>
                <w:sz w:val="20"/>
              </w:rPr>
            </w:pPr>
            <w:r>
              <w:rPr>
                <w:sz w:val="20"/>
              </w:rPr>
              <w:drawing>
                <wp:inline distT="0" distB="0" distL="0" distR="0">
                  <wp:extent cx="1313621" cy="1281969"/>
                  <wp:effectExtent l="0" t="0" r="0" b="0"/>
                  <wp:docPr id="221" name="Image 221"/>
                  <wp:cNvGraphicFramePr>
                    <a:graphicFrameLocks/>
                  </wp:cNvGraphicFramePr>
                  <a:graphic>
                    <a:graphicData uri="http://schemas.openxmlformats.org/drawingml/2006/picture">
                      <pic:pic>
                        <pic:nvPicPr>
                          <pic:cNvPr id="221" name="Image 221"/>
                          <pic:cNvPicPr/>
                        </pic:nvPicPr>
                        <pic:blipFill>
                          <a:blip r:embed="rId79" cstate="print"/>
                          <a:stretch>
                            <a:fillRect/>
                          </a:stretch>
                        </pic:blipFill>
                        <pic:spPr>
                          <a:xfrm>
                            <a:off x="0" y="0"/>
                            <a:ext cx="1313621" cy="1281969"/>
                          </a:xfrm>
                          <a:prstGeom prst="rect">
                            <a:avLst/>
                          </a:prstGeom>
                        </pic:spPr>
                      </pic:pic>
                    </a:graphicData>
                  </a:graphic>
                </wp:inline>
              </w:drawing>
            </w:r>
            <w:r>
              <w:rPr>
                <w:sz w:val="20"/>
              </w:rPr>
            </w:r>
          </w:p>
        </w:tc>
        <w:tc>
          <w:tcPr>
            <w:tcW w:w="3199" w:type="dxa"/>
          </w:tcPr>
          <w:p>
            <w:pPr>
              <w:pStyle w:val="TableParagraph"/>
              <w:spacing w:before="7"/>
              <w:rPr>
                <w:sz w:val="6"/>
              </w:rPr>
            </w:pPr>
          </w:p>
          <w:p>
            <w:pPr>
              <w:pStyle w:val="TableParagraph"/>
              <w:ind w:left="593"/>
              <w:rPr>
                <w:sz w:val="20"/>
              </w:rPr>
            </w:pPr>
            <w:r>
              <w:rPr>
                <w:sz w:val="20"/>
              </w:rPr>
              <w:drawing>
                <wp:inline distT="0" distB="0" distL="0" distR="0">
                  <wp:extent cx="1273600" cy="1220533"/>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80" cstate="print"/>
                          <a:stretch>
                            <a:fillRect/>
                          </a:stretch>
                        </pic:blipFill>
                        <pic:spPr>
                          <a:xfrm>
                            <a:off x="0" y="0"/>
                            <a:ext cx="1273600" cy="1220533"/>
                          </a:xfrm>
                          <a:prstGeom prst="rect">
                            <a:avLst/>
                          </a:prstGeom>
                        </pic:spPr>
                      </pic:pic>
                    </a:graphicData>
                  </a:graphic>
                </wp:inline>
              </w:drawing>
            </w:r>
            <w:r>
              <w:rPr>
                <w:sz w:val="20"/>
              </w:rPr>
            </w:r>
          </w:p>
        </w:tc>
        <w:tc>
          <w:tcPr>
            <w:tcW w:w="3307" w:type="dxa"/>
          </w:tcPr>
          <w:p>
            <w:pPr>
              <w:pStyle w:val="TableParagraph"/>
              <w:ind w:left="558"/>
              <w:rPr>
                <w:sz w:val="20"/>
              </w:rPr>
            </w:pPr>
            <w:r>
              <w:rPr>
                <w:sz w:val="20"/>
              </w:rPr>
              <w:drawing>
                <wp:inline distT="0" distB="0" distL="0" distR="0">
                  <wp:extent cx="1379268" cy="1310639"/>
                  <wp:effectExtent l="0" t="0" r="0" b="0"/>
                  <wp:docPr id="223" name="Image 223"/>
                  <wp:cNvGraphicFramePr>
                    <a:graphicFrameLocks/>
                  </wp:cNvGraphicFramePr>
                  <a:graphic>
                    <a:graphicData uri="http://schemas.openxmlformats.org/drawingml/2006/picture">
                      <pic:pic>
                        <pic:nvPicPr>
                          <pic:cNvPr id="223" name="Image 223"/>
                          <pic:cNvPicPr/>
                        </pic:nvPicPr>
                        <pic:blipFill>
                          <a:blip r:embed="rId81" cstate="print"/>
                          <a:stretch>
                            <a:fillRect/>
                          </a:stretch>
                        </pic:blipFill>
                        <pic:spPr>
                          <a:xfrm>
                            <a:off x="0" y="0"/>
                            <a:ext cx="1379268" cy="1310639"/>
                          </a:xfrm>
                          <a:prstGeom prst="rect">
                            <a:avLst/>
                          </a:prstGeom>
                        </pic:spPr>
                      </pic:pic>
                    </a:graphicData>
                  </a:graphic>
                </wp:inline>
              </w:drawing>
            </w:r>
            <w:r>
              <w:rPr>
                <w:sz w:val="20"/>
              </w:rPr>
            </w:r>
          </w:p>
        </w:tc>
      </w:tr>
      <w:tr>
        <w:trPr>
          <w:trHeight w:val="277" w:hRule="atLeast"/>
        </w:trPr>
        <w:tc>
          <w:tcPr>
            <w:tcW w:w="3324" w:type="dxa"/>
          </w:tcPr>
          <w:p>
            <w:pPr>
              <w:pStyle w:val="TableParagraph"/>
              <w:spacing w:before="17"/>
              <w:ind w:left="7" w:right="1"/>
              <w:jc w:val="center"/>
              <w:rPr>
                <w:b/>
                <w:sz w:val="20"/>
              </w:rPr>
            </w:pPr>
            <w:r>
              <w:rPr>
                <w:b/>
                <w:spacing w:val="-10"/>
                <w:sz w:val="20"/>
              </w:rPr>
              <w:t>j</w:t>
            </w:r>
          </w:p>
        </w:tc>
        <w:tc>
          <w:tcPr>
            <w:tcW w:w="3199" w:type="dxa"/>
          </w:tcPr>
          <w:p>
            <w:pPr>
              <w:pStyle w:val="TableParagraph"/>
              <w:spacing w:before="17"/>
              <w:ind w:left="7"/>
              <w:jc w:val="center"/>
              <w:rPr>
                <w:b/>
                <w:sz w:val="20"/>
              </w:rPr>
            </w:pPr>
            <w:r>
              <w:rPr>
                <w:b/>
                <w:spacing w:val="-10"/>
                <w:sz w:val="20"/>
              </w:rPr>
              <w:t>k</w:t>
            </w:r>
          </w:p>
        </w:tc>
        <w:tc>
          <w:tcPr>
            <w:tcW w:w="3307" w:type="dxa"/>
          </w:tcPr>
          <w:p>
            <w:pPr>
              <w:pStyle w:val="TableParagraph"/>
              <w:spacing w:before="17"/>
              <w:ind w:left="9" w:right="2"/>
              <w:jc w:val="center"/>
              <w:rPr>
                <w:b/>
                <w:sz w:val="20"/>
              </w:rPr>
            </w:pPr>
            <w:r>
              <w:rPr>
                <w:b/>
                <w:spacing w:val="-10"/>
                <w:sz w:val="20"/>
              </w:rPr>
              <w:t>l</w:t>
            </w:r>
          </w:p>
        </w:tc>
      </w:tr>
    </w:tbl>
    <w:p>
      <w:pPr>
        <w:pStyle w:val="BodyText"/>
        <w:spacing w:before="39"/>
        <w:jc w:val="left"/>
      </w:pPr>
    </w:p>
    <w:p>
      <w:pPr>
        <w:pStyle w:val="BodyText"/>
        <w:spacing w:line="256" w:lineRule="auto"/>
        <w:ind w:left="70" w:right="348"/>
        <w:jc w:val="center"/>
      </w:pPr>
      <w:r>
        <w:rPr/>
        <w:t>Рисунок</w:t>
      </w:r>
      <w:r>
        <w:rPr>
          <w:spacing w:val="-8"/>
        </w:rPr>
        <w:t> </w:t>
      </w:r>
      <w:r>
        <w:rPr/>
        <w:t>45</w:t>
      </w:r>
      <w:r>
        <w:rPr>
          <w:spacing w:val="-7"/>
        </w:rPr>
        <w:t> </w:t>
      </w:r>
      <w:r>
        <w:rPr>
          <w:rFonts w:ascii="Arial MT" w:hAnsi="Arial MT"/>
          <w:color w:val="454545"/>
          <w:sz w:val="21"/>
        </w:rPr>
        <w:t>—</w:t>
      </w:r>
      <w:r>
        <w:rPr>
          <w:rFonts w:ascii="Arial MT" w:hAnsi="Arial MT"/>
          <w:color w:val="454545"/>
          <w:spacing w:val="-5"/>
          <w:sz w:val="21"/>
        </w:rPr>
        <w:t> </w:t>
      </w:r>
      <w:r>
        <w:rPr/>
        <w:t>Микрофотографии</w:t>
      </w:r>
      <w:r>
        <w:rPr>
          <w:spacing w:val="-5"/>
        </w:rPr>
        <w:t> </w:t>
      </w:r>
      <w:r>
        <w:rPr/>
        <w:t>окрашенных</w:t>
      </w:r>
      <w:r>
        <w:rPr>
          <w:spacing w:val="-5"/>
        </w:rPr>
        <w:t> </w:t>
      </w:r>
      <w:r>
        <w:rPr/>
        <w:t>митотрекерами</w:t>
      </w:r>
      <w:r>
        <w:rPr>
          <w:spacing w:val="-5"/>
        </w:rPr>
        <w:t> </w:t>
      </w:r>
      <w:r>
        <w:rPr/>
        <w:t>сперматозоидов </w:t>
      </w:r>
      <w:r>
        <w:rPr>
          <w:spacing w:val="-2"/>
        </w:rPr>
        <w:t>человека:</w:t>
      </w:r>
    </w:p>
    <w:p>
      <w:pPr>
        <w:spacing w:line="272" w:lineRule="exact" w:before="0"/>
        <w:ind w:left="72" w:right="348" w:firstLine="0"/>
        <w:jc w:val="center"/>
        <w:rPr>
          <w:sz w:val="24"/>
        </w:rPr>
      </w:pPr>
      <w:r>
        <w:rPr>
          <w:sz w:val="24"/>
        </w:rPr>
        <w:t>a</w:t>
      </w:r>
      <w:r>
        <w:rPr>
          <w:spacing w:val="-2"/>
          <w:sz w:val="24"/>
        </w:rPr>
        <w:t> </w:t>
      </w:r>
      <w:r>
        <w:rPr>
          <w:sz w:val="24"/>
        </w:rPr>
        <w:t>–</w:t>
      </w:r>
      <w:r>
        <w:rPr>
          <w:spacing w:val="-1"/>
          <w:sz w:val="24"/>
        </w:rPr>
        <w:t> </w:t>
      </w:r>
      <w:r>
        <w:rPr>
          <w:sz w:val="24"/>
        </w:rPr>
        <w:t>обработка</w:t>
      </w:r>
      <w:r>
        <w:rPr>
          <w:spacing w:val="-1"/>
          <w:sz w:val="24"/>
        </w:rPr>
        <w:t> </w:t>
      </w:r>
      <w:r>
        <w:rPr>
          <w:sz w:val="24"/>
        </w:rPr>
        <w:t>красным светодиодом,</w:t>
      </w:r>
      <w:r>
        <w:rPr>
          <w:spacing w:val="-1"/>
          <w:sz w:val="24"/>
        </w:rPr>
        <w:t> </w:t>
      </w:r>
      <w:r>
        <w:rPr>
          <w:sz w:val="24"/>
        </w:rPr>
        <w:t>5 </w:t>
      </w:r>
      <w:r>
        <w:rPr>
          <w:spacing w:val="-2"/>
          <w:sz w:val="24"/>
        </w:rPr>
        <w:t>минут;</w:t>
      </w:r>
    </w:p>
    <w:p>
      <w:pPr>
        <w:spacing w:before="17"/>
        <w:ind w:left="69" w:right="352" w:firstLine="0"/>
        <w:jc w:val="center"/>
        <w:rPr>
          <w:sz w:val="24"/>
        </w:rPr>
      </w:pPr>
      <w:r>
        <w:rPr>
          <w:sz w:val="24"/>
        </w:rPr>
        <w:t>b</w:t>
      </w:r>
      <w:r>
        <w:rPr>
          <w:spacing w:val="-2"/>
          <w:sz w:val="24"/>
        </w:rPr>
        <w:t> </w:t>
      </w:r>
      <w:r>
        <w:rPr>
          <w:sz w:val="24"/>
        </w:rPr>
        <w:t>–</w:t>
      </w:r>
      <w:r>
        <w:rPr>
          <w:spacing w:val="-1"/>
          <w:sz w:val="24"/>
        </w:rPr>
        <w:t> </w:t>
      </w:r>
      <w:r>
        <w:rPr>
          <w:sz w:val="24"/>
        </w:rPr>
        <w:t>обработка</w:t>
      </w:r>
      <w:r>
        <w:rPr>
          <w:spacing w:val="-2"/>
          <w:sz w:val="24"/>
        </w:rPr>
        <w:t> </w:t>
      </w:r>
      <w:r>
        <w:rPr>
          <w:sz w:val="24"/>
        </w:rPr>
        <w:t>красным</w:t>
      </w:r>
      <w:r>
        <w:rPr>
          <w:spacing w:val="-3"/>
          <w:sz w:val="24"/>
        </w:rPr>
        <w:t> </w:t>
      </w:r>
      <w:r>
        <w:rPr>
          <w:sz w:val="24"/>
        </w:rPr>
        <w:t>светодиодом,</w:t>
      </w:r>
      <w:r>
        <w:rPr>
          <w:spacing w:val="-1"/>
          <w:sz w:val="24"/>
        </w:rPr>
        <w:t> </w:t>
      </w:r>
      <w:r>
        <w:rPr>
          <w:sz w:val="24"/>
        </w:rPr>
        <w:t>5</w:t>
      </w:r>
      <w:r>
        <w:rPr>
          <w:spacing w:val="-1"/>
          <w:sz w:val="24"/>
        </w:rPr>
        <w:t> </w:t>
      </w:r>
      <w:r>
        <w:rPr>
          <w:sz w:val="24"/>
        </w:rPr>
        <w:t>минут,</w:t>
      </w:r>
      <w:r>
        <w:rPr>
          <w:spacing w:val="-5"/>
          <w:sz w:val="24"/>
        </w:rPr>
        <w:t> </w:t>
      </w:r>
      <w:r>
        <w:rPr>
          <w:sz w:val="24"/>
        </w:rPr>
        <w:t>краситель</w:t>
      </w:r>
      <w:r>
        <w:rPr>
          <w:spacing w:val="-1"/>
          <w:sz w:val="24"/>
        </w:rPr>
        <w:t> </w:t>
      </w:r>
      <w:r>
        <w:rPr>
          <w:sz w:val="24"/>
        </w:rPr>
        <w:t>MitoTracker Green</w:t>
      </w:r>
      <w:r>
        <w:rPr>
          <w:spacing w:val="1"/>
          <w:sz w:val="24"/>
        </w:rPr>
        <w:t> </w:t>
      </w:r>
      <w:r>
        <w:rPr>
          <w:spacing w:val="-5"/>
          <w:sz w:val="24"/>
        </w:rPr>
        <w:t>FM;</w:t>
      </w:r>
    </w:p>
    <w:p>
      <w:pPr>
        <w:spacing w:before="19"/>
        <w:ind w:left="70" w:right="348" w:firstLine="0"/>
        <w:jc w:val="center"/>
        <w:rPr>
          <w:sz w:val="24"/>
        </w:rPr>
      </w:pPr>
      <w:r>
        <w:rPr>
          <w:sz w:val="24"/>
        </w:rPr>
        <w:t>c</w:t>
      </w:r>
      <w:r>
        <w:rPr>
          <w:spacing w:val="-4"/>
          <w:sz w:val="24"/>
        </w:rPr>
        <w:t> </w:t>
      </w:r>
      <w:r>
        <w:rPr>
          <w:sz w:val="24"/>
        </w:rPr>
        <w:t>–</w:t>
      </w:r>
      <w:r>
        <w:rPr>
          <w:spacing w:val="-1"/>
          <w:sz w:val="24"/>
        </w:rPr>
        <w:t> </w:t>
      </w:r>
      <w:r>
        <w:rPr>
          <w:sz w:val="24"/>
        </w:rPr>
        <w:t>обработка</w:t>
      </w:r>
      <w:r>
        <w:rPr>
          <w:spacing w:val="-2"/>
          <w:sz w:val="24"/>
        </w:rPr>
        <w:t> </w:t>
      </w:r>
      <w:r>
        <w:rPr>
          <w:sz w:val="24"/>
        </w:rPr>
        <w:t>красным светодиодом,</w:t>
      </w:r>
      <w:r>
        <w:rPr>
          <w:spacing w:val="-1"/>
          <w:sz w:val="24"/>
        </w:rPr>
        <w:t> </w:t>
      </w:r>
      <w:r>
        <w:rPr>
          <w:sz w:val="24"/>
        </w:rPr>
        <w:t>5</w:t>
      </w:r>
      <w:r>
        <w:rPr>
          <w:spacing w:val="-2"/>
          <w:sz w:val="24"/>
        </w:rPr>
        <w:t> </w:t>
      </w:r>
      <w:r>
        <w:rPr>
          <w:sz w:val="24"/>
        </w:rPr>
        <w:t>минут,</w:t>
      </w:r>
      <w:r>
        <w:rPr>
          <w:spacing w:val="-3"/>
          <w:sz w:val="24"/>
        </w:rPr>
        <w:t> </w:t>
      </w:r>
      <w:r>
        <w:rPr>
          <w:sz w:val="24"/>
        </w:rPr>
        <w:t>краситель</w:t>
      </w:r>
      <w:r>
        <w:rPr>
          <w:spacing w:val="-1"/>
          <w:sz w:val="24"/>
        </w:rPr>
        <w:t> </w:t>
      </w:r>
      <w:r>
        <w:rPr>
          <w:sz w:val="24"/>
        </w:rPr>
        <w:t>LumiTracker Mito</w:t>
      </w:r>
      <w:r>
        <w:rPr>
          <w:spacing w:val="-1"/>
          <w:sz w:val="24"/>
        </w:rPr>
        <w:t> </w:t>
      </w:r>
      <w:r>
        <w:rPr>
          <w:sz w:val="24"/>
        </w:rPr>
        <w:t>Red</w:t>
      </w:r>
      <w:r>
        <w:rPr>
          <w:spacing w:val="-1"/>
          <w:sz w:val="24"/>
        </w:rPr>
        <w:t> </w:t>
      </w:r>
      <w:r>
        <w:rPr>
          <w:spacing w:val="-2"/>
          <w:sz w:val="24"/>
        </w:rPr>
        <w:t>CMXRos;</w:t>
      </w:r>
    </w:p>
    <w:p>
      <w:pPr>
        <w:spacing w:before="19"/>
        <w:ind w:left="72" w:right="348" w:firstLine="0"/>
        <w:jc w:val="center"/>
        <w:rPr>
          <w:sz w:val="24"/>
        </w:rPr>
      </w:pPr>
      <w:r>
        <w:rPr>
          <w:sz w:val="24"/>
        </w:rPr>
        <w:t>d</w:t>
      </w:r>
      <w:r>
        <w:rPr>
          <w:spacing w:val="-1"/>
          <w:sz w:val="24"/>
        </w:rPr>
        <w:t> </w:t>
      </w:r>
      <w:r>
        <w:rPr>
          <w:sz w:val="24"/>
        </w:rPr>
        <w:t>–</w:t>
      </w:r>
      <w:r>
        <w:rPr>
          <w:spacing w:val="-1"/>
          <w:sz w:val="24"/>
        </w:rPr>
        <w:t> </w:t>
      </w:r>
      <w:r>
        <w:rPr>
          <w:sz w:val="24"/>
        </w:rPr>
        <w:t>обработка</w:t>
      </w:r>
      <w:r>
        <w:rPr>
          <w:spacing w:val="-1"/>
          <w:sz w:val="24"/>
        </w:rPr>
        <w:t> </w:t>
      </w:r>
      <w:r>
        <w:rPr>
          <w:sz w:val="24"/>
        </w:rPr>
        <w:t>в</w:t>
      </w:r>
      <w:r>
        <w:rPr>
          <w:spacing w:val="-2"/>
          <w:sz w:val="24"/>
        </w:rPr>
        <w:t> </w:t>
      </w:r>
      <w:r>
        <w:rPr>
          <w:sz w:val="24"/>
        </w:rPr>
        <w:t>режиме</w:t>
      </w:r>
      <w:r>
        <w:rPr>
          <w:spacing w:val="1"/>
          <w:sz w:val="24"/>
        </w:rPr>
        <w:t> </w:t>
      </w:r>
      <w:r>
        <w:rPr>
          <w:sz w:val="24"/>
        </w:rPr>
        <w:t>Full,</w:t>
      </w:r>
      <w:r>
        <w:rPr>
          <w:spacing w:val="-1"/>
          <w:sz w:val="24"/>
        </w:rPr>
        <w:t> </w:t>
      </w:r>
      <w:r>
        <w:rPr>
          <w:sz w:val="24"/>
        </w:rPr>
        <w:t>5 </w:t>
      </w:r>
      <w:r>
        <w:rPr>
          <w:spacing w:val="-2"/>
          <w:sz w:val="24"/>
        </w:rPr>
        <w:t>минут;</w:t>
      </w:r>
    </w:p>
    <w:p>
      <w:pPr>
        <w:spacing w:before="17"/>
        <w:ind w:left="69" w:right="348" w:firstLine="0"/>
        <w:jc w:val="center"/>
        <w:rPr>
          <w:sz w:val="24"/>
        </w:rPr>
      </w:pPr>
      <w:r>
        <w:rPr>
          <w:sz w:val="24"/>
        </w:rPr>
        <w:t>e</w:t>
      </w:r>
      <w:r>
        <w:rPr>
          <w:spacing w:val="-3"/>
          <w:sz w:val="24"/>
        </w:rPr>
        <w:t> </w:t>
      </w:r>
      <w:r>
        <w:rPr>
          <w:sz w:val="24"/>
        </w:rPr>
        <w:t>–</w:t>
      </w:r>
      <w:r>
        <w:rPr>
          <w:spacing w:val="-1"/>
          <w:sz w:val="24"/>
        </w:rPr>
        <w:t> </w:t>
      </w:r>
      <w:r>
        <w:rPr>
          <w:sz w:val="24"/>
        </w:rPr>
        <w:t>обработка</w:t>
      </w:r>
      <w:r>
        <w:rPr>
          <w:spacing w:val="-2"/>
          <w:sz w:val="24"/>
        </w:rPr>
        <w:t> </w:t>
      </w:r>
      <w:r>
        <w:rPr>
          <w:sz w:val="24"/>
        </w:rPr>
        <w:t>в</w:t>
      </w:r>
      <w:r>
        <w:rPr>
          <w:spacing w:val="-3"/>
          <w:sz w:val="24"/>
        </w:rPr>
        <w:t> </w:t>
      </w:r>
      <w:r>
        <w:rPr>
          <w:sz w:val="24"/>
        </w:rPr>
        <w:t>режиме Full,</w:t>
      </w:r>
      <w:r>
        <w:rPr>
          <w:spacing w:val="-1"/>
          <w:sz w:val="24"/>
        </w:rPr>
        <w:t> </w:t>
      </w:r>
      <w:r>
        <w:rPr>
          <w:sz w:val="24"/>
        </w:rPr>
        <w:t>5</w:t>
      </w:r>
      <w:r>
        <w:rPr>
          <w:spacing w:val="-1"/>
          <w:sz w:val="24"/>
        </w:rPr>
        <w:t> </w:t>
      </w:r>
      <w:r>
        <w:rPr>
          <w:sz w:val="24"/>
        </w:rPr>
        <w:t>минут,</w:t>
      </w:r>
      <w:r>
        <w:rPr>
          <w:spacing w:val="-2"/>
          <w:sz w:val="24"/>
        </w:rPr>
        <w:t> </w:t>
      </w:r>
      <w:r>
        <w:rPr>
          <w:sz w:val="24"/>
        </w:rPr>
        <w:t>краситель</w:t>
      </w:r>
      <w:r>
        <w:rPr>
          <w:spacing w:val="-1"/>
          <w:sz w:val="24"/>
        </w:rPr>
        <w:t> </w:t>
      </w:r>
      <w:r>
        <w:rPr>
          <w:sz w:val="24"/>
        </w:rPr>
        <w:t>MitoTracker</w:t>
      </w:r>
      <w:r>
        <w:rPr>
          <w:spacing w:val="-2"/>
          <w:sz w:val="24"/>
        </w:rPr>
        <w:t> </w:t>
      </w:r>
      <w:r>
        <w:rPr>
          <w:sz w:val="24"/>
        </w:rPr>
        <w:t>Green</w:t>
      </w:r>
      <w:r>
        <w:rPr>
          <w:spacing w:val="1"/>
          <w:sz w:val="24"/>
        </w:rPr>
        <w:t> </w:t>
      </w:r>
      <w:r>
        <w:rPr>
          <w:spacing w:val="-5"/>
          <w:sz w:val="24"/>
        </w:rPr>
        <w:t>FM;</w:t>
      </w:r>
    </w:p>
    <w:p>
      <w:pPr>
        <w:spacing w:before="19"/>
        <w:ind w:left="72" w:right="348" w:firstLine="0"/>
        <w:jc w:val="center"/>
        <w:rPr>
          <w:sz w:val="24"/>
        </w:rPr>
      </w:pPr>
      <w:r>
        <w:rPr>
          <w:sz w:val="24"/>
        </w:rPr>
        <w:t>f</w:t>
      </w:r>
      <w:r>
        <w:rPr>
          <w:spacing w:val="-5"/>
          <w:sz w:val="24"/>
        </w:rPr>
        <w:t> </w:t>
      </w:r>
      <w:r>
        <w:rPr>
          <w:sz w:val="24"/>
        </w:rPr>
        <w:t>–</w:t>
      </w:r>
      <w:r>
        <w:rPr>
          <w:spacing w:val="-1"/>
          <w:sz w:val="24"/>
        </w:rPr>
        <w:t> </w:t>
      </w:r>
      <w:r>
        <w:rPr>
          <w:sz w:val="24"/>
        </w:rPr>
        <w:t>обработка</w:t>
      </w:r>
      <w:r>
        <w:rPr>
          <w:spacing w:val="-2"/>
          <w:sz w:val="24"/>
        </w:rPr>
        <w:t> </w:t>
      </w:r>
      <w:r>
        <w:rPr>
          <w:sz w:val="24"/>
        </w:rPr>
        <w:t>в</w:t>
      </w:r>
      <w:r>
        <w:rPr>
          <w:spacing w:val="-2"/>
          <w:sz w:val="24"/>
        </w:rPr>
        <w:t> </w:t>
      </w:r>
      <w:r>
        <w:rPr>
          <w:sz w:val="24"/>
        </w:rPr>
        <w:t>режиме Full,</w:t>
      </w:r>
      <w:r>
        <w:rPr>
          <w:spacing w:val="-1"/>
          <w:sz w:val="24"/>
        </w:rPr>
        <w:t> </w:t>
      </w:r>
      <w:r>
        <w:rPr>
          <w:sz w:val="24"/>
        </w:rPr>
        <w:t>5</w:t>
      </w:r>
      <w:r>
        <w:rPr>
          <w:spacing w:val="-2"/>
          <w:sz w:val="24"/>
        </w:rPr>
        <w:t> </w:t>
      </w:r>
      <w:r>
        <w:rPr>
          <w:sz w:val="24"/>
        </w:rPr>
        <w:t>минут,</w:t>
      </w:r>
      <w:r>
        <w:rPr>
          <w:spacing w:val="-1"/>
          <w:sz w:val="24"/>
        </w:rPr>
        <w:t> </w:t>
      </w:r>
      <w:r>
        <w:rPr>
          <w:sz w:val="24"/>
        </w:rPr>
        <w:t>краситель</w:t>
      </w:r>
      <w:r>
        <w:rPr>
          <w:spacing w:val="-1"/>
          <w:sz w:val="24"/>
        </w:rPr>
        <w:t> </w:t>
      </w:r>
      <w:r>
        <w:rPr>
          <w:sz w:val="24"/>
        </w:rPr>
        <w:t>LumiTracker</w:t>
      </w:r>
      <w:r>
        <w:rPr>
          <w:spacing w:val="-2"/>
          <w:sz w:val="24"/>
        </w:rPr>
        <w:t> </w:t>
      </w:r>
      <w:r>
        <w:rPr>
          <w:sz w:val="24"/>
        </w:rPr>
        <w:t>Mito</w:t>
      </w:r>
      <w:r>
        <w:rPr>
          <w:spacing w:val="-1"/>
          <w:sz w:val="24"/>
        </w:rPr>
        <w:t> </w:t>
      </w:r>
      <w:r>
        <w:rPr>
          <w:sz w:val="24"/>
        </w:rPr>
        <w:t>Red</w:t>
      </w:r>
      <w:r>
        <w:rPr>
          <w:spacing w:val="1"/>
          <w:sz w:val="24"/>
        </w:rPr>
        <w:t> </w:t>
      </w:r>
      <w:r>
        <w:rPr>
          <w:spacing w:val="-2"/>
          <w:sz w:val="24"/>
        </w:rPr>
        <w:t>CMXRos;</w:t>
      </w:r>
    </w:p>
    <w:p>
      <w:pPr>
        <w:spacing w:before="19"/>
        <w:ind w:left="72" w:right="348" w:firstLine="0"/>
        <w:jc w:val="center"/>
        <w:rPr>
          <w:sz w:val="24"/>
        </w:rPr>
      </w:pPr>
      <w:r>
        <w:rPr>
          <w:sz w:val="24"/>
        </w:rPr>
        <w:t>g</w:t>
      </w:r>
      <w:r>
        <w:rPr>
          <w:spacing w:val="-1"/>
          <w:sz w:val="24"/>
        </w:rPr>
        <w:t> </w:t>
      </w:r>
      <w:r>
        <w:rPr>
          <w:sz w:val="24"/>
        </w:rPr>
        <w:t>– обработка</w:t>
      </w:r>
      <w:r>
        <w:rPr>
          <w:spacing w:val="-2"/>
          <w:sz w:val="24"/>
        </w:rPr>
        <w:t> </w:t>
      </w:r>
      <w:r>
        <w:rPr>
          <w:sz w:val="24"/>
        </w:rPr>
        <w:t>инфракрасным</w:t>
      </w:r>
      <w:r>
        <w:rPr>
          <w:spacing w:val="-1"/>
          <w:sz w:val="24"/>
        </w:rPr>
        <w:t> </w:t>
      </w:r>
      <w:r>
        <w:rPr>
          <w:sz w:val="24"/>
        </w:rPr>
        <w:t>излучением,</w:t>
      </w:r>
      <w:r>
        <w:rPr>
          <w:spacing w:val="-1"/>
          <w:sz w:val="24"/>
        </w:rPr>
        <w:t> </w:t>
      </w:r>
      <w:r>
        <w:rPr>
          <w:sz w:val="24"/>
        </w:rPr>
        <w:t>5 </w:t>
      </w:r>
      <w:r>
        <w:rPr>
          <w:spacing w:val="-2"/>
          <w:sz w:val="24"/>
        </w:rPr>
        <w:t>минут;</w:t>
      </w:r>
    </w:p>
    <w:p>
      <w:pPr>
        <w:spacing w:before="17"/>
        <w:ind w:left="69" w:right="350" w:firstLine="0"/>
        <w:jc w:val="center"/>
        <w:rPr>
          <w:sz w:val="24"/>
        </w:rPr>
      </w:pPr>
      <w:r>
        <w:rPr>
          <w:sz w:val="24"/>
        </w:rPr>
        <w:t>h</w:t>
      </w:r>
      <w:r>
        <w:rPr>
          <w:spacing w:val="-2"/>
          <w:sz w:val="24"/>
        </w:rPr>
        <w:t> </w:t>
      </w:r>
      <w:r>
        <w:rPr>
          <w:sz w:val="24"/>
        </w:rPr>
        <w:t>–</w:t>
      </w:r>
      <w:r>
        <w:rPr>
          <w:spacing w:val="-1"/>
          <w:sz w:val="24"/>
        </w:rPr>
        <w:t> </w:t>
      </w:r>
      <w:r>
        <w:rPr>
          <w:sz w:val="24"/>
        </w:rPr>
        <w:t>обработка</w:t>
      </w:r>
      <w:r>
        <w:rPr>
          <w:spacing w:val="-2"/>
          <w:sz w:val="24"/>
        </w:rPr>
        <w:t> </w:t>
      </w:r>
      <w:r>
        <w:rPr>
          <w:sz w:val="24"/>
        </w:rPr>
        <w:t>инфракрасным</w:t>
      </w:r>
      <w:r>
        <w:rPr>
          <w:spacing w:val="-3"/>
          <w:sz w:val="24"/>
        </w:rPr>
        <w:t> </w:t>
      </w:r>
      <w:r>
        <w:rPr>
          <w:sz w:val="24"/>
        </w:rPr>
        <w:t>излучением,</w:t>
      </w:r>
      <w:r>
        <w:rPr>
          <w:spacing w:val="-1"/>
          <w:sz w:val="24"/>
        </w:rPr>
        <w:t> </w:t>
      </w:r>
      <w:r>
        <w:rPr>
          <w:sz w:val="24"/>
        </w:rPr>
        <w:t>5</w:t>
      </w:r>
      <w:r>
        <w:rPr>
          <w:spacing w:val="-1"/>
          <w:sz w:val="24"/>
        </w:rPr>
        <w:t> </w:t>
      </w:r>
      <w:r>
        <w:rPr>
          <w:sz w:val="24"/>
        </w:rPr>
        <w:t>минут,</w:t>
      </w:r>
      <w:r>
        <w:rPr>
          <w:spacing w:val="-2"/>
          <w:sz w:val="24"/>
        </w:rPr>
        <w:t> </w:t>
      </w:r>
      <w:r>
        <w:rPr>
          <w:sz w:val="24"/>
        </w:rPr>
        <w:t>краситель</w:t>
      </w:r>
      <w:r>
        <w:rPr>
          <w:spacing w:val="-1"/>
          <w:sz w:val="24"/>
        </w:rPr>
        <w:t> </w:t>
      </w:r>
      <w:r>
        <w:rPr>
          <w:sz w:val="24"/>
        </w:rPr>
        <w:t>MitoTracker</w:t>
      </w:r>
      <w:r>
        <w:rPr>
          <w:spacing w:val="-2"/>
          <w:sz w:val="24"/>
        </w:rPr>
        <w:t> </w:t>
      </w:r>
      <w:r>
        <w:rPr>
          <w:sz w:val="24"/>
        </w:rPr>
        <w:t>Green</w:t>
      </w:r>
      <w:r>
        <w:rPr>
          <w:spacing w:val="1"/>
          <w:sz w:val="24"/>
        </w:rPr>
        <w:t> </w:t>
      </w:r>
      <w:r>
        <w:rPr>
          <w:spacing w:val="-5"/>
          <w:sz w:val="24"/>
        </w:rPr>
        <w:t>FM;</w:t>
      </w:r>
    </w:p>
    <w:p>
      <w:pPr>
        <w:spacing w:before="20"/>
        <w:ind w:left="70" w:right="348" w:firstLine="0"/>
        <w:jc w:val="center"/>
        <w:rPr>
          <w:sz w:val="24"/>
        </w:rPr>
      </w:pPr>
      <w:r>
        <w:rPr>
          <w:sz w:val="24"/>
        </w:rPr>
        <w:t>i</w:t>
      </w:r>
      <w:r>
        <w:rPr>
          <w:spacing w:val="-3"/>
          <w:sz w:val="24"/>
        </w:rPr>
        <w:t> </w:t>
      </w:r>
      <w:r>
        <w:rPr>
          <w:sz w:val="24"/>
        </w:rPr>
        <w:t>–</w:t>
      </w:r>
      <w:r>
        <w:rPr>
          <w:spacing w:val="-1"/>
          <w:sz w:val="24"/>
        </w:rPr>
        <w:t> </w:t>
      </w:r>
      <w:r>
        <w:rPr>
          <w:sz w:val="24"/>
        </w:rPr>
        <w:t>обработка</w:t>
      </w:r>
      <w:r>
        <w:rPr>
          <w:spacing w:val="-2"/>
          <w:sz w:val="24"/>
        </w:rPr>
        <w:t> </w:t>
      </w:r>
      <w:r>
        <w:rPr>
          <w:sz w:val="24"/>
        </w:rPr>
        <w:t>инфракрасным</w:t>
      </w:r>
      <w:r>
        <w:rPr>
          <w:spacing w:val="-2"/>
          <w:sz w:val="24"/>
        </w:rPr>
        <w:t> </w:t>
      </w:r>
      <w:r>
        <w:rPr>
          <w:sz w:val="24"/>
        </w:rPr>
        <w:t>излучением,</w:t>
      </w:r>
      <w:r>
        <w:rPr>
          <w:spacing w:val="-1"/>
          <w:sz w:val="24"/>
        </w:rPr>
        <w:t> </w:t>
      </w:r>
      <w:r>
        <w:rPr>
          <w:sz w:val="24"/>
        </w:rPr>
        <w:t>5</w:t>
      </w:r>
      <w:r>
        <w:rPr>
          <w:spacing w:val="-1"/>
          <w:sz w:val="24"/>
        </w:rPr>
        <w:t> </w:t>
      </w:r>
      <w:r>
        <w:rPr>
          <w:sz w:val="24"/>
        </w:rPr>
        <w:t>минут,</w:t>
      </w:r>
      <w:r>
        <w:rPr>
          <w:spacing w:val="-1"/>
          <w:sz w:val="24"/>
        </w:rPr>
        <w:t> </w:t>
      </w:r>
      <w:r>
        <w:rPr>
          <w:sz w:val="24"/>
        </w:rPr>
        <w:t>LumiTracker</w:t>
      </w:r>
      <w:r>
        <w:rPr>
          <w:spacing w:val="-2"/>
          <w:sz w:val="24"/>
        </w:rPr>
        <w:t> </w:t>
      </w:r>
      <w:r>
        <w:rPr>
          <w:sz w:val="24"/>
        </w:rPr>
        <w:t>Mito</w:t>
      </w:r>
      <w:r>
        <w:rPr>
          <w:spacing w:val="-1"/>
          <w:sz w:val="24"/>
        </w:rPr>
        <w:t> </w:t>
      </w:r>
      <w:r>
        <w:rPr>
          <w:sz w:val="24"/>
        </w:rPr>
        <w:t>Red </w:t>
      </w:r>
      <w:r>
        <w:rPr>
          <w:spacing w:val="-2"/>
          <w:sz w:val="24"/>
        </w:rPr>
        <w:t>CMXRos;</w:t>
      </w:r>
    </w:p>
    <w:p>
      <w:pPr>
        <w:spacing w:before="19"/>
        <w:ind w:left="72" w:right="348" w:firstLine="0"/>
        <w:jc w:val="center"/>
        <w:rPr>
          <w:sz w:val="24"/>
        </w:rPr>
      </w:pPr>
      <w:r>
        <w:rPr>
          <w:sz w:val="24"/>
        </w:rPr>
        <w:t>j</w:t>
      </w:r>
      <w:r>
        <w:rPr>
          <w:spacing w:val="-1"/>
          <w:sz w:val="24"/>
        </w:rPr>
        <w:t> </w:t>
      </w:r>
      <w:r>
        <w:rPr>
          <w:sz w:val="24"/>
        </w:rPr>
        <w:t>– обработка</w:t>
      </w:r>
      <w:r>
        <w:rPr>
          <w:spacing w:val="-2"/>
          <w:sz w:val="24"/>
        </w:rPr>
        <w:t> </w:t>
      </w:r>
      <w:r>
        <w:rPr>
          <w:sz w:val="24"/>
        </w:rPr>
        <w:t>инфракрасным</w:t>
      </w:r>
      <w:r>
        <w:rPr>
          <w:spacing w:val="-1"/>
          <w:sz w:val="24"/>
        </w:rPr>
        <w:t> </w:t>
      </w:r>
      <w:r>
        <w:rPr>
          <w:sz w:val="24"/>
        </w:rPr>
        <w:t>излучением,</w:t>
      </w:r>
      <w:r>
        <w:rPr>
          <w:spacing w:val="-1"/>
          <w:sz w:val="24"/>
        </w:rPr>
        <w:t> </w:t>
      </w:r>
      <w:r>
        <w:rPr>
          <w:sz w:val="24"/>
        </w:rPr>
        <w:t>25 </w:t>
      </w:r>
      <w:r>
        <w:rPr>
          <w:spacing w:val="-2"/>
          <w:sz w:val="24"/>
        </w:rPr>
        <w:t>минут;</w:t>
      </w:r>
    </w:p>
    <w:p>
      <w:pPr>
        <w:spacing w:before="17"/>
        <w:ind w:left="69" w:right="352" w:firstLine="0"/>
        <w:jc w:val="center"/>
        <w:rPr>
          <w:sz w:val="24"/>
        </w:rPr>
      </w:pPr>
      <w:r>
        <w:rPr>
          <w:sz w:val="24"/>
        </w:rPr>
        <w:t>k</w:t>
      </w:r>
      <w:r>
        <w:rPr>
          <w:spacing w:val="-4"/>
          <w:sz w:val="24"/>
        </w:rPr>
        <w:t> </w:t>
      </w:r>
      <w:r>
        <w:rPr>
          <w:sz w:val="24"/>
        </w:rPr>
        <w:t>–</w:t>
      </w:r>
      <w:r>
        <w:rPr>
          <w:spacing w:val="-1"/>
          <w:sz w:val="24"/>
        </w:rPr>
        <w:t> </w:t>
      </w:r>
      <w:r>
        <w:rPr>
          <w:sz w:val="24"/>
        </w:rPr>
        <w:t>обработка</w:t>
      </w:r>
      <w:r>
        <w:rPr>
          <w:spacing w:val="-2"/>
          <w:sz w:val="24"/>
        </w:rPr>
        <w:t> </w:t>
      </w:r>
      <w:r>
        <w:rPr>
          <w:sz w:val="24"/>
        </w:rPr>
        <w:t>инфракрасным</w:t>
      </w:r>
      <w:r>
        <w:rPr>
          <w:spacing w:val="-3"/>
          <w:sz w:val="24"/>
        </w:rPr>
        <w:t> </w:t>
      </w:r>
      <w:r>
        <w:rPr>
          <w:sz w:val="24"/>
        </w:rPr>
        <w:t>излучением,</w:t>
      </w:r>
      <w:r>
        <w:rPr>
          <w:spacing w:val="-1"/>
          <w:sz w:val="24"/>
        </w:rPr>
        <w:t> </w:t>
      </w:r>
      <w:r>
        <w:rPr>
          <w:sz w:val="24"/>
        </w:rPr>
        <w:t>25</w:t>
      </w:r>
      <w:r>
        <w:rPr>
          <w:spacing w:val="-1"/>
          <w:sz w:val="24"/>
        </w:rPr>
        <w:t> </w:t>
      </w:r>
      <w:r>
        <w:rPr>
          <w:sz w:val="24"/>
        </w:rPr>
        <w:t>минут,</w:t>
      </w:r>
      <w:r>
        <w:rPr>
          <w:spacing w:val="-5"/>
          <w:sz w:val="24"/>
        </w:rPr>
        <w:t> </w:t>
      </w:r>
      <w:r>
        <w:rPr>
          <w:sz w:val="24"/>
        </w:rPr>
        <w:t>краситель</w:t>
      </w:r>
      <w:r>
        <w:rPr>
          <w:spacing w:val="-1"/>
          <w:sz w:val="24"/>
        </w:rPr>
        <w:t> </w:t>
      </w:r>
      <w:r>
        <w:rPr>
          <w:sz w:val="24"/>
        </w:rPr>
        <w:t>MitoTracker Green</w:t>
      </w:r>
      <w:r>
        <w:rPr>
          <w:spacing w:val="-1"/>
          <w:sz w:val="24"/>
        </w:rPr>
        <w:t> </w:t>
      </w:r>
      <w:r>
        <w:rPr>
          <w:spacing w:val="-5"/>
          <w:sz w:val="24"/>
        </w:rPr>
        <w:t>FM;</w:t>
      </w:r>
    </w:p>
    <w:p>
      <w:pPr>
        <w:spacing w:before="19"/>
        <w:ind w:left="69" w:right="349" w:firstLine="0"/>
        <w:jc w:val="center"/>
        <w:rPr>
          <w:sz w:val="24"/>
        </w:rPr>
      </w:pPr>
      <w:r>
        <w:rPr>
          <w:sz w:val="24"/>
        </w:rPr>
        <w:t>l</w:t>
      </w:r>
      <w:r>
        <w:rPr>
          <w:spacing w:val="-4"/>
          <w:sz w:val="24"/>
        </w:rPr>
        <w:t> </w:t>
      </w:r>
      <w:r>
        <w:rPr>
          <w:sz w:val="24"/>
        </w:rPr>
        <w:t>–</w:t>
      </w:r>
      <w:r>
        <w:rPr>
          <w:spacing w:val="-1"/>
          <w:sz w:val="24"/>
        </w:rPr>
        <w:t> </w:t>
      </w:r>
      <w:r>
        <w:rPr>
          <w:sz w:val="24"/>
        </w:rPr>
        <w:t>обработка</w:t>
      </w:r>
      <w:r>
        <w:rPr>
          <w:spacing w:val="-2"/>
          <w:sz w:val="24"/>
        </w:rPr>
        <w:t> </w:t>
      </w:r>
      <w:r>
        <w:rPr>
          <w:sz w:val="24"/>
        </w:rPr>
        <w:t>инфракрасным</w:t>
      </w:r>
      <w:r>
        <w:rPr>
          <w:spacing w:val="-2"/>
          <w:sz w:val="24"/>
        </w:rPr>
        <w:t> </w:t>
      </w:r>
      <w:r>
        <w:rPr>
          <w:sz w:val="24"/>
        </w:rPr>
        <w:t>излучением,</w:t>
      </w:r>
      <w:r>
        <w:rPr>
          <w:spacing w:val="-1"/>
          <w:sz w:val="24"/>
        </w:rPr>
        <w:t> </w:t>
      </w:r>
      <w:r>
        <w:rPr>
          <w:sz w:val="24"/>
        </w:rPr>
        <w:t>25</w:t>
      </w:r>
      <w:r>
        <w:rPr>
          <w:spacing w:val="-1"/>
          <w:sz w:val="24"/>
        </w:rPr>
        <w:t> </w:t>
      </w:r>
      <w:r>
        <w:rPr>
          <w:sz w:val="24"/>
        </w:rPr>
        <w:t>минут,</w:t>
      </w:r>
      <w:r>
        <w:rPr>
          <w:spacing w:val="-1"/>
          <w:sz w:val="24"/>
        </w:rPr>
        <w:t> </w:t>
      </w:r>
      <w:r>
        <w:rPr>
          <w:sz w:val="24"/>
        </w:rPr>
        <w:t>LumiTracker</w:t>
      </w:r>
      <w:r>
        <w:rPr>
          <w:spacing w:val="-2"/>
          <w:sz w:val="24"/>
        </w:rPr>
        <w:t> </w:t>
      </w:r>
      <w:r>
        <w:rPr>
          <w:sz w:val="24"/>
        </w:rPr>
        <w:t>Mito</w:t>
      </w:r>
      <w:r>
        <w:rPr>
          <w:spacing w:val="1"/>
          <w:sz w:val="24"/>
        </w:rPr>
        <w:t> </w:t>
      </w:r>
      <w:r>
        <w:rPr>
          <w:sz w:val="24"/>
        </w:rPr>
        <w:t>Red</w:t>
      </w:r>
      <w:r>
        <w:rPr>
          <w:spacing w:val="-1"/>
          <w:sz w:val="24"/>
        </w:rPr>
        <w:t> </w:t>
      </w:r>
      <w:r>
        <w:rPr>
          <w:spacing w:val="-2"/>
          <w:sz w:val="24"/>
        </w:rPr>
        <w:t>CMXRos.</w:t>
      </w:r>
    </w:p>
    <w:p>
      <w:pPr>
        <w:spacing w:after="0"/>
        <w:jc w:val="center"/>
        <w:rPr>
          <w:sz w:val="24"/>
        </w:rPr>
        <w:sectPr>
          <w:pgSz w:w="11910" w:h="16840"/>
          <w:pgMar w:header="0" w:footer="990" w:top="740" w:bottom="1200" w:left="708" w:right="425"/>
        </w:sectPr>
      </w:pPr>
    </w:p>
    <w:p>
      <w:pPr>
        <w:pStyle w:val="BodyText"/>
        <w:spacing w:line="256" w:lineRule="auto" w:before="69"/>
        <w:ind w:left="144" w:right="418" w:firstLine="707"/>
      </w:pPr>
      <w:r>
        <w:rPr/>
        <w:t>На микрофотографиях можно заметить, как интенсивность свечения митохондрий после витальной окраски митотрекерами увеличивается в зависимости от увеличения сообщаемой эякуляту лучевой энергии. Это еще раз подтверждает фотоакцептивность нефотосинтезирующей структуры – митохондрии. Наглядно показано индуцирование метаболической активности по принципу «поляризация мембраны – гиперпродукция АТФ» (краситель LumiTracker Mito Red CMXRos). Таким образом показано, что увеличение подвижности сперматозоидов после облучения ЭМИ в избранных режимах основано на процессах, протикающих в митохондриях, в частности в увеличении синтеза АТФ за счет прямого сообщения энергии на мембраны крист митохондрий.</w:t>
      </w:r>
      <w:r>
        <w:rPr>
          <w:spacing w:val="40"/>
        </w:rPr>
        <w:t> </w:t>
      </w:r>
      <w:r>
        <w:rPr/>
        <w:t>Центральную роль при этом выполняет цитохром-с-оксидаза, выступая как фотоакцептор и преобразователь фотосигнала в видимой и ИК областях [5]. Индуцирование ЭМИ реакционной способности цитохром-с-оксидазы обусловлено наличием в ферменте четырех окислительно-восстановительных центров активных металлов: бинуклеарные CuA, CuB, гем а и гем a3, которые имеют поглощающую способность в диапазоне спектра от красного до ИК [5-7]. Спектральный анализ позволил сделать вывод, о том, что цитохром-с-оксидаза выступает в качестве фотоакцептора на примере ранее описанных пиков поглощения 620, 680, 760 и 825 нм.</w:t>
      </w:r>
    </w:p>
    <w:p>
      <w:pPr>
        <w:pStyle w:val="BodyText"/>
        <w:spacing w:line="300" w:lineRule="exact"/>
        <w:ind w:left="852"/>
      </w:pPr>
      <w:r>
        <w:rPr/>
        <w:t>В</w:t>
      </w:r>
      <w:r>
        <w:rPr>
          <w:spacing w:val="10"/>
        </w:rPr>
        <w:t> </w:t>
      </w:r>
      <w:r>
        <w:rPr/>
        <w:t>данном</w:t>
      </w:r>
      <w:r>
        <w:rPr>
          <w:spacing w:val="11"/>
        </w:rPr>
        <w:t> </w:t>
      </w:r>
      <w:r>
        <w:rPr/>
        <w:t>диссертационном</w:t>
      </w:r>
      <w:r>
        <w:rPr>
          <w:spacing w:val="11"/>
        </w:rPr>
        <w:t> </w:t>
      </w:r>
      <w:r>
        <w:rPr/>
        <w:t>исследовании</w:t>
      </w:r>
      <w:r>
        <w:rPr>
          <w:spacing w:val="11"/>
        </w:rPr>
        <w:t> </w:t>
      </w:r>
      <w:r>
        <w:rPr/>
        <w:t>приведены</w:t>
      </w:r>
      <w:r>
        <w:rPr>
          <w:spacing w:val="14"/>
        </w:rPr>
        <w:t> </w:t>
      </w:r>
      <w:r>
        <w:rPr/>
        <w:t>свои</w:t>
      </w:r>
      <w:r>
        <w:rPr>
          <w:spacing w:val="12"/>
        </w:rPr>
        <w:t> </w:t>
      </w:r>
      <w:r>
        <w:rPr/>
        <w:t>уникальные</w:t>
      </w:r>
      <w:r>
        <w:rPr>
          <w:spacing w:val="11"/>
        </w:rPr>
        <w:t> </w:t>
      </w:r>
      <w:r>
        <w:rPr>
          <w:spacing w:val="-2"/>
        </w:rPr>
        <w:t>длины</w:t>
      </w:r>
    </w:p>
    <w:p>
      <w:pPr>
        <w:pStyle w:val="BodyText"/>
        <w:spacing w:line="256" w:lineRule="auto" w:before="21"/>
        <w:ind w:left="144" w:right="420"/>
      </w:pPr>
      <w:r>
        <w:rPr/>
        <w:t>волн, энергия и время воздействия на сперматозоиды человека, увеличивающие скорость движения сперматозоидов, не разрушающие ультраструктуры и ДНК.</w:t>
      </w:r>
    </w:p>
    <w:p>
      <w:pPr>
        <w:pStyle w:val="BodyText"/>
        <w:spacing w:before="21"/>
        <w:jc w:val="left"/>
      </w:pPr>
    </w:p>
    <w:p>
      <w:pPr>
        <w:pStyle w:val="Heading2"/>
        <w:numPr>
          <w:ilvl w:val="1"/>
          <w:numId w:val="4"/>
        </w:numPr>
        <w:tabs>
          <w:tab w:pos="1592" w:val="left" w:leader="none"/>
        </w:tabs>
        <w:spacing w:line="256" w:lineRule="auto" w:before="0" w:after="0"/>
        <w:ind w:left="144" w:right="419" w:firstLine="707"/>
        <w:jc w:val="both"/>
      </w:pPr>
      <w:r>
        <w:rPr/>
        <w:t>Перспектива практического применения электромагнитного излучения в экстракорпоральном оплодотворении</w:t>
      </w:r>
    </w:p>
    <w:p>
      <w:pPr>
        <w:pStyle w:val="BodyText"/>
        <w:spacing w:line="256" w:lineRule="auto"/>
        <w:ind w:left="144" w:right="419" w:firstLine="707"/>
      </w:pPr>
      <w:r>
        <w:rPr/>
        <w:t>Внедрение результатов научных работ в практическую сферу требует тщательной оценки целесообразности и рисков. Фундаментальные научные труды прежде чем оказать эффект на лечение пациента проходят, зачатую проверку временем, исчисляемым десятилетиями. Как известно, репродуктивная медицина в целом и особенно сфера ВРТ в частности, являются относительно новым, бурно развивающимся клиническим направлением. Крупные внедрения в сфере ВРТ происходят практически ежегодно. Клинические исследования могут быть инициированы</w:t>
      </w:r>
      <w:r>
        <w:rPr>
          <w:spacing w:val="-1"/>
        </w:rPr>
        <w:t> </w:t>
      </w:r>
      <w:r>
        <w:rPr/>
        <w:t>только после</w:t>
      </w:r>
      <w:r>
        <w:rPr>
          <w:spacing w:val="-1"/>
        </w:rPr>
        <w:t> </w:t>
      </w:r>
      <w:r>
        <w:rPr/>
        <w:t>того,</w:t>
      </w:r>
      <w:r>
        <w:rPr>
          <w:spacing w:val="-2"/>
        </w:rPr>
        <w:t> </w:t>
      </w:r>
      <w:r>
        <w:rPr/>
        <w:t>как</w:t>
      </w:r>
      <w:r>
        <w:rPr>
          <w:spacing w:val="-4"/>
        </w:rPr>
        <w:t> </w:t>
      </w:r>
      <w:r>
        <w:rPr/>
        <w:t>получены</w:t>
      </w:r>
      <w:r>
        <w:rPr>
          <w:spacing w:val="-1"/>
        </w:rPr>
        <w:t> </w:t>
      </w:r>
      <w:r>
        <w:rPr/>
        <w:t>обнадёживающие</w:t>
      </w:r>
      <w:r>
        <w:rPr>
          <w:spacing w:val="-4"/>
        </w:rPr>
        <w:t> </w:t>
      </w:r>
      <w:r>
        <w:rPr/>
        <w:t>результаты</w:t>
      </w:r>
      <w:r>
        <w:rPr>
          <w:spacing w:val="-1"/>
        </w:rPr>
        <w:t> </w:t>
      </w:r>
      <w:r>
        <w:rPr/>
        <w:t>в</w:t>
      </w:r>
      <w:r>
        <w:rPr>
          <w:spacing w:val="-2"/>
        </w:rPr>
        <w:t> </w:t>
      </w:r>
      <w:r>
        <w:rPr/>
        <w:t>ходе доклинических испытаний (исследований на биологических моделях и лабораторных животных), а также одобрение этического комитета и положительное решение уполномоченного органа здравоохранения той страны, где планируется проводить испытания [234-236].</w:t>
      </w:r>
    </w:p>
    <w:p>
      <w:pPr>
        <w:pStyle w:val="BodyText"/>
        <w:spacing w:line="256" w:lineRule="auto"/>
        <w:ind w:left="144" w:right="419" w:firstLine="707"/>
      </w:pPr>
      <w:r>
        <w:rPr/>
        <w:t>Поскольку сперматозоиды обладают протаминной компактизацией ДНК, считается, что молекулярно-генетические события, такие как трансляция, транскрипция и репликация в зрелом сперматозоиде не протекают. В то время как в ядрах соматических клеток и ооцитов ДНК ассоциирована с гистонами. Хроматин предшественников сперматозоидов – сперматогоний содержит основные гистоны, связанные с кислотной ДНК, однако во время сперматогенеза на стадии сперматид гистоны удаляются из ядра, и ДНК связывается протаминами, образуя нуклеопротамины. Это позволяет значительно плотнее конденсировать хроматин и</w:t>
      </w:r>
    </w:p>
    <w:p>
      <w:pPr>
        <w:pStyle w:val="BodyText"/>
        <w:spacing w:after="0" w:line="256" w:lineRule="auto"/>
        <w:sectPr>
          <w:pgSz w:w="11910" w:h="16840"/>
          <w:pgMar w:header="0" w:footer="990" w:top="340" w:bottom="1200" w:left="708" w:right="425"/>
        </w:sectPr>
      </w:pPr>
    </w:p>
    <w:p>
      <w:pPr>
        <w:pStyle w:val="BodyText"/>
        <w:spacing w:line="256" w:lineRule="auto" w:before="69"/>
        <w:ind w:left="144" w:right="419"/>
      </w:pPr>
      <w:r>
        <w:rPr/>
        <w:t>уменьшить размер ядра сперматозоида. В отличие от хроматина с участием гистонов, хроматин с участием протаминов неактивен — в ядре сперматозоидов невозможны процессы транскрипции [237-238]. Данное обстоятельство минимизирует риски негативного воздействия от ЭМИ на процессы транскрипции, поскольку они фактически остановлены.</w:t>
      </w:r>
    </w:p>
    <w:p>
      <w:pPr>
        <w:pStyle w:val="BodyText"/>
        <w:spacing w:line="256" w:lineRule="auto"/>
        <w:ind w:left="144" w:right="419" w:firstLine="707"/>
      </w:pPr>
      <w:r>
        <w:rPr/>
        <w:t>Важным аспектом оценки негативного влияния ЭМИ на сперматозоиды является проверка степени фрагментации их ДНК в эксперименте и при контроле. Тесты на фрагментацию ДНК позволяют выявить её одно цепочечные и двух цепочечные</w:t>
      </w:r>
      <w:r>
        <w:rPr>
          <w:spacing w:val="-4"/>
        </w:rPr>
        <w:t> </w:t>
      </w:r>
      <w:r>
        <w:rPr/>
        <w:t>разрывы</w:t>
      </w:r>
      <w:r>
        <w:rPr>
          <w:spacing w:val="-1"/>
        </w:rPr>
        <w:t> </w:t>
      </w:r>
      <w:r>
        <w:rPr/>
        <w:t>[98-105].</w:t>
      </w:r>
      <w:r>
        <w:rPr>
          <w:spacing w:val="-4"/>
        </w:rPr>
        <w:t> </w:t>
      </w:r>
      <w:r>
        <w:rPr/>
        <w:t>При</w:t>
      </w:r>
      <w:r>
        <w:rPr>
          <w:spacing w:val="-1"/>
        </w:rPr>
        <w:t> </w:t>
      </w:r>
      <w:r>
        <w:rPr/>
        <w:t>наличии</w:t>
      </w:r>
      <w:r>
        <w:rPr>
          <w:spacing w:val="-3"/>
        </w:rPr>
        <w:t> </w:t>
      </w:r>
      <w:r>
        <w:rPr/>
        <w:t>достоверного</w:t>
      </w:r>
      <w:r>
        <w:rPr>
          <w:spacing w:val="-3"/>
        </w:rPr>
        <w:t> </w:t>
      </w:r>
      <w:r>
        <w:rPr/>
        <w:t>увеличения</w:t>
      </w:r>
      <w:r>
        <w:rPr>
          <w:spacing w:val="-1"/>
        </w:rPr>
        <w:t> </w:t>
      </w:r>
      <w:r>
        <w:rPr/>
        <w:t>фрагментации ДНК по сравнению с контролем воздействие ЭМИ следует считать неприемлемым в терапевтических целях. В настоящем исследовании не получено данных за статистически значимое увеличение фрагментации ДНК сперматозоидов после обработки эякулята ЭМИ.</w:t>
      </w:r>
    </w:p>
    <w:p>
      <w:pPr>
        <w:pStyle w:val="BodyText"/>
        <w:spacing w:line="256" w:lineRule="auto"/>
        <w:ind w:left="144" w:right="420" w:firstLine="708"/>
      </w:pPr>
      <w:r>
        <w:rPr/>
        <w:t>Еще одним показателем, который следует измерять при проведении доклинических испытаний – морфология сперматозоидов под большим</w:t>
      </w:r>
      <w:r>
        <w:rPr>
          <w:spacing w:val="80"/>
        </w:rPr>
        <w:t> </w:t>
      </w:r>
      <w:r>
        <w:rPr/>
        <w:t>увеличением - электронно-микроскопическое исследование сперматозоидов (ЭМИС). Необходимо установление влияния ЭМИ на изменение таких ультраструктурных параметров сперматозоида как активация акросомной реакции, нормальное или патологическое положение акросомы, изменения постакросомной пластины, конденсацию хроматина, степень вакуолизации нуклеосомы, а так же конформацию митохондрий. Следует оценить влияние ЭМИ на компактизацию содержимого акросомы, нормальную организацию или дезорганизацию аксонемы </w:t>
      </w:r>
      <w:r>
        <w:rPr>
          <w:spacing w:val="-2"/>
        </w:rPr>
        <w:t>[214].</w:t>
      </w:r>
    </w:p>
    <w:p>
      <w:pPr>
        <w:pStyle w:val="BodyText"/>
        <w:spacing w:line="295" w:lineRule="exact"/>
        <w:ind w:left="852"/>
      </w:pPr>
      <w:r>
        <w:rPr/>
        <w:t>Изученная</w:t>
      </w:r>
      <w:r>
        <w:rPr>
          <w:spacing w:val="23"/>
        </w:rPr>
        <w:t> </w:t>
      </w:r>
      <w:r>
        <w:rPr/>
        <w:t>активность</w:t>
      </w:r>
      <w:r>
        <w:rPr>
          <w:spacing w:val="22"/>
        </w:rPr>
        <w:t> </w:t>
      </w:r>
      <w:r>
        <w:rPr/>
        <w:t>митохондрий</w:t>
      </w:r>
      <w:r>
        <w:rPr>
          <w:spacing w:val="23"/>
        </w:rPr>
        <w:t> </w:t>
      </w:r>
      <w:r>
        <w:rPr/>
        <w:t>сперматозоидов</w:t>
      </w:r>
      <w:r>
        <w:rPr>
          <w:spacing w:val="22"/>
        </w:rPr>
        <w:t> </w:t>
      </w:r>
      <w:r>
        <w:rPr/>
        <w:t>после</w:t>
      </w:r>
      <w:r>
        <w:rPr>
          <w:spacing w:val="21"/>
        </w:rPr>
        <w:t> </w:t>
      </w:r>
      <w:r>
        <w:rPr/>
        <w:t>воздействия</w:t>
      </w:r>
      <w:r>
        <w:rPr>
          <w:spacing w:val="24"/>
        </w:rPr>
        <w:t> </w:t>
      </w:r>
      <w:r>
        <w:rPr>
          <w:spacing w:val="-5"/>
        </w:rPr>
        <w:t>ЭМИ</w:t>
      </w:r>
    </w:p>
    <w:p>
      <w:pPr>
        <w:pStyle w:val="BodyText"/>
        <w:spacing w:line="256" w:lineRule="auto" w:before="21"/>
        <w:ind w:left="144" w:right="419"/>
      </w:pPr>
      <w:r>
        <w:rPr/>
        <w:t>с применением двух альтернативных витальных флуоресцентных красителей дала обнадеживающие знания о способности ЭМИ модулирвать биохимические</w:t>
      </w:r>
      <w:r>
        <w:rPr>
          <w:spacing w:val="40"/>
        </w:rPr>
        <w:t> </w:t>
      </w:r>
      <w:r>
        <w:rPr/>
        <w:t>процессы в цитопатологических сперматозоидах, что может стать основой для нового отдельного направления в сфере ВРТ человека и животных.</w:t>
      </w:r>
    </w:p>
    <w:p>
      <w:pPr>
        <w:pStyle w:val="BodyText"/>
        <w:spacing w:line="256" w:lineRule="auto"/>
        <w:ind w:left="144" w:right="417" w:firstLine="707"/>
      </w:pPr>
      <w:r>
        <w:rPr/>
        <w:t>Финальные испытания безопасности фотобиомодуляции сперматозоидов в протоколах ВРТ следует выполнять на сперме доноров, оплодотворяя донорские ооциты, после чего культивировать эмбрионы до стадии экспондированной бластоцисты, оценивая морфокинетические параметры и генетические параметры полученных эмбрионов. В том случае, если после финальной стадии испытаний будет отмечаться статистически значимое улучшение оплодотворяющей способности, нормальная морфокинетика эмбрионов, приемлемый уровень эуплоидности, то следует приступать к внедрению результатов НИР в клиническую </w:t>
      </w:r>
      <w:r>
        <w:rPr>
          <w:spacing w:val="-2"/>
        </w:rPr>
        <w:t>практику.</w:t>
      </w:r>
    </w:p>
    <w:p>
      <w:pPr>
        <w:pStyle w:val="BodyText"/>
        <w:spacing w:after="0" w:line="256" w:lineRule="auto"/>
        <w:sectPr>
          <w:pgSz w:w="11910" w:h="16840"/>
          <w:pgMar w:header="0" w:footer="990" w:top="340" w:bottom="1200" w:left="708" w:right="425"/>
        </w:sectPr>
      </w:pPr>
    </w:p>
    <w:p>
      <w:pPr>
        <w:pStyle w:val="Heading1"/>
        <w:ind w:left="73" w:right="348"/>
      </w:pPr>
      <w:r>
        <w:rPr>
          <w:spacing w:val="-2"/>
        </w:rPr>
        <w:t>ЗАКЛЮЧЕНИЕ</w:t>
      </w:r>
    </w:p>
    <w:p>
      <w:pPr>
        <w:pStyle w:val="BodyText"/>
        <w:spacing w:before="21"/>
        <w:ind w:left="1269"/>
      </w:pPr>
      <w:r>
        <w:rPr/>
        <w:t>Полученные</w:t>
      </w:r>
      <w:r>
        <w:rPr>
          <w:spacing w:val="-10"/>
        </w:rPr>
        <w:t> </w:t>
      </w:r>
      <w:r>
        <w:rPr/>
        <w:t>результаты</w:t>
      </w:r>
      <w:r>
        <w:rPr>
          <w:spacing w:val="-4"/>
        </w:rPr>
        <w:t> </w:t>
      </w:r>
      <w:r>
        <w:rPr/>
        <w:t>позволяют</w:t>
      </w:r>
      <w:r>
        <w:rPr>
          <w:spacing w:val="-5"/>
        </w:rPr>
        <w:t> </w:t>
      </w:r>
      <w:r>
        <w:rPr/>
        <w:t>сделать</w:t>
      </w:r>
      <w:r>
        <w:rPr>
          <w:spacing w:val="-6"/>
        </w:rPr>
        <w:t> </w:t>
      </w:r>
      <w:r>
        <w:rPr/>
        <w:t>следующие</w:t>
      </w:r>
      <w:r>
        <w:rPr>
          <w:spacing w:val="-7"/>
        </w:rPr>
        <w:t> </w:t>
      </w:r>
      <w:r>
        <w:rPr>
          <w:spacing w:val="-2"/>
        </w:rPr>
        <w:t>выводы:</w:t>
      </w:r>
    </w:p>
    <w:p>
      <w:pPr>
        <w:pStyle w:val="ListParagraph"/>
        <w:numPr>
          <w:ilvl w:val="0"/>
          <w:numId w:val="9"/>
        </w:numPr>
        <w:tabs>
          <w:tab w:pos="863" w:val="left" w:leader="none"/>
        </w:tabs>
        <w:spacing w:line="256" w:lineRule="auto" w:before="21" w:after="0"/>
        <w:ind w:left="863" w:right="419" w:hanging="360"/>
        <w:jc w:val="both"/>
        <w:rPr>
          <w:sz w:val="28"/>
        </w:rPr>
      </w:pPr>
      <w:r>
        <w:rPr>
          <w:sz w:val="28"/>
        </w:rPr>
        <w:t>В ходе исследования определена структура нарушений сперматогенеза у мужчин в бесплодных браках, проживающих на территории Центральной Азии (Казахстан, Узбекистан). Показано, что основным отклонением в качестве эякулята является снижение скорости движения сперматозоидов (астенозооспермия)</w:t>
      </w:r>
      <w:r>
        <w:rPr>
          <w:spacing w:val="-1"/>
          <w:sz w:val="28"/>
        </w:rPr>
        <w:t> </w:t>
      </w:r>
      <w:r>
        <w:rPr>
          <w:sz w:val="28"/>
        </w:rPr>
        <w:t>- 38,6% мужчин в</w:t>
      </w:r>
      <w:r>
        <w:rPr>
          <w:spacing w:val="-2"/>
          <w:sz w:val="28"/>
        </w:rPr>
        <w:t> </w:t>
      </w:r>
      <w:r>
        <w:rPr>
          <w:sz w:val="28"/>
        </w:rPr>
        <w:t>бесплодных браках имеют этот</w:t>
      </w:r>
      <w:r>
        <w:rPr>
          <w:spacing w:val="-2"/>
          <w:sz w:val="28"/>
        </w:rPr>
        <w:t> </w:t>
      </w:r>
      <w:r>
        <w:rPr>
          <w:sz w:val="28"/>
        </w:rPr>
        <w:t>признак. Менее половины (47,1%) мужчин, проживающих в бесплодном браке, имеют заключение о нормозооспермии (N=957).</w:t>
      </w:r>
    </w:p>
    <w:p>
      <w:pPr>
        <w:pStyle w:val="ListParagraph"/>
        <w:numPr>
          <w:ilvl w:val="0"/>
          <w:numId w:val="9"/>
        </w:numPr>
        <w:tabs>
          <w:tab w:pos="863" w:val="left" w:leader="none"/>
        </w:tabs>
        <w:spacing w:line="256" w:lineRule="auto" w:before="0" w:after="0"/>
        <w:ind w:left="863" w:right="420" w:hanging="360"/>
        <w:jc w:val="both"/>
        <w:rPr>
          <w:sz w:val="28"/>
        </w:rPr>
      </w:pPr>
      <w:r>
        <w:rPr>
          <w:sz w:val="28"/>
        </w:rPr>
        <w:t>Впервые создан лабораторный прототип устройства, основными компонентами которого являются монохроматические светодиоды, белый светодиод, красный лазер и инфракрасный диод, способного </w:t>
      </w:r>
      <w:r>
        <w:rPr>
          <w:i/>
          <w:sz w:val="28"/>
        </w:rPr>
        <w:t>in vitro </w:t>
      </w:r>
      <w:r>
        <w:rPr>
          <w:sz w:val="28"/>
        </w:rPr>
        <w:t>статистически значимо увеличивать подвижность сперматозоидов человека при астенозооспермии.</w:t>
      </w:r>
    </w:p>
    <w:p>
      <w:pPr>
        <w:pStyle w:val="ListParagraph"/>
        <w:numPr>
          <w:ilvl w:val="0"/>
          <w:numId w:val="9"/>
        </w:numPr>
        <w:tabs>
          <w:tab w:pos="863" w:val="left" w:leader="none"/>
        </w:tabs>
        <w:spacing w:line="256" w:lineRule="auto" w:before="0" w:after="0"/>
        <w:ind w:left="863" w:right="420" w:hanging="360"/>
        <w:jc w:val="both"/>
        <w:rPr>
          <w:sz w:val="28"/>
        </w:rPr>
      </w:pPr>
      <w:r>
        <w:rPr>
          <w:sz w:val="28"/>
        </w:rPr>
        <w:t>Описаны пики длин испускаемых волн, мощность и энергетическая плотность используемых источников ЭМИ. Показано, что решающую роль в увеличении подвижности сперматозоидов играет не длительность воздействия ЭМИ, а его мощность (4,46 мВт).</w:t>
      </w:r>
    </w:p>
    <w:p>
      <w:pPr>
        <w:pStyle w:val="ListParagraph"/>
        <w:numPr>
          <w:ilvl w:val="0"/>
          <w:numId w:val="9"/>
        </w:numPr>
        <w:tabs>
          <w:tab w:pos="863" w:val="left" w:leader="none"/>
        </w:tabs>
        <w:spacing w:line="256" w:lineRule="auto" w:before="0" w:after="0"/>
        <w:ind w:left="863" w:right="420" w:hanging="360"/>
        <w:jc w:val="both"/>
        <w:rPr>
          <w:sz w:val="28"/>
        </w:rPr>
      </w:pPr>
      <w:r>
        <w:rPr>
          <w:sz w:val="28"/>
        </w:rPr>
        <w:t>Оценено влияние ЭМИ на ультраструктурные морфологические маркеры после воздействия сочетания светодиодного,</w:t>
      </w:r>
      <w:r>
        <w:rPr>
          <w:spacing w:val="-1"/>
          <w:sz w:val="28"/>
        </w:rPr>
        <w:t> </w:t>
      </w:r>
      <w:r>
        <w:rPr>
          <w:sz w:val="28"/>
        </w:rPr>
        <w:t>лазерного и инфракрасного ЭМИ (светодиод 400-750, лазер 651 нм, инфракрасный диод 933 нм, общая сообщаемая мощность излучения 4,46 мВт, общая сообщаемая энергия 4,01 Дж, время 15 минут). Показано, что используемый режим ЭМИ приводит к статистически значимым (P&lt;0,05) изменениям в таких ультраструктурных маркерах сперматозоидов, как нормальная форма митохондрий, присутствие акросомы, аномальный фиброзный слой, нормальная форма акросомы, что может быть артефактом при проведении ТЭМ, но тем не менее указывает на необходимость дальнейших исследований безопасности данного режима.</w:t>
      </w:r>
    </w:p>
    <w:p>
      <w:pPr>
        <w:pStyle w:val="ListParagraph"/>
        <w:numPr>
          <w:ilvl w:val="0"/>
          <w:numId w:val="9"/>
        </w:numPr>
        <w:tabs>
          <w:tab w:pos="863" w:val="left" w:leader="none"/>
        </w:tabs>
        <w:spacing w:line="256" w:lineRule="auto" w:before="0" w:after="0"/>
        <w:ind w:left="863" w:right="421" w:hanging="360"/>
        <w:jc w:val="both"/>
        <w:rPr>
          <w:sz w:val="28"/>
        </w:rPr>
      </w:pPr>
      <w:r>
        <w:rPr>
          <w:sz w:val="28"/>
        </w:rPr>
        <w:t>Посредством конфокальной лазерной сканирующей микроскопии задокументирован тренд на увеличение энергетической активности митохондрий сперматозоидов человека при астенозооспермии после воздействия ЭМИ с общей сообщаемой энергией от 0,02 до 5,15 Дж, по сравнению с отрицательным контролем, однако ввиду недостаточной разработанности методики по регистрации митохондрий сперматозоидов, статистически значимые данные не продемонстрированы.</w:t>
      </w:r>
    </w:p>
    <w:p>
      <w:pPr>
        <w:pStyle w:val="ListParagraph"/>
        <w:numPr>
          <w:ilvl w:val="0"/>
          <w:numId w:val="9"/>
        </w:numPr>
        <w:tabs>
          <w:tab w:pos="863" w:val="left" w:leader="none"/>
        </w:tabs>
        <w:spacing w:line="256" w:lineRule="auto" w:before="0" w:after="0"/>
        <w:ind w:left="863" w:right="420" w:hanging="360"/>
        <w:jc w:val="both"/>
        <w:rPr>
          <w:sz w:val="28"/>
        </w:rPr>
      </w:pPr>
      <w:r>
        <w:rPr>
          <w:sz w:val="28"/>
        </w:rPr>
        <w:t>Показаны режимы ЭМИ, которые положительно влияют на подвижность сперматозоидов (P&lt;0,05) и при этом не увеличивают индекс фрагментации их ДНК, оцененного с помощью мечения концов ДНК терминальной дезоксинуклеотидилтрансферазой dUTP (TUNEL) по сравнению с отрицательным контролем (N=8000).</w:t>
      </w:r>
    </w:p>
    <w:p>
      <w:pPr>
        <w:pStyle w:val="ListParagraph"/>
        <w:spacing w:after="0" w:line="256" w:lineRule="auto"/>
        <w:jc w:val="both"/>
        <w:rPr>
          <w:sz w:val="28"/>
        </w:rPr>
        <w:sectPr>
          <w:pgSz w:w="11910" w:h="16840"/>
          <w:pgMar w:header="0" w:footer="990" w:top="340" w:bottom="1200" w:left="708" w:right="425"/>
        </w:sectPr>
      </w:pPr>
    </w:p>
    <w:p>
      <w:pPr>
        <w:pStyle w:val="Heading1"/>
        <w:ind w:left="430"/>
      </w:pPr>
      <w:r>
        <w:rPr/>
        <w:t>СПИСОК</w:t>
      </w:r>
      <w:r>
        <w:rPr>
          <w:spacing w:val="-10"/>
        </w:rPr>
        <w:t> </w:t>
      </w:r>
      <w:r>
        <w:rPr/>
        <w:t>ИСПОЛЬЗОВАННЫХ</w:t>
      </w:r>
      <w:r>
        <w:rPr>
          <w:spacing w:val="-10"/>
        </w:rPr>
        <w:t> </w:t>
      </w:r>
      <w:r>
        <w:rPr>
          <w:spacing w:val="-2"/>
        </w:rPr>
        <w:t>ИСТОЧНИКОВ</w:t>
      </w:r>
    </w:p>
    <w:p>
      <w:pPr>
        <w:pStyle w:val="BodyText"/>
        <w:spacing w:before="42"/>
        <w:jc w:val="left"/>
        <w:rPr>
          <w:b/>
        </w:rPr>
      </w:pPr>
    </w:p>
    <w:p>
      <w:pPr>
        <w:pStyle w:val="ListParagraph"/>
        <w:numPr>
          <w:ilvl w:val="1"/>
          <w:numId w:val="9"/>
        </w:numPr>
        <w:tabs>
          <w:tab w:pos="1120" w:val="left" w:leader="none"/>
        </w:tabs>
        <w:spacing w:line="240" w:lineRule="auto" w:before="0" w:after="0"/>
        <w:ind w:left="144" w:right="422" w:firstLine="708"/>
        <w:jc w:val="both"/>
        <w:rPr>
          <w:sz w:val="28"/>
        </w:rPr>
      </w:pPr>
      <w:r>
        <w:rPr>
          <w:color w:val="1C1C1C"/>
          <w:sz w:val="28"/>
        </w:rPr>
        <w:t>Karu T. I. Multiple roles of cytochrome c oxidase in mammalian cells under action of red and IR-A radiation //IUBMB life. – 2010. – Т. 62. – №. 8. – С. 607-610.</w:t>
      </w:r>
    </w:p>
    <w:p>
      <w:pPr>
        <w:pStyle w:val="ListParagraph"/>
        <w:numPr>
          <w:ilvl w:val="1"/>
          <w:numId w:val="9"/>
        </w:numPr>
        <w:tabs>
          <w:tab w:pos="1136" w:val="left" w:leader="none"/>
        </w:tabs>
        <w:spacing w:line="240" w:lineRule="auto" w:before="0" w:after="0"/>
        <w:ind w:left="144" w:right="421" w:firstLine="708"/>
        <w:jc w:val="both"/>
        <w:rPr>
          <w:color w:val="1C1C1C"/>
          <w:sz w:val="28"/>
        </w:rPr>
      </w:pPr>
      <w:r>
        <w:rPr>
          <w:color w:val="1C1C1C"/>
          <w:sz w:val="28"/>
        </w:rPr>
        <w:t>Passarella</w:t>
      </w:r>
      <w:r>
        <w:rPr>
          <w:color w:val="1C1C1C"/>
          <w:spacing w:val="-1"/>
          <w:sz w:val="28"/>
        </w:rPr>
        <w:t> </w:t>
      </w:r>
      <w:r>
        <w:rPr>
          <w:color w:val="1C1C1C"/>
          <w:sz w:val="28"/>
        </w:rPr>
        <w:t>S.</w:t>
      </w:r>
      <w:r>
        <w:rPr>
          <w:color w:val="1C1C1C"/>
          <w:spacing w:val="-2"/>
          <w:sz w:val="28"/>
        </w:rPr>
        <w:t> </w:t>
      </w:r>
      <w:r>
        <w:rPr>
          <w:color w:val="1C1C1C"/>
          <w:sz w:val="28"/>
        </w:rPr>
        <w:t>et al.</w:t>
      </w:r>
      <w:r>
        <w:rPr>
          <w:color w:val="1C1C1C"/>
          <w:spacing w:val="-4"/>
          <w:sz w:val="28"/>
        </w:rPr>
        <w:t> </w:t>
      </w:r>
      <w:r>
        <w:rPr>
          <w:color w:val="1C1C1C"/>
          <w:sz w:val="28"/>
        </w:rPr>
        <w:t>Increase</w:t>
      </w:r>
      <w:r>
        <w:rPr>
          <w:color w:val="1C1C1C"/>
          <w:spacing w:val="-4"/>
          <w:sz w:val="28"/>
        </w:rPr>
        <w:t> </w:t>
      </w:r>
      <w:r>
        <w:rPr>
          <w:color w:val="1C1C1C"/>
          <w:sz w:val="28"/>
        </w:rPr>
        <w:t>of</w:t>
      </w:r>
      <w:r>
        <w:rPr>
          <w:color w:val="1C1C1C"/>
          <w:spacing w:val="-4"/>
          <w:sz w:val="28"/>
        </w:rPr>
        <w:t> </w:t>
      </w:r>
      <w:r>
        <w:rPr>
          <w:color w:val="1C1C1C"/>
          <w:sz w:val="28"/>
        </w:rPr>
        <w:t>proton electrochemical potential and</w:t>
      </w:r>
      <w:r>
        <w:rPr>
          <w:color w:val="1C1C1C"/>
          <w:spacing w:val="-3"/>
          <w:sz w:val="28"/>
        </w:rPr>
        <w:t> </w:t>
      </w:r>
      <w:r>
        <w:rPr>
          <w:color w:val="1C1C1C"/>
          <w:sz w:val="28"/>
        </w:rPr>
        <w:t>ATP</w:t>
      </w:r>
      <w:r>
        <w:rPr>
          <w:color w:val="1C1C1C"/>
          <w:spacing w:val="-4"/>
          <w:sz w:val="28"/>
        </w:rPr>
        <w:t> </w:t>
      </w:r>
      <w:r>
        <w:rPr>
          <w:color w:val="1C1C1C"/>
          <w:sz w:val="28"/>
        </w:rPr>
        <w:t>synthesis in rat liver mitochondria irradiated in vitro by helium-neon laser //FEBS letters. – 1984. – Т. 175. – №. 1. – С. 95-99.</w:t>
      </w:r>
    </w:p>
    <w:p>
      <w:pPr>
        <w:pStyle w:val="ListParagraph"/>
        <w:numPr>
          <w:ilvl w:val="1"/>
          <w:numId w:val="9"/>
        </w:numPr>
        <w:tabs>
          <w:tab w:pos="1136" w:val="left" w:leader="none"/>
        </w:tabs>
        <w:spacing w:line="256" w:lineRule="auto" w:before="0" w:after="0"/>
        <w:ind w:left="144" w:right="417" w:firstLine="707"/>
        <w:jc w:val="both"/>
        <w:rPr>
          <w:sz w:val="28"/>
        </w:rPr>
      </w:pPr>
      <w:r>
        <w:rPr>
          <w:sz w:val="28"/>
        </w:rPr>
        <w:t>Задубенко Д. В. и др. Влияние электромагнитных излучений различных диапазонов на физиологические процессы сперматозоидов человека и животных. Обзор //Репродуктивная медицина (Центральная Азия). – 2021. – №. 1 (46). – С. 42-</w:t>
      </w:r>
      <w:r>
        <w:rPr>
          <w:spacing w:val="-4"/>
          <w:sz w:val="28"/>
        </w:rPr>
        <w:t>54.</w:t>
      </w:r>
    </w:p>
    <w:p>
      <w:pPr>
        <w:pStyle w:val="ListParagraph"/>
        <w:numPr>
          <w:ilvl w:val="1"/>
          <w:numId w:val="9"/>
        </w:numPr>
        <w:tabs>
          <w:tab w:pos="1109" w:val="left" w:leader="none"/>
        </w:tabs>
        <w:spacing w:line="240" w:lineRule="auto" w:before="0" w:after="0"/>
        <w:ind w:left="144" w:right="419" w:firstLine="707"/>
        <w:jc w:val="both"/>
        <w:rPr>
          <w:sz w:val="28"/>
        </w:rPr>
      </w:pPr>
      <w:r>
        <w:rPr>
          <w:sz w:val="28"/>
        </w:rPr>
        <w:t>Karu T., Pyatibrat L., Kalendo G. Irradiation with He-Ne laser increases ATP level in cells cultivated in vitro //Journal of Photochemistry and photobiology B: Biology. – 1995. – Т. 27. – №. 3. – С. 219-223.</w:t>
      </w:r>
    </w:p>
    <w:p>
      <w:pPr>
        <w:pStyle w:val="ListParagraph"/>
        <w:numPr>
          <w:ilvl w:val="1"/>
          <w:numId w:val="9"/>
        </w:numPr>
        <w:tabs>
          <w:tab w:pos="1078" w:val="left" w:leader="none"/>
        </w:tabs>
        <w:spacing w:line="240" w:lineRule="auto" w:before="0" w:after="0"/>
        <w:ind w:left="144" w:right="420" w:firstLine="707"/>
        <w:jc w:val="both"/>
        <w:rPr>
          <w:sz w:val="28"/>
        </w:rPr>
      </w:pPr>
      <w:r>
        <w:rPr>
          <w:sz w:val="28"/>
        </w:rPr>
        <w:t>Karu, T. I. (2003) Low power laser therapy. In Biomedical Photonics Handbook. (Tuan, V.-D., ed.). Chapter 48, pp. 48-1–48-25, CRC Press, Boca Raton.</w:t>
      </w:r>
    </w:p>
    <w:p>
      <w:pPr>
        <w:pStyle w:val="ListParagraph"/>
        <w:numPr>
          <w:ilvl w:val="1"/>
          <w:numId w:val="9"/>
        </w:numPr>
        <w:tabs>
          <w:tab w:pos="1138" w:val="left" w:leader="none"/>
        </w:tabs>
        <w:spacing w:line="240" w:lineRule="auto" w:before="0" w:after="0"/>
        <w:ind w:left="144" w:right="419" w:firstLine="707"/>
        <w:jc w:val="both"/>
        <w:rPr>
          <w:sz w:val="28"/>
        </w:rPr>
      </w:pPr>
      <w:r>
        <w:rPr>
          <w:sz w:val="28"/>
        </w:rPr>
        <w:t>Karu T. Primary and secondary mechanisms of action of visible to near-IR radiation on</w:t>
      </w:r>
      <w:r>
        <w:rPr>
          <w:spacing w:val="17"/>
          <w:sz w:val="28"/>
        </w:rPr>
        <w:t> </w:t>
      </w:r>
      <w:r>
        <w:rPr>
          <w:sz w:val="28"/>
        </w:rPr>
        <w:t>cells //Journal</w:t>
      </w:r>
      <w:r>
        <w:rPr>
          <w:spacing w:val="17"/>
          <w:sz w:val="28"/>
        </w:rPr>
        <w:t> </w:t>
      </w:r>
      <w:r>
        <w:rPr>
          <w:sz w:val="28"/>
        </w:rPr>
        <w:t>of</w:t>
      </w:r>
      <w:r>
        <w:rPr>
          <w:spacing w:val="16"/>
          <w:sz w:val="28"/>
        </w:rPr>
        <w:t> </w:t>
      </w:r>
      <w:r>
        <w:rPr>
          <w:sz w:val="28"/>
        </w:rPr>
        <w:t>Photochemistry</w:t>
      </w:r>
      <w:r>
        <w:rPr>
          <w:spacing w:val="17"/>
          <w:sz w:val="28"/>
        </w:rPr>
        <w:t> </w:t>
      </w:r>
      <w:r>
        <w:rPr>
          <w:sz w:val="28"/>
        </w:rPr>
        <w:t>and</w:t>
      </w:r>
      <w:r>
        <w:rPr>
          <w:spacing w:val="17"/>
          <w:sz w:val="28"/>
        </w:rPr>
        <w:t> </w:t>
      </w:r>
      <w:r>
        <w:rPr>
          <w:sz w:val="28"/>
        </w:rPr>
        <w:t>photobiology</w:t>
      </w:r>
      <w:r>
        <w:rPr>
          <w:spacing w:val="17"/>
          <w:sz w:val="28"/>
        </w:rPr>
        <w:t> </w:t>
      </w:r>
      <w:r>
        <w:rPr>
          <w:sz w:val="28"/>
        </w:rPr>
        <w:t>B:</w:t>
      </w:r>
      <w:r>
        <w:rPr>
          <w:spacing w:val="17"/>
          <w:sz w:val="28"/>
        </w:rPr>
        <w:t> </w:t>
      </w:r>
      <w:r>
        <w:rPr>
          <w:sz w:val="28"/>
        </w:rPr>
        <w:t>Biology.</w:t>
      </w:r>
      <w:r>
        <w:rPr>
          <w:spacing w:val="16"/>
          <w:sz w:val="28"/>
        </w:rPr>
        <w:t> </w:t>
      </w:r>
      <w:r>
        <w:rPr>
          <w:sz w:val="28"/>
        </w:rPr>
        <w:t>–</w:t>
      </w:r>
      <w:r>
        <w:rPr>
          <w:spacing w:val="18"/>
          <w:sz w:val="28"/>
        </w:rPr>
        <w:t> </w:t>
      </w:r>
      <w:r>
        <w:rPr>
          <w:sz w:val="28"/>
        </w:rPr>
        <w:t>1999.</w:t>
      </w:r>
      <w:r>
        <w:rPr>
          <w:spacing w:val="16"/>
          <w:sz w:val="28"/>
        </w:rPr>
        <w:t> </w:t>
      </w:r>
      <w:r>
        <w:rPr>
          <w:sz w:val="28"/>
        </w:rPr>
        <w:t>–</w:t>
      </w:r>
      <w:r>
        <w:rPr>
          <w:spacing w:val="17"/>
          <w:sz w:val="28"/>
        </w:rPr>
        <w:t> </w:t>
      </w:r>
      <w:r>
        <w:rPr>
          <w:sz w:val="28"/>
        </w:rPr>
        <w:t>Т.</w:t>
      </w:r>
    </w:p>
    <w:p>
      <w:pPr>
        <w:pStyle w:val="BodyText"/>
        <w:spacing w:line="321" w:lineRule="exact"/>
        <w:ind w:left="144"/>
      </w:pPr>
      <w:r>
        <w:rPr/>
        <w:t>49.</w:t>
      </w:r>
      <w:r>
        <w:rPr>
          <w:spacing w:val="-4"/>
        </w:rPr>
        <w:t> </w:t>
      </w:r>
      <w:r>
        <w:rPr/>
        <w:t>– №.</w:t>
      </w:r>
      <w:r>
        <w:rPr>
          <w:spacing w:val="-1"/>
        </w:rPr>
        <w:t> </w:t>
      </w:r>
      <w:r>
        <w:rPr/>
        <w:t>1.</w:t>
      </w:r>
      <w:r>
        <w:rPr>
          <w:spacing w:val="-4"/>
        </w:rPr>
        <w:t> </w:t>
      </w:r>
      <w:r>
        <w:rPr/>
        <w:t>– С.</w:t>
      </w:r>
      <w:r>
        <w:rPr>
          <w:spacing w:val="-1"/>
        </w:rPr>
        <w:t> </w:t>
      </w:r>
      <w:r>
        <w:rPr/>
        <w:t>1-</w:t>
      </w:r>
      <w:r>
        <w:rPr>
          <w:spacing w:val="-5"/>
        </w:rPr>
        <w:t>17.</w:t>
      </w:r>
    </w:p>
    <w:p>
      <w:pPr>
        <w:pStyle w:val="ListParagraph"/>
        <w:numPr>
          <w:ilvl w:val="1"/>
          <w:numId w:val="9"/>
        </w:numPr>
        <w:tabs>
          <w:tab w:pos="1092" w:val="left" w:leader="none"/>
        </w:tabs>
        <w:spacing w:line="240" w:lineRule="auto" w:before="0" w:after="0"/>
        <w:ind w:left="143" w:right="422" w:firstLine="708"/>
        <w:jc w:val="both"/>
        <w:rPr>
          <w:sz w:val="28"/>
        </w:rPr>
      </w:pPr>
      <w:r>
        <w:rPr>
          <w:sz w:val="28"/>
        </w:rPr>
        <w:t>Passarella S. et al. Increase in the ADP/ATP exchange in rat liver mitochondria irradiated in vitro by helium-neon laser //Biochemical and biophysical research communications. – 1988. – Т. 156. – №. 2. – С. 978-986.</w:t>
      </w:r>
    </w:p>
    <w:p>
      <w:pPr>
        <w:pStyle w:val="ListParagraph"/>
        <w:numPr>
          <w:ilvl w:val="1"/>
          <w:numId w:val="9"/>
        </w:numPr>
        <w:tabs>
          <w:tab w:pos="1143" w:val="left" w:leader="none"/>
        </w:tabs>
        <w:spacing w:line="240" w:lineRule="auto" w:before="0" w:after="0"/>
        <w:ind w:left="144" w:right="419" w:firstLine="707"/>
        <w:jc w:val="both"/>
        <w:rPr>
          <w:sz w:val="28"/>
        </w:rPr>
      </w:pPr>
      <w:r>
        <w:rPr>
          <w:sz w:val="28"/>
        </w:rPr>
        <w:t>Karu T. I. et al. Absorption measurements of a cell monolayer relevant to phototherapy: reduction of cytochrome c oxidase under near IR radiation //Journal of Photochemistry and Photobiology B: Biology. – 2005. – Т. 81. – №. 2. – С. 98-106.</w:t>
      </w:r>
    </w:p>
    <w:p>
      <w:pPr>
        <w:pStyle w:val="ListParagraph"/>
        <w:numPr>
          <w:ilvl w:val="1"/>
          <w:numId w:val="9"/>
        </w:numPr>
        <w:tabs>
          <w:tab w:pos="1083" w:val="left" w:leader="none"/>
        </w:tabs>
        <w:spacing w:line="240" w:lineRule="auto" w:before="0" w:after="0"/>
        <w:ind w:left="144" w:right="423" w:firstLine="707"/>
        <w:jc w:val="both"/>
        <w:rPr>
          <w:sz w:val="28"/>
        </w:rPr>
      </w:pPr>
      <w:r>
        <w:rPr>
          <w:sz w:val="28"/>
        </w:rPr>
        <w:t>Karu T. I., Kolyakov S. F. Exact action spectra for cellular responses relevant to phototherapy //Photomedicine and Laser Therapy. – 2005. – Т. 23. – №. 4. – С. 355-361.</w:t>
      </w:r>
    </w:p>
    <w:p>
      <w:pPr>
        <w:pStyle w:val="ListParagraph"/>
        <w:numPr>
          <w:ilvl w:val="1"/>
          <w:numId w:val="9"/>
        </w:numPr>
        <w:tabs>
          <w:tab w:pos="1221" w:val="left" w:leader="none"/>
        </w:tabs>
        <w:spacing w:line="240" w:lineRule="auto" w:before="0" w:after="0"/>
        <w:ind w:left="144" w:right="420" w:firstLine="707"/>
        <w:jc w:val="both"/>
        <w:rPr>
          <w:sz w:val="28"/>
        </w:rPr>
      </w:pPr>
      <w:r>
        <w:rPr>
          <w:sz w:val="28"/>
        </w:rPr>
        <w:t>Passarella S. et al. Increase in the ADP/ATP exchange in rat liver mitochondria irradiated in vitro by helium-neon laser //Biochemical and biophysical research communications. – 1988. – Т. 156. – №. 2. – С. 978-986.</w:t>
      </w:r>
    </w:p>
    <w:p>
      <w:pPr>
        <w:pStyle w:val="ListParagraph"/>
        <w:numPr>
          <w:ilvl w:val="1"/>
          <w:numId w:val="9"/>
        </w:numPr>
        <w:tabs>
          <w:tab w:pos="1246" w:val="left" w:leader="none"/>
        </w:tabs>
        <w:spacing w:line="322" w:lineRule="exact" w:before="0" w:after="0"/>
        <w:ind w:left="1246" w:right="0" w:hanging="395"/>
        <w:jc w:val="both"/>
        <w:rPr>
          <w:sz w:val="28"/>
        </w:rPr>
      </w:pPr>
      <w:r>
        <w:rPr>
          <w:sz w:val="28"/>
        </w:rPr>
        <w:t>Brunori</w:t>
      </w:r>
      <w:r>
        <w:rPr>
          <w:spacing w:val="39"/>
          <w:sz w:val="28"/>
        </w:rPr>
        <w:t> </w:t>
      </w:r>
      <w:r>
        <w:rPr>
          <w:sz w:val="28"/>
        </w:rPr>
        <w:t>M.,</w:t>
      </w:r>
      <w:r>
        <w:rPr>
          <w:spacing w:val="41"/>
          <w:sz w:val="28"/>
        </w:rPr>
        <w:t> </w:t>
      </w:r>
      <w:r>
        <w:rPr>
          <w:sz w:val="28"/>
        </w:rPr>
        <w:t>Giuffre</w:t>
      </w:r>
      <w:r>
        <w:rPr>
          <w:spacing w:val="41"/>
          <w:sz w:val="28"/>
        </w:rPr>
        <w:t> </w:t>
      </w:r>
      <w:r>
        <w:rPr>
          <w:sz w:val="28"/>
        </w:rPr>
        <w:t>A.,</w:t>
      </w:r>
      <w:r>
        <w:rPr>
          <w:spacing w:val="41"/>
          <w:sz w:val="28"/>
        </w:rPr>
        <w:t> </w:t>
      </w:r>
      <w:r>
        <w:rPr>
          <w:sz w:val="28"/>
        </w:rPr>
        <w:t>Sarti</w:t>
      </w:r>
      <w:r>
        <w:rPr>
          <w:spacing w:val="43"/>
          <w:sz w:val="28"/>
        </w:rPr>
        <w:t> </w:t>
      </w:r>
      <w:r>
        <w:rPr>
          <w:sz w:val="28"/>
        </w:rPr>
        <w:t>P.</w:t>
      </w:r>
      <w:r>
        <w:rPr>
          <w:spacing w:val="40"/>
          <w:sz w:val="28"/>
        </w:rPr>
        <w:t> </w:t>
      </w:r>
      <w:r>
        <w:rPr>
          <w:sz w:val="28"/>
        </w:rPr>
        <w:t>Cytochrome</w:t>
      </w:r>
      <w:r>
        <w:rPr>
          <w:spacing w:val="42"/>
          <w:sz w:val="28"/>
        </w:rPr>
        <w:t> </w:t>
      </w:r>
      <w:r>
        <w:rPr>
          <w:sz w:val="28"/>
        </w:rPr>
        <w:t>c</w:t>
      </w:r>
      <w:r>
        <w:rPr>
          <w:spacing w:val="39"/>
          <w:sz w:val="28"/>
        </w:rPr>
        <w:t> </w:t>
      </w:r>
      <w:r>
        <w:rPr>
          <w:sz w:val="28"/>
        </w:rPr>
        <w:t>oxidase,</w:t>
      </w:r>
      <w:r>
        <w:rPr>
          <w:spacing w:val="38"/>
          <w:sz w:val="28"/>
        </w:rPr>
        <w:t> </w:t>
      </w:r>
      <w:r>
        <w:rPr>
          <w:sz w:val="28"/>
        </w:rPr>
        <w:t>ligands</w:t>
      </w:r>
      <w:r>
        <w:rPr>
          <w:spacing w:val="43"/>
          <w:sz w:val="28"/>
        </w:rPr>
        <w:t> </w:t>
      </w:r>
      <w:r>
        <w:rPr>
          <w:sz w:val="28"/>
        </w:rPr>
        <w:t>and</w:t>
      </w:r>
      <w:r>
        <w:rPr>
          <w:spacing w:val="41"/>
          <w:sz w:val="28"/>
        </w:rPr>
        <w:t> </w:t>
      </w:r>
      <w:r>
        <w:rPr>
          <w:spacing w:val="-2"/>
          <w:sz w:val="28"/>
        </w:rPr>
        <w:t>electrons</w:t>
      </w:r>
    </w:p>
    <w:p>
      <w:pPr>
        <w:pStyle w:val="BodyText"/>
        <w:spacing w:line="322" w:lineRule="exact"/>
        <w:ind w:left="143"/>
      </w:pPr>
      <w:r>
        <w:rPr/>
        <w:t>//Journal</w:t>
      </w:r>
      <w:r>
        <w:rPr>
          <w:spacing w:val="-2"/>
        </w:rPr>
        <w:t> </w:t>
      </w:r>
      <w:r>
        <w:rPr/>
        <w:t>of</w:t>
      </w:r>
      <w:r>
        <w:rPr>
          <w:spacing w:val="-5"/>
        </w:rPr>
        <w:t> </w:t>
      </w:r>
      <w:r>
        <w:rPr/>
        <w:t>inorganic</w:t>
      </w:r>
      <w:r>
        <w:rPr>
          <w:spacing w:val="-5"/>
        </w:rPr>
        <w:t> </w:t>
      </w:r>
      <w:r>
        <w:rPr/>
        <w:t>biochemistry.</w:t>
      </w:r>
      <w:r>
        <w:rPr>
          <w:spacing w:val="-3"/>
        </w:rPr>
        <w:t> </w:t>
      </w:r>
      <w:r>
        <w:rPr/>
        <w:t>– 2005.</w:t>
      </w:r>
      <w:r>
        <w:rPr>
          <w:spacing w:val="-4"/>
        </w:rPr>
        <w:t> </w:t>
      </w:r>
      <w:r>
        <w:rPr/>
        <w:t>–</w:t>
      </w:r>
      <w:r>
        <w:rPr>
          <w:spacing w:val="-2"/>
        </w:rPr>
        <w:t> </w:t>
      </w:r>
      <w:r>
        <w:rPr/>
        <w:t>Т.</w:t>
      </w:r>
      <w:r>
        <w:rPr>
          <w:spacing w:val="-2"/>
        </w:rPr>
        <w:t> </w:t>
      </w:r>
      <w:r>
        <w:rPr/>
        <w:t>99.</w:t>
      </w:r>
      <w:r>
        <w:rPr>
          <w:spacing w:val="-3"/>
        </w:rPr>
        <w:t> </w:t>
      </w:r>
      <w:r>
        <w:rPr/>
        <w:t>–</w:t>
      </w:r>
      <w:r>
        <w:rPr>
          <w:spacing w:val="-4"/>
        </w:rPr>
        <w:t> </w:t>
      </w:r>
      <w:r>
        <w:rPr/>
        <w:t>№.</w:t>
      </w:r>
      <w:r>
        <w:rPr>
          <w:spacing w:val="-3"/>
        </w:rPr>
        <w:t> </w:t>
      </w:r>
      <w:r>
        <w:rPr/>
        <w:t>1.</w:t>
      </w:r>
      <w:r>
        <w:rPr>
          <w:spacing w:val="-3"/>
        </w:rPr>
        <w:t> </w:t>
      </w:r>
      <w:r>
        <w:rPr/>
        <w:t>–</w:t>
      </w:r>
      <w:r>
        <w:rPr>
          <w:spacing w:val="-2"/>
        </w:rPr>
        <w:t> </w:t>
      </w:r>
      <w:r>
        <w:rPr/>
        <w:t>С.</w:t>
      </w:r>
      <w:r>
        <w:rPr>
          <w:spacing w:val="-5"/>
        </w:rPr>
        <w:t> </w:t>
      </w:r>
      <w:r>
        <w:rPr/>
        <w:t>324-</w:t>
      </w:r>
      <w:r>
        <w:rPr>
          <w:spacing w:val="-4"/>
        </w:rPr>
        <w:t>336.</w:t>
      </w:r>
    </w:p>
    <w:p>
      <w:pPr>
        <w:pStyle w:val="ListParagraph"/>
        <w:numPr>
          <w:ilvl w:val="1"/>
          <w:numId w:val="9"/>
        </w:numPr>
        <w:tabs>
          <w:tab w:pos="1212" w:val="left" w:leader="none"/>
        </w:tabs>
        <w:spacing w:line="240" w:lineRule="auto" w:before="0" w:after="0"/>
        <w:ind w:left="143" w:right="423" w:firstLine="708"/>
        <w:jc w:val="both"/>
        <w:rPr>
          <w:sz w:val="28"/>
        </w:rPr>
      </w:pPr>
      <w:r>
        <w:rPr>
          <w:sz w:val="28"/>
        </w:rPr>
        <w:t>Marcus R. A., Sutin N. Electron transfers in chemistry and biology //Biochimica et Biophysica Acta (BBA)-Reviews on Bioenergetics. – 1985. – Т. 811. – №. 3. – С. 265-</w:t>
      </w:r>
      <w:r>
        <w:rPr>
          <w:spacing w:val="-4"/>
          <w:sz w:val="28"/>
        </w:rPr>
        <w:t>322.</w:t>
      </w:r>
    </w:p>
    <w:p>
      <w:pPr>
        <w:pStyle w:val="ListParagraph"/>
        <w:numPr>
          <w:ilvl w:val="1"/>
          <w:numId w:val="9"/>
        </w:numPr>
        <w:tabs>
          <w:tab w:pos="1268" w:val="left" w:leader="none"/>
        </w:tabs>
        <w:spacing w:line="256" w:lineRule="auto" w:before="0" w:after="0"/>
        <w:ind w:left="143" w:right="420" w:firstLine="707"/>
        <w:jc w:val="both"/>
        <w:rPr>
          <w:sz w:val="28"/>
        </w:rPr>
      </w:pPr>
      <w:r>
        <w:rPr>
          <w:sz w:val="28"/>
        </w:rPr>
        <w:t>McLachlan R. I., de Kretser D. M. Male infertility: the case for continued research: Even with modern assisted-reproduction technologies, clinical assessment and basic research on male infertility are essential //Medical Journal of Australia. – 2001. – Т.</w:t>
      </w:r>
    </w:p>
    <w:p>
      <w:pPr>
        <w:pStyle w:val="BodyText"/>
        <w:spacing w:line="318" w:lineRule="exact"/>
        <w:ind w:left="143"/>
      </w:pPr>
      <w:r>
        <w:rPr/>
        <w:t>174.</w:t>
      </w:r>
      <w:r>
        <w:rPr>
          <w:spacing w:val="-2"/>
        </w:rPr>
        <w:t> </w:t>
      </w:r>
      <w:r>
        <w:rPr/>
        <w:t>–</w:t>
      </w:r>
      <w:r>
        <w:rPr>
          <w:spacing w:val="-2"/>
        </w:rPr>
        <w:t> </w:t>
      </w:r>
      <w:r>
        <w:rPr/>
        <w:t>№.</w:t>
      </w:r>
      <w:r>
        <w:rPr>
          <w:spacing w:val="-1"/>
        </w:rPr>
        <w:t> </w:t>
      </w:r>
      <w:r>
        <w:rPr/>
        <w:t>3.</w:t>
      </w:r>
      <w:r>
        <w:rPr>
          <w:spacing w:val="-3"/>
        </w:rPr>
        <w:t> </w:t>
      </w:r>
      <w:r>
        <w:rPr/>
        <w:t>– С.</w:t>
      </w:r>
      <w:r>
        <w:rPr>
          <w:spacing w:val="-4"/>
        </w:rPr>
        <w:t> </w:t>
      </w:r>
      <w:r>
        <w:rPr/>
        <w:t>116-</w:t>
      </w:r>
      <w:r>
        <w:rPr>
          <w:spacing w:val="-4"/>
        </w:rPr>
        <w:t>117.</w:t>
      </w:r>
    </w:p>
    <w:p>
      <w:pPr>
        <w:pStyle w:val="ListParagraph"/>
        <w:numPr>
          <w:ilvl w:val="1"/>
          <w:numId w:val="9"/>
        </w:numPr>
        <w:tabs>
          <w:tab w:pos="1369" w:val="left" w:leader="none"/>
        </w:tabs>
        <w:spacing w:line="256" w:lineRule="auto" w:before="18" w:after="0"/>
        <w:ind w:left="143" w:right="422" w:firstLine="707"/>
        <w:jc w:val="both"/>
        <w:rPr>
          <w:sz w:val="28"/>
        </w:rPr>
      </w:pPr>
      <w:r>
        <w:rPr>
          <w:sz w:val="28"/>
        </w:rPr>
        <w:t>Савицкая М. А., Онищенко Г. Е. Апоптоз при криоконсервации эукариотических клеток (обзор) //Биохимия. – 2016. – Т. 81. – №. 5. – С. 602-611.</w:t>
      </w:r>
    </w:p>
    <w:p>
      <w:pPr>
        <w:pStyle w:val="ListParagraph"/>
        <w:numPr>
          <w:ilvl w:val="1"/>
          <w:numId w:val="9"/>
        </w:numPr>
        <w:tabs>
          <w:tab w:pos="1249" w:val="left" w:leader="none"/>
        </w:tabs>
        <w:spacing w:line="256" w:lineRule="auto" w:before="0" w:after="0"/>
        <w:ind w:left="142" w:right="421" w:firstLine="708"/>
        <w:jc w:val="both"/>
        <w:rPr>
          <w:sz w:val="28"/>
        </w:rPr>
      </w:pPr>
      <w:r>
        <w:rPr>
          <w:sz w:val="28"/>
        </w:rPr>
        <w:t>Zadubenko D.V., Tufuminova Ya.S., Lebedeva L.P., et al. Male infertility in Central Asia: the first report from the region. Russian Journal of Human Reproduction. 2025;31(3):92-98. (In Russ.) </w:t>
      </w:r>
      <w:hyperlink r:id="rId82">
        <w:r>
          <w:rPr>
            <w:sz w:val="28"/>
          </w:rPr>
          <w:t>https://doi.org/10.17116/repro20253103192</w:t>
        </w:r>
      </w:hyperlink>
    </w:p>
    <w:p>
      <w:pPr>
        <w:pStyle w:val="ListParagraph"/>
        <w:spacing w:after="0" w:line="256" w:lineRule="auto"/>
        <w:jc w:val="both"/>
        <w:rPr>
          <w:sz w:val="28"/>
        </w:rPr>
        <w:sectPr>
          <w:pgSz w:w="11910" w:h="16840"/>
          <w:pgMar w:header="0" w:footer="990" w:top="340" w:bottom="1200" w:left="708" w:right="425"/>
        </w:sectPr>
      </w:pPr>
    </w:p>
    <w:p>
      <w:pPr>
        <w:pStyle w:val="ListParagraph"/>
        <w:numPr>
          <w:ilvl w:val="1"/>
          <w:numId w:val="9"/>
        </w:numPr>
        <w:tabs>
          <w:tab w:pos="1368" w:val="left" w:leader="none"/>
        </w:tabs>
        <w:spacing w:line="256" w:lineRule="auto" w:before="69" w:after="0"/>
        <w:ind w:left="144" w:right="421" w:firstLine="707"/>
        <w:jc w:val="both"/>
        <w:rPr>
          <w:sz w:val="28"/>
        </w:rPr>
      </w:pPr>
      <w:r>
        <w:rPr>
          <w:sz w:val="28"/>
        </w:rPr>
        <w:t>Zadubenko D.V., Zh. Yang. Effects of Visible and Infrared Electromagnetic Radiation on the Motility and Ultrastructural Organization of Human Spermatozoa. Abstract of Oral Presentation. ISRG; June 6-8, 2025. Changsha, China</w:t>
      </w:r>
    </w:p>
    <w:p>
      <w:pPr>
        <w:pStyle w:val="ListParagraph"/>
        <w:numPr>
          <w:ilvl w:val="1"/>
          <w:numId w:val="9"/>
        </w:numPr>
        <w:tabs>
          <w:tab w:pos="1294" w:val="left" w:leader="none"/>
        </w:tabs>
        <w:spacing w:line="318" w:lineRule="exact" w:before="0" w:after="0"/>
        <w:ind w:left="1294" w:right="0" w:hanging="443"/>
        <w:jc w:val="both"/>
        <w:rPr>
          <w:sz w:val="28"/>
        </w:rPr>
      </w:pPr>
      <w:r>
        <w:rPr>
          <w:sz w:val="28"/>
        </w:rPr>
        <w:t>Bragina,</w:t>
      </w:r>
      <w:r>
        <w:rPr>
          <w:spacing w:val="5"/>
          <w:sz w:val="28"/>
        </w:rPr>
        <w:t> </w:t>
      </w:r>
      <w:r>
        <w:rPr>
          <w:sz w:val="28"/>
        </w:rPr>
        <w:t>E.,</w:t>
      </w:r>
      <w:r>
        <w:rPr>
          <w:spacing w:val="4"/>
          <w:sz w:val="28"/>
        </w:rPr>
        <w:t> </w:t>
      </w:r>
      <w:r>
        <w:rPr>
          <w:sz w:val="28"/>
        </w:rPr>
        <w:t>Zadubenko,</w:t>
      </w:r>
      <w:r>
        <w:rPr>
          <w:spacing w:val="5"/>
          <w:sz w:val="28"/>
        </w:rPr>
        <w:t> </w:t>
      </w:r>
      <w:r>
        <w:rPr>
          <w:sz w:val="28"/>
        </w:rPr>
        <w:t>D.,</w:t>
      </w:r>
      <w:r>
        <w:rPr>
          <w:spacing w:val="7"/>
          <w:sz w:val="28"/>
        </w:rPr>
        <w:t> </w:t>
      </w:r>
      <w:r>
        <w:rPr>
          <w:sz w:val="28"/>
        </w:rPr>
        <w:t>Kalimagambetov,</w:t>
      </w:r>
      <w:r>
        <w:rPr>
          <w:spacing w:val="5"/>
          <w:sz w:val="28"/>
        </w:rPr>
        <w:t> </w:t>
      </w:r>
      <w:r>
        <w:rPr>
          <w:sz w:val="28"/>
        </w:rPr>
        <w:t>A.,</w:t>
      </w:r>
      <w:r>
        <w:rPr>
          <w:spacing w:val="4"/>
          <w:sz w:val="28"/>
        </w:rPr>
        <w:t> </w:t>
      </w:r>
      <w:r>
        <w:rPr>
          <w:sz w:val="28"/>
        </w:rPr>
        <w:t>Lebedeva,</w:t>
      </w:r>
      <w:r>
        <w:rPr>
          <w:spacing w:val="7"/>
          <w:sz w:val="28"/>
        </w:rPr>
        <w:t> </w:t>
      </w:r>
      <w:r>
        <w:rPr>
          <w:sz w:val="28"/>
        </w:rPr>
        <w:t>L.,</w:t>
      </w:r>
      <w:r>
        <w:rPr>
          <w:spacing w:val="6"/>
          <w:sz w:val="28"/>
        </w:rPr>
        <w:t> </w:t>
      </w:r>
      <w:r>
        <w:rPr>
          <w:sz w:val="28"/>
        </w:rPr>
        <w:t>&amp;</w:t>
      </w:r>
      <w:r>
        <w:rPr>
          <w:spacing w:val="6"/>
          <w:sz w:val="28"/>
        </w:rPr>
        <w:t> </w:t>
      </w:r>
      <w:r>
        <w:rPr>
          <w:spacing w:val="-2"/>
          <w:sz w:val="28"/>
        </w:rPr>
        <w:t>Unusmetov,</w:t>
      </w:r>
    </w:p>
    <w:p>
      <w:pPr>
        <w:pStyle w:val="BodyText"/>
        <w:spacing w:line="256" w:lineRule="auto" w:before="21"/>
        <w:ind w:left="143" w:right="424"/>
      </w:pPr>
      <w:r>
        <w:rPr/>
        <w:t>I. (2024). Potentials of electron microscopic examination in the diagnosis of genetically determined disorders related to morphology and motility of human spermatozoa. In BIO Web of Conferences (Vol. 100, p. 03017). EDP Sciences</w:t>
      </w:r>
      <w:r>
        <w:rPr>
          <w:color w:val="FF0000"/>
        </w:rPr>
        <w:t>.</w:t>
      </w:r>
    </w:p>
    <w:p>
      <w:pPr>
        <w:pStyle w:val="ListParagraph"/>
        <w:numPr>
          <w:ilvl w:val="1"/>
          <w:numId w:val="9"/>
        </w:numPr>
        <w:tabs>
          <w:tab w:pos="1232" w:val="left" w:leader="none"/>
        </w:tabs>
        <w:spacing w:line="256" w:lineRule="auto" w:before="0" w:after="0"/>
        <w:ind w:left="143" w:right="424" w:firstLine="707"/>
        <w:jc w:val="both"/>
        <w:rPr>
          <w:sz w:val="28"/>
        </w:rPr>
      </w:pPr>
      <w:r>
        <w:rPr>
          <w:sz w:val="28"/>
        </w:rPr>
        <w:t>World Health Organization et al. WHO laboratory manual for the examination and processing of human semen. 5th ed.– Switzerland: WHO Press, 2010. – 217 с.</w:t>
      </w:r>
    </w:p>
    <w:p>
      <w:pPr>
        <w:pStyle w:val="ListParagraph"/>
        <w:numPr>
          <w:ilvl w:val="1"/>
          <w:numId w:val="9"/>
        </w:numPr>
        <w:tabs>
          <w:tab w:pos="1213" w:val="left" w:leader="none"/>
        </w:tabs>
        <w:spacing w:line="256" w:lineRule="auto" w:before="0" w:after="0"/>
        <w:ind w:left="143" w:right="424" w:firstLine="707"/>
        <w:jc w:val="both"/>
        <w:rPr>
          <w:sz w:val="28"/>
        </w:rPr>
      </w:pPr>
      <w:r>
        <w:rPr>
          <w:sz w:val="28"/>
        </w:rPr>
        <w:t>Kruger T. F. et al. Sperm morphologic features as a prognostic factor in in vitro fertilization //Fertility and sterility. – 1986. – Т. 46. – №. 6. – С. 1118-1123.</w:t>
      </w:r>
    </w:p>
    <w:p>
      <w:pPr>
        <w:pStyle w:val="ListParagraph"/>
        <w:numPr>
          <w:ilvl w:val="1"/>
          <w:numId w:val="9"/>
        </w:numPr>
        <w:tabs>
          <w:tab w:pos="1283" w:val="left" w:leader="none"/>
        </w:tabs>
        <w:spacing w:line="256" w:lineRule="auto" w:before="0" w:after="0"/>
        <w:ind w:left="143" w:right="423" w:firstLine="707"/>
        <w:jc w:val="both"/>
        <w:rPr>
          <w:sz w:val="28"/>
        </w:rPr>
      </w:pPr>
      <w:r>
        <w:rPr>
          <w:sz w:val="28"/>
        </w:rPr>
        <w:t>Kruger T. F. et al. A quick, reliable staining technique for human sperm morphology //Archives of andrology. – 1987. – Т. 18. – №. 3. – С. 275-277.</w:t>
      </w:r>
    </w:p>
    <w:p>
      <w:pPr>
        <w:pStyle w:val="ListParagraph"/>
        <w:numPr>
          <w:ilvl w:val="1"/>
          <w:numId w:val="9"/>
        </w:numPr>
        <w:tabs>
          <w:tab w:pos="1199" w:val="left" w:leader="none"/>
        </w:tabs>
        <w:spacing w:line="256" w:lineRule="auto" w:before="0" w:after="0"/>
        <w:ind w:left="143" w:right="424" w:firstLine="707"/>
        <w:jc w:val="both"/>
        <w:rPr>
          <w:sz w:val="28"/>
        </w:rPr>
      </w:pPr>
      <w:r>
        <w:rPr>
          <w:sz w:val="28"/>
        </w:rPr>
        <w:t>Kruger</w:t>
      </w:r>
      <w:r>
        <w:rPr>
          <w:spacing w:val="-3"/>
          <w:sz w:val="28"/>
        </w:rPr>
        <w:t> </w:t>
      </w:r>
      <w:r>
        <w:rPr>
          <w:sz w:val="28"/>
        </w:rPr>
        <w:t>T.</w:t>
      </w:r>
      <w:r>
        <w:rPr>
          <w:spacing w:val="-3"/>
          <w:sz w:val="28"/>
        </w:rPr>
        <w:t> </w:t>
      </w:r>
      <w:r>
        <w:rPr>
          <w:sz w:val="28"/>
        </w:rPr>
        <w:t>F.</w:t>
      </w:r>
      <w:r>
        <w:rPr>
          <w:spacing w:val="-3"/>
          <w:sz w:val="28"/>
        </w:rPr>
        <w:t> </w:t>
      </w:r>
      <w:r>
        <w:rPr>
          <w:sz w:val="28"/>
        </w:rPr>
        <w:t>et</w:t>
      </w:r>
      <w:r>
        <w:rPr>
          <w:spacing w:val="-2"/>
          <w:sz w:val="28"/>
        </w:rPr>
        <w:t> </w:t>
      </w:r>
      <w:r>
        <w:rPr>
          <w:sz w:val="28"/>
        </w:rPr>
        <w:t>al.</w:t>
      </w:r>
      <w:r>
        <w:rPr>
          <w:spacing w:val="-3"/>
          <w:sz w:val="28"/>
        </w:rPr>
        <w:t> </w:t>
      </w:r>
      <w:r>
        <w:rPr>
          <w:sz w:val="28"/>
        </w:rPr>
        <w:t>Hemizona</w:t>
      </w:r>
      <w:r>
        <w:rPr>
          <w:spacing w:val="-3"/>
          <w:sz w:val="28"/>
        </w:rPr>
        <w:t> </w:t>
      </w:r>
      <w:r>
        <w:rPr>
          <w:sz w:val="28"/>
        </w:rPr>
        <w:t>assay:</w:t>
      </w:r>
      <w:r>
        <w:rPr>
          <w:spacing w:val="-4"/>
          <w:sz w:val="28"/>
        </w:rPr>
        <w:t> </w:t>
      </w:r>
      <w:r>
        <w:rPr>
          <w:sz w:val="28"/>
        </w:rPr>
        <w:t>use</w:t>
      </w:r>
      <w:r>
        <w:rPr>
          <w:spacing w:val="-5"/>
          <w:sz w:val="28"/>
        </w:rPr>
        <w:t> </w:t>
      </w:r>
      <w:r>
        <w:rPr>
          <w:sz w:val="28"/>
        </w:rPr>
        <w:t>of</w:t>
      </w:r>
      <w:r>
        <w:rPr>
          <w:spacing w:val="-3"/>
          <w:sz w:val="28"/>
        </w:rPr>
        <w:t> </w:t>
      </w:r>
      <w:r>
        <w:rPr>
          <w:sz w:val="28"/>
        </w:rPr>
        <w:t>fresh</w:t>
      </w:r>
      <w:r>
        <w:rPr>
          <w:spacing w:val="-4"/>
          <w:sz w:val="28"/>
        </w:rPr>
        <w:t> </w:t>
      </w:r>
      <w:r>
        <w:rPr>
          <w:sz w:val="28"/>
        </w:rPr>
        <w:t>versus</w:t>
      </w:r>
      <w:r>
        <w:rPr>
          <w:spacing w:val="-2"/>
          <w:sz w:val="28"/>
        </w:rPr>
        <w:t> </w:t>
      </w:r>
      <w:r>
        <w:rPr>
          <w:sz w:val="28"/>
        </w:rPr>
        <w:t>salt-stored</w:t>
      </w:r>
      <w:r>
        <w:rPr>
          <w:spacing w:val="-2"/>
          <w:sz w:val="28"/>
        </w:rPr>
        <w:t> </w:t>
      </w:r>
      <w:r>
        <w:rPr>
          <w:sz w:val="28"/>
        </w:rPr>
        <w:t>human</w:t>
      </w:r>
      <w:r>
        <w:rPr>
          <w:spacing w:val="-2"/>
          <w:sz w:val="28"/>
        </w:rPr>
        <w:t> </w:t>
      </w:r>
      <w:r>
        <w:rPr>
          <w:sz w:val="28"/>
        </w:rPr>
        <w:t>oocytes to evaluate sperm binding potential to the zona pellucida //Journal of in Vitro Fertilization and Embryo Transfer: IVF. – 1991. – Т. 8. – №. 3. – С. 154-156.</w:t>
      </w:r>
    </w:p>
    <w:p>
      <w:pPr>
        <w:pStyle w:val="ListParagraph"/>
        <w:numPr>
          <w:ilvl w:val="1"/>
          <w:numId w:val="9"/>
        </w:numPr>
        <w:tabs>
          <w:tab w:pos="1271" w:val="left" w:leader="none"/>
        </w:tabs>
        <w:spacing w:line="318" w:lineRule="exact" w:before="0" w:after="0"/>
        <w:ind w:left="1271" w:right="0" w:hanging="421"/>
        <w:jc w:val="both"/>
        <w:rPr>
          <w:sz w:val="28"/>
        </w:rPr>
      </w:pPr>
      <w:r>
        <w:rPr>
          <w:sz w:val="28"/>
        </w:rPr>
        <w:t>Franken</w:t>
      </w:r>
      <w:r>
        <w:rPr>
          <w:spacing w:val="63"/>
          <w:sz w:val="28"/>
        </w:rPr>
        <w:t> </w:t>
      </w:r>
      <w:r>
        <w:rPr>
          <w:sz w:val="28"/>
        </w:rPr>
        <w:t>D.</w:t>
      </w:r>
      <w:r>
        <w:rPr>
          <w:spacing w:val="63"/>
          <w:sz w:val="28"/>
        </w:rPr>
        <w:t> </w:t>
      </w:r>
      <w:r>
        <w:rPr>
          <w:sz w:val="28"/>
        </w:rPr>
        <w:t>R.</w:t>
      </w:r>
      <w:r>
        <w:rPr>
          <w:spacing w:val="64"/>
          <w:sz w:val="28"/>
        </w:rPr>
        <w:t> </w:t>
      </w:r>
      <w:r>
        <w:rPr>
          <w:sz w:val="28"/>
        </w:rPr>
        <w:t>HUMAN</w:t>
      </w:r>
      <w:r>
        <w:rPr>
          <w:spacing w:val="65"/>
          <w:sz w:val="28"/>
        </w:rPr>
        <w:t> </w:t>
      </w:r>
      <w:r>
        <w:rPr>
          <w:sz w:val="28"/>
        </w:rPr>
        <w:t>SPERM</w:t>
      </w:r>
      <w:r>
        <w:rPr>
          <w:spacing w:val="62"/>
          <w:sz w:val="28"/>
        </w:rPr>
        <w:t> </w:t>
      </w:r>
      <w:r>
        <w:rPr>
          <w:sz w:val="28"/>
        </w:rPr>
        <w:t>MORPHOLOGY</w:t>
      </w:r>
      <w:r>
        <w:rPr>
          <w:spacing w:val="65"/>
          <w:sz w:val="28"/>
        </w:rPr>
        <w:t> </w:t>
      </w:r>
      <w:r>
        <w:rPr>
          <w:sz w:val="28"/>
        </w:rPr>
        <w:t>EVALUATION.</w:t>
      </w:r>
      <w:r>
        <w:rPr>
          <w:spacing w:val="64"/>
          <w:sz w:val="28"/>
        </w:rPr>
        <w:t> </w:t>
      </w:r>
      <w:r>
        <w:rPr>
          <w:sz w:val="28"/>
        </w:rPr>
        <w:t>–</w:t>
      </w:r>
      <w:r>
        <w:rPr>
          <w:spacing w:val="62"/>
          <w:sz w:val="28"/>
        </w:rPr>
        <w:t> </w:t>
      </w:r>
      <w:r>
        <w:rPr>
          <w:spacing w:val="-5"/>
          <w:sz w:val="28"/>
        </w:rPr>
        <w:t>New</w:t>
      </w:r>
    </w:p>
    <w:p>
      <w:pPr>
        <w:pStyle w:val="BodyText"/>
        <w:spacing w:before="11"/>
        <w:ind w:left="142"/>
        <w:jc w:val="left"/>
      </w:pPr>
      <w:r>
        <w:rPr/>
        <w:t>York:</w:t>
      </w:r>
      <w:r>
        <w:rPr>
          <w:spacing w:val="-4"/>
        </w:rPr>
        <w:t> </w:t>
      </w:r>
      <w:r>
        <w:rPr/>
        <w:t>Informa</w:t>
      </w:r>
      <w:r>
        <w:rPr>
          <w:spacing w:val="-4"/>
        </w:rPr>
        <w:t> </w:t>
      </w:r>
      <w:r>
        <w:rPr/>
        <w:t>Healthcare,</w:t>
      </w:r>
      <w:r>
        <w:rPr>
          <w:spacing w:val="-5"/>
        </w:rPr>
        <w:t> </w:t>
      </w:r>
      <w:r>
        <w:rPr/>
        <w:t>2004.</w:t>
      </w:r>
      <w:r>
        <w:rPr>
          <w:spacing w:val="-5"/>
        </w:rPr>
        <w:t> </w:t>
      </w:r>
      <w:r>
        <w:rPr/>
        <w:t>–</w:t>
      </w:r>
      <w:r>
        <w:rPr>
          <w:spacing w:val="-5"/>
        </w:rPr>
        <w:t> </w:t>
      </w:r>
      <w:r>
        <w:rPr/>
        <w:t>78</w:t>
      </w:r>
      <w:r>
        <w:rPr>
          <w:spacing w:val="-3"/>
        </w:rPr>
        <w:t> </w:t>
      </w:r>
      <w:r>
        <w:rPr>
          <w:spacing w:val="-5"/>
        </w:rPr>
        <w:t>с.</w:t>
      </w:r>
    </w:p>
    <w:p>
      <w:pPr>
        <w:pStyle w:val="ListParagraph"/>
        <w:numPr>
          <w:ilvl w:val="1"/>
          <w:numId w:val="9"/>
        </w:numPr>
        <w:tabs>
          <w:tab w:pos="1203" w:val="left" w:leader="none"/>
        </w:tabs>
        <w:spacing w:line="256" w:lineRule="auto" w:before="21" w:after="0"/>
        <w:ind w:left="142" w:right="424" w:firstLine="707"/>
        <w:jc w:val="left"/>
        <w:rPr>
          <w:sz w:val="28"/>
        </w:rPr>
      </w:pPr>
      <w:r>
        <w:rPr>
          <w:sz w:val="28"/>
        </w:rPr>
        <w:t>Cooper</w:t>
      </w:r>
      <w:r>
        <w:rPr>
          <w:spacing w:val="-1"/>
          <w:sz w:val="28"/>
        </w:rPr>
        <w:t> </w:t>
      </w:r>
      <w:r>
        <w:rPr>
          <w:sz w:val="28"/>
        </w:rPr>
        <w:t>T.</w:t>
      </w:r>
      <w:r>
        <w:rPr>
          <w:spacing w:val="-1"/>
          <w:sz w:val="28"/>
        </w:rPr>
        <w:t> </w:t>
      </w:r>
      <w:r>
        <w:rPr>
          <w:sz w:val="28"/>
        </w:rPr>
        <w:t>G.,</w:t>
      </w:r>
      <w:r>
        <w:rPr>
          <w:spacing w:val="-1"/>
          <w:sz w:val="28"/>
        </w:rPr>
        <w:t> </w:t>
      </w:r>
      <w:r>
        <w:rPr>
          <w:sz w:val="28"/>
        </w:rPr>
        <w:t>Jockenhövel F.,</w:t>
      </w:r>
      <w:r>
        <w:rPr>
          <w:spacing w:val="-1"/>
          <w:sz w:val="28"/>
        </w:rPr>
        <w:t> </w:t>
      </w:r>
      <w:r>
        <w:rPr>
          <w:sz w:val="28"/>
        </w:rPr>
        <w:t>Nieschlag E.</w:t>
      </w:r>
      <w:r>
        <w:rPr>
          <w:spacing w:val="-1"/>
          <w:sz w:val="28"/>
        </w:rPr>
        <w:t> </w:t>
      </w:r>
      <w:r>
        <w:rPr>
          <w:sz w:val="28"/>
        </w:rPr>
        <w:t>Variations in semen parameters from fathers //Human Reproduction. – 1991. – Т. 6. – №. 6. – С. 859-866.</w:t>
      </w:r>
    </w:p>
    <w:p>
      <w:pPr>
        <w:pStyle w:val="ListParagraph"/>
        <w:numPr>
          <w:ilvl w:val="1"/>
          <w:numId w:val="9"/>
        </w:numPr>
        <w:tabs>
          <w:tab w:pos="1231" w:val="left" w:leader="none"/>
        </w:tabs>
        <w:spacing w:line="256" w:lineRule="auto" w:before="0" w:after="0"/>
        <w:ind w:left="142" w:right="425" w:firstLine="707"/>
        <w:jc w:val="left"/>
        <w:rPr>
          <w:sz w:val="28"/>
        </w:rPr>
      </w:pPr>
      <w:r>
        <w:rPr>
          <w:sz w:val="28"/>
        </w:rPr>
        <w:t>World Health Organization et al. WHO laboratory manual for the examination</w:t>
      </w:r>
      <w:r>
        <w:rPr>
          <w:spacing w:val="80"/>
          <w:sz w:val="28"/>
        </w:rPr>
        <w:t> </w:t>
      </w:r>
      <w:r>
        <w:rPr>
          <w:sz w:val="28"/>
        </w:rPr>
        <w:t>and processing of human semen. – 2021. – Geneva: World Health. Organization. – 276 с.</w:t>
      </w:r>
    </w:p>
    <w:p>
      <w:pPr>
        <w:pStyle w:val="ListParagraph"/>
        <w:numPr>
          <w:ilvl w:val="1"/>
          <w:numId w:val="9"/>
        </w:numPr>
        <w:tabs>
          <w:tab w:pos="1218" w:val="left" w:leader="none"/>
        </w:tabs>
        <w:spacing w:line="256" w:lineRule="auto" w:before="0" w:after="0"/>
        <w:ind w:left="142" w:right="422" w:firstLine="708"/>
        <w:jc w:val="left"/>
        <w:rPr>
          <w:sz w:val="28"/>
        </w:rPr>
      </w:pPr>
      <w:r>
        <w:rPr>
          <w:sz w:val="28"/>
        </w:rPr>
        <w:t>Krausz C. Male infertility: pathogenesis and clinical diagnosis //Best practice &amp; research Clinical endocrinology &amp; metabolism. – 2011. – Т. 25. – №. 2. – С. 271-285.</w:t>
      </w:r>
    </w:p>
    <w:p>
      <w:pPr>
        <w:pStyle w:val="ListParagraph"/>
        <w:numPr>
          <w:ilvl w:val="1"/>
          <w:numId w:val="9"/>
        </w:numPr>
        <w:tabs>
          <w:tab w:pos="1201" w:val="left" w:leader="none"/>
        </w:tabs>
        <w:spacing w:line="256" w:lineRule="auto" w:before="0" w:after="0"/>
        <w:ind w:left="142" w:right="421" w:firstLine="708"/>
        <w:jc w:val="left"/>
        <w:rPr>
          <w:sz w:val="28"/>
        </w:rPr>
      </w:pPr>
      <w:r>
        <w:rPr>
          <w:sz w:val="28"/>
        </w:rPr>
        <w:t>Tüttelmann F.</w:t>
      </w:r>
      <w:r>
        <w:rPr>
          <w:spacing w:val="-1"/>
          <w:sz w:val="28"/>
        </w:rPr>
        <w:t> </w:t>
      </w:r>
      <w:r>
        <w:rPr>
          <w:sz w:val="28"/>
        </w:rPr>
        <w:t>et al.</w:t>
      </w:r>
      <w:r>
        <w:rPr>
          <w:spacing w:val="-1"/>
          <w:sz w:val="28"/>
        </w:rPr>
        <w:t> </w:t>
      </w:r>
      <w:r>
        <w:rPr>
          <w:sz w:val="28"/>
        </w:rPr>
        <w:t>Clinical experience</w:t>
      </w:r>
      <w:r>
        <w:rPr>
          <w:spacing w:val="-3"/>
          <w:sz w:val="28"/>
        </w:rPr>
        <w:t> </w:t>
      </w:r>
      <w:r>
        <w:rPr>
          <w:sz w:val="28"/>
        </w:rPr>
        <w:t>with azoospermia: aetiology and chances for</w:t>
      </w:r>
      <w:r>
        <w:rPr>
          <w:spacing w:val="24"/>
          <w:sz w:val="28"/>
        </w:rPr>
        <w:t> </w:t>
      </w:r>
      <w:r>
        <w:rPr>
          <w:sz w:val="28"/>
        </w:rPr>
        <w:t>spermatozoa</w:t>
      </w:r>
      <w:r>
        <w:rPr>
          <w:spacing w:val="24"/>
          <w:sz w:val="28"/>
        </w:rPr>
        <w:t> </w:t>
      </w:r>
      <w:r>
        <w:rPr>
          <w:sz w:val="28"/>
        </w:rPr>
        <w:t>detection</w:t>
      </w:r>
      <w:r>
        <w:rPr>
          <w:spacing w:val="25"/>
          <w:sz w:val="28"/>
        </w:rPr>
        <w:t> </w:t>
      </w:r>
      <w:r>
        <w:rPr>
          <w:sz w:val="28"/>
        </w:rPr>
        <w:t>upon</w:t>
      </w:r>
      <w:r>
        <w:rPr>
          <w:spacing w:val="25"/>
          <w:sz w:val="28"/>
        </w:rPr>
        <w:t> </w:t>
      </w:r>
      <w:r>
        <w:rPr>
          <w:sz w:val="28"/>
        </w:rPr>
        <w:t>biopsy</w:t>
      </w:r>
      <w:r>
        <w:rPr>
          <w:spacing w:val="22"/>
          <w:sz w:val="28"/>
        </w:rPr>
        <w:t> </w:t>
      </w:r>
      <w:r>
        <w:rPr>
          <w:sz w:val="28"/>
        </w:rPr>
        <w:t>//International</w:t>
      </w:r>
      <w:r>
        <w:rPr>
          <w:spacing w:val="25"/>
          <w:sz w:val="28"/>
        </w:rPr>
        <w:t> </w:t>
      </w:r>
      <w:r>
        <w:rPr>
          <w:sz w:val="28"/>
        </w:rPr>
        <w:t>journal</w:t>
      </w:r>
      <w:r>
        <w:rPr>
          <w:spacing w:val="22"/>
          <w:sz w:val="28"/>
        </w:rPr>
        <w:t> </w:t>
      </w:r>
      <w:r>
        <w:rPr>
          <w:sz w:val="28"/>
        </w:rPr>
        <w:t>of</w:t>
      </w:r>
      <w:r>
        <w:rPr>
          <w:spacing w:val="24"/>
          <w:sz w:val="28"/>
        </w:rPr>
        <w:t> </w:t>
      </w:r>
      <w:r>
        <w:rPr>
          <w:sz w:val="28"/>
        </w:rPr>
        <w:t>andrology.</w:t>
      </w:r>
      <w:r>
        <w:rPr>
          <w:spacing w:val="23"/>
          <w:sz w:val="28"/>
        </w:rPr>
        <w:t> </w:t>
      </w:r>
      <w:r>
        <w:rPr>
          <w:sz w:val="28"/>
        </w:rPr>
        <w:t>–</w:t>
      </w:r>
      <w:r>
        <w:rPr>
          <w:spacing w:val="25"/>
          <w:sz w:val="28"/>
        </w:rPr>
        <w:t> </w:t>
      </w:r>
      <w:r>
        <w:rPr>
          <w:sz w:val="28"/>
        </w:rPr>
        <w:t>2011.</w:t>
      </w:r>
      <w:r>
        <w:rPr>
          <w:spacing w:val="23"/>
          <w:sz w:val="28"/>
        </w:rPr>
        <w:t> </w:t>
      </w:r>
      <w:r>
        <w:rPr>
          <w:sz w:val="28"/>
        </w:rPr>
        <w:t>–</w:t>
      </w:r>
      <w:r>
        <w:rPr>
          <w:spacing w:val="25"/>
          <w:sz w:val="28"/>
        </w:rPr>
        <w:t> </w:t>
      </w:r>
      <w:r>
        <w:rPr>
          <w:sz w:val="28"/>
        </w:rPr>
        <w:t>Т.</w:t>
      </w:r>
    </w:p>
    <w:p>
      <w:pPr>
        <w:pStyle w:val="BodyText"/>
        <w:spacing w:line="319" w:lineRule="exact"/>
        <w:ind w:left="142"/>
        <w:jc w:val="left"/>
      </w:pPr>
      <w:r>
        <w:rPr/>
        <w:t>34.</w:t>
      </w:r>
      <w:r>
        <w:rPr>
          <w:spacing w:val="-5"/>
        </w:rPr>
        <w:t> </w:t>
      </w:r>
      <w:r>
        <w:rPr/>
        <w:t>–</w:t>
      </w:r>
      <w:r>
        <w:rPr>
          <w:spacing w:val="-1"/>
        </w:rPr>
        <w:t> </w:t>
      </w:r>
      <w:r>
        <w:rPr/>
        <w:t>№.</w:t>
      </w:r>
      <w:r>
        <w:rPr>
          <w:spacing w:val="-1"/>
        </w:rPr>
        <w:t> </w:t>
      </w:r>
      <w:r>
        <w:rPr/>
        <w:t>4pt1.</w:t>
      </w:r>
      <w:r>
        <w:rPr>
          <w:spacing w:val="-5"/>
        </w:rPr>
        <w:t> </w:t>
      </w:r>
      <w:r>
        <w:rPr/>
        <w:t>–</w:t>
      </w:r>
      <w:r>
        <w:rPr>
          <w:spacing w:val="-1"/>
        </w:rPr>
        <w:t> </w:t>
      </w:r>
      <w:r>
        <w:rPr/>
        <w:t>С.</w:t>
      </w:r>
      <w:r>
        <w:rPr>
          <w:spacing w:val="-1"/>
        </w:rPr>
        <w:t> </w:t>
      </w:r>
      <w:r>
        <w:rPr/>
        <w:t>291-</w:t>
      </w:r>
      <w:r>
        <w:rPr>
          <w:spacing w:val="-4"/>
        </w:rPr>
        <w:t>298.</w:t>
      </w:r>
    </w:p>
    <w:p>
      <w:pPr>
        <w:pStyle w:val="ListParagraph"/>
        <w:numPr>
          <w:ilvl w:val="1"/>
          <w:numId w:val="9"/>
        </w:numPr>
        <w:tabs>
          <w:tab w:pos="1235" w:val="left" w:leader="none"/>
        </w:tabs>
        <w:spacing w:line="240" w:lineRule="auto" w:before="16" w:after="0"/>
        <w:ind w:left="1235" w:right="0" w:hanging="385"/>
        <w:jc w:val="left"/>
        <w:rPr>
          <w:sz w:val="28"/>
        </w:rPr>
      </w:pPr>
      <w:r>
        <w:rPr>
          <w:sz w:val="28"/>
        </w:rPr>
        <w:t>Brugo-Olmedo</w:t>
      </w:r>
      <w:r>
        <w:rPr>
          <w:spacing w:val="28"/>
          <w:sz w:val="28"/>
        </w:rPr>
        <w:t> </w:t>
      </w:r>
      <w:r>
        <w:rPr>
          <w:sz w:val="28"/>
        </w:rPr>
        <w:t>S.,</w:t>
      </w:r>
      <w:r>
        <w:rPr>
          <w:spacing w:val="29"/>
          <w:sz w:val="28"/>
        </w:rPr>
        <w:t> </w:t>
      </w:r>
      <w:r>
        <w:rPr>
          <w:sz w:val="28"/>
        </w:rPr>
        <w:t>Chillik</w:t>
      </w:r>
      <w:r>
        <w:rPr>
          <w:spacing w:val="31"/>
          <w:sz w:val="28"/>
        </w:rPr>
        <w:t> </w:t>
      </w:r>
      <w:r>
        <w:rPr>
          <w:sz w:val="28"/>
        </w:rPr>
        <w:t>C.,</w:t>
      </w:r>
      <w:r>
        <w:rPr>
          <w:spacing w:val="29"/>
          <w:sz w:val="28"/>
        </w:rPr>
        <w:t> </w:t>
      </w:r>
      <w:r>
        <w:rPr>
          <w:sz w:val="28"/>
        </w:rPr>
        <w:t>Kopelman</w:t>
      </w:r>
      <w:r>
        <w:rPr>
          <w:spacing w:val="30"/>
          <w:sz w:val="28"/>
        </w:rPr>
        <w:t> </w:t>
      </w:r>
      <w:r>
        <w:rPr>
          <w:sz w:val="28"/>
        </w:rPr>
        <w:t>S.</w:t>
      </w:r>
      <w:r>
        <w:rPr>
          <w:spacing w:val="29"/>
          <w:sz w:val="28"/>
        </w:rPr>
        <w:t> </w:t>
      </w:r>
      <w:r>
        <w:rPr>
          <w:sz w:val="28"/>
        </w:rPr>
        <w:t>Definition</w:t>
      </w:r>
      <w:r>
        <w:rPr>
          <w:spacing w:val="31"/>
          <w:sz w:val="28"/>
        </w:rPr>
        <w:t> </w:t>
      </w:r>
      <w:r>
        <w:rPr>
          <w:sz w:val="28"/>
        </w:rPr>
        <w:t>and</w:t>
      </w:r>
      <w:r>
        <w:rPr>
          <w:spacing w:val="29"/>
          <w:sz w:val="28"/>
        </w:rPr>
        <w:t> </w:t>
      </w:r>
      <w:r>
        <w:rPr>
          <w:sz w:val="28"/>
        </w:rPr>
        <w:t>causes</w:t>
      </w:r>
      <w:r>
        <w:rPr>
          <w:spacing w:val="31"/>
          <w:sz w:val="28"/>
        </w:rPr>
        <w:t> </w:t>
      </w:r>
      <w:r>
        <w:rPr>
          <w:sz w:val="28"/>
        </w:rPr>
        <w:t>of</w:t>
      </w:r>
      <w:r>
        <w:rPr>
          <w:spacing w:val="30"/>
          <w:sz w:val="28"/>
        </w:rPr>
        <w:t> </w:t>
      </w:r>
      <w:r>
        <w:rPr>
          <w:spacing w:val="-2"/>
          <w:sz w:val="28"/>
        </w:rPr>
        <w:t>infertility</w:t>
      </w:r>
    </w:p>
    <w:p>
      <w:pPr>
        <w:pStyle w:val="BodyText"/>
        <w:spacing w:before="21"/>
        <w:ind w:left="142"/>
        <w:jc w:val="left"/>
      </w:pPr>
      <w:r>
        <w:rPr/>
        <w:t>//Reproductive</w:t>
      </w:r>
      <w:r>
        <w:rPr>
          <w:spacing w:val="-3"/>
        </w:rPr>
        <w:t> </w:t>
      </w:r>
      <w:r>
        <w:rPr/>
        <w:t>biomedicine</w:t>
      </w:r>
      <w:r>
        <w:rPr>
          <w:spacing w:val="-3"/>
        </w:rPr>
        <w:t> </w:t>
      </w:r>
      <w:r>
        <w:rPr/>
        <w:t>online.</w:t>
      </w:r>
      <w:r>
        <w:rPr>
          <w:spacing w:val="-3"/>
        </w:rPr>
        <w:t> </w:t>
      </w:r>
      <w:r>
        <w:rPr/>
        <w:t>–</w:t>
      </w:r>
      <w:r>
        <w:rPr>
          <w:spacing w:val="-3"/>
        </w:rPr>
        <w:t> </w:t>
      </w:r>
      <w:r>
        <w:rPr/>
        <w:t>2001.</w:t>
      </w:r>
      <w:r>
        <w:rPr>
          <w:spacing w:val="-6"/>
        </w:rPr>
        <w:t> </w:t>
      </w:r>
      <w:r>
        <w:rPr/>
        <w:t>–</w:t>
      </w:r>
      <w:r>
        <w:rPr>
          <w:spacing w:val="-2"/>
        </w:rPr>
        <w:t> </w:t>
      </w:r>
      <w:r>
        <w:rPr/>
        <w:t>Т.</w:t>
      </w:r>
      <w:r>
        <w:rPr>
          <w:spacing w:val="-2"/>
        </w:rPr>
        <w:t> </w:t>
      </w:r>
      <w:r>
        <w:rPr/>
        <w:t>2.</w:t>
      </w:r>
      <w:r>
        <w:rPr>
          <w:spacing w:val="-6"/>
        </w:rPr>
        <w:t> </w:t>
      </w:r>
      <w:r>
        <w:rPr/>
        <w:t>–</w:t>
      </w:r>
      <w:r>
        <w:rPr>
          <w:spacing w:val="-2"/>
        </w:rPr>
        <w:t> </w:t>
      </w:r>
      <w:r>
        <w:rPr/>
        <w:t>№.</w:t>
      </w:r>
      <w:r>
        <w:rPr>
          <w:spacing w:val="-6"/>
        </w:rPr>
        <w:t> </w:t>
      </w:r>
      <w:r>
        <w:rPr/>
        <w:t>1.</w:t>
      </w:r>
      <w:r>
        <w:rPr>
          <w:spacing w:val="-3"/>
        </w:rPr>
        <w:t> </w:t>
      </w:r>
      <w:r>
        <w:rPr/>
        <w:t>–</w:t>
      </w:r>
      <w:r>
        <w:rPr>
          <w:spacing w:val="-2"/>
        </w:rPr>
        <w:t> </w:t>
      </w:r>
      <w:r>
        <w:rPr/>
        <w:t>С.</w:t>
      </w:r>
      <w:r>
        <w:rPr>
          <w:spacing w:val="-2"/>
        </w:rPr>
        <w:t> </w:t>
      </w:r>
      <w:r>
        <w:rPr/>
        <w:t>173-</w:t>
      </w:r>
      <w:r>
        <w:rPr>
          <w:spacing w:val="-4"/>
        </w:rPr>
        <w:t>185.</w:t>
      </w:r>
    </w:p>
    <w:p>
      <w:pPr>
        <w:pStyle w:val="ListParagraph"/>
        <w:numPr>
          <w:ilvl w:val="1"/>
          <w:numId w:val="9"/>
        </w:numPr>
        <w:tabs>
          <w:tab w:pos="1363" w:val="left" w:leader="none"/>
        </w:tabs>
        <w:spacing w:line="256" w:lineRule="auto" w:before="21" w:after="0"/>
        <w:ind w:left="142" w:right="423" w:firstLine="707"/>
        <w:jc w:val="both"/>
        <w:rPr>
          <w:sz w:val="28"/>
        </w:rPr>
      </w:pPr>
      <w:r>
        <w:rPr>
          <w:sz w:val="28"/>
        </w:rPr>
        <w:t>Tüttelmann F. et al. Copy number variants in patients with severe oligozoospermia and Sertoli-cell-only syndrome //PloS one. – 2011. – Т. 6. – №. 4. – С. </w:t>
      </w:r>
      <w:r>
        <w:rPr>
          <w:spacing w:val="-2"/>
          <w:sz w:val="28"/>
        </w:rPr>
        <w:t>e19426.</w:t>
      </w:r>
    </w:p>
    <w:p>
      <w:pPr>
        <w:pStyle w:val="ListParagraph"/>
        <w:numPr>
          <w:ilvl w:val="1"/>
          <w:numId w:val="9"/>
        </w:numPr>
        <w:tabs>
          <w:tab w:pos="1231" w:val="left" w:leader="none"/>
        </w:tabs>
        <w:spacing w:line="256" w:lineRule="auto" w:before="0" w:after="0"/>
        <w:ind w:left="142" w:right="422" w:firstLine="707"/>
        <w:jc w:val="left"/>
        <w:rPr>
          <w:sz w:val="28"/>
        </w:rPr>
      </w:pPr>
      <w:r>
        <w:rPr>
          <w:sz w:val="28"/>
        </w:rPr>
        <w:t>Popli K., Stewart J. Infertility and its management in men with</w:t>
      </w:r>
      <w:r>
        <w:rPr>
          <w:spacing w:val="29"/>
          <w:sz w:val="28"/>
        </w:rPr>
        <w:t> </w:t>
      </w:r>
      <w:r>
        <w:rPr>
          <w:sz w:val="28"/>
        </w:rPr>
        <w:t>cystic fibrosis:</w:t>
      </w:r>
      <w:r>
        <w:rPr>
          <w:spacing w:val="80"/>
          <w:sz w:val="28"/>
        </w:rPr>
        <w:t> </w:t>
      </w:r>
      <w:r>
        <w:rPr>
          <w:sz w:val="28"/>
        </w:rPr>
        <w:t>review</w:t>
      </w:r>
      <w:r>
        <w:rPr>
          <w:spacing w:val="18"/>
          <w:sz w:val="28"/>
        </w:rPr>
        <w:t> </w:t>
      </w:r>
      <w:r>
        <w:rPr>
          <w:sz w:val="28"/>
        </w:rPr>
        <w:t>of</w:t>
      </w:r>
      <w:r>
        <w:rPr>
          <w:spacing w:val="15"/>
          <w:sz w:val="28"/>
        </w:rPr>
        <w:t> </w:t>
      </w:r>
      <w:r>
        <w:rPr>
          <w:sz w:val="28"/>
        </w:rPr>
        <w:t>literature</w:t>
      </w:r>
      <w:r>
        <w:rPr>
          <w:spacing w:val="15"/>
          <w:sz w:val="28"/>
        </w:rPr>
        <w:t> </w:t>
      </w:r>
      <w:r>
        <w:rPr>
          <w:sz w:val="28"/>
        </w:rPr>
        <w:t>and</w:t>
      </w:r>
      <w:r>
        <w:rPr>
          <w:spacing w:val="16"/>
          <w:sz w:val="28"/>
        </w:rPr>
        <w:t> </w:t>
      </w:r>
      <w:r>
        <w:rPr>
          <w:sz w:val="28"/>
        </w:rPr>
        <w:t>clinical</w:t>
      </w:r>
      <w:r>
        <w:rPr>
          <w:spacing w:val="16"/>
          <w:sz w:val="28"/>
        </w:rPr>
        <w:t> </w:t>
      </w:r>
      <w:r>
        <w:rPr>
          <w:sz w:val="28"/>
        </w:rPr>
        <w:t>practices</w:t>
      </w:r>
      <w:r>
        <w:rPr>
          <w:spacing w:val="16"/>
          <w:sz w:val="28"/>
        </w:rPr>
        <w:t> </w:t>
      </w:r>
      <w:r>
        <w:rPr>
          <w:sz w:val="28"/>
        </w:rPr>
        <w:t>in</w:t>
      </w:r>
      <w:r>
        <w:rPr>
          <w:spacing w:val="18"/>
          <w:sz w:val="28"/>
        </w:rPr>
        <w:t> </w:t>
      </w:r>
      <w:r>
        <w:rPr>
          <w:sz w:val="28"/>
        </w:rPr>
        <w:t>the</w:t>
      </w:r>
      <w:r>
        <w:rPr>
          <w:spacing w:val="15"/>
          <w:sz w:val="28"/>
        </w:rPr>
        <w:t> </w:t>
      </w:r>
      <w:r>
        <w:rPr>
          <w:sz w:val="28"/>
        </w:rPr>
        <w:t>UK</w:t>
      </w:r>
      <w:r>
        <w:rPr>
          <w:spacing w:val="18"/>
          <w:sz w:val="28"/>
        </w:rPr>
        <w:t> </w:t>
      </w:r>
      <w:r>
        <w:rPr>
          <w:sz w:val="28"/>
        </w:rPr>
        <w:t>//Human</w:t>
      </w:r>
      <w:r>
        <w:rPr>
          <w:spacing w:val="16"/>
          <w:sz w:val="28"/>
        </w:rPr>
        <w:t> </w:t>
      </w:r>
      <w:r>
        <w:rPr>
          <w:sz w:val="28"/>
        </w:rPr>
        <w:t>Fertility.</w:t>
      </w:r>
      <w:r>
        <w:rPr>
          <w:spacing w:val="19"/>
          <w:sz w:val="28"/>
        </w:rPr>
        <w:t> </w:t>
      </w:r>
      <w:r>
        <w:rPr>
          <w:sz w:val="28"/>
        </w:rPr>
        <w:t>–</w:t>
      </w:r>
      <w:r>
        <w:rPr>
          <w:spacing w:val="16"/>
          <w:sz w:val="28"/>
        </w:rPr>
        <w:t> </w:t>
      </w:r>
      <w:r>
        <w:rPr>
          <w:sz w:val="28"/>
        </w:rPr>
        <w:t>2007.</w:t>
      </w:r>
      <w:r>
        <w:rPr>
          <w:spacing w:val="14"/>
          <w:sz w:val="28"/>
        </w:rPr>
        <w:t> </w:t>
      </w:r>
      <w:r>
        <w:rPr>
          <w:sz w:val="28"/>
        </w:rPr>
        <w:t>–</w:t>
      </w:r>
      <w:r>
        <w:rPr>
          <w:spacing w:val="18"/>
          <w:sz w:val="28"/>
        </w:rPr>
        <w:t> </w:t>
      </w:r>
      <w:r>
        <w:rPr>
          <w:sz w:val="28"/>
        </w:rPr>
        <w:t>Т.</w:t>
      </w:r>
      <w:r>
        <w:rPr>
          <w:spacing w:val="14"/>
          <w:sz w:val="28"/>
        </w:rPr>
        <w:t> </w:t>
      </w:r>
      <w:r>
        <w:rPr>
          <w:sz w:val="28"/>
        </w:rPr>
        <w:t>10.</w:t>
      </w:r>
      <w:r>
        <w:rPr>
          <w:spacing w:val="14"/>
          <w:sz w:val="28"/>
        </w:rPr>
        <w:t> </w:t>
      </w:r>
      <w:r>
        <w:rPr>
          <w:sz w:val="28"/>
        </w:rPr>
        <w:t>–</w:t>
      </w:r>
    </w:p>
    <w:p>
      <w:pPr>
        <w:pStyle w:val="BodyText"/>
        <w:spacing w:line="319" w:lineRule="exact"/>
        <w:ind w:left="142"/>
        <w:jc w:val="left"/>
      </w:pPr>
      <w:r>
        <w:rPr/>
        <w:t>№.</w:t>
      </w:r>
      <w:r>
        <w:rPr>
          <w:spacing w:val="-4"/>
        </w:rPr>
        <w:t> </w:t>
      </w:r>
      <w:r>
        <w:rPr/>
        <w:t>4.</w:t>
      </w:r>
      <w:r>
        <w:rPr>
          <w:spacing w:val="-1"/>
        </w:rPr>
        <w:t> </w:t>
      </w:r>
      <w:r>
        <w:rPr/>
        <w:t>–</w:t>
      </w:r>
      <w:r>
        <w:rPr>
          <w:spacing w:val="-1"/>
        </w:rPr>
        <w:t> </w:t>
      </w:r>
      <w:r>
        <w:rPr/>
        <w:t>С.</w:t>
      </w:r>
      <w:r>
        <w:rPr>
          <w:spacing w:val="-4"/>
        </w:rPr>
        <w:t> </w:t>
      </w:r>
      <w:r>
        <w:rPr/>
        <w:t>217-</w:t>
      </w:r>
      <w:r>
        <w:rPr>
          <w:spacing w:val="-4"/>
        </w:rPr>
        <w:t>221.</w:t>
      </w:r>
    </w:p>
    <w:p>
      <w:pPr>
        <w:pStyle w:val="ListParagraph"/>
        <w:numPr>
          <w:ilvl w:val="1"/>
          <w:numId w:val="9"/>
        </w:numPr>
        <w:tabs>
          <w:tab w:pos="1201" w:val="left" w:leader="none"/>
        </w:tabs>
        <w:spacing w:line="256" w:lineRule="auto" w:before="20" w:after="0"/>
        <w:ind w:left="142" w:right="422" w:firstLine="708"/>
        <w:jc w:val="left"/>
        <w:rPr>
          <w:sz w:val="28"/>
        </w:rPr>
      </w:pPr>
      <w:r>
        <w:rPr>
          <w:sz w:val="28"/>
        </w:rPr>
        <w:t>Vogt P.</w:t>
      </w:r>
      <w:r>
        <w:rPr>
          <w:spacing w:val="-1"/>
          <w:sz w:val="28"/>
        </w:rPr>
        <w:t> </w:t>
      </w:r>
      <w:r>
        <w:rPr>
          <w:sz w:val="28"/>
        </w:rPr>
        <w:t>H.</w:t>
      </w:r>
      <w:r>
        <w:rPr>
          <w:spacing w:val="-1"/>
          <w:sz w:val="28"/>
        </w:rPr>
        <w:t> </w:t>
      </w:r>
      <w:r>
        <w:rPr>
          <w:sz w:val="28"/>
        </w:rPr>
        <w:t>et al.</w:t>
      </w:r>
      <w:r>
        <w:rPr>
          <w:spacing w:val="-1"/>
          <w:sz w:val="28"/>
        </w:rPr>
        <w:t> </w:t>
      </w:r>
      <w:r>
        <w:rPr>
          <w:sz w:val="28"/>
        </w:rPr>
        <w:t>The AZF</w:t>
      </w:r>
      <w:r>
        <w:rPr>
          <w:spacing w:val="-3"/>
          <w:sz w:val="28"/>
        </w:rPr>
        <w:t> </w:t>
      </w:r>
      <w:r>
        <w:rPr>
          <w:sz w:val="28"/>
        </w:rPr>
        <w:t>proteins //International journal of</w:t>
      </w:r>
      <w:r>
        <w:rPr>
          <w:spacing w:val="-3"/>
          <w:sz w:val="28"/>
        </w:rPr>
        <w:t> </w:t>
      </w:r>
      <w:r>
        <w:rPr>
          <w:sz w:val="28"/>
        </w:rPr>
        <w:t>andrology.</w:t>
      </w:r>
      <w:r>
        <w:rPr>
          <w:spacing w:val="-1"/>
          <w:sz w:val="28"/>
        </w:rPr>
        <w:t> </w:t>
      </w:r>
      <w:r>
        <w:rPr>
          <w:sz w:val="28"/>
        </w:rPr>
        <w:t>– 2008.</w:t>
      </w:r>
      <w:r>
        <w:rPr>
          <w:spacing w:val="-4"/>
          <w:sz w:val="28"/>
        </w:rPr>
        <w:t> </w:t>
      </w:r>
      <w:r>
        <w:rPr>
          <w:sz w:val="28"/>
        </w:rPr>
        <w:t>– Т. 31. – №. 4. – С. 383-394.</w:t>
      </w:r>
    </w:p>
    <w:p>
      <w:pPr>
        <w:pStyle w:val="ListParagraph"/>
        <w:numPr>
          <w:ilvl w:val="1"/>
          <w:numId w:val="9"/>
        </w:numPr>
        <w:tabs>
          <w:tab w:pos="1293" w:val="left" w:leader="none"/>
        </w:tabs>
        <w:spacing w:line="256" w:lineRule="auto" w:before="0" w:after="0"/>
        <w:ind w:left="142" w:right="422" w:firstLine="708"/>
        <w:jc w:val="left"/>
        <w:rPr>
          <w:sz w:val="28"/>
        </w:rPr>
      </w:pPr>
      <w:r>
        <w:rPr>
          <w:sz w:val="28"/>
        </w:rPr>
        <w:t>Jungwirth</w:t>
      </w:r>
      <w:r>
        <w:rPr>
          <w:spacing w:val="80"/>
          <w:sz w:val="28"/>
        </w:rPr>
        <w:t> </w:t>
      </w:r>
      <w:r>
        <w:rPr>
          <w:sz w:val="28"/>
        </w:rPr>
        <w:t>A.</w:t>
      </w:r>
      <w:r>
        <w:rPr>
          <w:spacing w:val="80"/>
          <w:sz w:val="28"/>
        </w:rPr>
        <w:t> </w:t>
      </w:r>
      <w:r>
        <w:rPr>
          <w:sz w:val="28"/>
        </w:rPr>
        <w:t>et</w:t>
      </w:r>
      <w:r>
        <w:rPr>
          <w:spacing w:val="80"/>
          <w:sz w:val="28"/>
        </w:rPr>
        <w:t> </w:t>
      </w:r>
      <w:r>
        <w:rPr>
          <w:sz w:val="28"/>
        </w:rPr>
        <w:t>al.</w:t>
      </w:r>
      <w:r>
        <w:rPr>
          <w:spacing w:val="80"/>
          <w:sz w:val="28"/>
        </w:rPr>
        <w:t> </w:t>
      </w:r>
      <w:r>
        <w:rPr>
          <w:sz w:val="28"/>
        </w:rPr>
        <w:t>European</w:t>
      </w:r>
      <w:r>
        <w:rPr>
          <w:spacing w:val="80"/>
          <w:sz w:val="28"/>
        </w:rPr>
        <w:t> </w:t>
      </w:r>
      <w:r>
        <w:rPr>
          <w:sz w:val="28"/>
        </w:rPr>
        <w:t>Association</w:t>
      </w:r>
      <w:r>
        <w:rPr>
          <w:spacing w:val="80"/>
          <w:sz w:val="28"/>
        </w:rPr>
        <w:t> </w:t>
      </w:r>
      <w:r>
        <w:rPr>
          <w:sz w:val="28"/>
        </w:rPr>
        <w:t>of</w:t>
      </w:r>
      <w:r>
        <w:rPr>
          <w:spacing w:val="80"/>
          <w:sz w:val="28"/>
        </w:rPr>
        <w:t> </w:t>
      </w:r>
      <w:r>
        <w:rPr>
          <w:sz w:val="28"/>
        </w:rPr>
        <w:t>Urology</w:t>
      </w:r>
      <w:r>
        <w:rPr>
          <w:spacing w:val="80"/>
          <w:sz w:val="28"/>
        </w:rPr>
        <w:t> </w:t>
      </w:r>
      <w:r>
        <w:rPr>
          <w:sz w:val="28"/>
        </w:rPr>
        <w:t>guidelines</w:t>
      </w:r>
      <w:r>
        <w:rPr>
          <w:spacing w:val="80"/>
          <w:sz w:val="28"/>
        </w:rPr>
        <w:t> </w:t>
      </w:r>
      <w:r>
        <w:rPr>
          <w:sz w:val="28"/>
        </w:rPr>
        <w:t>on</w:t>
      </w:r>
      <w:r>
        <w:rPr>
          <w:spacing w:val="80"/>
          <w:sz w:val="28"/>
        </w:rPr>
        <w:t> </w:t>
      </w:r>
      <w:r>
        <w:rPr>
          <w:sz w:val="28"/>
        </w:rPr>
        <w:t>Male Infertility: the 2012 update //European urology. – 2012. – Т. 62. – №. 2. – С. 324-332.</w:t>
      </w:r>
    </w:p>
    <w:p>
      <w:pPr>
        <w:pStyle w:val="ListParagraph"/>
        <w:numPr>
          <w:ilvl w:val="1"/>
          <w:numId w:val="9"/>
        </w:numPr>
        <w:tabs>
          <w:tab w:pos="1211" w:val="left" w:leader="none"/>
        </w:tabs>
        <w:spacing w:line="256" w:lineRule="auto" w:before="0" w:after="0"/>
        <w:ind w:left="141" w:right="426" w:firstLine="707"/>
        <w:jc w:val="left"/>
        <w:rPr>
          <w:sz w:val="28"/>
        </w:rPr>
      </w:pPr>
      <w:r>
        <w:rPr>
          <w:sz w:val="28"/>
        </w:rPr>
        <w:t>Nieschlag E Behre HM Nieschlag S. Andrology: Male Reproductive Health and Dysfunction. –</w:t>
      </w:r>
      <w:r>
        <w:rPr>
          <w:spacing w:val="40"/>
          <w:sz w:val="28"/>
        </w:rPr>
        <w:t> </w:t>
      </w:r>
      <w:r>
        <w:rPr>
          <w:sz w:val="28"/>
        </w:rPr>
        <w:t>SpringerScience&amp;BusinessMedia, 2010. – 837 c.</w:t>
      </w:r>
    </w:p>
    <w:p>
      <w:pPr>
        <w:pStyle w:val="ListParagraph"/>
        <w:numPr>
          <w:ilvl w:val="1"/>
          <w:numId w:val="9"/>
        </w:numPr>
        <w:tabs>
          <w:tab w:pos="1231" w:val="left" w:leader="none"/>
        </w:tabs>
        <w:spacing w:line="256" w:lineRule="auto" w:before="0" w:after="0"/>
        <w:ind w:left="141" w:right="424" w:firstLine="708"/>
        <w:jc w:val="left"/>
        <w:rPr>
          <w:sz w:val="28"/>
        </w:rPr>
      </w:pPr>
      <w:r>
        <w:rPr>
          <w:sz w:val="28"/>
        </w:rPr>
        <w:t>Хаят С. Ш. идр. Структура и патогенез астенозооспермии //Андрология и</w:t>
      </w:r>
      <w:r>
        <w:rPr>
          <w:spacing w:val="40"/>
          <w:sz w:val="28"/>
        </w:rPr>
        <w:t> </w:t>
      </w:r>
      <w:r>
        <w:rPr>
          <w:sz w:val="28"/>
        </w:rPr>
        <w:t>генитальная хирургия. – 2010. – Т. 11. – №. 3. – С. 43-47.</w:t>
      </w:r>
    </w:p>
    <w:p>
      <w:pPr>
        <w:pStyle w:val="ListParagraph"/>
        <w:spacing w:after="0" w:line="256" w:lineRule="auto"/>
        <w:jc w:val="left"/>
        <w:rPr>
          <w:sz w:val="28"/>
        </w:rPr>
        <w:sectPr>
          <w:pgSz w:w="11910" w:h="16840"/>
          <w:pgMar w:header="0" w:footer="990" w:top="340" w:bottom="1200" w:left="708" w:right="425"/>
        </w:sectPr>
      </w:pPr>
    </w:p>
    <w:p>
      <w:pPr>
        <w:pStyle w:val="ListParagraph"/>
        <w:numPr>
          <w:ilvl w:val="1"/>
          <w:numId w:val="9"/>
        </w:numPr>
        <w:tabs>
          <w:tab w:pos="1478" w:val="left" w:leader="none"/>
        </w:tabs>
        <w:spacing w:line="256" w:lineRule="auto" w:before="69" w:after="0"/>
        <w:ind w:left="144" w:right="420" w:firstLine="707"/>
        <w:jc w:val="both"/>
        <w:rPr>
          <w:sz w:val="28"/>
        </w:rPr>
      </w:pPr>
      <w:r>
        <w:rPr>
          <w:sz w:val="28"/>
        </w:rPr>
        <w:t>Брагина Е. Е. и др. Электронно-микроскопическое изучение сперматозоидов и его роль в диагностике мужского бесплодия //Проблемы репродукции. – 2000. – Т. 6. – №. 6. – С. 62-71.</w:t>
      </w:r>
    </w:p>
    <w:p>
      <w:pPr>
        <w:pStyle w:val="ListParagraph"/>
        <w:numPr>
          <w:ilvl w:val="1"/>
          <w:numId w:val="9"/>
        </w:numPr>
        <w:tabs>
          <w:tab w:pos="1238" w:val="left" w:leader="none"/>
        </w:tabs>
        <w:spacing w:line="256" w:lineRule="auto" w:before="0" w:after="0"/>
        <w:ind w:left="142" w:right="420" w:firstLine="709"/>
        <w:jc w:val="both"/>
        <w:rPr>
          <w:sz w:val="28"/>
        </w:rPr>
      </w:pPr>
      <w:r>
        <w:rPr>
          <w:sz w:val="28"/>
        </w:rPr>
        <w:t>Брагина Е.Е., Курило Л.Ф., Абдумаликов Р.А., Бочарова Е.Н., Михайлова Е.М., Гришина Е.М., Шилейко Л.В., Сорокина Т.М. Множественные дефекты ультраструктурной организации жгутика сперматозоида у пациента с абсолютной астенотератозооспермией. //</w:t>
      </w:r>
      <w:r>
        <w:rPr>
          <w:spacing w:val="24"/>
          <w:sz w:val="28"/>
        </w:rPr>
        <w:t> </w:t>
      </w:r>
      <w:r>
        <w:rPr>
          <w:sz w:val="28"/>
        </w:rPr>
        <w:t>Проблемы репродукции.</w:t>
      </w:r>
      <w:r>
        <w:rPr>
          <w:spacing w:val="80"/>
          <w:sz w:val="28"/>
        </w:rPr>
        <w:t> </w:t>
      </w:r>
      <w:r>
        <w:rPr>
          <w:sz w:val="28"/>
        </w:rPr>
        <w:t>– 2004.</w:t>
      </w:r>
      <w:r>
        <w:rPr>
          <w:spacing w:val="80"/>
          <w:sz w:val="28"/>
        </w:rPr>
        <w:t> </w:t>
      </w:r>
      <w:r>
        <w:rPr>
          <w:sz w:val="28"/>
        </w:rPr>
        <w:t>– Т.10 – №1.–С. 66–</w:t>
      </w:r>
      <w:r>
        <w:rPr>
          <w:spacing w:val="-4"/>
          <w:sz w:val="28"/>
        </w:rPr>
        <w:t>69.</w:t>
      </w:r>
    </w:p>
    <w:p>
      <w:pPr>
        <w:pStyle w:val="ListParagraph"/>
        <w:numPr>
          <w:ilvl w:val="1"/>
          <w:numId w:val="9"/>
        </w:numPr>
        <w:tabs>
          <w:tab w:pos="1213" w:val="left" w:leader="none"/>
        </w:tabs>
        <w:spacing w:line="256" w:lineRule="auto" w:before="0" w:after="0"/>
        <w:ind w:left="142" w:right="420" w:firstLine="708"/>
        <w:jc w:val="both"/>
        <w:rPr>
          <w:sz w:val="28"/>
        </w:rPr>
      </w:pPr>
      <w:r>
        <w:rPr>
          <w:sz w:val="28"/>
        </w:rPr>
        <w:t>Брагина Е. Е. и др. Нарушения морфологических и биохимических свойств жгутиков сперматозоидов при абсолютной астенозооспермии. Мат-лы 6-го Рос-го научного Форума, 6-я междунар. Мед. выставка «Мужское здоровье и долголетие», 19-20/2 //Матлы. – 2008. – Т. 6. – С. 28.</w:t>
      </w:r>
    </w:p>
    <w:p>
      <w:pPr>
        <w:pStyle w:val="ListParagraph"/>
        <w:numPr>
          <w:ilvl w:val="1"/>
          <w:numId w:val="9"/>
        </w:numPr>
        <w:tabs>
          <w:tab w:pos="1260" w:val="left" w:leader="none"/>
        </w:tabs>
        <w:spacing w:line="256" w:lineRule="auto" w:before="0" w:after="0"/>
        <w:ind w:left="142" w:right="422" w:firstLine="707"/>
        <w:jc w:val="both"/>
        <w:rPr>
          <w:sz w:val="28"/>
        </w:rPr>
      </w:pPr>
      <w:r>
        <w:rPr>
          <w:sz w:val="28"/>
        </w:rPr>
        <w:t>Шмальгаузен Е.В., Элькина Ю.Л., Брагина Е.Е., Шилейко Л.В., Черных В.Б., Курило Л.Ф. Ультраструктурные и биохимические нарушения жгутика сперматозоидов при астенозооспермии. //Андрология и генит. хирургия, 2008, №3: С. 25–31.</w:t>
      </w:r>
    </w:p>
    <w:p>
      <w:pPr>
        <w:pStyle w:val="ListParagraph"/>
        <w:numPr>
          <w:ilvl w:val="1"/>
          <w:numId w:val="9"/>
        </w:numPr>
        <w:tabs>
          <w:tab w:pos="1245" w:val="left" w:leader="none"/>
        </w:tabs>
        <w:spacing w:line="256" w:lineRule="auto" w:before="0" w:after="0"/>
        <w:ind w:left="141" w:right="423" w:firstLine="707"/>
        <w:jc w:val="both"/>
        <w:rPr>
          <w:sz w:val="28"/>
        </w:rPr>
      </w:pPr>
      <w:r>
        <w:rPr>
          <w:sz w:val="28"/>
        </w:rPr>
        <w:t>Rajender S., Rahul P., Mahdi A. A. Mitochondria, spermatogenesis and male infertility //Mitochondrion. – 2010. – Т. 10. – №. 5. – С. 419-428.</w:t>
      </w:r>
    </w:p>
    <w:p>
      <w:pPr>
        <w:pStyle w:val="ListParagraph"/>
        <w:numPr>
          <w:ilvl w:val="1"/>
          <w:numId w:val="9"/>
        </w:numPr>
        <w:tabs>
          <w:tab w:pos="1287" w:val="left" w:leader="none"/>
        </w:tabs>
        <w:spacing w:line="256" w:lineRule="auto" w:before="0" w:after="0"/>
        <w:ind w:left="142" w:right="423" w:firstLine="707"/>
        <w:jc w:val="both"/>
        <w:rPr>
          <w:sz w:val="28"/>
        </w:rPr>
      </w:pPr>
      <w:r>
        <w:rPr>
          <w:sz w:val="28"/>
        </w:rPr>
        <w:t>Auguste Y. et al. Loss of calmodulin-and radial-spoke-associated complex protein CFAP251 leads to immotile spermatozoa lacking mitochondria and infertility in men //The American Journal of Human Genetics. – 2018. – Т. 103. – №. 3. – С. 413-420.</w:t>
      </w:r>
    </w:p>
    <w:p>
      <w:pPr>
        <w:pStyle w:val="ListParagraph"/>
        <w:numPr>
          <w:ilvl w:val="1"/>
          <w:numId w:val="9"/>
        </w:numPr>
        <w:tabs>
          <w:tab w:pos="1203" w:val="left" w:leader="none"/>
        </w:tabs>
        <w:spacing w:line="256" w:lineRule="auto" w:before="0" w:after="0"/>
        <w:ind w:left="142" w:right="422" w:firstLine="707"/>
        <w:jc w:val="both"/>
        <w:rPr>
          <w:sz w:val="28"/>
        </w:rPr>
      </w:pPr>
      <w:r>
        <w:rPr>
          <w:sz w:val="28"/>
        </w:rPr>
        <w:t>Задубенко Д.</w:t>
      </w:r>
      <w:r>
        <w:rPr>
          <w:spacing w:val="-1"/>
          <w:sz w:val="28"/>
        </w:rPr>
        <w:t> </w:t>
      </w:r>
      <w:r>
        <w:rPr>
          <w:sz w:val="28"/>
        </w:rPr>
        <w:t>В.</w:t>
      </w:r>
      <w:r>
        <w:rPr>
          <w:spacing w:val="-3"/>
          <w:sz w:val="28"/>
        </w:rPr>
        <w:t> </w:t>
      </w:r>
      <w:r>
        <w:rPr>
          <w:sz w:val="28"/>
        </w:rPr>
        <w:t>и др.</w:t>
      </w:r>
      <w:r>
        <w:rPr>
          <w:spacing w:val="-1"/>
          <w:sz w:val="28"/>
        </w:rPr>
        <w:t> </w:t>
      </w:r>
      <w:r>
        <w:rPr>
          <w:sz w:val="28"/>
        </w:rPr>
        <w:t>Потенциал</w:t>
      </w:r>
      <w:r>
        <w:rPr>
          <w:spacing w:val="-1"/>
          <w:sz w:val="28"/>
        </w:rPr>
        <w:t> </w:t>
      </w:r>
      <w:r>
        <w:rPr>
          <w:sz w:val="28"/>
        </w:rPr>
        <w:t>внедрения электронно-микроскопического исследования сперматозоидов человека в практику отделения вспомогательных репродуктивных</w:t>
      </w:r>
      <w:r>
        <w:rPr>
          <w:spacing w:val="4"/>
          <w:sz w:val="28"/>
        </w:rPr>
        <w:t> </w:t>
      </w:r>
      <w:r>
        <w:rPr>
          <w:sz w:val="28"/>
        </w:rPr>
        <w:t>технологий</w:t>
      </w:r>
      <w:r>
        <w:rPr>
          <w:spacing w:val="6"/>
          <w:sz w:val="28"/>
        </w:rPr>
        <w:t> </w:t>
      </w:r>
      <w:r>
        <w:rPr>
          <w:sz w:val="28"/>
        </w:rPr>
        <w:t>//Репродуктивная</w:t>
      </w:r>
      <w:r>
        <w:rPr>
          <w:spacing w:val="6"/>
          <w:sz w:val="28"/>
        </w:rPr>
        <w:t> </w:t>
      </w:r>
      <w:r>
        <w:rPr>
          <w:sz w:val="28"/>
        </w:rPr>
        <w:t>медицина.</w:t>
      </w:r>
      <w:r>
        <w:rPr>
          <w:spacing w:val="2"/>
          <w:sz w:val="28"/>
        </w:rPr>
        <w:t> </w:t>
      </w:r>
      <w:r>
        <w:rPr>
          <w:sz w:val="28"/>
        </w:rPr>
        <w:t>–</w:t>
      </w:r>
      <w:r>
        <w:rPr>
          <w:spacing w:val="6"/>
          <w:sz w:val="28"/>
        </w:rPr>
        <w:t> </w:t>
      </w:r>
      <w:r>
        <w:rPr>
          <w:sz w:val="28"/>
        </w:rPr>
        <w:t>2023.</w:t>
      </w:r>
      <w:r>
        <w:rPr>
          <w:spacing w:val="5"/>
          <w:sz w:val="28"/>
        </w:rPr>
        <w:t> </w:t>
      </w:r>
      <w:r>
        <w:rPr>
          <w:sz w:val="28"/>
        </w:rPr>
        <w:t>–</w:t>
      </w:r>
      <w:r>
        <w:rPr>
          <w:spacing w:val="4"/>
          <w:sz w:val="28"/>
        </w:rPr>
        <w:t> </w:t>
      </w:r>
      <w:r>
        <w:rPr>
          <w:sz w:val="28"/>
        </w:rPr>
        <w:t>№.</w:t>
      </w:r>
      <w:r>
        <w:rPr>
          <w:spacing w:val="5"/>
          <w:sz w:val="28"/>
        </w:rPr>
        <w:t> </w:t>
      </w:r>
      <w:r>
        <w:rPr>
          <w:sz w:val="28"/>
        </w:rPr>
        <w:t>4</w:t>
      </w:r>
      <w:r>
        <w:rPr>
          <w:spacing w:val="6"/>
          <w:sz w:val="28"/>
        </w:rPr>
        <w:t> </w:t>
      </w:r>
      <w:r>
        <w:rPr>
          <w:sz w:val="28"/>
        </w:rPr>
        <w:t>(57).</w:t>
      </w:r>
      <w:r>
        <w:rPr>
          <w:spacing w:val="3"/>
          <w:sz w:val="28"/>
        </w:rPr>
        <w:t> </w:t>
      </w:r>
      <w:r>
        <w:rPr>
          <w:sz w:val="28"/>
        </w:rPr>
        <w:t>–</w:t>
      </w:r>
      <w:r>
        <w:rPr>
          <w:spacing w:val="6"/>
          <w:sz w:val="28"/>
        </w:rPr>
        <w:t> </w:t>
      </w:r>
      <w:r>
        <w:rPr>
          <w:sz w:val="28"/>
        </w:rPr>
        <w:t>С.</w:t>
      </w:r>
      <w:r>
        <w:rPr>
          <w:spacing w:val="5"/>
          <w:sz w:val="28"/>
        </w:rPr>
        <w:t> </w:t>
      </w:r>
      <w:r>
        <w:rPr>
          <w:spacing w:val="-5"/>
          <w:sz w:val="28"/>
        </w:rPr>
        <w:t>7-</w:t>
      </w:r>
    </w:p>
    <w:p>
      <w:pPr>
        <w:pStyle w:val="BodyText"/>
        <w:spacing w:line="318" w:lineRule="exact"/>
        <w:ind w:left="141"/>
        <w:jc w:val="left"/>
      </w:pPr>
      <w:r>
        <w:rPr>
          <w:spacing w:val="-5"/>
        </w:rPr>
        <w:t>12.</w:t>
      </w:r>
    </w:p>
    <w:p>
      <w:pPr>
        <w:pStyle w:val="ListParagraph"/>
        <w:numPr>
          <w:ilvl w:val="1"/>
          <w:numId w:val="9"/>
        </w:numPr>
        <w:tabs>
          <w:tab w:pos="1213" w:val="left" w:leader="none"/>
        </w:tabs>
        <w:spacing w:line="256" w:lineRule="auto" w:before="0" w:after="0"/>
        <w:ind w:left="144" w:right="421" w:firstLine="708"/>
        <w:jc w:val="both"/>
        <w:rPr>
          <w:sz w:val="28"/>
        </w:rPr>
      </w:pPr>
      <w:r>
        <w:rPr>
          <w:sz w:val="28"/>
        </w:rPr>
        <w:t>El Khouri E. et al. Mutations in DNAJB13, encoding an HSP40 family member, cause primary ciliary dyskinesia and male infertility //The American Journal of Human Genetics. – 2016. – Т. 99. – №. 2. – С. 489-500.</w:t>
      </w:r>
    </w:p>
    <w:p>
      <w:pPr>
        <w:pStyle w:val="ListParagraph"/>
        <w:numPr>
          <w:ilvl w:val="1"/>
          <w:numId w:val="9"/>
        </w:numPr>
        <w:tabs>
          <w:tab w:pos="1253" w:val="left" w:leader="none"/>
        </w:tabs>
        <w:spacing w:line="256" w:lineRule="auto" w:before="0" w:after="0"/>
        <w:ind w:left="144" w:right="420" w:firstLine="707"/>
        <w:jc w:val="both"/>
        <w:rPr>
          <w:sz w:val="28"/>
        </w:rPr>
      </w:pPr>
      <w:r>
        <w:rPr>
          <w:sz w:val="28"/>
        </w:rPr>
        <w:t>Dirami T. et al. Missense mutations in SLC26A8, encoding a sperm-specific activator of CFTR, are associated with human asthenozoospermia //The American Journal of Human Genetics. – 2013. – Т. 92. – №. 5. – С. 760-766.</w:t>
      </w:r>
    </w:p>
    <w:p>
      <w:pPr>
        <w:pStyle w:val="ListParagraph"/>
        <w:numPr>
          <w:ilvl w:val="1"/>
          <w:numId w:val="9"/>
        </w:numPr>
        <w:tabs>
          <w:tab w:pos="1332" w:val="left" w:leader="none"/>
        </w:tabs>
        <w:spacing w:line="256" w:lineRule="auto" w:before="0" w:after="0"/>
        <w:ind w:left="144" w:right="423" w:firstLine="707"/>
        <w:jc w:val="both"/>
        <w:rPr>
          <w:sz w:val="28"/>
        </w:rPr>
      </w:pPr>
      <w:r>
        <w:rPr>
          <w:sz w:val="28"/>
        </w:rPr>
        <w:t>Al Zoubi M. S. et al. Correlation of Sperm Mitochondrial DNA 7345 Bp and 7599 Bp Deletions with Asthenozoospermia in Jordanian Population //Journal of Reproduction &amp; Infertility. – 2021. – Т. 22. – №. 3. – С. 165-172.</w:t>
      </w:r>
    </w:p>
    <w:p>
      <w:pPr>
        <w:pStyle w:val="ListParagraph"/>
        <w:numPr>
          <w:ilvl w:val="1"/>
          <w:numId w:val="9"/>
        </w:numPr>
        <w:tabs>
          <w:tab w:pos="1214" w:val="left" w:leader="none"/>
        </w:tabs>
        <w:spacing w:line="256" w:lineRule="auto" w:before="0" w:after="0"/>
        <w:ind w:left="144" w:right="421" w:firstLine="707"/>
        <w:jc w:val="both"/>
        <w:rPr>
          <w:sz w:val="28"/>
        </w:rPr>
      </w:pPr>
      <w:r>
        <w:rPr>
          <w:sz w:val="28"/>
        </w:rPr>
        <w:t>Amaral A. et al. Mitochondria functionality and sperm quality //Reproduction. – 2013. – Т. 146. – №. 5. – С. R163-R174.</w:t>
      </w:r>
    </w:p>
    <w:p>
      <w:pPr>
        <w:pStyle w:val="ListParagraph"/>
        <w:numPr>
          <w:ilvl w:val="1"/>
          <w:numId w:val="9"/>
        </w:numPr>
        <w:tabs>
          <w:tab w:pos="1215" w:val="left" w:leader="none"/>
        </w:tabs>
        <w:spacing w:line="256" w:lineRule="auto" w:before="0" w:after="0"/>
        <w:ind w:left="144" w:right="422" w:firstLine="708"/>
        <w:jc w:val="both"/>
        <w:rPr>
          <w:sz w:val="28"/>
        </w:rPr>
      </w:pPr>
      <w:r>
        <w:rPr>
          <w:sz w:val="28"/>
        </w:rPr>
        <w:t>Kao S. H., Chao H. T., Wei Y. H. Multiple deletions of mitochondrial DNA are associated with the decline of motility and fertility of human spermatozoa //Molecular human reproduction. – 1998. – Т. 4. – №. 7. – С. 657-666.</w:t>
      </w:r>
    </w:p>
    <w:p>
      <w:pPr>
        <w:pStyle w:val="ListParagraph"/>
        <w:numPr>
          <w:ilvl w:val="1"/>
          <w:numId w:val="9"/>
        </w:numPr>
        <w:tabs>
          <w:tab w:pos="1247" w:val="left" w:leader="none"/>
        </w:tabs>
        <w:spacing w:line="256" w:lineRule="auto" w:before="0" w:after="0"/>
        <w:ind w:left="144" w:right="423" w:firstLine="708"/>
        <w:jc w:val="both"/>
        <w:rPr>
          <w:sz w:val="28"/>
        </w:rPr>
      </w:pPr>
      <w:r>
        <w:rPr>
          <w:sz w:val="28"/>
        </w:rPr>
        <w:t>Pandey R. et al. Association of mitochondrial deoxyribonucleic acid mutation with polymorphism in CYP2E1 gene in oral carcinogenesis //Journal of oral biology and craniofacial research. – 2012. – Т. 2. – №. 1. – С. 4-9.</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1"/>
          <w:numId w:val="9"/>
        </w:numPr>
        <w:tabs>
          <w:tab w:pos="1212" w:val="left" w:leader="none"/>
        </w:tabs>
        <w:spacing w:line="256" w:lineRule="auto" w:before="69" w:after="0"/>
        <w:ind w:left="144" w:right="422" w:firstLine="707"/>
        <w:jc w:val="both"/>
        <w:rPr>
          <w:sz w:val="28"/>
        </w:rPr>
      </w:pPr>
      <w:r>
        <w:rPr>
          <w:sz w:val="28"/>
        </w:rPr>
        <w:t>Kao S. H., Chao H. T., Wei Y. H. Mitochondrial deoxyribonucleic acid 4977-bp deletion is associated with diminished fertility and motility of human sperm //Biology of reproduction. – 1995. – Т. 52. – №. 4. – С. 729-736.</w:t>
      </w:r>
    </w:p>
    <w:p>
      <w:pPr>
        <w:pStyle w:val="ListParagraph"/>
        <w:numPr>
          <w:ilvl w:val="1"/>
          <w:numId w:val="9"/>
        </w:numPr>
        <w:tabs>
          <w:tab w:pos="1296" w:val="left" w:leader="none"/>
        </w:tabs>
        <w:spacing w:line="256" w:lineRule="auto" w:before="0" w:after="0"/>
        <w:ind w:left="144" w:right="421" w:firstLine="707"/>
        <w:jc w:val="both"/>
        <w:rPr>
          <w:sz w:val="28"/>
        </w:rPr>
      </w:pPr>
      <w:r>
        <w:rPr>
          <w:sz w:val="28"/>
        </w:rPr>
        <w:t>Aitken R. J., Clarkson J. S. Significance of reactive oxygen species and antioxidants in defining the efficacy of sperm preparation techniques //Journal of andrology. – 1988. – Т. 9. – №. 6. – С. 367-376.</w:t>
      </w:r>
    </w:p>
    <w:p>
      <w:pPr>
        <w:pStyle w:val="ListParagraph"/>
        <w:numPr>
          <w:ilvl w:val="1"/>
          <w:numId w:val="9"/>
        </w:numPr>
        <w:tabs>
          <w:tab w:pos="1240" w:val="left" w:leader="none"/>
        </w:tabs>
        <w:spacing w:line="256" w:lineRule="auto" w:before="0" w:after="0"/>
        <w:ind w:left="142" w:right="421" w:firstLine="708"/>
        <w:jc w:val="both"/>
        <w:rPr>
          <w:sz w:val="28"/>
        </w:rPr>
      </w:pPr>
      <w:r>
        <w:rPr>
          <w:sz w:val="28"/>
        </w:rPr>
        <w:t>Yeung C. H., Cooper T. G. Developmental changes in signalling transduction factors in maturing sperm during epididymal transit //Cellular and molecular biology (Noisy-le-Grand, France). – 2003. – Т. 49. – №. 3. – С. 341-349.</w:t>
      </w:r>
    </w:p>
    <w:p>
      <w:pPr>
        <w:pStyle w:val="ListParagraph"/>
        <w:numPr>
          <w:ilvl w:val="1"/>
          <w:numId w:val="9"/>
        </w:numPr>
        <w:tabs>
          <w:tab w:pos="1254" w:val="left" w:leader="none"/>
        </w:tabs>
        <w:spacing w:line="256" w:lineRule="auto" w:before="0" w:after="0"/>
        <w:ind w:left="142" w:right="423" w:firstLine="708"/>
        <w:jc w:val="both"/>
        <w:rPr>
          <w:sz w:val="28"/>
        </w:rPr>
      </w:pPr>
      <w:r>
        <w:rPr>
          <w:sz w:val="28"/>
        </w:rPr>
        <w:t>Fraser L. R. Requirements for successful mammalian sperm capacitation and fertilization //Archives of pathology &amp; laboratory medicine. – 1992. – Т. 116. – №. 4. – С. </w:t>
      </w:r>
      <w:r>
        <w:rPr>
          <w:spacing w:val="-2"/>
          <w:sz w:val="28"/>
        </w:rPr>
        <w:t>345-350.</w:t>
      </w:r>
    </w:p>
    <w:p>
      <w:pPr>
        <w:pStyle w:val="ListParagraph"/>
        <w:numPr>
          <w:ilvl w:val="1"/>
          <w:numId w:val="9"/>
        </w:numPr>
        <w:tabs>
          <w:tab w:pos="1352" w:val="left" w:leader="none"/>
        </w:tabs>
        <w:spacing w:line="256" w:lineRule="auto" w:before="0" w:after="0"/>
        <w:ind w:left="142" w:right="421" w:firstLine="708"/>
        <w:jc w:val="both"/>
        <w:rPr>
          <w:sz w:val="28"/>
        </w:rPr>
      </w:pPr>
      <w:r>
        <w:rPr>
          <w:sz w:val="28"/>
        </w:rPr>
        <w:t>Cavarocchi E. et al. Sperm ion transporters and channels in human asthenozoospermia: genetic etiology, lessons from animal models, and clinical perspectives //International journal of molecular sciences. – 2022. – Т. 23. – №. 7. – С. </w:t>
      </w:r>
      <w:r>
        <w:rPr>
          <w:spacing w:val="-2"/>
          <w:sz w:val="28"/>
        </w:rPr>
        <w:t>3926.</w:t>
      </w:r>
    </w:p>
    <w:p>
      <w:pPr>
        <w:pStyle w:val="ListParagraph"/>
        <w:numPr>
          <w:ilvl w:val="1"/>
          <w:numId w:val="9"/>
        </w:numPr>
        <w:tabs>
          <w:tab w:pos="1244" w:val="left" w:leader="none"/>
        </w:tabs>
        <w:spacing w:line="303" w:lineRule="exact" w:before="0" w:after="0"/>
        <w:ind w:left="1244" w:right="0" w:hanging="394"/>
        <w:jc w:val="left"/>
        <w:rPr>
          <w:sz w:val="28"/>
        </w:rPr>
      </w:pPr>
      <w:r>
        <w:rPr>
          <w:sz w:val="28"/>
        </w:rPr>
        <w:t>Jiao</w:t>
      </w:r>
      <w:r>
        <w:rPr>
          <w:spacing w:val="40"/>
          <w:sz w:val="28"/>
        </w:rPr>
        <w:t> </w:t>
      </w:r>
      <w:r>
        <w:rPr>
          <w:sz w:val="28"/>
        </w:rPr>
        <w:t>S.</w:t>
      </w:r>
      <w:r>
        <w:rPr>
          <w:spacing w:val="42"/>
          <w:sz w:val="28"/>
        </w:rPr>
        <w:t> </w:t>
      </w:r>
      <w:r>
        <w:rPr>
          <w:sz w:val="28"/>
        </w:rPr>
        <w:t>Y.,</w:t>
      </w:r>
      <w:r>
        <w:rPr>
          <w:spacing w:val="39"/>
          <w:sz w:val="28"/>
        </w:rPr>
        <w:t> </w:t>
      </w:r>
      <w:r>
        <w:rPr>
          <w:sz w:val="28"/>
        </w:rPr>
        <w:t>Yang</w:t>
      </w:r>
      <w:r>
        <w:rPr>
          <w:spacing w:val="41"/>
          <w:sz w:val="28"/>
        </w:rPr>
        <w:t> </w:t>
      </w:r>
      <w:r>
        <w:rPr>
          <w:sz w:val="28"/>
        </w:rPr>
        <w:t>Y.</w:t>
      </w:r>
      <w:r>
        <w:rPr>
          <w:spacing w:val="42"/>
          <w:sz w:val="28"/>
        </w:rPr>
        <w:t> </w:t>
      </w:r>
      <w:r>
        <w:rPr>
          <w:sz w:val="28"/>
        </w:rPr>
        <w:t>H.,</w:t>
      </w:r>
      <w:r>
        <w:rPr>
          <w:spacing w:val="41"/>
          <w:sz w:val="28"/>
        </w:rPr>
        <w:t> </w:t>
      </w:r>
      <w:r>
        <w:rPr>
          <w:sz w:val="28"/>
        </w:rPr>
        <w:t>Chen</w:t>
      </w:r>
      <w:r>
        <w:rPr>
          <w:spacing w:val="44"/>
          <w:sz w:val="28"/>
        </w:rPr>
        <w:t> </w:t>
      </w:r>
      <w:r>
        <w:rPr>
          <w:sz w:val="28"/>
        </w:rPr>
        <w:t>S.</w:t>
      </w:r>
      <w:r>
        <w:rPr>
          <w:spacing w:val="41"/>
          <w:sz w:val="28"/>
        </w:rPr>
        <w:t> </w:t>
      </w:r>
      <w:r>
        <w:rPr>
          <w:sz w:val="28"/>
        </w:rPr>
        <w:t>R.</w:t>
      </w:r>
      <w:r>
        <w:rPr>
          <w:spacing w:val="40"/>
          <w:sz w:val="28"/>
        </w:rPr>
        <w:t> </w:t>
      </w:r>
      <w:r>
        <w:rPr>
          <w:sz w:val="28"/>
        </w:rPr>
        <w:t>Molecular</w:t>
      </w:r>
      <w:r>
        <w:rPr>
          <w:spacing w:val="43"/>
          <w:sz w:val="28"/>
        </w:rPr>
        <w:t> </w:t>
      </w:r>
      <w:r>
        <w:rPr>
          <w:sz w:val="28"/>
        </w:rPr>
        <w:t>genetics</w:t>
      </w:r>
      <w:r>
        <w:rPr>
          <w:spacing w:val="40"/>
          <w:sz w:val="28"/>
        </w:rPr>
        <w:t> </w:t>
      </w:r>
      <w:r>
        <w:rPr>
          <w:sz w:val="28"/>
        </w:rPr>
        <w:t>of</w:t>
      </w:r>
      <w:r>
        <w:rPr>
          <w:spacing w:val="43"/>
          <w:sz w:val="28"/>
        </w:rPr>
        <w:t> </w:t>
      </w:r>
      <w:r>
        <w:rPr>
          <w:sz w:val="28"/>
        </w:rPr>
        <w:t>infertility:</w:t>
      </w:r>
      <w:r>
        <w:rPr>
          <w:spacing w:val="41"/>
          <w:sz w:val="28"/>
        </w:rPr>
        <w:t> </w:t>
      </w:r>
      <w:r>
        <w:rPr>
          <w:sz w:val="28"/>
        </w:rPr>
        <w:t>loss-</w:t>
      </w:r>
      <w:r>
        <w:rPr>
          <w:spacing w:val="-5"/>
          <w:sz w:val="28"/>
        </w:rPr>
        <w:t>of-</w:t>
      </w:r>
    </w:p>
    <w:p>
      <w:pPr>
        <w:pStyle w:val="BodyText"/>
        <w:spacing w:line="256" w:lineRule="auto" w:before="21"/>
        <w:ind w:left="142"/>
        <w:jc w:val="left"/>
      </w:pPr>
      <w:r>
        <w:rPr/>
        <w:t>function</w:t>
      </w:r>
      <w:r>
        <w:rPr>
          <w:spacing w:val="80"/>
        </w:rPr>
        <w:t> </w:t>
      </w:r>
      <w:r>
        <w:rPr/>
        <w:t>mutations</w:t>
      </w:r>
      <w:r>
        <w:rPr>
          <w:spacing w:val="80"/>
        </w:rPr>
        <w:t> </w:t>
      </w:r>
      <w:r>
        <w:rPr/>
        <w:t>in</w:t>
      </w:r>
      <w:r>
        <w:rPr>
          <w:spacing w:val="80"/>
        </w:rPr>
        <w:t> </w:t>
      </w:r>
      <w:r>
        <w:rPr/>
        <w:t>humans</w:t>
      </w:r>
      <w:r>
        <w:rPr>
          <w:spacing w:val="80"/>
        </w:rPr>
        <w:t> </w:t>
      </w:r>
      <w:r>
        <w:rPr/>
        <w:t>and</w:t>
      </w:r>
      <w:r>
        <w:rPr>
          <w:spacing w:val="80"/>
        </w:rPr>
        <w:t> </w:t>
      </w:r>
      <w:r>
        <w:rPr/>
        <w:t>corresponding</w:t>
      </w:r>
      <w:r>
        <w:rPr>
          <w:spacing w:val="80"/>
        </w:rPr>
        <w:t> </w:t>
      </w:r>
      <w:r>
        <w:rPr/>
        <w:t>knockout/mutated</w:t>
      </w:r>
      <w:r>
        <w:rPr>
          <w:spacing w:val="80"/>
        </w:rPr>
        <w:t> </w:t>
      </w:r>
      <w:r>
        <w:rPr/>
        <w:t>mice</w:t>
      </w:r>
      <w:r>
        <w:rPr>
          <w:spacing w:val="80"/>
        </w:rPr>
        <w:t> </w:t>
      </w:r>
      <w:r>
        <w:rPr/>
        <w:t>//</w:t>
      </w:r>
      <w:r>
        <w:rPr>
          <w:spacing w:val="80"/>
        </w:rPr>
        <w:t> </w:t>
      </w:r>
      <w:r>
        <w:rPr/>
        <w:t>Human Reproduction Update. – 2021. – Т. 27. – №. 1. – С. 154-189.</w:t>
      </w:r>
    </w:p>
    <w:p>
      <w:pPr>
        <w:pStyle w:val="ListParagraph"/>
        <w:numPr>
          <w:ilvl w:val="1"/>
          <w:numId w:val="9"/>
        </w:numPr>
        <w:tabs>
          <w:tab w:pos="1234" w:val="left" w:leader="none"/>
        </w:tabs>
        <w:spacing w:line="256" w:lineRule="auto" w:before="0" w:after="0"/>
        <w:ind w:left="142" w:right="423" w:firstLine="707"/>
        <w:jc w:val="left"/>
        <w:rPr>
          <w:sz w:val="28"/>
        </w:rPr>
      </w:pPr>
      <w:r>
        <w:rPr>
          <w:sz w:val="28"/>
        </w:rPr>
        <w:t>Touré</w:t>
      </w:r>
      <w:r>
        <w:rPr>
          <w:spacing w:val="33"/>
          <w:sz w:val="28"/>
        </w:rPr>
        <w:t> </w:t>
      </w:r>
      <w:r>
        <w:rPr>
          <w:sz w:val="28"/>
        </w:rPr>
        <w:t>A.</w:t>
      </w:r>
      <w:r>
        <w:rPr>
          <w:spacing w:val="33"/>
          <w:sz w:val="28"/>
        </w:rPr>
        <w:t> </w:t>
      </w:r>
      <w:r>
        <w:rPr>
          <w:sz w:val="28"/>
        </w:rPr>
        <w:t>et</w:t>
      </w:r>
      <w:r>
        <w:rPr>
          <w:spacing w:val="34"/>
          <w:sz w:val="28"/>
        </w:rPr>
        <w:t> </w:t>
      </w:r>
      <w:r>
        <w:rPr>
          <w:sz w:val="28"/>
        </w:rPr>
        <w:t>al.</w:t>
      </w:r>
      <w:r>
        <w:rPr>
          <w:spacing w:val="30"/>
          <w:sz w:val="28"/>
        </w:rPr>
        <w:t> </w:t>
      </w:r>
      <w:r>
        <w:rPr>
          <w:sz w:val="28"/>
        </w:rPr>
        <w:t>The</w:t>
      </w:r>
      <w:r>
        <w:rPr>
          <w:spacing w:val="33"/>
          <w:sz w:val="28"/>
        </w:rPr>
        <w:t> </w:t>
      </w:r>
      <w:r>
        <w:rPr>
          <w:sz w:val="28"/>
        </w:rPr>
        <w:t>genetic</w:t>
      </w:r>
      <w:r>
        <w:rPr>
          <w:spacing w:val="33"/>
          <w:sz w:val="28"/>
        </w:rPr>
        <w:t> </w:t>
      </w:r>
      <w:r>
        <w:rPr>
          <w:sz w:val="28"/>
        </w:rPr>
        <w:t>architecture</w:t>
      </w:r>
      <w:r>
        <w:rPr>
          <w:spacing w:val="33"/>
          <w:sz w:val="28"/>
        </w:rPr>
        <w:t> </w:t>
      </w:r>
      <w:r>
        <w:rPr>
          <w:sz w:val="28"/>
        </w:rPr>
        <w:t>of</w:t>
      </w:r>
      <w:r>
        <w:rPr>
          <w:spacing w:val="33"/>
          <w:sz w:val="28"/>
        </w:rPr>
        <w:t> </w:t>
      </w:r>
      <w:r>
        <w:rPr>
          <w:sz w:val="28"/>
        </w:rPr>
        <w:t>morphological</w:t>
      </w:r>
      <w:r>
        <w:rPr>
          <w:spacing w:val="32"/>
          <w:sz w:val="28"/>
        </w:rPr>
        <w:t> </w:t>
      </w:r>
      <w:r>
        <w:rPr>
          <w:sz w:val="28"/>
        </w:rPr>
        <w:t>abnormalities</w:t>
      </w:r>
      <w:r>
        <w:rPr>
          <w:spacing w:val="34"/>
          <w:sz w:val="28"/>
        </w:rPr>
        <w:t> </w:t>
      </w:r>
      <w:r>
        <w:rPr>
          <w:sz w:val="28"/>
        </w:rPr>
        <w:t>of</w:t>
      </w:r>
      <w:r>
        <w:rPr>
          <w:spacing w:val="33"/>
          <w:sz w:val="28"/>
        </w:rPr>
        <w:t> </w:t>
      </w:r>
      <w:r>
        <w:rPr>
          <w:sz w:val="28"/>
        </w:rPr>
        <w:t>the sperm tail //Human Genetics. – 2021. – Т. 140. – №. 1. – С. 21-42.</w:t>
      </w:r>
    </w:p>
    <w:p>
      <w:pPr>
        <w:pStyle w:val="ListParagraph"/>
        <w:numPr>
          <w:ilvl w:val="1"/>
          <w:numId w:val="9"/>
        </w:numPr>
        <w:tabs>
          <w:tab w:pos="1220" w:val="left" w:leader="none"/>
        </w:tabs>
        <w:spacing w:line="256" w:lineRule="auto" w:before="0" w:after="0"/>
        <w:ind w:left="142" w:right="424" w:firstLine="707"/>
        <w:jc w:val="left"/>
        <w:rPr>
          <w:sz w:val="28"/>
        </w:rPr>
      </w:pPr>
      <w:r>
        <w:rPr>
          <w:sz w:val="28"/>
        </w:rPr>
        <w:t>Sironen A. et al. Sperm defects in primary ciliary dyskinesia and related causes of</w:t>
      </w:r>
      <w:r>
        <w:rPr>
          <w:spacing w:val="-2"/>
          <w:sz w:val="28"/>
        </w:rPr>
        <w:t> </w:t>
      </w:r>
      <w:r>
        <w:rPr>
          <w:sz w:val="28"/>
        </w:rPr>
        <w:t>male</w:t>
      </w:r>
      <w:r>
        <w:rPr>
          <w:spacing w:val="-2"/>
          <w:sz w:val="28"/>
        </w:rPr>
        <w:t> </w:t>
      </w:r>
      <w:r>
        <w:rPr>
          <w:sz w:val="28"/>
        </w:rPr>
        <w:t>infertility</w:t>
      </w:r>
      <w:r>
        <w:rPr>
          <w:spacing w:val="-1"/>
          <w:sz w:val="28"/>
        </w:rPr>
        <w:t> </w:t>
      </w:r>
      <w:r>
        <w:rPr>
          <w:sz w:val="28"/>
        </w:rPr>
        <w:t>//Cellular</w:t>
      </w:r>
      <w:r>
        <w:rPr>
          <w:spacing w:val="-2"/>
          <w:sz w:val="28"/>
        </w:rPr>
        <w:t> </w:t>
      </w:r>
      <w:r>
        <w:rPr>
          <w:sz w:val="28"/>
        </w:rPr>
        <w:t>and</w:t>
      </w:r>
      <w:r>
        <w:rPr>
          <w:spacing w:val="-1"/>
          <w:sz w:val="28"/>
        </w:rPr>
        <w:t> </w:t>
      </w:r>
      <w:r>
        <w:rPr>
          <w:sz w:val="28"/>
        </w:rPr>
        <w:t>Molecular</w:t>
      </w:r>
      <w:r>
        <w:rPr>
          <w:spacing w:val="-4"/>
          <w:sz w:val="28"/>
        </w:rPr>
        <w:t> </w:t>
      </w:r>
      <w:r>
        <w:rPr>
          <w:sz w:val="28"/>
        </w:rPr>
        <w:t>Life</w:t>
      </w:r>
      <w:r>
        <w:rPr>
          <w:spacing w:val="-2"/>
          <w:sz w:val="28"/>
        </w:rPr>
        <w:t> </w:t>
      </w:r>
      <w:r>
        <w:rPr>
          <w:sz w:val="28"/>
        </w:rPr>
        <w:t>Sciences.</w:t>
      </w:r>
      <w:r>
        <w:rPr>
          <w:spacing w:val="-2"/>
          <w:sz w:val="28"/>
        </w:rPr>
        <w:t> </w:t>
      </w:r>
      <w:r>
        <w:rPr>
          <w:sz w:val="28"/>
        </w:rPr>
        <w:t>–</w:t>
      </w:r>
      <w:r>
        <w:rPr>
          <w:spacing w:val="-1"/>
          <w:sz w:val="28"/>
        </w:rPr>
        <w:t> </w:t>
      </w:r>
      <w:r>
        <w:rPr>
          <w:sz w:val="28"/>
        </w:rPr>
        <w:t>2020.</w:t>
      </w:r>
      <w:r>
        <w:rPr>
          <w:spacing w:val="-3"/>
          <w:sz w:val="28"/>
        </w:rPr>
        <w:t> </w:t>
      </w:r>
      <w:r>
        <w:rPr>
          <w:sz w:val="28"/>
        </w:rPr>
        <w:t>–</w:t>
      </w:r>
      <w:r>
        <w:rPr>
          <w:spacing w:val="-3"/>
          <w:sz w:val="28"/>
        </w:rPr>
        <w:t> </w:t>
      </w:r>
      <w:r>
        <w:rPr>
          <w:sz w:val="28"/>
        </w:rPr>
        <w:t>Т.</w:t>
      </w:r>
      <w:r>
        <w:rPr>
          <w:spacing w:val="-2"/>
          <w:sz w:val="28"/>
        </w:rPr>
        <w:t> </w:t>
      </w:r>
      <w:r>
        <w:rPr>
          <w:sz w:val="28"/>
        </w:rPr>
        <w:t>77.</w:t>
      </w:r>
      <w:r>
        <w:rPr>
          <w:spacing w:val="-2"/>
          <w:sz w:val="28"/>
        </w:rPr>
        <w:t> </w:t>
      </w:r>
      <w:r>
        <w:rPr>
          <w:sz w:val="28"/>
        </w:rPr>
        <w:t>–</w:t>
      </w:r>
      <w:r>
        <w:rPr>
          <w:spacing w:val="-1"/>
          <w:sz w:val="28"/>
        </w:rPr>
        <w:t> </w:t>
      </w:r>
      <w:r>
        <w:rPr>
          <w:sz w:val="28"/>
        </w:rPr>
        <w:t>С.</w:t>
      </w:r>
      <w:r>
        <w:rPr>
          <w:spacing w:val="-2"/>
          <w:sz w:val="28"/>
        </w:rPr>
        <w:t> </w:t>
      </w:r>
      <w:r>
        <w:rPr>
          <w:sz w:val="28"/>
        </w:rPr>
        <w:t>2029-2048.</w:t>
      </w:r>
    </w:p>
    <w:p>
      <w:pPr>
        <w:pStyle w:val="ListParagraph"/>
        <w:numPr>
          <w:ilvl w:val="1"/>
          <w:numId w:val="9"/>
        </w:numPr>
        <w:tabs>
          <w:tab w:pos="1421" w:val="left" w:leader="none"/>
        </w:tabs>
        <w:spacing w:line="256" w:lineRule="auto" w:before="0" w:after="0"/>
        <w:ind w:left="142" w:right="422" w:firstLine="707"/>
        <w:jc w:val="both"/>
        <w:rPr>
          <w:sz w:val="28"/>
        </w:rPr>
      </w:pPr>
      <w:r>
        <w:rPr>
          <w:sz w:val="28"/>
        </w:rPr>
        <w:t>Lv M. et al. Homozygous mutation in SLO3 leads to severe asthenoteratozoospermia due to acrosome hypoplasia and mitochondrial sheath malformations //Reproductive Biology and Endocrinology. – 2022. – Т. 20. – С. 1-15.</w:t>
      </w:r>
    </w:p>
    <w:p>
      <w:pPr>
        <w:pStyle w:val="ListParagraph"/>
        <w:numPr>
          <w:ilvl w:val="1"/>
          <w:numId w:val="9"/>
        </w:numPr>
        <w:tabs>
          <w:tab w:pos="1225" w:val="left" w:leader="none"/>
        </w:tabs>
        <w:spacing w:line="256" w:lineRule="auto" w:before="0" w:after="0"/>
        <w:ind w:left="144" w:right="419" w:firstLine="708"/>
        <w:jc w:val="both"/>
        <w:rPr>
          <w:sz w:val="28"/>
        </w:rPr>
      </w:pPr>
      <w:r>
        <w:rPr>
          <w:sz w:val="28"/>
        </w:rPr>
        <w:t>Cavarocchi E. et al. The sodium/proton exchanger SLC9C1 (sNHE) is essential for human sperm motility and fertility //Clinical Genetics. – 2021. – Т. 99. – №. 5. – С. </w:t>
      </w:r>
      <w:r>
        <w:rPr>
          <w:spacing w:val="-2"/>
          <w:sz w:val="28"/>
        </w:rPr>
        <w:t>684-693.</w:t>
      </w:r>
    </w:p>
    <w:p>
      <w:pPr>
        <w:pStyle w:val="ListParagraph"/>
        <w:numPr>
          <w:ilvl w:val="1"/>
          <w:numId w:val="9"/>
        </w:numPr>
        <w:tabs>
          <w:tab w:pos="1255" w:val="left" w:leader="none"/>
        </w:tabs>
        <w:spacing w:line="256" w:lineRule="auto" w:before="0" w:after="0"/>
        <w:ind w:left="143" w:right="421" w:firstLine="708"/>
        <w:jc w:val="both"/>
        <w:rPr>
          <w:sz w:val="28"/>
        </w:rPr>
      </w:pPr>
      <w:r>
        <w:rPr>
          <w:sz w:val="28"/>
        </w:rPr>
        <w:t>Wang D. et al. A new sperm-specific Na+/H+ exchanger required for sperm motility and fertility //Nature cell biology. – 2003. – Т. 5. – №. 12. – С. 1117-1122.</w:t>
      </w:r>
    </w:p>
    <w:p>
      <w:pPr>
        <w:pStyle w:val="ListParagraph"/>
        <w:numPr>
          <w:ilvl w:val="1"/>
          <w:numId w:val="9"/>
        </w:numPr>
        <w:tabs>
          <w:tab w:pos="1219" w:val="left" w:leader="none"/>
        </w:tabs>
        <w:spacing w:line="256" w:lineRule="auto" w:before="0" w:after="0"/>
        <w:ind w:left="144" w:right="419" w:firstLine="707"/>
        <w:jc w:val="both"/>
        <w:rPr>
          <w:sz w:val="28"/>
        </w:rPr>
      </w:pPr>
      <w:r>
        <w:rPr>
          <w:sz w:val="28"/>
        </w:rPr>
        <w:t>Avidan N. et al. CATSPER2, a human autosomal nonsyndromic male infertility gene //European Journal of Human Genetics. – 2003. – Т. 11. – №. 7. – С. 497-502.</w:t>
      </w:r>
    </w:p>
    <w:p>
      <w:pPr>
        <w:pStyle w:val="ListParagraph"/>
        <w:numPr>
          <w:ilvl w:val="1"/>
          <w:numId w:val="9"/>
        </w:numPr>
        <w:tabs>
          <w:tab w:pos="1214" w:val="left" w:leader="none"/>
        </w:tabs>
        <w:spacing w:line="256" w:lineRule="auto" w:before="0" w:after="0"/>
        <w:ind w:left="144" w:right="422" w:firstLine="707"/>
        <w:jc w:val="both"/>
        <w:rPr>
          <w:sz w:val="28"/>
        </w:rPr>
      </w:pPr>
      <w:r>
        <w:rPr>
          <w:sz w:val="28"/>
        </w:rPr>
        <w:t>Smith J. F. et al. Disruption of the principal, progesterone-activated sperm Ca2+ channel in a CatSper2-deficient infertile patient //Proceedings of the National Academy of Sciences. – 2013. – Т. 110. – №. 17. – С. 6823-6828.</w:t>
      </w:r>
    </w:p>
    <w:p>
      <w:pPr>
        <w:pStyle w:val="ListParagraph"/>
        <w:numPr>
          <w:ilvl w:val="1"/>
          <w:numId w:val="9"/>
        </w:numPr>
        <w:tabs>
          <w:tab w:pos="1237" w:val="left" w:leader="none"/>
        </w:tabs>
        <w:spacing w:line="256" w:lineRule="auto" w:before="0" w:after="0"/>
        <w:ind w:left="143" w:right="420" w:firstLine="707"/>
        <w:jc w:val="both"/>
        <w:rPr>
          <w:sz w:val="28"/>
        </w:rPr>
      </w:pPr>
      <w:r>
        <w:rPr>
          <w:sz w:val="28"/>
        </w:rPr>
        <w:t>Zhang Y. et al. Sensorineural deafness and male infertility: a contiguous gene deletion syndrome //Journal of medical genetics. – 2007. – Т. 44. – №. 4. – С. 233-240.</w:t>
      </w:r>
    </w:p>
    <w:p>
      <w:pPr>
        <w:pStyle w:val="ListParagraph"/>
        <w:numPr>
          <w:ilvl w:val="1"/>
          <w:numId w:val="9"/>
        </w:numPr>
        <w:tabs>
          <w:tab w:pos="1211" w:val="left" w:leader="none"/>
        </w:tabs>
        <w:spacing w:line="256" w:lineRule="auto" w:before="0" w:after="0"/>
        <w:ind w:left="144" w:right="421" w:firstLine="708"/>
        <w:jc w:val="both"/>
        <w:rPr>
          <w:sz w:val="28"/>
        </w:rPr>
      </w:pPr>
      <w:r>
        <w:rPr>
          <w:sz w:val="28"/>
        </w:rPr>
        <w:t>Schiffer C. et al. Rotational motion and rheotaxis of human sperm do not require functional CatSper channels and transmembrane Ca2+ signaling //The EMBO journal. – 2020. – Т. 39. – №. 4. – С. e102363.</w:t>
      </w:r>
    </w:p>
    <w:p>
      <w:pPr>
        <w:pStyle w:val="ListParagraph"/>
        <w:numPr>
          <w:ilvl w:val="1"/>
          <w:numId w:val="9"/>
        </w:numPr>
        <w:tabs>
          <w:tab w:pos="1210" w:val="left" w:leader="none"/>
        </w:tabs>
        <w:spacing w:line="256" w:lineRule="auto" w:before="0" w:after="0"/>
        <w:ind w:left="144" w:right="419" w:firstLine="707"/>
        <w:jc w:val="both"/>
        <w:rPr>
          <w:sz w:val="28"/>
        </w:rPr>
      </w:pPr>
      <w:r>
        <w:rPr>
          <w:sz w:val="28"/>
        </w:rPr>
        <w:t>Ho K., Wolff C. A., Suarez S. S. CatSper-null mutant spermatozoa are unable to ascend beyond the oviductal reservoir //Reproduction, Fertility and Development. – 2009. – Т. 21. – №. 2. – С. 345-350.</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1"/>
          <w:numId w:val="9"/>
        </w:numPr>
        <w:tabs>
          <w:tab w:pos="1258" w:val="left" w:leader="none"/>
        </w:tabs>
        <w:spacing w:line="240" w:lineRule="auto" w:before="69" w:after="0"/>
        <w:ind w:left="1258" w:right="0" w:hanging="406"/>
        <w:jc w:val="both"/>
        <w:rPr>
          <w:sz w:val="28"/>
        </w:rPr>
      </w:pPr>
      <w:r>
        <w:rPr>
          <w:sz w:val="28"/>
        </w:rPr>
        <w:t>Singh</w:t>
      </w:r>
      <w:r>
        <w:rPr>
          <w:spacing w:val="50"/>
          <w:sz w:val="28"/>
        </w:rPr>
        <w:t> </w:t>
      </w:r>
      <w:r>
        <w:rPr>
          <w:sz w:val="28"/>
        </w:rPr>
        <w:t>A.</w:t>
      </w:r>
      <w:r>
        <w:rPr>
          <w:spacing w:val="51"/>
          <w:sz w:val="28"/>
        </w:rPr>
        <w:t> </w:t>
      </w:r>
      <w:r>
        <w:rPr>
          <w:sz w:val="28"/>
        </w:rPr>
        <w:t>P.,</w:t>
      </w:r>
      <w:r>
        <w:rPr>
          <w:spacing w:val="52"/>
          <w:sz w:val="28"/>
        </w:rPr>
        <w:t> </w:t>
      </w:r>
      <w:r>
        <w:rPr>
          <w:sz w:val="28"/>
        </w:rPr>
        <w:t>Rajender</w:t>
      </w:r>
      <w:r>
        <w:rPr>
          <w:spacing w:val="51"/>
          <w:sz w:val="28"/>
        </w:rPr>
        <w:t> </w:t>
      </w:r>
      <w:r>
        <w:rPr>
          <w:sz w:val="28"/>
        </w:rPr>
        <w:t>S.</w:t>
      </w:r>
      <w:r>
        <w:rPr>
          <w:spacing w:val="51"/>
          <w:sz w:val="28"/>
        </w:rPr>
        <w:t> </w:t>
      </w:r>
      <w:r>
        <w:rPr>
          <w:sz w:val="28"/>
        </w:rPr>
        <w:t>CatSper</w:t>
      </w:r>
      <w:r>
        <w:rPr>
          <w:spacing w:val="52"/>
          <w:sz w:val="28"/>
        </w:rPr>
        <w:t> </w:t>
      </w:r>
      <w:r>
        <w:rPr>
          <w:sz w:val="28"/>
        </w:rPr>
        <w:t>channel,</w:t>
      </w:r>
      <w:r>
        <w:rPr>
          <w:spacing w:val="51"/>
          <w:sz w:val="28"/>
        </w:rPr>
        <w:t> </w:t>
      </w:r>
      <w:r>
        <w:rPr>
          <w:sz w:val="28"/>
        </w:rPr>
        <w:t>sperm</w:t>
      </w:r>
      <w:r>
        <w:rPr>
          <w:spacing w:val="51"/>
          <w:sz w:val="28"/>
        </w:rPr>
        <w:t> </w:t>
      </w:r>
      <w:r>
        <w:rPr>
          <w:sz w:val="28"/>
        </w:rPr>
        <w:t>function</w:t>
      </w:r>
      <w:r>
        <w:rPr>
          <w:spacing w:val="53"/>
          <w:sz w:val="28"/>
        </w:rPr>
        <w:t> </w:t>
      </w:r>
      <w:r>
        <w:rPr>
          <w:sz w:val="28"/>
        </w:rPr>
        <w:t>and</w:t>
      </w:r>
      <w:r>
        <w:rPr>
          <w:spacing w:val="52"/>
          <w:sz w:val="28"/>
        </w:rPr>
        <w:t> </w:t>
      </w:r>
      <w:r>
        <w:rPr>
          <w:sz w:val="28"/>
        </w:rPr>
        <w:t>male</w:t>
      </w:r>
      <w:r>
        <w:rPr>
          <w:spacing w:val="52"/>
          <w:sz w:val="28"/>
        </w:rPr>
        <w:t> </w:t>
      </w:r>
      <w:r>
        <w:rPr>
          <w:spacing w:val="-2"/>
          <w:sz w:val="28"/>
        </w:rPr>
        <w:t>fertility</w:t>
      </w:r>
    </w:p>
    <w:p>
      <w:pPr>
        <w:pStyle w:val="BodyText"/>
        <w:spacing w:before="21"/>
        <w:ind w:left="144"/>
      </w:pPr>
      <w:r>
        <w:rPr/>
        <w:t>//Reproductive</w:t>
      </w:r>
      <w:r>
        <w:rPr>
          <w:spacing w:val="-3"/>
        </w:rPr>
        <w:t> </w:t>
      </w:r>
      <w:r>
        <w:rPr/>
        <w:t>biomedicine</w:t>
      </w:r>
      <w:r>
        <w:rPr>
          <w:spacing w:val="-3"/>
        </w:rPr>
        <w:t> </w:t>
      </w:r>
      <w:r>
        <w:rPr/>
        <w:t>online.</w:t>
      </w:r>
      <w:r>
        <w:rPr>
          <w:spacing w:val="-3"/>
        </w:rPr>
        <w:t> </w:t>
      </w:r>
      <w:r>
        <w:rPr/>
        <w:t>–</w:t>
      </w:r>
      <w:r>
        <w:rPr>
          <w:spacing w:val="-3"/>
        </w:rPr>
        <w:t> </w:t>
      </w:r>
      <w:r>
        <w:rPr/>
        <w:t>2015.</w:t>
      </w:r>
      <w:r>
        <w:rPr>
          <w:spacing w:val="-6"/>
        </w:rPr>
        <w:t> </w:t>
      </w:r>
      <w:r>
        <w:rPr/>
        <w:t>–</w:t>
      </w:r>
      <w:r>
        <w:rPr>
          <w:spacing w:val="-2"/>
        </w:rPr>
        <w:t> </w:t>
      </w:r>
      <w:r>
        <w:rPr/>
        <w:t>Т.</w:t>
      </w:r>
      <w:r>
        <w:rPr>
          <w:spacing w:val="-2"/>
        </w:rPr>
        <w:t> </w:t>
      </w:r>
      <w:r>
        <w:rPr/>
        <w:t>30.</w:t>
      </w:r>
      <w:r>
        <w:rPr>
          <w:spacing w:val="-3"/>
        </w:rPr>
        <w:t> </w:t>
      </w:r>
      <w:r>
        <w:rPr/>
        <w:t>–</w:t>
      </w:r>
      <w:r>
        <w:rPr>
          <w:spacing w:val="-4"/>
        </w:rPr>
        <w:t> </w:t>
      </w:r>
      <w:r>
        <w:rPr/>
        <w:t>№.</w:t>
      </w:r>
      <w:r>
        <w:rPr>
          <w:spacing w:val="-3"/>
        </w:rPr>
        <w:t> </w:t>
      </w:r>
      <w:r>
        <w:rPr/>
        <w:t>1.</w:t>
      </w:r>
      <w:r>
        <w:rPr>
          <w:spacing w:val="-6"/>
        </w:rPr>
        <w:t> </w:t>
      </w:r>
      <w:r>
        <w:rPr/>
        <w:t>–</w:t>
      </w:r>
      <w:r>
        <w:rPr>
          <w:spacing w:val="-2"/>
        </w:rPr>
        <w:t> </w:t>
      </w:r>
      <w:r>
        <w:rPr/>
        <w:t>С.</w:t>
      </w:r>
      <w:r>
        <w:rPr>
          <w:spacing w:val="-2"/>
        </w:rPr>
        <w:t> </w:t>
      </w:r>
      <w:r>
        <w:rPr/>
        <w:t>28-</w:t>
      </w:r>
      <w:r>
        <w:rPr>
          <w:spacing w:val="-5"/>
        </w:rPr>
        <w:t>38.</w:t>
      </w:r>
    </w:p>
    <w:p>
      <w:pPr>
        <w:pStyle w:val="ListParagraph"/>
        <w:numPr>
          <w:ilvl w:val="1"/>
          <w:numId w:val="9"/>
        </w:numPr>
        <w:tabs>
          <w:tab w:pos="1199" w:val="left" w:leader="none"/>
        </w:tabs>
        <w:spacing w:line="256" w:lineRule="auto" w:before="21" w:after="0"/>
        <w:ind w:left="143" w:right="421" w:firstLine="707"/>
        <w:jc w:val="both"/>
        <w:rPr>
          <w:sz w:val="28"/>
        </w:rPr>
      </w:pPr>
      <w:r>
        <w:rPr>
          <w:sz w:val="28"/>
        </w:rPr>
        <w:t>He</w:t>
      </w:r>
      <w:r>
        <w:rPr>
          <w:spacing w:val="-2"/>
          <w:sz w:val="28"/>
        </w:rPr>
        <w:t> </w:t>
      </w:r>
      <w:r>
        <w:rPr>
          <w:sz w:val="28"/>
        </w:rPr>
        <w:t>W.</w:t>
      </w:r>
      <w:r>
        <w:rPr>
          <w:spacing w:val="-2"/>
          <w:sz w:val="28"/>
        </w:rPr>
        <w:t> </w:t>
      </w:r>
      <w:r>
        <w:rPr>
          <w:sz w:val="28"/>
        </w:rPr>
        <w:t>B.</w:t>
      </w:r>
      <w:r>
        <w:rPr>
          <w:spacing w:val="-2"/>
          <w:sz w:val="28"/>
        </w:rPr>
        <w:t> </w:t>
      </w:r>
      <w:r>
        <w:rPr>
          <w:sz w:val="28"/>
        </w:rPr>
        <w:t>et</w:t>
      </w:r>
      <w:r>
        <w:rPr>
          <w:spacing w:val="-1"/>
          <w:sz w:val="28"/>
        </w:rPr>
        <w:t> </w:t>
      </w:r>
      <w:r>
        <w:rPr>
          <w:sz w:val="28"/>
        </w:rPr>
        <w:t>al.</w:t>
      </w:r>
      <w:r>
        <w:rPr>
          <w:spacing w:val="-2"/>
          <w:sz w:val="28"/>
        </w:rPr>
        <w:t> </w:t>
      </w:r>
      <w:r>
        <w:rPr>
          <w:sz w:val="28"/>
        </w:rPr>
        <w:t>Novel</w:t>
      </w:r>
      <w:r>
        <w:rPr>
          <w:spacing w:val="-1"/>
          <w:sz w:val="28"/>
        </w:rPr>
        <w:t> </w:t>
      </w:r>
      <w:r>
        <w:rPr>
          <w:sz w:val="28"/>
        </w:rPr>
        <w:t>mutations</w:t>
      </w:r>
      <w:r>
        <w:rPr>
          <w:spacing w:val="-1"/>
          <w:sz w:val="28"/>
        </w:rPr>
        <w:t> </w:t>
      </w:r>
      <w:r>
        <w:rPr>
          <w:sz w:val="28"/>
        </w:rPr>
        <w:t>of</w:t>
      </w:r>
      <w:r>
        <w:rPr>
          <w:spacing w:val="-2"/>
          <w:sz w:val="28"/>
        </w:rPr>
        <w:t> </w:t>
      </w:r>
      <w:r>
        <w:rPr>
          <w:sz w:val="28"/>
        </w:rPr>
        <w:t>PKD</w:t>
      </w:r>
      <w:r>
        <w:rPr>
          <w:spacing w:val="-3"/>
          <w:sz w:val="28"/>
        </w:rPr>
        <w:t> </w:t>
      </w:r>
      <w:r>
        <w:rPr>
          <w:sz w:val="28"/>
        </w:rPr>
        <w:t>genes</w:t>
      </w:r>
      <w:r>
        <w:rPr>
          <w:spacing w:val="-1"/>
          <w:sz w:val="28"/>
        </w:rPr>
        <w:t> </w:t>
      </w:r>
      <w:r>
        <w:rPr>
          <w:sz w:val="28"/>
        </w:rPr>
        <w:t>in</w:t>
      </w:r>
      <w:r>
        <w:rPr>
          <w:spacing w:val="-1"/>
          <w:sz w:val="28"/>
        </w:rPr>
        <w:t> </w:t>
      </w:r>
      <w:r>
        <w:rPr>
          <w:sz w:val="28"/>
        </w:rPr>
        <w:t>Chinese</w:t>
      </w:r>
      <w:r>
        <w:rPr>
          <w:spacing w:val="-4"/>
          <w:sz w:val="28"/>
        </w:rPr>
        <w:t> </w:t>
      </w:r>
      <w:r>
        <w:rPr>
          <w:sz w:val="28"/>
        </w:rPr>
        <w:t>patients</w:t>
      </w:r>
      <w:r>
        <w:rPr>
          <w:spacing w:val="-1"/>
          <w:sz w:val="28"/>
        </w:rPr>
        <w:t> </w:t>
      </w:r>
      <w:r>
        <w:rPr>
          <w:sz w:val="28"/>
        </w:rPr>
        <w:t>suffering</w:t>
      </w:r>
      <w:r>
        <w:rPr>
          <w:spacing w:val="-1"/>
          <w:sz w:val="28"/>
        </w:rPr>
        <w:t> </w:t>
      </w:r>
      <w:r>
        <w:rPr>
          <w:sz w:val="28"/>
        </w:rPr>
        <w:t>from autosomal dominant polycystic kidney disease and seeking assisted reproduction //BMC Medical Genetics. – 2018. – Т. 19. – С. 1-13.</w:t>
      </w:r>
    </w:p>
    <w:p>
      <w:pPr>
        <w:pStyle w:val="ListParagraph"/>
        <w:numPr>
          <w:ilvl w:val="1"/>
          <w:numId w:val="9"/>
        </w:numPr>
        <w:tabs>
          <w:tab w:pos="1244" w:val="left" w:leader="none"/>
        </w:tabs>
        <w:spacing w:line="256" w:lineRule="auto" w:before="0" w:after="0"/>
        <w:ind w:left="144" w:right="419" w:firstLine="708"/>
        <w:jc w:val="both"/>
        <w:rPr>
          <w:sz w:val="28"/>
        </w:rPr>
      </w:pPr>
      <w:r>
        <w:rPr>
          <w:color w:val="1C1C1C"/>
          <w:sz w:val="28"/>
        </w:rPr>
        <w:t>Gao Z., Ruden D. M., Lu X. PKD2 cation channel is required for directional sperm movement and male fertility //Current Biology. – 2003. – Т. 13. – №. 24. – С.</w:t>
      </w:r>
      <w:r>
        <w:rPr>
          <w:color w:val="1C1C1C"/>
          <w:spacing w:val="80"/>
          <w:sz w:val="28"/>
        </w:rPr>
        <w:t> </w:t>
      </w:r>
      <w:r>
        <w:rPr>
          <w:color w:val="1C1C1C"/>
          <w:spacing w:val="-2"/>
          <w:sz w:val="28"/>
        </w:rPr>
        <w:t>2175-2178.</w:t>
      </w:r>
    </w:p>
    <w:p>
      <w:pPr>
        <w:pStyle w:val="ListParagraph"/>
        <w:numPr>
          <w:ilvl w:val="1"/>
          <w:numId w:val="9"/>
        </w:numPr>
        <w:tabs>
          <w:tab w:pos="1217" w:val="left" w:leader="none"/>
        </w:tabs>
        <w:spacing w:line="256" w:lineRule="auto" w:before="0" w:after="0"/>
        <w:ind w:left="143" w:right="421" w:firstLine="708"/>
        <w:jc w:val="both"/>
        <w:rPr>
          <w:sz w:val="28"/>
        </w:rPr>
      </w:pPr>
      <w:r>
        <w:rPr>
          <w:sz w:val="28"/>
        </w:rPr>
        <w:t>Köttgen M. et al. Drosophila sperm swim backwards in the female reproductive tract and are activated via TRPP2 ion channels //PLoS One. – 2011. – Т. 6. – №. 5. – С. </w:t>
      </w:r>
      <w:r>
        <w:rPr>
          <w:spacing w:val="-2"/>
          <w:sz w:val="28"/>
        </w:rPr>
        <w:t>e20031.</w:t>
      </w:r>
    </w:p>
    <w:p>
      <w:pPr>
        <w:pStyle w:val="ListParagraph"/>
        <w:numPr>
          <w:ilvl w:val="1"/>
          <w:numId w:val="9"/>
        </w:numPr>
        <w:tabs>
          <w:tab w:pos="1247" w:val="left" w:leader="none"/>
        </w:tabs>
        <w:spacing w:line="256" w:lineRule="auto" w:before="0" w:after="0"/>
        <w:ind w:left="143" w:right="423" w:firstLine="707"/>
        <w:jc w:val="both"/>
        <w:rPr>
          <w:sz w:val="28"/>
        </w:rPr>
      </w:pPr>
      <w:r>
        <w:rPr>
          <w:sz w:val="28"/>
        </w:rPr>
        <w:t>Busch T., Köttgen M., Hofherr A. TRPP2 ion channels: critical regulators of organ morphogenesis in health and disease //Cell Calcium. – 2017. – Т. 66. – С. 25-32.</w:t>
      </w:r>
    </w:p>
    <w:p>
      <w:pPr>
        <w:pStyle w:val="ListParagraph"/>
        <w:numPr>
          <w:ilvl w:val="1"/>
          <w:numId w:val="9"/>
        </w:numPr>
        <w:tabs>
          <w:tab w:pos="1222" w:val="left" w:leader="none"/>
        </w:tabs>
        <w:spacing w:line="256" w:lineRule="auto" w:before="0" w:after="0"/>
        <w:ind w:left="143" w:right="418" w:firstLine="708"/>
        <w:jc w:val="both"/>
        <w:rPr>
          <w:sz w:val="28"/>
        </w:rPr>
      </w:pPr>
      <w:r>
        <w:rPr>
          <w:sz w:val="28"/>
        </w:rPr>
        <w:t>Israelson A. et al. Localization of the voltage-dependent anion channel-1 Ca2+-binding sites //Cell Calcium. – 2007. – Т. 41. – №. 3. – С. 235-244.</w:t>
      </w:r>
    </w:p>
    <w:p>
      <w:pPr>
        <w:pStyle w:val="ListParagraph"/>
        <w:numPr>
          <w:ilvl w:val="1"/>
          <w:numId w:val="9"/>
        </w:numPr>
        <w:tabs>
          <w:tab w:pos="1249" w:val="left" w:leader="none"/>
        </w:tabs>
        <w:spacing w:line="256" w:lineRule="auto" w:before="0" w:after="0"/>
        <w:ind w:left="143" w:right="420" w:firstLine="707"/>
        <w:jc w:val="both"/>
        <w:rPr>
          <w:sz w:val="28"/>
        </w:rPr>
      </w:pPr>
      <w:r>
        <w:rPr>
          <w:sz w:val="28"/>
        </w:rPr>
        <w:t>De Pinto V. et al. Voltage-dependent anion-selective channel (VDAC) in the plasma membrane //FEBS letters. – 2010. – Т. 584. – №. 9. – С. 1793-1799.</w:t>
      </w:r>
    </w:p>
    <w:p>
      <w:pPr>
        <w:pStyle w:val="BodyText"/>
        <w:spacing w:line="256" w:lineRule="auto"/>
        <w:ind w:left="142" w:right="422" w:firstLine="707"/>
      </w:pPr>
      <w:r>
        <w:rPr/>
        <w:t>70. Asmarinah et al. Mutation in exon 6 of the human VDAC3 (porin type 3) gene</w:t>
      </w:r>
      <w:r>
        <w:rPr>
          <w:spacing w:val="40"/>
        </w:rPr>
        <w:t> </w:t>
      </w:r>
      <w:r>
        <w:rPr/>
        <w:t>in the sperm with low motility //INTERNATIONAL JOURNAL OF ANDROLOGY. – 2005. – Т. 28. – С. 35-35.</w:t>
      </w:r>
    </w:p>
    <w:p>
      <w:pPr>
        <w:pStyle w:val="ListParagraph"/>
        <w:numPr>
          <w:ilvl w:val="0"/>
          <w:numId w:val="10"/>
        </w:numPr>
        <w:tabs>
          <w:tab w:pos="1215" w:val="left" w:leader="none"/>
        </w:tabs>
        <w:spacing w:line="256" w:lineRule="auto" w:before="0" w:after="0"/>
        <w:ind w:left="142" w:right="420" w:firstLine="707"/>
        <w:jc w:val="both"/>
        <w:rPr>
          <w:sz w:val="28"/>
        </w:rPr>
      </w:pPr>
      <w:r>
        <w:rPr>
          <w:sz w:val="28"/>
        </w:rPr>
        <w:t>Asmarinah et al. Mutations in exons 5, 7 and 8 of the human voltage-dependent anion channel type</w:t>
      </w:r>
      <w:r>
        <w:rPr>
          <w:spacing w:val="-3"/>
          <w:sz w:val="28"/>
        </w:rPr>
        <w:t> </w:t>
      </w:r>
      <w:r>
        <w:rPr>
          <w:sz w:val="28"/>
        </w:rPr>
        <w:t>3 (VDAC3)</w:t>
      </w:r>
      <w:r>
        <w:rPr>
          <w:spacing w:val="-3"/>
          <w:sz w:val="28"/>
        </w:rPr>
        <w:t> </w:t>
      </w:r>
      <w:r>
        <w:rPr>
          <w:sz w:val="28"/>
        </w:rPr>
        <w:t>gene</w:t>
      </w:r>
      <w:r>
        <w:rPr>
          <w:spacing w:val="-3"/>
          <w:sz w:val="28"/>
        </w:rPr>
        <w:t> </w:t>
      </w:r>
      <w:r>
        <w:rPr>
          <w:sz w:val="28"/>
        </w:rPr>
        <w:t>in</w:t>
      </w:r>
      <w:r>
        <w:rPr>
          <w:spacing w:val="-2"/>
          <w:sz w:val="28"/>
        </w:rPr>
        <w:t> </w:t>
      </w:r>
      <w:r>
        <w:rPr>
          <w:sz w:val="28"/>
        </w:rPr>
        <w:t>sperm</w:t>
      </w:r>
      <w:r>
        <w:rPr>
          <w:spacing w:val="-1"/>
          <w:sz w:val="28"/>
        </w:rPr>
        <w:t> </w:t>
      </w:r>
      <w:r>
        <w:rPr>
          <w:sz w:val="28"/>
        </w:rPr>
        <w:t>with low motility</w:t>
      </w:r>
      <w:r>
        <w:rPr>
          <w:spacing w:val="-2"/>
          <w:sz w:val="28"/>
        </w:rPr>
        <w:t> </w:t>
      </w:r>
      <w:r>
        <w:rPr>
          <w:sz w:val="28"/>
        </w:rPr>
        <w:t>//Andrologia.</w:t>
      </w:r>
      <w:r>
        <w:rPr>
          <w:spacing w:val="-1"/>
          <w:sz w:val="28"/>
        </w:rPr>
        <w:t> </w:t>
      </w:r>
      <w:r>
        <w:rPr>
          <w:sz w:val="28"/>
        </w:rPr>
        <w:t>– 2012.</w:t>
      </w:r>
      <w:r>
        <w:rPr>
          <w:spacing w:val="-4"/>
          <w:sz w:val="28"/>
        </w:rPr>
        <w:t> </w:t>
      </w:r>
      <w:r>
        <w:rPr>
          <w:sz w:val="28"/>
        </w:rPr>
        <w:t>– Т.</w:t>
      </w:r>
    </w:p>
    <w:p>
      <w:pPr>
        <w:pStyle w:val="BodyText"/>
        <w:spacing w:line="322" w:lineRule="exact"/>
        <w:ind w:left="142"/>
      </w:pPr>
      <w:r>
        <w:rPr/>
        <w:t>44.</w:t>
      </w:r>
      <w:r>
        <w:rPr>
          <w:spacing w:val="-5"/>
        </w:rPr>
        <w:t> </w:t>
      </w:r>
      <w:r>
        <w:rPr/>
        <w:t>– №.</w:t>
      </w:r>
      <w:r>
        <w:rPr>
          <w:spacing w:val="-1"/>
        </w:rPr>
        <w:t> </w:t>
      </w:r>
      <w:r>
        <w:rPr/>
        <w:t>1.</w:t>
      </w:r>
      <w:r>
        <w:rPr>
          <w:spacing w:val="-5"/>
        </w:rPr>
        <w:t> </w:t>
      </w:r>
      <w:r>
        <w:rPr/>
        <w:t>– С.</w:t>
      </w:r>
      <w:r>
        <w:rPr>
          <w:spacing w:val="-1"/>
        </w:rPr>
        <w:t> </w:t>
      </w:r>
      <w:r>
        <w:rPr/>
        <w:t>46-</w:t>
      </w:r>
      <w:r>
        <w:rPr>
          <w:spacing w:val="-5"/>
        </w:rPr>
        <w:t>52.</w:t>
      </w:r>
    </w:p>
    <w:p>
      <w:pPr>
        <w:pStyle w:val="ListParagraph"/>
        <w:numPr>
          <w:ilvl w:val="0"/>
          <w:numId w:val="10"/>
        </w:numPr>
        <w:tabs>
          <w:tab w:pos="1221" w:val="left" w:leader="none"/>
        </w:tabs>
        <w:spacing w:line="256" w:lineRule="auto" w:before="0" w:after="0"/>
        <w:ind w:left="142" w:right="421" w:firstLine="708"/>
        <w:jc w:val="both"/>
        <w:rPr>
          <w:sz w:val="28"/>
        </w:rPr>
      </w:pPr>
      <w:r>
        <w:rPr>
          <w:sz w:val="28"/>
        </w:rPr>
        <w:t>Xu A. et al. Abnormal hypermethylation of the VDAC2 promoter is a potential cause of idiopathic asthenospermia in men //Scientific reports. – 2016. – Т. 6. – №. 1. – С. </w:t>
      </w:r>
      <w:r>
        <w:rPr>
          <w:spacing w:val="-2"/>
          <w:sz w:val="28"/>
        </w:rPr>
        <w:t>37836.</w:t>
      </w:r>
    </w:p>
    <w:p>
      <w:pPr>
        <w:pStyle w:val="ListParagraph"/>
        <w:numPr>
          <w:ilvl w:val="0"/>
          <w:numId w:val="10"/>
        </w:numPr>
        <w:tabs>
          <w:tab w:pos="1241" w:val="left" w:leader="none"/>
        </w:tabs>
        <w:spacing w:line="256" w:lineRule="auto" w:before="0" w:after="0"/>
        <w:ind w:left="142" w:right="422" w:firstLine="707"/>
        <w:jc w:val="both"/>
        <w:rPr>
          <w:sz w:val="28"/>
        </w:rPr>
      </w:pPr>
      <w:r>
        <w:rPr>
          <w:sz w:val="28"/>
        </w:rPr>
        <w:t>Touré A. et al. The testis anion transporter 1 (Slc26a8) is required for sperm terminal differentiation and male fertility in the mouse //Human molecular genetics. – 2007. – Т. 16. – №. 15. – С. 1783-1793.</w:t>
      </w:r>
    </w:p>
    <w:p>
      <w:pPr>
        <w:pStyle w:val="ListParagraph"/>
        <w:numPr>
          <w:ilvl w:val="0"/>
          <w:numId w:val="10"/>
        </w:numPr>
        <w:tabs>
          <w:tab w:pos="1254" w:val="left" w:leader="none"/>
        </w:tabs>
        <w:spacing w:line="256" w:lineRule="auto" w:before="0" w:after="0"/>
        <w:ind w:left="142" w:right="423" w:firstLine="708"/>
        <w:jc w:val="both"/>
        <w:rPr>
          <w:sz w:val="28"/>
        </w:rPr>
      </w:pPr>
      <w:r>
        <w:rPr>
          <w:sz w:val="28"/>
        </w:rPr>
        <w:t>Rode B. et al. The testis anion transporter TAT1 (SLC26A8) physically and functionally interacts with the cystic fibrosis transmembrane conductance regulator channel: a potential role during sperm capacitation //Human molecular genetics. – 2012. – Т. 21. – №. 6. – С. 1287-1298.</w:t>
      </w:r>
    </w:p>
    <w:p>
      <w:pPr>
        <w:pStyle w:val="ListParagraph"/>
        <w:numPr>
          <w:ilvl w:val="0"/>
          <w:numId w:val="10"/>
        </w:numPr>
        <w:tabs>
          <w:tab w:pos="1251" w:val="left" w:leader="none"/>
        </w:tabs>
        <w:spacing w:line="256" w:lineRule="auto" w:before="0" w:after="0"/>
        <w:ind w:left="142" w:right="422" w:firstLine="707"/>
        <w:jc w:val="both"/>
        <w:rPr>
          <w:sz w:val="28"/>
        </w:rPr>
      </w:pPr>
      <w:r>
        <w:rPr>
          <w:sz w:val="28"/>
        </w:rPr>
        <w:t>Dirami T. et al. Missense mutations in SLC26A8, encoding a sperm-specific activator of CFTR, are associated with human asthenozoospermia //The American Journal of Human Genetics. – 2013. – Т. 92. – №. 5. – С. 760-766.</w:t>
      </w:r>
    </w:p>
    <w:p>
      <w:pPr>
        <w:pStyle w:val="ListParagraph"/>
        <w:numPr>
          <w:ilvl w:val="0"/>
          <w:numId w:val="10"/>
        </w:numPr>
        <w:tabs>
          <w:tab w:pos="1245" w:val="left" w:leader="none"/>
        </w:tabs>
        <w:spacing w:line="256" w:lineRule="auto" w:before="0" w:after="0"/>
        <w:ind w:left="141" w:right="423" w:firstLine="707"/>
        <w:jc w:val="both"/>
        <w:rPr>
          <w:sz w:val="28"/>
        </w:rPr>
      </w:pPr>
      <w:r>
        <w:rPr>
          <w:sz w:val="28"/>
        </w:rPr>
        <w:t>Zhang T. et al. System analysis of teratozoospermia mRNA profile based on integrated bioinformatics tools //Molecular Medicine Reports. – 2018. – Т. 18. – №. 2. –</w:t>
      </w:r>
      <w:r>
        <w:rPr>
          <w:spacing w:val="40"/>
          <w:sz w:val="28"/>
        </w:rPr>
        <w:t> </w:t>
      </w:r>
      <w:r>
        <w:rPr>
          <w:sz w:val="28"/>
        </w:rPr>
        <w:t>С. 1297-1304.</w:t>
      </w:r>
    </w:p>
    <w:p>
      <w:pPr>
        <w:pStyle w:val="ListParagraph"/>
        <w:numPr>
          <w:ilvl w:val="0"/>
          <w:numId w:val="10"/>
        </w:numPr>
        <w:tabs>
          <w:tab w:pos="1243" w:val="left" w:leader="none"/>
        </w:tabs>
        <w:spacing w:line="256" w:lineRule="auto" w:before="0" w:after="0"/>
        <w:ind w:left="142" w:right="425" w:firstLine="707"/>
        <w:jc w:val="both"/>
        <w:rPr>
          <w:sz w:val="28"/>
        </w:rPr>
      </w:pPr>
      <w:r>
        <w:rPr>
          <w:sz w:val="28"/>
        </w:rPr>
        <w:t>De Braekeleer M. et al. Genetic aspects of monomorphic teratozoospermia: a review //Journal of assisted reproduction and genetics. – 2015. – Т. 32. – С. 615-623.</w:t>
      </w:r>
    </w:p>
    <w:p>
      <w:pPr>
        <w:pStyle w:val="ListParagraph"/>
        <w:numPr>
          <w:ilvl w:val="0"/>
          <w:numId w:val="10"/>
        </w:numPr>
        <w:tabs>
          <w:tab w:pos="1299" w:val="left" w:leader="none"/>
        </w:tabs>
        <w:spacing w:line="256" w:lineRule="auto" w:before="0" w:after="0"/>
        <w:ind w:left="141" w:right="425" w:firstLine="708"/>
        <w:jc w:val="both"/>
        <w:rPr>
          <w:sz w:val="28"/>
        </w:rPr>
      </w:pPr>
      <w:r>
        <w:rPr>
          <w:sz w:val="28"/>
        </w:rPr>
        <w:t>Menkveld R., Holleboom C. A. G., Rhemrev J. P. T. Measurement and significance of sperm morphology //Asian journal of andrology. – 2010. – Т. 13. – №. 1. – С. 59-68.</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0"/>
        </w:numPr>
        <w:tabs>
          <w:tab w:pos="1271" w:val="left" w:leader="none"/>
        </w:tabs>
        <w:spacing w:line="256" w:lineRule="auto" w:before="69" w:after="0"/>
        <w:ind w:left="144" w:right="422" w:firstLine="708"/>
        <w:jc w:val="right"/>
        <w:rPr>
          <w:sz w:val="28"/>
        </w:rPr>
      </w:pPr>
      <w:r>
        <w:rPr>
          <w:sz w:val="28"/>
        </w:rPr>
        <w:t>Danis</w:t>
      </w:r>
      <w:r>
        <w:rPr>
          <w:spacing w:val="40"/>
          <w:sz w:val="28"/>
        </w:rPr>
        <w:t> </w:t>
      </w:r>
      <w:r>
        <w:rPr>
          <w:sz w:val="28"/>
        </w:rPr>
        <w:t>R.</w:t>
      </w:r>
      <w:r>
        <w:rPr>
          <w:spacing w:val="40"/>
          <w:sz w:val="28"/>
        </w:rPr>
        <w:t> </w:t>
      </w:r>
      <w:r>
        <w:rPr>
          <w:sz w:val="28"/>
        </w:rPr>
        <w:t>B.,</w:t>
      </w:r>
      <w:r>
        <w:rPr>
          <w:spacing w:val="40"/>
          <w:sz w:val="28"/>
        </w:rPr>
        <w:t> </w:t>
      </w:r>
      <w:r>
        <w:rPr>
          <w:sz w:val="28"/>
        </w:rPr>
        <w:t>Samplaski</w:t>
      </w:r>
      <w:r>
        <w:rPr>
          <w:spacing w:val="40"/>
          <w:sz w:val="28"/>
        </w:rPr>
        <w:t> </w:t>
      </w:r>
      <w:r>
        <w:rPr>
          <w:sz w:val="28"/>
        </w:rPr>
        <w:t>M.</w:t>
      </w:r>
      <w:r>
        <w:rPr>
          <w:spacing w:val="40"/>
          <w:sz w:val="28"/>
        </w:rPr>
        <w:t> </w:t>
      </w:r>
      <w:r>
        <w:rPr>
          <w:sz w:val="28"/>
        </w:rPr>
        <w:t>K.</w:t>
      </w:r>
      <w:r>
        <w:rPr>
          <w:spacing w:val="40"/>
          <w:sz w:val="28"/>
        </w:rPr>
        <w:t> </w:t>
      </w:r>
      <w:r>
        <w:rPr>
          <w:sz w:val="28"/>
        </w:rPr>
        <w:t>Sperm</w:t>
      </w:r>
      <w:r>
        <w:rPr>
          <w:spacing w:val="40"/>
          <w:sz w:val="28"/>
        </w:rPr>
        <w:t> </w:t>
      </w:r>
      <w:r>
        <w:rPr>
          <w:sz w:val="28"/>
        </w:rPr>
        <w:t>morphology:</w:t>
      </w:r>
      <w:r>
        <w:rPr>
          <w:spacing w:val="40"/>
          <w:sz w:val="28"/>
        </w:rPr>
        <w:t> </w:t>
      </w:r>
      <w:r>
        <w:rPr>
          <w:sz w:val="28"/>
        </w:rPr>
        <w:t>history,</w:t>
      </w:r>
      <w:r>
        <w:rPr>
          <w:spacing w:val="40"/>
          <w:sz w:val="28"/>
        </w:rPr>
        <w:t> </w:t>
      </w:r>
      <w:r>
        <w:rPr>
          <w:sz w:val="28"/>
        </w:rPr>
        <w:t>challenges,</w:t>
      </w:r>
      <w:r>
        <w:rPr>
          <w:spacing w:val="40"/>
          <w:sz w:val="28"/>
        </w:rPr>
        <w:t> </w:t>
      </w:r>
      <w:r>
        <w:rPr>
          <w:sz w:val="28"/>
        </w:rPr>
        <w:t>and</w:t>
      </w:r>
      <w:r>
        <w:rPr>
          <w:spacing w:val="80"/>
          <w:sz w:val="28"/>
        </w:rPr>
        <w:t> </w:t>
      </w:r>
      <w:r>
        <w:rPr>
          <w:sz w:val="28"/>
        </w:rPr>
        <w:t>impact on natural and assisted fertility //Current urology reports.</w:t>
      </w:r>
      <w:r>
        <w:rPr>
          <w:spacing w:val="-1"/>
          <w:sz w:val="28"/>
        </w:rPr>
        <w:t> </w:t>
      </w:r>
      <w:r>
        <w:rPr>
          <w:sz w:val="28"/>
        </w:rPr>
        <w:t>– 2019. – Т. 20. – С.</w:t>
      </w:r>
      <w:r>
        <w:rPr>
          <w:spacing w:val="-1"/>
          <w:sz w:val="28"/>
        </w:rPr>
        <w:t> </w:t>
      </w:r>
      <w:r>
        <w:rPr>
          <w:sz w:val="28"/>
        </w:rPr>
        <w:t>1-8. 80 Cooper T. G. et al. World Health Organization reference values for human semen</w:t>
      </w:r>
    </w:p>
    <w:p>
      <w:pPr>
        <w:pStyle w:val="BodyText"/>
        <w:spacing w:line="318" w:lineRule="exact"/>
        <w:ind w:left="143"/>
      </w:pPr>
      <w:r>
        <w:rPr/>
        <w:t>characteristics</w:t>
      </w:r>
      <w:r>
        <w:rPr>
          <w:spacing w:val="-3"/>
        </w:rPr>
        <w:t> </w:t>
      </w:r>
      <w:r>
        <w:rPr/>
        <w:t>//Human</w:t>
      </w:r>
      <w:r>
        <w:rPr>
          <w:spacing w:val="-2"/>
        </w:rPr>
        <w:t> </w:t>
      </w:r>
      <w:r>
        <w:rPr/>
        <w:t>reproduction</w:t>
      </w:r>
      <w:r>
        <w:rPr>
          <w:spacing w:val="-2"/>
        </w:rPr>
        <w:t> </w:t>
      </w:r>
      <w:r>
        <w:rPr/>
        <w:t>update.</w:t>
      </w:r>
      <w:r>
        <w:rPr>
          <w:spacing w:val="-4"/>
        </w:rPr>
        <w:t> </w:t>
      </w:r>
      <w:r>
        <w:rPr/>
        <w:t>–</w:t>
      </w:r>
      <w:r>
        <w:rPr>
          <w:spacing w:val="-3"/>
        </w:rPr>
        <w:t> </w:t>
      </w:r>
      <w:r>
        <w:rPr/>
        <w:t>2010.</w:t>
      </w:r>
      <w:r>
        <w:rPr>
          <w:spacing w:val="-4"/>
        </w:rPr>
        <w:t> </w:t>
      </w:r>
      <w:r>
        <w:rPr/>
        <w:t>–</w:t>
      </w:r>
      <w:r>
        <w:rPr>
          <w:spacing w:val="-3"/>
        </w:rPr>
        <w:t> </w:t>
      </w:r>
      <w:r>
        <w:rPr/>
        <w:t>Т.</w:t>
      </w:r>
      <w:r>
        <w:rPr>
          <w:spacing w:val="-6"/>
        </w:rPr>
        <w:t> </w:t>
      </w:r>
      <w:r>
        <w:rPr/>
        <w:t>16.</w:t>
      </w:r>
      <w:r>
        <w:rPr>
          <w:spacing w:val="-6"/>
        </w:rPr>
        <w:t> </w:t>
      </w:r>
      <w:r>
        <w:rPr/>
        <w:t>–</w:t>
      </w:r>
      <w:r>
        <w:rPr>
          <w:spacing w:val="-4"/>
        </w:rPr>
        <w:t> </w:t>
      </w:r>
      <w:r>
        <w:rPr/>
        <w:t>№.</w:t>
      </w:r>
      <w:r>
        <w:rPr>
          <w:spacing w:val="-4"/>
        </w:rPr>
        <w:t> </w:t>
      </w:r>
      <w:r>
        <w:rPr/>
        <w:t>3.</w:t>
      </w:r>
      <w:r>
        <w:rPr>
          <w:spacing w:val="-3"/>
        </w:rPr>
        <w:t> </w:t>
      </w:r>
      <w:r>
        <w:rPr/>
        <w:t>–</w:t>
      </w:r>
      <w:r>
        <w:rPr>
          <w:spacing w:val="-2"/>
        </w:rPr>
        <w:t> </w:t>
      </w:r>
      <w:r>
        <w:rPr/>
        <w:t>С.</w:t>
      </w:r>
      <w:r>
        <w:rPr>
          <w:spacing w:val="-6"/>
        </w:rPr>
        <w:t> </w:t>
      </w:r>
      <w:r>
        <w:rPr/>
        <w:t>231-</w:t>
      </w:r>
      <w:r>
        <w:rPr>
          <w:spacing w:val="-4"/>
        </w:rPr>
        <w:t>245.</w:t>
      </w:r>
    </w:p>
    <w:p>
      <w:pPr>
        <w:pStyle w:val="BodyText"/>
        <w:spacing w:line="256" w:lineRule="auto" w:before="21"/>
        <w:ind w:left="143" w:right="422" w:firstLine="708"/>
      </w:pPr>
      <w:r>
        <w:rPr/>
        <w:t>81 Hotaling J. M. et al. The relationship between isolated teratozoospermia and clinical pregnancy after in vitro fertilization with or without intracytoplasmic sperm injection: a systematic review and meta-analysis //Fertility and sterility. – 2011. – Т. 95. –</w:t>
      </w:r>
    </w:p>
    <w:p>
      <w:pPr>
        <w:pStyle w:val="BodyText"/>
        <w:spacing w:line="318" w:lineRule="exact"/>
        <w:ind w:left="143"/>
      </w:pPr>
      <w:r>
        <w:rPr/>
        <w:t>№.</w:t>
      </w:r>
      <w:r>
        <w:rPr>
          <w:spacing w:val="-4"/>
        </w:rPr>
        <w:t> </w:t>
      </w:r>
      <w:r>
        <w:rPr/>
        <w:t>3.</w:t>
      </w:r>
      <w:r>
        <w:rPr>
          <w:spacing w:val="-1"/>
        </w:rPr>
        <w:t> </w:t>
      </w:r>
      <w:r>
        <w:rPr/>
        <w:t>– С.</w:t>
      </w:r>
      <w:r>
        <w:rPr>
          <w:spacing w:val="-4"/>
        </w:rPr>
        <w:t> </w:t>
      </w:r>
      <w:r>
        <w:rPr/>
        <w:t>1141-</w:t>
      </w:r>
      <w:r>
        <w:rPr>
          <w:spacing w:val="-4"/>
        </w:rPr>
        <w:t>1145.</w:t>
      </w:r>
    </w:p>
    <w:p>
      <w:pPr>
        <w:pStyle w:val="BodyText"/>
        <w:spacing w:line="256" w:lineRule="auto" w:before="21"/>
        <w:ind w:left="142" w:right="419" w:firstLine="708"/>
      </w:pPr>
      <w:r>
        <w:rPr/>
        <w:t>82 Guzick D. S. et al. Sperm morphology, motility, and concentration in fertile and infertile men //New England Journal of Medicine. – 2001. – Т. 345. – №. 19. – С. 1388-</w:t>
      </w:r>
      <w:r>
        <w:rPr>
          <w:spacing w:val="-2"/>
        </w:rPr>
        <w:t>1393.</w:t>
      </w:r>
    </w:p>
    <w:p>
      <w:pPr>
        <w:pStyle w:val="BodyText"/>
        <w:spacing w:line="256" w:lineRule="auto"/>
        <w:ind w:left="143" w:right="418" w:firstLine="707"/>
      </w:pPr>
      <w:r>
        <w:rPr/>
        <w:t>83 Задубенко Д. В. и др. Показатели фертильности эякулята молодых мужчин-жителей г. Алматы, жалующихся на бесплодный брак //Репродуктивная медицина (Центральная Азия). – 2020. – №. 4 (45). – С. 57-62.</w:t>
      </w:r>
    </w:p>
    <w:p>
      <w:pPr>
        <w:pStyle w:val="BodyText"/>
        <w:spacing w:line="256" w:lineRule="auto"/>
        <w:ind w:left="142" w:right="422" w:firstLine="707"/>
        <w:jc w:val="right"/>
      </w:pPr>
      <w:r>
        <w:rPr/>
        <w:t>84</w:t>
      </w:r>
      <w:r>
        <w:rPr>
          <w:spacing w:val="40"/>
        </w:rPr>
        <w:t> </w:t>
      </w:r>
      <w:r>
        <w:rPr/>
        <w:t>Danis</w:t>
      </w:r>
      <w:r>
        <w:rPr>
          <w:spacing w:val="40"/>
        </w:rPr>
        <w:t> </w:t>
      </w:r>
      <w:r>
        <w:rPr/>
        <w:t>R.</w:t>
      </w:r>
      <w:r>
        <w:rPr>
          <w:spacing w:val="40"/>
        </w:rPr>
        <w:t> </w:t>
      </w:r>
      <w:r>
        <w:rPr/>
        <w:t>B.,</w:t>
      </w:r>
      <w:r>
        <w:rPr>
          <w:spacing w:val="40"/>
        </w:rPr>
        <w:t> </w:t>
      </w:r>
      <w:r>
        <w:rPr/>
        <w:t>Samplaski</w:t>
      </w:r>
      <w:r>
        <w:rPr>
          <w:spacing w:val="40"/>
        </w:rPr>
        <w:t> </w:t>
      </w:r>
      <w:r>
        <w:rPr/>
        <w:t>M.</w:t>
      </w:r>
      <w:r>
        <w:rPr>
          <w:spacing w:val="40"/>
        </w:rPr>
        <w:t> </w:t>
      </w:r>
      <w:r>
        <w:rPr/>
        <w:t>K.</w:t>
      </w:r>
      <w:r>
        <w:rPr>
          <w:spacing w:val="40"/>
        </w:rPr>
        <w:t> </w:t>
      </w:r>
      <w:r>
        <w:rPr/>
        <w:t>Sperm</w:t>
      </w:r>
      <w:r>
        <w:rPr>
          <w:spacing w:val="40"/>
        </w:rPr>
        <w:t> </w:t>
      </w:r>
      <w:r>
        <w:rPr/>
        <w:t>morphology:</w:t>
      </w:r>
      <w:r>
        <w:rPr>
          <w:spacing w:val="40"/>
        </w:rPr>
        <w:t> </w:t>
      </w:r>
      <w:r>
        <w:rPr/>
        <w:t>history,</w:t>
      </w:r>
      <w:r>
        <w:rPr>
          <w:spacing w:val="40"/>
        </w:rPr>
        <w:t> </w:t>
      </w:r>
      <w:r>
        <w:rPr/>
        <w:t>challenges,</w:t>
      </w:r>
      <w:r>
        <w:rPr>
          <w:spacing w:val="40"/>
        </w:rPr>
        <w:t> </w:t>
      </w:r>
      <w:r>
        <w:rPr/>
        <w:t>and</w:t>
      </w:r>
      <w:r>
        <w:rPr>
          <w:spacing w:val="80"/>
        </w:rPr>
        <w:t> </w:t>
      </w:r>
      <w:r>
        <w:rPr/>
        <w:t>impact on natural and assisted fertility //Current urology reports.</w:t>
      </w:r>
      <w:r>
        <w:rPr>
          <w:spacing w:val="-1"/>
        </w:rPr>
        <w:t> </w:t>
      </w:r>
      <w:r>
        <w:rPr/>
        <w:t>– 2019. – Т. 20. – С.</w:t>
      </w:r>
      <w:r>
        <w:rPr>
          <w:spacing w:val="-1"/>
        </w:rPr>
        <w:t> </w:t>
      </w:r>
      <w:r>
        <w:rPr/>
        <w:t>1-8. 85</w:t>
      </w:r>
      <w:r>
        <w:rPr>
          <w:spacing w:val="40"/>
        </w:rPr>
        <w:t> </w:t>
      </w:r>
      <w:r>
        <w:rPr/>
        <w:t>Hotaling</w:t>
      </w:r>
      <w:r>
        <w:rPr>
          <w:spacing w:val="40"/>
        </w:rPr>
        <w:t> </w:t>
      </w:r>
      <w:r>
        <w:rPr/>
        <w:t>J.</w:t>
      </w:r>
      <w:r>
        <w:rPr>
          <w:spacing w:val="40"/>
        </w:rPr>
        <w:t> </w:t>
      </w:r>
      <w:r>
        <w:rPr/>
        <w:t>M.</w:t>
      </w:r>
      <w:r>
        <w:rPr>
          <w:spacing w:val="40"/>
        </w:rPr>
        <w:t> </w:t>
      </w:r>
      <w:r>
        <w:rPr/>
        <w:t>et</w:t>
      </w:r>
      <w:r>
        <w:rPr>
          <w:spacing w:val="40"/>
        </w:rPr>
        <w:t> </w:t>
      </w:r>
      <w:r>
        <w:rPr/>
        <w:t>al.</w:t>
      </w:r>
      <w:r>
        <w:rPr>
          <w:spacing w:val="40"/>
        </w:rPr>
        <w:t> </w:t>
      </w:r>
      <w:r>
        <w:rPr/>
        <w:t>The</w:t>
      </w:r>
      <w:r>
        <w:rPr>
          <w:spacing w:val="40"/>
        </w:rPr>
        <w:t> </w:t>
      </w:r>
      <w:r>
        <w:rPr/>
        <w:t>relationship</w:t>
      </w:r>
      <w:r>
        <w:rPr>
          <w:spacing w:val="40"/>
        </w:rPr>
        <w:t> </w:t>
      </w:r>
      <w:r>
        <w:rPr/>
        <w:t>between</w:t>
      </w:r>
      <w:r>
        <w:rPr>
          <w:spacing w:val="40"/>
        </w:rPr>
        <w:t> </w:t>
      </w:r>
      <w:r>
        <w:rPr/>
        <w:t>isolated</w:t>
      </w:r>
      <w:r>
        <w:rPr>
          <w:spacing w:val="40"/>
        </w:rPr>
        <w:t> </w:t>
      </w:r>
      <w:r>
        <w:rPr/>
        <w:t>teratozoospermia</w:t>
      </w:r>
      <w:r>
        <w:rPr>
          <w:spacing w:val="40"/>
        </w:rPr>
        <w:t> </w:t>
      </w:r>
      <w:r>
        <w:rPr/>
        <w:t>and</w:t>
      </w:r>
      <w:r>
        <w:rPr>
          <w:spacing w:val="40"/>
        </w:rPr>
        <w:t> </w:t>
      </w:r>
      <w:r>
        <w:rPr/>
        <w:t>clinical</w:t>
      </w:r>
      <w:r>
        <w:rPr>
          <w:spacing w:val="80"/>
        </w:rPr>
        <w:t> </w:t>
      </w:r>
      <w:r>
        <w:rPr/>
        <w:t>pregnancy</w:t>
      </w:r>
      <w:r>
        <w:rPr>
          <w:spacing w:val="80"/>
        </w:rPr>
        <w:t> </w:t>
      </w:r>
      <w:r>
        <w:rPr/>
        <w:t>after</w:t>
      </w:r>
      <w:r>
        <w:rPr>
          <w:spacing w:val="76"/>
        </w:rPr>
        <w:t> </w:t>
      </w:r>
      <w:r>
        <w:rPr/>
        <w:t>in</w:t>
      </w:r>
      <w:r>
        <w:rPr>
          <w:spacing w:val="77"/>
        </w:rPr>
        <w:t> </w:t>
      </w:r>
      <w:r>
        <w:rPr/>
        <w:t>vitro</w:t>
      </w:r>
      <w:r>
        <w:rPr>
          <w:spacing w:val="80"/>
        </w:rPr>
        <w:t> </w:t>
      </w:r>
      <w:r>
        <w:rPr/>
        <w:t>fertilization</w:t>
      </w:r>
      <w:r>
        <w:rPr>
          <w:spacing w:val="80"/>
        </w:rPr>
        <w:t> </w:t>
      </w:r>
      <w:r>
        <w:rPr/>
        <w:t>with</w:t>
      </w:r>
      <w:r>
        <w:rPr>
          <w:spacing w:val="77"/>
        </w:rPr>
        <w:t> </w:t>
      </w:r>
      <w:r>
        <w:rPr/>
        <w:t>or</w:t>
      </w:r>
      <w:r>
        <w:rPr>
          <w:spacing w:val="76"/>
        </w:rPr>
        <w:t> </w:t>
      </w:r>
      <w:r>
        <w:rPr/>
        <w:t>without</w:t>
      </w:r>
      <w:r>
        <w:rPr>
          <w:spacing w:val="77"/>
        </w:rPr>
        <w:t> </w:t>
      </w:r>
      <w:r>
        <w:rPr/>
        <w:t>intracytoplasmic</w:t>
      </w:r>
      <w:r>
        <w:rPr>
          <w:spacing w:val="76"/>
        </w:rPr>
        <w:t> </w:t>
      </w:r>
      <w:r>
        <w:rPr/>
        <w:t>sperm injection:</w:t>
      </w:r>
      <w:r>
        <w:rPr>
          <w:spacing w:val="4"/>
        </w:rPr>
        <w:t> </w:t>
      </w:r>
      <w:r>
        <w:rPr/>
        <w:t>a</w:t>
      </w:r>
      <w:r>
        <w:rPr>
          <w:spacing w:val="5"/>
        </w:rPr>
        <w:t> </w:t>
      </w:r>
      <w:r>
        <w:rPr/>
        <w:t>systematic</w:t>
      </w:r>
      <w:r>
        <w:rPr>
          <w:spacing w:val="6"/>
        </w:rPr>
        <w:t> </w:t>
      </w:r>
      <w:r>
        <w:rPr/>
        <w:t>review</w:t>
      </w:r>
      <w:r>
        <w:rPr>
          <w:spacing w:val="7"/>
        </w:rPr>
        <w:t> </w:t>
      </w:r>
      <w:r>
        <w:rPr/>
        <w:t>and</w:t>
      </w:r>
      <w:r>
        <w:rPr>
          <w:spacing w:val="4"/>
        </w:rPr>
        <w:t> </w:t>
      </w:r>
      <w:r>
        <w:rPr/>
        <w:t>meta-analysis</w:t>
      </w:r>
      <w:r>
        <w:rPr>
          <w:spacing w:val="4"/>
        </w:rPr>
        <w:t> </w:t>
      </w:r>
      <w:r>
        <w:rPr/>
        <w:t>//Fertility</w:t>
      </w:r>
      <w:r>
        <w:rPr>
          <w:spacing w:val="4"/>
        </w:rPr>
        <w:t> </w:t>
      </w:r>
      <w:r>
        <w:rPr/>
        <w:t>and</w:t>
      </w:r>
      <w:r>
        <w:rPr>
          <w:spacing w:val="4"/>
        </w:rPr>
        <w:t> </w:t>
      </w:r>
      <w:r>
        <w:rPr/>
        <w:t>sterility.</w:t>
      </w:r>
      <w:r>
        <w:rPr>
          <w:spacing w:val="6"/>
        </w:rPr>
        <w:t> </w:t>
      </w:r>
      <w:r>
        <w:rPr/>
        <w:t>–</w:t>
      </w:r>
      <w:r>
        <w:rPr>
          <w:spacing w:val="5"/>
        </w:rPr>
        <w:t> </w:t>
      </w:r>
      <w:r>
        <w:rPr/>
        <w:t>2011.</w:t>
      </w:r>
      <w:r>
        <w:rPr>
          <w:spacing w:val="2"/>
        </w:rPr>
        <w:t> </w:t>
      </w:r>
      <w:r>
        <w:rPr/>
        <w:t>–</w:t>
      </w:r>
      <w:r>
        <w:rPr>
          <w:spacing w:val="7"/>
        </w:rPr>
        <w:t> </w:t>
      </w:r>
      <w:r>
        <w:rPr/>
        <w:t>Т.</w:t>
      </w:r>
      <w:r>
        <w:rPr>
          <w:spacing w:val="3"/>
        </w:rPr>
        <w:t> </w:t>
      </w:r>
      <w:r>
        <w:rPr/>
        <w:t>95.</w:t>
      </w:r>
      <w:r>
        <w:rPr>
          <w:spacing w:val="4"/>
        </w:rPr>
        <w:t> </w:t>
      </w:r>
      <w:r>
        <w:rPr>
          <w:spacing w:val="-10"/>
        </w:rPr>
        <w:t>–</w:t>
      </w:r>
    </w:p>
    <w:p>
      <w:pPr>
        <w:pStyle w:val="BodyText"/>
        <w:spacing w:line="315" w:lineRule="exact"/>
        <w:ind w:left="143"/>
      </w:pPr>
      <w:r>
        <w:rPr/>
        <w:t>№.</w:t>
      </w:r>
      <w:r>
        <w:rPr>
          <w:spacing w:val="-4"/>
        </w:rPr>
        <w:t> </w:t>
      </w:r>
      <w:r>
        <w:rPr/>
        <w:t>3.</w:t>
      </w:r>
      <w:r>
        <w:rPr>
          <w:spacing w:val="-1"/>
        </w:rPr>
        <w:t> </w:t>
      </w:r>
      <w:r>
        <w:rPr/>
        <w:t>–</w:t>
      </w:r>
      <w:r>
        <w:rPr>
          <w:spacing w:val="-1"/>
        </w:rPr>
        <w:t> </w:t>
      </w:r>
      <w:r>
        <w:rPr/>
        <w:t>С.</w:t>
      </w:r>
      <w:r>
        <w:rPr>
          <w:spacing w:val="-4"/>
        </w:rPr>
        <w:t> </w:t>
      </w:r>
      <w:r>
        <w:rPr/>
        <w:t>1141-</w:t>
      </w:r>
      <w:r>
        <w:rPr>
          <w:spacing w:val="-4"/>
        </w:rPr>
        <w:t>1145.</w:t>
      </w:r>
    </w:p>
    <w:p>
      <w:pPr>
        <w:pStyle w:val="BodyText"/>
        <w:spacing w:line="256" w:lineRule="auto" w:before="15"/>
        <w:ind w:left="143" w:right="424" w:firstLine="707"/>
        <w:jc w:val="right"/>
      </w:pPr>
      <w:r>
        <w:rPr/>
        <w:t>86</w:t>
      </w:r>
      <w:r>
        <w:rPr>
          <w:spacing w:val="-2"/>
        </w:rPr>
        <w:t> </w:t>
      </w:r>
      <w:r>
        <w:rPr/>
        <w:t>Patel</w:t>
      </w:r>
      <w:r>
        <w:rPr>
          <w:spacing w:val="-2"/>
        </w:rPr>
        <w:t> </w:t>
      </w:r>
      <w:r>
        <w:rPr/>
        <w:t>P.</w:t>
      </w:r>
      <w:r>
        <w:rPr>
          <w:spacing w:val="-3"/>
        </w:rPr>
        <w:t> </w:t>
      </w:r>
      <w:r>
        <w:rPr/>
        <w:t>et</w:t>
      </w:r>
      <w:r>
        <w:rPr>
          <w:spacing w:val="-2"/>
        </w:rPr>
        <w:t> </w:t>
      </w:r>
      <w:r>
        <w:rPr/>
        <w:t>al.</w:t>
      </w:r>
      <w:r>
        <w:rPr>
          <w:spacing w:val="-3"/>
        </w:rPr>
        <w:t> </w:t>
      </w:r>
      <w:r>
        <w:rPr/>
        <w:t>Impact</w:t>
      </w:r>
      <w:r>
        <w:rPr>
          <w:spacing w:val="-2"/>
        </w:rPr>
        <w:t> </w:t>
      </w:r>
      <w:r>
        <w:rPr/>
        <w:t>of</w:t>
      </w:r>
      <w:r>
        <w:rPr>
          <w:spacing w:val="-3"/>
        </w:rPr>
        <w:t> </w:t>
      </w:r>
      <w:r>
        <w:rPr/>
        <w:t>abnormal</w:t>
      </w:r>
      <w:r>
        <w:rPr>
          <w:spacing w:val="-2"/>
        </w:rPr>
        <w:t> </w:t>
      </w:r>
      <w:r>
        <w:rPr/>
        <w:t>sperm</w:t>
      </w:r>
      <w:r>
        <w:rPr>
          <w:spacing w:val="-3"/>
        </w:rPr>
        <w:t> </w:t>
      </w:r>
      <w:r>
        <w:rPr/>
        <w:t>morphology</w:t>
      </w:r>
      <w:r>
        <w:rPr>
          <w:spacing w:val="-4"/>
        </w:rPr>
        <w:t> </w:t>
      </w:r>
      <w:r>
        <w:rPr/>
        <w:t>on</w:t>
      </w:r>
      <w:r>
        <w:rPr>
          <w:spacing w:val="-2"/>
        </w:rPr>
        <w:t> </w:t>
      </w:r>
      <w:r>
        <w:rPr/>
        <w:t>live</w:t>
      </w:r>
      <w:r>
        <w:rPr>
          <w:spacing w:val="-3"/>
        </w:rPr>
        <w:t> </w:t>
      </w:r>
      <w:r>
        <w:rPr/>
        <w:t>birth</w:t>
      </w:r>
      <w:r>
        <w:rPr>
          <w:spacing w:val="-2"/>
        </w:rPr>
        <w:t> </w:t>
      </w:r>
      <w:r>
        <w:rPr/>
        <w:t>rates</w:t>
      </w:r>
      <w:r>
        <w:rPr>
          <w:spacing w:val="-2"/>
        </w:rPr>
        <w:t> </w:t>
      </w:r>
      <w:r>
        <w:rPr/>
        <w:t>following intrauterine</w:t>
      </w:r>
      <w:r>
        <w:rPr>
          <w:spacing w:val="-2"/>
        </w:rPr>
        <w:t> </w:t>
      </w:r>
      <w:r>
        <w:rPr/>
        <w:t>insemination //The Journal of urology.</w:t>
      </w:r>
      <w:r>
        <w:rPr>
          <w:spacing w:val="-1"/>
        </w:rPr>
        <w:t> </w:t>
      </w:r>
      <w:r>
        <w:rPr/>
        <w:t>– 2019.</w:t>
      </w:r>
      <w:r>
        <w:rPr>
          <w:spacing w:val="-3"/>
        </w:rPr>
        <w:t> </w:t>
      </w:r>
      <w:r>
        <w:rPr/>
        <w:t>– Т. 202.</w:t>
      </w:r>
      <w:r>
        <w:rPr>
          <w:spacing w:val="-3"/>
        </w:rPr>
        <w:t> </w:t>
      </w:r>
      <w:r>
        <w:rPr/>
        <w:t>– №. 4.</w:t>
      </w:r>
      <w:r>
        <w:rPr>
          <w:spacing w:val="-3"/>
        </w:rPr>
        <w:t> </w:t>
      </w:r>
      <w:r>
        <w:rPr/>
        <w:t>– С. 801-805. 87</w:t>
      </w:r>
      <w:r>
        <w:rPr>
          <w:spacing w:val="34"/>
        </w:rPr>
        <w:t> </w:t>
      </w:r>
      <w:r>
        <w:rPr/>
        <w:t>Mostafa</w:t>
      </w:r>
      <w:r>
        <w:rPr>
          <w:spacing w:val="33"/>
        </w:rPr>
        <w:t> </w:t>
      </w:r>
      <w:r>
        <w:rPr/>
        <w:t>Nayel</w:t>
      </w:r>
      <w:r>
        <w:rPr>
          <w:spacing w:val="34"/>
        </w:rPr>
        <w:t> </w:t>
      </w:r>
      <w:r>
        <w:rPr/>
        <w:t>D.</w:t>
      </w:r>
      <w:r>
        <w:rPr>
          <w:spacing w:val="30"/>
        </w:rPr>
        <w:t> </w:t>
      </w:r>
      <w:r>
        <w:rPr/>
        <w:t>et</w:t>
      </w:r>
      <w:r>
        <w:rPr>
          <w:spacing w:val="34"/>
        </w:rPr>
        <w:t> </w:t>
      </w:r>
      <w:r>
        <w:rPr/>
        <w:t>al.</w:t>
      </w:r>
      <w:r>
        <w:rPr>
          <w:spacing w:val="32"/>
        </w:rPr>
        <w:t> </w:t>
      </w:r>
      <w:r>
        <w:rPr/>
        <w:t>The</w:t>
      </w:r>
      <w:r>
        <w:rPr>
          <w:spacing w:val="33"/>
        </w:rPr>
        <w:t> </w:t>
      </w:r>
      <w:r>
        <w:rPr/>
        <w:t>effect</w:t>
      </w:r>
      <w:r>
        <w:rPr>
          <w:spacing w:val="34"/>
        </w:rPr>
        <w:t> </w:t>
      </w:r>
      <w:r>
        <w:rPr/>
        <w:t>of</w:t>
      </w:r>
      <w:r>
        <w:rPr>
          <w:spacing w:val="33"/>
        </w:rPr>
        <w:t> </w:t>
      </w:r>
      <w:r>
        <w:rPr/>
        <w:t>teratozoospermia</w:t>
      </w:r>
      <w:r>
        <w:rPr>
          <w:spacing w:val="33"/>
        </w:rPr>
        <w:t> </w:t>
      </w:r>
      <w:r>
        <w:rPr/>
        <w:t>on</w:t>
      </w:r>
      <w:r>
        <w:rPr>
          <w:spacing w:val="34"/>
        </w:rPr>
        <w:t> </w:t>
      </w:r>
      <w:r>
        <w:rPr/>
        <w:t>sex</w:t>
      </w:r>
      <w:r>
        <w:rPr>
          <w:spacing w:val="34"/>
        </w:rPr>
        <w:t> </w:t>
      </w:r>
      <w:r>
        <w:rPr/>
        <w:t>chromosomes</w:t>
      </w:r>
      <w:r>
        <w:rPr>
          <w:spacing w:val="34"/>
        </w:rPr>
        <w:t> </w:t>
      </w:r>
      <w:r>
        <w:rPr/>
        <w:t>in</w:t>
      </w:r>
    </w:p>
    <w:p>
      <w:pPr>
        <w:pStyle w:val="BodyText"/>
        <w:spacing w:line="320" w:lineRule="exact"/>
        <w:ind w:left="143"/>
      </w:pPr>
      <w:r>
        <w:rPr/>
        <w:t>human</w:t>
      </w:r>
      <w:r>
        <w:rPr>
          <w:spacing w:val="-4"/>
        </w:rPr>
        <w:t> </w:t>
      </w:r>
      <w:r>
        <w:rPr/>
        <w:t>embryos</w:t>
      </w:r>
      <w:r>
        <w:rPr>
          <w:spacing w:val="-5"/>
        </w:rPr>
        <w:t> </w:t>
      </w:r>
      <w:r>
        <w:rPr/>
        <w:t>//The</w:t>
      </w:r>
      <w:r>
        <w:rPr>
          <w:spacing w:val="-4"/>
        </w:rPr>
        <w:t> </w:t>
      </w:r>
      <w:r>
        <w:rPr/>
        <w:t>Application</w:t>
      </w:r>
      <w:r>
        <w:rPr>
          <w:spacing w:val="-5"/>
        </w:rPr>
        <w:t> </w:t>
      </w:r>
      <w:r>
        <w:rPr/>
        <w:t>of</w:t>
      </w:r>
      <w:r>
        <w:rPr>
          <w:spacing w:val="-4"/>
        </w:rPr>
        <w:t> </w:t>
      </w:r>
      <w:r>
        <w:rPr/>
        <w:t>Clinical</w:t>
      </w:r>
      <w:r>
        <w:rPr>
          <w:spacing w:val="-6"/>
        </w:rPr>
        <w:t> </w:t>
      </w:r>
      <w:r>
        <w:rPr/>
        <w:t>Genetics.</w:t>
      </w:r>
      <w:r>
        <w:rPr>
          <w:spacing w:val="-2"/>
        </w:rPr>
        <w:t> </w:t>
      </w:r>
      <w:r>
        <w:rPr/>
        <w:t>–</w:t>
      </w:r>
      <w:r>
        <w:rPr>
          <w:spacing w:val="-3"/>
        </w:rPr>
        <w:t> </w:t>
      </w:r>
      <w:r>
        <w:rPr/>
        <w:t>2021.</w:t>
      </w:r>
      <w:r>
        <w:rPr>
          <w:spacing w:val="-7"/>
        </w:rPr>
        <w:t> </w:t>
      </w:r>
      <w:r>
        <w:rPr/>
        <w:t>–</w:t>
      </w:r>
      <w:r>
        <w:rPr>
          <w:spacing w:val="-3"/>
        </w:rPr>
        <w:t> </w:t>
      </w:r>
      <w:r>
        <w:rPr/>
        <w:t>С.</w:t>
      </w:r>
      <w:r>
        <w:rPr>
          <w:spacing w:val="-4"/>
        </w:rPr>
        <w:t> </w:t>
      </w:r>
      <w:r>
        <w:rPr/>
        <w:t>125-</w:t>
      </w:r>
      <w:r>
        <w:rPr>
          <w:spacing w:val="-4"/>
        </w:rPr>
        <w:t>144.</w:t>
      </w:r>
    </w:p>
    <w:p>
      <w:pPr>
        <w:pStyle w:val="ListParagraph"/>
        <w:numPr>
          <w:ilvl w:val="0"/>
          <w:numId w:val="11"/>
        </w:numPr>
        <w:tabs>
          <w:tab w:pos="1256" w:val="left" w:leader="none"/>
        </w:tabs>
        <w:spacing w:line="256" w:lineRule="auto" w:before="22" w:after="0"/>
        <w:ind w:left="143" w:right="422" w:firstLine="707"/>
        <w:jc w:val="both"/>
        <w:rPr>
          <w:sz w:val="28"/>
        </w:rPr>
      </w:pPr>
      <w:r>
        <w:rPr>
          <w:sz w:val="28"/>
        </w:rPr>
        <w:t>Boeri L. et al. MP26-03 The relationship between isolated teratozoospermia, sperm DNA fragmentation and inflammatory biomarkers: Findings from a cross-sectional study //The Journal of Urology. – 2020. – Т. 203. – №. Supplement 4. – С. e400-e401.</w:t>
      </w:r>
    </w:p>
    <w:p>
      <w:pPr>
        <w:pStyle w:val="ListParagraph"/>
        <w:numPr>
          <w:ilvl w:val="0"/>
          <w:numId w:val="11"/>
        </w:numPr>
        <w:tabs>
          <w:tab w:pos="1230" w:val="left" w:leader="none"/>
        </w:tabs>
        <w:spacing w:line="256" w:lineRule="auto" w:before="0" w:after="0"/>
        <w:ind w:left="143" w:right="423" w:firstLine="707"/>
        <w:jc w:val="both"/>
        <w:rPr>
          <w:sz w:val="28"/>
        </w:rPr>
      </w:pPr>
      <w:r>
        <w:rPr>
          <w:sz w:val="28"/>
        </w:rPr>
        <w:t>Coutton C. et al. Teratozoospermia: spotlight on the main genetic actors in the human //Human reproduction update. – 2015. – Т. 21. – №. 4. – С. 455-485.</w:t>
      </w:r>
    </w:p>
    <w:p>
      <w:pPr>
        <w:pStyle w:val="ListParagraph"/>
        <w:numPr>
          <w:ilvl w:val="0"/>
          <w:numId w:val="11"/>
        </w:numPr>
        <w:tabs>
          <w:tab w:pos="1390" w:val="left" w:leader="none"/>
        </w:tabs>
        <w:spacing w:line="256" w:lineRule="auto" w:before="0" w:after="0"/>
        <w:ind w:left="142" w:right="422" w:firstLine="707"/>
        <w:jc w:val="both"/>
        <w:rPr>
          <w:sz w:val="28"/>
        </w:rPr>
      </w:pPr>
      <w:r>
        <w:rPr>
          <w:sz w:val="28"/>
        </w:rPr>
        <w:t>Mehrparvar B. et al. Metabolic profiling of seminal plasma from teratozoospermia patients //Journal of pharmaceutical and biomedical analysis. – 2020. – Т. 178. – С. 112903</w:t>
      </w:r>
      <w:r>
        <w:rPr>
          <w:color w:val="FF0000"/>
          <w:sz w:val="28"/>
        </w:rPr>
        <w:t>.</w:t>
      </w:r>
    </w:p>
    <w:p>
      <w:pPr>
        <w:pStyle w:val="ListParagraph"/>
        <w:numPr>
          <w:ilvl w:val="0"/>
          <w:numId w:val="11"/>
        </w:numPr>
        <w:tabs>
          <w:tab w:pos="1268" w:val="left" w:leader="none"/>
        </w:tabs>
        <w:spacing w:line="256" w:lineRule="auto" w:before="0" w:after="0"/>
        <w:ind w:left="142" w:right="420" w:firstLine="707"/>
        <w:jc w:val="both"/>
        <w:rPr>
          <w:sz w:val="28"/>
        </w:rPr>
      </w:pPr>
      <w:r>
        <w:rPr>
          <w:sz w:val="28"/>
        </w:rPr>
        <w:t>Baskaran S., Cho C. L., Agarwal A. Role of sperm DNA damage in male infertility</w:t>
      </w:r>
      <w:r>
        <w:rPr>
          <w:spacing w:val="-2"/>
          <w:sz w:val="28"/>
        </w:rPr>
        <w:t> </w:t>
      </w:r>
      <w:r>
        <w:rPr>
          <w:sz w:val="28"/>
        </w:rPr>
        <w:t>assessment</w:t>
      </w:r>
      <w:r>
        <w:rPr>
          <w:spacing w:val="-2"/>
          <w:sz w:val="28"/>
        </w:rPr>
        <w:t> </w:t>
      </w:r>
      <w:r>
        <w:rPr>
          <w:sz w:val="28"/>
        </w:rPr>
        <w:t>//Male</w:t>
      </w:r>
      <w:r>
        <w:rPr>
          <w:spacing w:val="-3"/>
          <w:sz w:val="28"/>
        </w:rPr>
        <w:t> </w:t>
      </w:r>
      <w:r>
        <w:rPr>
          <w:sz w:val="28"/>
        </w:rPr>
        <w:t>Infertility in Reproductive</w:t>
      </w:r>
      <w:r>
        <w:rPr>
          <w:spacing w:val="-3"/>
          <w:sz w:val="28"/>
        </w:rPr>
        <w:t> </w:t>
      </w:r>
      <w:r>
        <w:rPr>
          <w:sz w:val="28"/>
        </w:rPr>
        <w:t>Medicine.</w:t>
      </w:r>
      <w:r>
        <w:rPr>
          <w:spacing w:val="-1"/>
          <w:sz w:val="28"/>
        </w:rPr>
        <w:t> </w:t>
      </w:r>
      <w:r>
        <w:rPr>
          <w:sz w:val="28"/>
        </w:rPr>
        <w:t>– CRC</w:t>
      </w:r>
      <w:r>
        <w:rPr>
          <w:spacing w:val="-3"/>
          <w:sz w:val="28"/>
        </w:rPr>
        <w:t> </w:t>
      </w:r>
      <w:r>
        <w:rPr>
          <w:sz w:val="28"/>
        </w:rPr>
        <w:t>Press,</w:t>
      </w:r>
      <w:r>
        <w:rPr>
          <w:spacing w:val="-3"/>
          <w:sz w:val="28"/>
        </w:rPr>
        <w:t> </w:t>
      </w:r>
      <w:r>
        <w:rPr>
          <w:sz w:val="28"/>
        </w:rPr>
        <w:t>2019.</w:t>
      </w:r>
      <w:r>
        <w:rPr>
          <w:spacing w:val="-3"/>
          <w:sz w:val="28"/>
        </w:rPr>
        <w:t> </w:t>
      </w:r>
      <w:r>
        <w:rPr>
          <w:sz w:val="28"/>
        </w:rPr>
        <w:t>– С. </w:t>
      </w:r>
      <w:r>
        <w:rPr>
          <w:spacing w:val="-2"/>
          <w:sz w:val="28"/>
        </w:rPr>
        <w:t>57-68.</w:t>
      </w:r>
    </w:p>
    <w:p>
      <w:pPr>
        <w:pStyle w:val="ListParagraph"/>
        <w:numPr>
          <w:ilvl w:val="0"/>
          <w:numId w:val="11"/>
        </w:numPr>
        <w:tabs>
          <w:tab w:pos="1215" w:val="left" w:leader="none"/>
        </w:tabs>
        <w:spacing w:line="256" w:lineRule="auto" w:before="0" w:after="0"/>
        <w:ind w:left="142" w:right="421" w:firstLine="707"/>
        <w:jc w:val="both"/>
        <w:rPr>
          <w:sz w:val="28"/>
        </w:rPr>
      </w:pPr>
      <w:r>
        <w:rPr>
          <w:sz w:val="28"/>
        </w:rPr>
        <w:t>Agarwal A., Prabakaran S., Allamaneni S. What an andrologist/urologist should know about free radicals and why //Urology. – 2006. – Т. 67. – №. 1. – С. 2-8.</w:t>
      </w:r>
    </w:p>
    <w:p>
      <w:pPr>
        <w:pStyle w:val="ListParagraph"/>
        <w:numPr>
          <w:ilvl w:val="0"/>
          <w:numId w:val="11"/>
        </w:numPr>
        <w:tabs>
          <w:tab w:pos="1229" w:val="left" w:leader="none"/>
        </w:tabs>
        <w:spacing w:line="256" w:lineRule="auto" w:before="0" w:after="0"/>
        <w:ind w:left="142" w:right="420" w:firstLine="707"/>
        <w:jc w:val="both"/>
        <w:rPr>
          <w:sz w:val="28"/>
        </w:rPr>
      </w:pPr>
      <w:r>
        <w:rPr>
          <w:sz w:val="28"/>
        </w:rPr>
        <w:t>Aitken R. J., Curry B. J. Redox regulation of human sperm function: from the physiological control of sperm capacitation to the etiology of infertility and DNA damage in the germ line //Antioxidants &amp; redox signaling. – 2011. – Т. 14. – №. 3. – С. 367-381.</w:t>
      </w:r>
    </w:p>
    <w:p>
      <w:pPr>
        <w:pStyle w:val="ListParagraph"/>
        <w:numPr>
          <w:ilvl w:val="0"/>
          <w:numId w:val="11"/>
        </w:numPr>
        <w:tabs>
          <w:tab w:pos="1198" w:val="left" w:leader="none"/>
        </w:tabs>
        <w:spacing w:line="256" w:lineRule="auto" w:before="0" w:after="0"/>
        <w:ind w:left="142" w:right="425" w:firstLine="707"/>
        <w:jc w:val="both"/>
        <w:rPr>
          <w:sz w:val="28"/>
        </w:rPr>
      </w:pPr>
      <w:r>
        <w:rPr>
          <w:sz w:val="28"/>
        </w:rPr>
        <w:t>Geng</w:t>
      </w:r>
      <w:r>
        <w:rPr>
          <w:spacing w:val="-2"/>
          <w:sz w:val="28"/>
        </w:rPr>
        <w:t> </w:t>
      </w:r>
      <w:r>
        <w:rPr>
          <w:sz w:val="28"/>
        </w:rPr>
        <w:t>X.</w:t>
      </w:r>
      <w:r>
        <w:rPr>
          <w:spacing w:val="-3"/>
          <w:sz w:val="28"/>
        </w:rPr>
        <w:t> </w:t>
      </w:r>
      <w:r>
        <w:rPr>
          <w:sz w:val="28"/>
        </w:rPr>
        <w:t>et</w:t>
      </w:r>
      <w:r>
        <w:rPr>
          <w:spacing w:val="-2"/>
          <w:sz w:val="28"/>
        </w:rPr>
        <w:t> </w:t>
      </w:r>
      <w:r>
        <w:rPr>
          <w:sz w:val="28"/>
        </w:rPr>
        <w:t>al.</w:t>
      </w:r>
      <w:r>
        <w:rPr>
          <w:spacing w:val="-3"/>
          <w:sz w:val="28"/>
        </w:rPr>
        <w:t> </w:t>
      </w:r>
      <w:r>
        <w:rPr>
          <w:sz w:val="28"/>
        </w:rPr>
        <w:t>Identification</w:t>
      </w:r>
      <w:r>
        <w:rPr>
          <w:spacing w:val="-4"/>
          <w:sz w:val="28"/>
        </w:rPr>
        <w:t> </w:t>
      </w:r>
      <w:r>
        <w:rPr>
          <w:sz w:val="28"/>
        </w:rPr>
        <w:t>of</w:t>
      </w:r>
      <w:r>
        <w:rPr>
          <w:spacing w:val="-3"/>
          <w:sz w:val="28"/>
        </w:rPr>
        <w:t> </w:t>
      </w:r>
      <w:r>
        <w:rPr>
          <w:sz w:val="28"/>
        </w:rPr>
        <w:t>proteins</w:t>
      </w:r>
      <w:r>
        <w:rPr>
          <w:spacing w:val="-4"/>
          <w:sz w:val="28"/>
        </w:rPr>
        <w:t> </w:t>
      </w:r>
      <w:r>
        <w:rPr>
          <w:sz w:val="28"/>
        </w:rPr>
        <w:t>involved</w:t>
      </w:r>
      <w:r>
        <w:rPr>
          <w:spacing w:val="-2"/>
          <w:sz w:val="28"/>
        </w:rPr>
        <w:t> </w:t>
      </w:r>
      <w:r>
        <w:rPr>
          <w:sz w:val="28"/>
        </w:rPr>
        <w:t>in</w:t>
      </w:r>
      <w:r>
        <w:rPr>
          <w:spacing w:val="-2"/>
          <w:sz w:val="28"/>
        </w:rPr>
        <w:t> </w:t>
      </w:r>
      <w:r>
        <w:rPr>
          <w:sz w:val="28"/>
        </w:rPr>
        <w:t>carbohydrate</w:t>
      </w:r>
      <w:r>
        <w:rPr>
          <w:spacing w:val="-3"/>
          <w:sz w:val="28"/>
        </w:rPr>
        <w:t> </w:t>
      </w:r>
      <w:r>
        <w:rPr>
          <w:sz w:val="28"/>
        </w:rPr>
        <w:t>metabolism</w:t>
      </w:r>
      <w:r>
        <w:rPr>
          <w:spacing w:val="-3"/>
          <w:sz w:val="28"/>
        </w:rPr>
        <w:t> </w:t>
      </w:r>
      <w:r>
        <w:rPr>
          <w:sz w:val="28"/>
        </w:rPr>
        <w:t>and energy</w:t>
      </w:r>
      <w:r>
        <w:rPr>
          <w:spacing w:val="33"/>
          <w:sz w:val="28"/>
        </w:rPr>
        <w:t> </w:t>
      </w:r>
      <w:r>
        <w:rPr>
          <w:sz w:val="28"/>
        </w:rPr>
        <w:t>metabolism</w:t>
      </w:r>
      <w:r>
        <w:rPr>
          <w:spacing w:val="30"/>
          <w:sz w:val="28"/>
        </w:rPr>
        <w:t> </w:t>
      </w:r>
      <w:r>
        <w:rPr>
          <w:sz w:val="28"/>
        </w:rPr>
        <w:t>pathways</w:t>
      </w:r>
      <w:r>
        <w:rPr>
          <w:spacing w:val="33"/>
          <w:sz w:val="28"/>
        </w:rPr>
        <w:t> </w:t>
      </w:r>
      <w:r>
        <w:rPr>
          <w:sz w:val="28"/>
        </w:rPr>
        <w:t>and</w:t>
      </w:r>
      <w:r>
        <w:rPr>
          <w:spacing w:val="31"/>
          <w:sz w:val="28"/>
        </w:rPr>
        <w:t> </w:t>
      </w:r>
      <w:r>
        <w:rPr>
          <w:sz w:val="28"/>
        </w:rPr>
        <w:t>their</w:t>
      </w:r>
      <w:r>
        <w:rPr>
          <w:spacing w:val="32"/>
          <w:sz w:val="28"/>
        </w:rPr>
        <w:t> </w:t>
      </w:r>
      <w:r>
        <w:rPr>
          <w:sz w:val="28"/>
        </w:rPr>
        <w:t>regulation</w:t>
      </w:r>
      <w:r>
        <w:rPr>
          <w:spacing w:val="31"/>
          <w:sz w:val="28"/>
        </w:rPr>
        <w:t> </w:t>
      </w:r>
      <w:r>
        <w:rPr>
          <w:sz w:val="28"/>
        </w:rPr>
        <w:t>of</w:t>
      </w:r>
      <w:r>
        <w:rPr>
          <w:spacing w:val="32"/>
          <w:sz w:val="28"/>
        </w:rPr>
        <w:t> </w:t>
      </w:r>
      <w:r>
        <w:rPr>
          <w:sz w:val="28"/>
        </w:rPr>
        <w:t>cytoplasmic</w:t>
      </w:r>
      <w:r>
        <w:rPr>
          <w:spacing w:val="30"/>
          <w:sz w:val="28"/>
        </w:rPr>
        <w:t> </w:t>
      </w:r>
      <w:r>
        <w:rPr>
          <w:sz w:val="28"/>
        </w:rPr>
        <w:t>male</w:t>
      </w:r>
      <w:r>
        <w:rPr>
          <w:spacing w:val="32"/>
          <w:sz w:val="28"/>
        </w:rPr>
        <w:t> </w:t>
      </w:r>
      <w:r>
        <w:rPr>
          <w:sz w:val="28"/>
        </w:rPr>
        <w:t>sterility</w:t>
      </w:r>
      <w:r>
        <w:rPr>
          <w:spacing w:val="31"/>
          <w:sz w:val="28"/>
        </w:rPr>
        <w:t> </w:t>
      </w:r>
      <w:r>
        <w:rPr>
          <w:sz w:val="28"/>
        </w:rPr>
        <w:t>in</w:t>
      </w:r>
      <w:r>
        <w:rPr>
          <w:spacing w:val="31"/>
          <w:sz w:val="28"/>
        </w:rPr>
        <w:t> </w:t>
      </w:r>
      <w:r>
        <w:rPr>
          <w:sz w:val="28"/>
        </w:rPr>
        <w:t>wheat</w:t>
      </w:r>
    </w:p>
    <w:p>
      <w:pPr>
        <w:pStyle w:val="BodyText"/>
        <w:spacing w:line="322" w:lineRule="exact"/>
        <w:ind w:left="142"/>
      </w:pPr>
      <w:r>
        <w:rPr/>
        <w:t>//International</w:t>
      </w:r>
      <w:r>
        <w:rPr>
          <w:spacing w:val="-4"/>
        </w:rPr>
        <w:t> </w:t>
      </w:r>
      <w:r>
        <w:rPr/>
        <w:t>Journal</w:t>
      </w:r>
      <w:r>
        <w:rPr>
          <w:spacing w:val="-2"/>
        </w:rPr>
        <w:t> </w:t>
      </w:r>
      <w:r>
        <w:rPr/>
        <w:t>of</w:t>
      </w:r>
      <w:r>
        <w:rPr>
          <w:spacing w:val="-2"/>
        </w:rPr>
        <w:t> </w:t>
      </w:r>
      <w:r>
        <w:rPr/>
        <w:t>Molecular</w:t>
      </w:r>
      <w:r>
        <w:rPr>
          <w:spacing w:val="-3"/>
        </w:rPr>
        <w:t> </w:t>
      </w:r>
      <w:r>
        <w:rPr/>
        <w:t>Sciences.</w:t>
      </w:r>
      <w:r>
        <w:rPr>
          <w:spacing w:val="-2"/>
        </w:rPr>
        <w:t> </w:t>
      </w:r>
      <w:r>
        <w:rPr/>
        <w:t>–</w:t>
      </w:r>
      <w:r>
        <w:rPr>
          <w:spacing w:val="-3"/>
        </w:rPr>
        <w:t> </w:t>
      </w:r>
      <w:r>
        <w:rPr/>
        <w:t>2018.</w:t>
      </w:r>
      <w:r>
        <w:rPr>
          <w:spacing w:val="-3"/>
        </w:rPr>
        <w:t> </w:t>
      </w:r>
      <w:r>
        <w:rPr/>
        <w:t>–</w:t>
      </w:r>
      <w:r>
        <w:rPr>
          <w:spacing w:val="-2"/>
        </w:rPr>
        <w:t> </w:t>
      </w:r>
      <w:r>
        <w:rPr/>
        <w:t>Т.</w:t>
      </w:r>
      <w:r>
        <w:rPr>
          <w:spacing w:val="-5"/>
        </w:rPr>
        <w:t> </w:t>
      </w:r>
      <w:r>
        <w:rPr/>
        <w:t>19.</w:t>
      </w:r>
      <w:r>
        <w:rPr>
          <w:spacing w:val="-6"/>
        </w:rPr>
        <w:t> </w:t>
      </w:r>
      <w:r>
        <w:rPr/>
        <w:t>–</w:t>
      </w:r>
      <w:r>
        <w:rPr>
          <w:spacing w:val="-3"/>
        </w:rPr>
        <w:t> </w:t>
      </w:r>
      <w:r>
        <w:rPr/>
        <w:t>№.</w:t>
      </w:r>
      <w:r>
        <w:rPr>
          <w:spacing w:val="-3"/>
        </w:rPr>
        <w:t> </w:t>
      </w:r>
      <w:r>
        <w:rPr/>
        <w:t>2.</w:t>
      </w:r>
      <w:r>
        <w:rPr>
          <w:spacing w:val="-2"/>
        </w:rPr>
        <w:t> </w:t>
      </w:r>
      <w:r>
        <w:rPr/>
        <w:t>–</w:t>
      </w:r>
      <w:r>
        <w:rPr>
          <w:spacing w:val="-2"/>
        </w:rPr>
        <w:t> </w:t>
      </w:r>
      <w:r>
        <w:rPr/>
        <w:t>С.</w:t>
      </w:r>
      <w:r>
        <w:rPr>
          <w:spacing w:val="-5"/>
        </w:rPr>
        <w:t> </w:t>
      </w:r>
      <w:r>
        <w:rPr>
          <w:spacing w:val="-4"/>
        </w:rPr>
        <w:t>324.</w:t>
      </w:r>
    </w:p>
    <w:p>
      <w:pPr>
        <w:pStyle w:val="BodyText"/>
        <w:spacing w:after="0" w:line="322" w:lineRule="exact"/>
        <w:sectPr>
          <w:pgSz w:w="11910" w:h="16840"/>
          <w:pgMar w:header="0" w:footer="990" w:top="340" w:bottom="1200" w:left="708" w:right="425"/>
        </w:sectPr>
      </w:pPr>
    </w:p>
    <w:p>
      <w:pPr>
        <w:pStyle w:val="ListParagraph"/>
        <w:numPr>
          <w:ilvl w:val="0"/>
          <w:numId w:val="11"/>
        </w:numPr>
        <w:tabs>
          <w:tab w:pos="1256" w:val="left" w:leader="none"/>
        </w:tabs>
        <w:spacing w:line="240" w:lineRule="auto" w:before="69" w:after="0"/>
        <w:ind w:left="1256" w:right="0" w:hanging="404"/>
        <w:jc w:val="both"/>
        <w:rPr>
          <w:sz w:val="28"/>
        </w:rPr>
      </w:pPr>
      <w:r>
        <w:rPr>
          <w:sz w:val="28"/>
        </w:rPr>
        <w:t>Agarwal</w:t>
      </w:r>
      <w:r>
        <w:rPr>
          <w:spacing w:val="47"/>
          <w:sz w:val="28"/>
        </w:rPr>
        <w:t> </w:t>
      </w:r>
      <w:r>
        <w:rPr>
          <w:sz w:val="28"/>
        </w:rPr>
        <w:t>A.</w:t>
      </w:r>
      <w:r>
        <w:rPr>
          <w:spacing w:val="51"/>
          <w:sz w:val="28"/>
        </w:rPr>
        <w:t> </w:t>
      </w:r>
      <w:r>
        <w:rPr>
          <w:sz w:val="28"/>
        </w:rPr>
        <w:t>et</w:t>
      </w:r>
      <w:r>
        <w:rPr>
          <w:spacing w:val="51"/>
          <w:sz w:val="28"/>
        </w:rPr>
        <w:t> </w:t>
      </w:r>
      <w:r>
        <w:rPr>
          <w:sz w:val="28"/>
        </w:rPr>
        <w:t>al.</w:t>
      </w:r>
      <w:r>
        <w:rPr>
          <w:spacing w:val="51"/>
          <w:sz w:val="28"/>
        </w:rPr>
        <w:t> </w:t>
      </w:r>
      <w:r>
        <w:rPr>
          <w:sz w:val="28"/>
        </w:rPr>
        <w:t>Sperm</w:t>
      </w:r>
      <w:r>
        <w:rPr>
          <w:spacing w:val="49"/>
          <w:sz w:val="28"/>
        </w:rPr>
        <w:t> </w:t>
      </w:r>
      <w:r>
        <w:rPr>
          <w:sz w:val="28"/>
        </w:rPr>
        <w:t>DNA</w:t>
      </w:r>
      <w:r>
        <w:rPr>
          <w:spacing w:val="49"/>
          <w:sz w:val="28"/>
        </w:rPr>
        <w:t> </w:t>
      </w:r>
      <w:r>
        <w:rPr>
          <w:sz w:val="28"/>
        </w:rPr>
        <w:t>fragmentation:</w:t>
      </w:r>
      <w:r>
        <w:rPr>
          <w:spacing w:val="52"/>
          <w:sz w:val="28"/>
        </w:rPr>
        <w:t> </w:t>
      </w:r>
      <w:r>
        <w:rPr>
          <w:sz w:val="28"/>
        </w:rPr>
        <w:t>a</w:t>
      </w:r>
      <w:r>
        <w:rPr>
          <w:spacing w:val="49"/>
          <w:sz w:val="28"/>
        </w:rPr>
        <w:t> </w:t>
      </w:r>
      <w:r>
        <w:rPr>
          <w:sz w:val="28"/>
        </w:rPr>
        <w:t>new</w:t>
      </w:r>
      <w:r>
        <w:rPr>
          <w:spacing w:val="49"/>
          <w:sz w:val="28"/>
        </w:rPr>
        <w:t> </w:t>
      </w:r>
      <w:r>
        <w:rPr>
          <w:sz w:val="28"/>
        </w:rPr>
        <w:t>guideline</w:t>
      </w:r>
      <w:r>
        <w:rPr>
          <w:spacing w:val="49"/>
          <w:sz w:val="28"/>
        </w:rPr>
        <w:t> </w:t>
      </w:r>
      <w:r>
        <w:rPr>
          <w:sz w:val="28"/>
        </w:rPr>
        <w:t>for</w:t>
      </w:r>
      <w:r>
        <w:rPr>
          <w:spacing w:val="51"/>
          <w:sz w:val="28"/>
        </w:rPr>
        <w:t> </w:t>
      </w:r>
      <w:r>
        <w:rPr>
          <w:spacing w:val="-2"/>
          <w:sz w:val="28"/>
        </w:rPr>
        <w:t>clinicians</w:t>
      </w:r>
    </w:p>
    <w:p>
      <w:pPr>
        <w:pStyle w:val="BodyText"/>
        <w:spacing w:before="21"/>
        <w:ind w:left="144"/>
      </w:pPr>
      <w:r>
        <w:rPr/>
        <w:t>//The</w:t>
      </w:r>
      <w:r>
        <w:rPr>
          <w:spacing w:val="-3"/>
        </w:rPr>
        <w:t> </w:t>
      </w:r>
      <w:r>
        <w:rPr/>
        <w:t>world</w:t>
      </w:r>
      <w:r>
        <w:rPr>
          <w:spacing w:val="-4"/>
        </w:rPr>
        <w:t> </w:t>
      </w:r>
      <w:r>
        <w:rPr/>
        <w:t>journal</w:t>
      </w:r>
      <w:r>
        <w:rPr>
          <w:spacing w:val="-1"/>
        </w:rPr>
        <w:t> </w:t>
      </w:r>
      <w:r>
        <w:rPr/>
        <w:t>of</w:t>
      </w:r>
      <w:r>
        <w:rPr>
          <w:spacing w:val="-3"/>
        </w:rPr>
        <w:t> </w:t>
      </w:r>
      <w:r>
        <w:rPr/>
        <w:t>men's</w:t>
      </w:r>
      <w:r>
        <w:rPr>
          <w:spacing w:val="-1"/>
        </w:rPr>
        <w:t> </w:t>
      </w:r>
      <w:r>
        <w:rPr/>
        <w:t>health.</w:t>
      </w:r>
      <w:r>
        <w:rPr>
          <w:spacing w:val="-5"/>
        </w:rPr>
        <w:t> </w:t>
      </w:r>
      <w:r>
        <w:rPr/>
        <w:t>–</w:t>
      </w:r>
      <w:r>
        <w:rPr>
          <w:spacing w:val="-1"/>
        </w:rPr>
        <w:t> </w:t>
      </w:r>
      <w:r>
        <w:rPr/>
        <w:t>2020.</w:t>
      </w:r>
      <w:r>
        <w:rPr>
          <w:spacing w:val="-4"/>
        </w:rPr>
        <w:t> </w:t>
      </w:r>
      <w:r>
        <w:rPr/>
        <w:t>–</w:t>
      </w:r>
      <w:r>
        <w:rPr>
          <w:spacing w:val="-4"/>
        </w:rPr>
        <w:t> </w:t>
      </w:r>
      <w:r>
        <w:rPr/>
        <w:t>Т.</w:t>
      </w:r>
      <w:r>
        <w:rPr>
          <w:spacing w:val="-2"/>
        </w:rPr>
        <w:t> </w:t>
      </w:r>
      <w:r>
        <w:rPr/>
        <w:t>38.</w:t>
      </w:r>
      <w:r>
        <w:rPr>
          <w:spacing w:val="-3"/>
        </w:rPr>
        <w:t> </w:t>
      </w:r>
      <w:r>
        <w:rPr/>
        <w:t>–</w:t>
      </w:r>
      <w:r>
        <w:rPr>
          <w:spacing w:val="-1"/>
        </w:rPr>
        <w:t> </w:t>
      </w:r>
      <w:r>
        <w:rPr/>
        <w:t>№.</w:t>
      </w:r>
      <w:r>
        <w:rPr>
          <w:spacing w:val="-6"/>
        </w:rPr>
        <w:t> </w:t>
      </w:r>
      <w:r>
        <w:rPr/>
        <w:t>4.</w:t>
      </w:r>
      <w:r>
        <w:rPr>
          <w:spacing w:val="-2"/>
        </w:rPr>
        <w:t> </w:t>
      </w:r>
      <w:r>
        <w:rPr/>
        <w:t>–</w:t>
      </w:r>
      <w:r>
        <w:rPr>
          <w:spacing w:val="-4"/>
        </w:rPr>
        <w:t> </w:t>
      </w:r>
      <w:r>
        <w:rPr/>
        <w:t>С.</w:t>
      </w:r>
      <w:r>
        <w:rPr>
          <w:spacing w:val="-2"/>
        </w:rPr>
        <w:t> </w:t>
      </w:r>
      <w:r>
        <w:rPr/>
        <w:t>412-</w:t>
      </w:r>
      <w:r>
        <w:rPr>
          <w:spacing w:val="-4"/>
        </w:rPr>
        <w:t>471.</w:t>
      </w:r>
    </w:p>
    <w:p>
      <w:pPr>
        <w:pStyle w:val="ListParagraph"/>
        <w:numPr>
          <w:ilvl w:val="0"/>
          <w:numId w:val="11"/>
        </w:numPr>
        <w:tabs>
          <w:tab w:pos="1229" w:val="left" w:leader="none"/>
        </w:tabs>
        <w:spacing w:line="256" w:lineRule="auto" w:before="21" w:after="0"/>
        <w:ind w:left="144" w:right="422" w:firstLine="707"/>
        <w:jc w:val="both"/>
        <w:rPr>
          <w:sz w:val="28"/>
        </w:rPr>
      </w:pPr>
      <w:r>
        <w:rPr>
          <w:sz w:val="28"/>
        </w:rPr>
        <w:t>González-Marín C., Gosálvez J., Roy R. Types, causes, detection and repair of DNA fragmentation in animal and human sperm cells //International journal of molecular sciences. – 2012. – Т. 13. – №. 11. – С. 14026-14052.</w:t>
      </w:r>
    </w:p>
    <w:p>
      <w:pPr>
        <w:pStyle w:val="ListParagraph"/>
        <w:numPr>
          <w:ilvl w:val="0"/>
          <w:numId w:val="11"/>
        </w:numPr>
        <w:tabs>
          <w:tab w:pos="1212" w:val="left" w:leader="none"/>
        </w:tabs>
        <w:spacing w:line="256" w:lineRule="auto" w:before="0" w:after="0"/>
        <w:ind w:left="144" w:right="421" w:firstLine="707"/>
        <w:jc w:val="both"/>
        <w:rPr>
          <w:sz w:val="28"/>
        </w:rPr>
      </w:pPr>
      <w:r>
        <w:rPr>
          <w:sz w:val="28"/>
        </w:rPr>
        <w:t>Krawetz S. A. Paternal contribution: new insights and future challenges //Nature Reviews Genetics. – 2005. – Т. 6. – №. 8. – С. 633-642.</w:t>
      </w:r>
    </w:p>
    <w:p>
      <w:pPr>
        <w:pStyle w:val="ListParagraph"/>
        <w:numPr>
          <w:ilvl w:val="0"/>
          <w:numId w:val="11"/>
        </w:numPr>
        <w:tabs>
          <w:tab w:pos="1226" w:val="left" w:leader="none"/>
        </w:tabs>
        <w:spacing w:line="256" w:lineRule="auto" w:before="0" w:after="0"/>
        <w:ind w:left="144" w:right="421" w:firstLine="707"/>
        <w:jc w:val="both"/>
        <w:rPr>
          <w:sz w:val="28"/>
        </w:rPr>
      </w:pPr>
      <w:r>
        <w:rPr>
          <w:sz w:val="28"/>
        </w:rPr>
        <w:t>Agarwal A. et al. Clinical utility of sperm DNA fragmentation testing: practice recommendations based on clinical scenarios //Translational andrology and urology. – 2016. – Т. 5. – №. 6. – С. 935-950.</w:t>
      </w:r>
    </w:p>
    <w:p>
      <w:pPr>
        <w:pStyle w:val="ListParagraph"/>
        <w:numPr>
          <w:ilvl w:val="0"/>
          <w:numId w:val="11"/>
        </w:numPr>
        <w:tabs>
          <w:tab w:pos="1253" w:val="left" w:leader="none"/>
        </w:tabs>
        <w:spacing w:line="256" w:lineRule="auto" w:before="0" w:after="0"/>
        <w:ind w:left="144" w:right="422" w:firstLine="707"/>
        <w:jc w:val="both"/>
        <w:rPr>
          <w:sz w:val="28"/>
        </w:rPr>
      </w:pPr>
      <w:r>
        <w:rPr>
          <w:sz w:val="28"/>
        </w:rPr>
        <w:t>Aitken R. J. Oxidative stress and the etiology of male infertility //Journal of assisted reproduction and genetics. – 2016. – Т. 33. – С. 1691-1692.</w:t>
      </w:r>
    </w:p>
    <w:p>
      <w:pPr>
        <w:pStyle w:val="ListParagraph"/>
        <w:numPr>
          <w:ilvl w:val="0"/>
          <w:numId w:val="11"/>
        </w:numPr>
        <w:tabs>
          <w:tab w:pos="1358" w:val="left" w:leader="none"/>
        </w:tabs>
        <w:spacing w:line="256" w:lineRule="auto" w:before="0" w:after="0"/>
        <w:ind w:left="144" w:right="422" w:firstLine="707"/>
        <w:jc w:val="both"/>
        <w:rPr>
          <w:sz w:val="28"/>
        </w:rPr>
      </w:pPr>
      <w:r>
        <w:rPr>
          <w:sz w:val="28"/>
        </w:rPr>
        <w:t>Bui A. D. et al. Reactive oxygen species impact on sperm DNA and its role in male infertility //Andrologia. – 2018. – Т. 50. – №. 8. – С. e13012.</w:t>
      </w:r>
    </w:p>
    <w:p>
      <w:pPr>
        <w:pStyle w:val="ListParagraph"/>
        <w:numPr>
          <w:ilvl w:val="0"/>
          <w:numId w:val="11"/>
        </w:numPr>
        <w:tabs>
          <w:tab w:pos="1400" w:val="left" w:leader="none"/>
        </w:tabs>
        <w:spacing w:line="256" w:lineRule="auto" w:before="0" w:after="0"/>
        <w:ind w:left="143" w:right="421" w:firstLine="707"/>
        <w:jc w:val="both"/>
        <w:rPr>
          <w:sz w:val="28"/>
        </w:rPr>
      </w:pPr>
      <w:r>
        <w:rPr>
          <w:sz w:val="28"/>
        </w:rPr>
        <w:t>Esteves S. C. et al. Diagnostic accuracy of sperm DNA degradation index (DDSi) as a potential noninvasive biomarker to identify men with varicocele-associated infertility //International urology and nephrology. – 2015. – Т. 47. – С. 1471-1477.</w:t>
      </w:r>
    </w:p>
    <w:p>
      <w:pPr>
        <w:pStyle w:val="ListParagraph"/>
        <w:numPr>
          <w:ilvl w:val="0"/>
          <w:numId w:val="11"/>
        </w:numPr>
        <w:tabs>
          <w:tab w:pos="1355" w:val="left" w:leader="none"/>
        </w:tabs>
        <w:spacing w:line="256" w:lineRule="auto" w:before="0" w:after="0"/>
        <w:ind w:left="143" w:right="421" w:firstLine="707"/>
        <w:jc w:val="both"/>
        <w:rPr>
          <w:sz w:val="28"/>
        </w:rPr>
      </w:pPr>
      <w:r>
        <w:rPr>
          <w:sz w:val="28"/>
        </w:rPr>
        <w:t>Dada R. et al. Oxidative stress induced damage to paternal genome and impact of meditation and yoga-can it reduce incidence of childhood cancer? //Asian Pacific Journal of Cancer Prevention. – 2016. – Т. 17. – №. 9. – С. 4517-4525.</w:t>
      </w:r>
    </w:p>
    <w:p>
      <w:pPr>
        <w:pStyle w:val="ListParagraph"/>
        <w:numPr>
          <w:ilvl w:val="0"/>
          <w:numId w:val="11"/>
        </w:numPr>
        <w:tabs>
          <w:tab w:pos="1367" w:val="left" w:leader="none"/>
        </w:tabs>
        <w:spacing w:line="256" w:lineRule="auto" w:before="0" w:after="0"/>
        <w:ind w:left="143" w:right="420" w:firstLine="707"/>
        <w:jc w:val="both"/>
        <w:rPr>
          <w:sz w:val="28"/>
        </w:rPr>
      </w:pPr>
      <w:r>
        <w:rPr>
          <w:sz w:val="28"/>
        </w:rPr>
        <w:t>Saleh R. A. et al. Increased sperm nuclear DNA damage in normozoospermic infertile men: a prospective study //Fertility and sterility. – 2002. – Т. 78. – №. 2. – С.</w:t>
      </w:r>
      <w:r>
        <w:rPr>
          <w:spacing w:val="80"/>
          <w:sz w:val="28"/>
        </w:rPr>
        <w:t> </w:t>
      </w:r>
      <w:r>
        <w:rPr>
          <w:spacing w:val="-2"/>
          <w:sz w:val="28"/>
        </w:rPr>
        <w:t>313-318.</w:t>
      </w:r>
    </w:p>
    <w:p>
      <w:pPr>
        <w:pStyle w:val="ListParagraph"/>
        <w:numPr>
          <w:ilvl w:val="0"/>
          <w:numId w:val="11"/>
        </w:numPr>
        <w:tabs>
          <w:tab w:pos="1345" w:val="left" w:leader="none"/>
        </w:tabs>
        <w:spacing w:line="256" w:lineRule="auto" w:before="0" w:after="0"/>
        <w:ind w:left="143" w:right="420" w:firstLine="707"/>
        <w:jc w:val="both"/>
        <w:rPr>
          <w:sz w:val="28"/>
        </w:rPr>
      </w:pPr>
      <w:r>
        <w:rPr>
          <w:sz w:val="28"/>
        </w:rPr>
        <w:t>Sergerie M. et al.</w:t>
      </w:r>
      <w:r>
        <w:rPr>
          <w:spacing w:val="-1"/>
          <w:sz w:val="28"/>
        </w:rPr>
        <w:t> </w:t>
      </w:r>
      <w:r>
        <w:rPr>
          <w:sz w:val="28"/>
        </w:rPr>
        <w:t>Longitudinal study of sperm DNA fragmentation as measured by terminal uridine nick end-labelling assay //Human reproduction. – 2005. – Т. 20. – №.</w:t>
      </w:r>
    </w:p>
    <w:p>
      <w:pPr>
        <w:pStyle w:val="BodyText"/>
        <w:spacing w:line="319" w:lineRule="exact"/>
        <w:ind w:left="143"/>
      </w:pPr>
      <w:r>
        <w:rPr/>
        <w:t>7.</w:t>
      </w:r>
      <w:r>
        <w:rPr>
          <w:spacing w:val="-5"/>
        </w:rPr>
        <w:t> </w:t>
      </w:r>
      <w:r>
        <w:rPr/>
        <w:t>–</w:t>
      </w:r>
      <w:r>
        <w:rPr>
          <w:spacing w:val="-2"/>
        </w:rPr>
        <w:t> </w:t>
      </w:r>
      <w:r>
        <w:rPr/>
        <w:t>С.</w:t>
      </w:r>
      <w:r>
        <w:rPr>
          <w:spacing w:val="-2"/>
        </w:rPr>
        <w:t> </w:t>
      </w:r>
      <w:r>
        <w:rPr/>
        <w:t>1921-</w:t>
      </w:r>
      <w:r>
        <w:rPr>
          <w:spacing w:val="-4"/>
        </w:rPr>
        <w:t>1927.</w:t>
      </w:r>
    </w:p>
    <w:p>
      <w:pPr>
        <w:pStyle w:val="ListParagraph"/>
        <w:numPr>
          <w:ilvl w:val="0"/>
          <w:numId w:val="11"/>
        </w:numPr>
        <w:tabs>
          <w:tab w:pos="1357" w:val="left" w:leader="none"/>
        </w:tabs>
        <w:spacing w:line="256" w:lineRule="auto" w:before="0" w:after="0"/>
        <w:ind w:left="143" w:right="423" w:firstLine="707"/>
        <w:jc w:val="both"/>
        <w:rPr>
          <w:sz w:val="28"/>
        </w:rPr>
      </w:pPr>
      <w:r>
        <w:rPr>
          <w:sz w:val="28"/>
        </w:rPr>
        <w:t>Esteves S. C. et al. Sperm DNA fragmentation testing: Summary evidence and clinical practice recommendations //Andrologia. – 2021. – Т. 53. – №. 2. – С. e13874.</w:t>
      </w:r>
    </w:p>
    <w:p>
      <w:pPr>
        <w:pStyle w:val="ListParagraph"/>
        <w:numPr>
          <w:ilvl w:val="0"/>
          <w:numId w:val="11"/>
        </w:numPr>
        <w:tabs>
          <w:tab w:pos="1355" w:val="left" w:leader="none"/>
        </w:tabs>
        <w:spacing w:line="256" w:lineRule="auto" w:before="0" w:after="0"/>
        <w:ind w:left="142" w:right="422" w:firstLine="708"/>
        <w:jc w:val="both"/>
        <w:rPr>
          <w:sz w:val="28"/>
        </w:rPr>
      </w:pPr>
      <w:r>
        <w:rPr>
          <w:sz w:val="28"/>
        </w:rPr>
        <w:t>González-Marín C., Gosálvez J., Roy R. Types, causes, detection and repair of DNA fragmentation in animal and human sperm cells //International journal of molecular sciences. – 2012. – Т. 13. – №. 11. – С. 14026-14052.</w:t>
      </w:r>
    </w:p>
    <w:p>
      <w:pPr>
        <w:pStyle w:val="ListParagraph"/>
        <w:numPr>
          <w:ilvl w:val="0"/>
          <w:numId w:val="11"/>
        </w:numPr>
        <w:tabs>
          <w:tab w:pos="1343" w:val="left" w:leader="none"/>
        </w:tabs>
        <w:spacing w:line="256" w:lineRule="auto" w:before="0" w:after="0"/>
        <w:ind w:left="142" w:right="420" w:firstLine="708"/>
        <w:jc w:val="both"/>
        <w:rPr>
          <w:sz w:val="28"/>
        </w:rPr>
      </w:pPr>
      <w:r>
        <w:rPr>
          <w:sz w:val="28"/>
        </w:rPr>
        <w:t>Lopes S. et al. Reactive oxygen species: potential cause for DNA fragmentation in human spermatozoa //Human Reproduction (Oxford, England). – 1998. – Т. 13. – №. 4. – С. 896-900.</w:t>
      </w:r>
    </w:p>
    <w:p>
      <w:pPr>
        <w:pStyle w:val="ListParagraph"/>
        <w:numPr>
          <w:ilvl w:val="0"/>
          <w:numId w:val="11"/>
        </w:numPr>
        <w:tabs>
          <w:tab w:pos="1429" w:val="left" w:leader="none"/>
        </w:tabs>
        <w:spacing w:line="256" w:lineRule="auto" w:before="0" w:after="0"/>
        <w:ind w:left="142" w:right="425" w:firstLine="708"/>
        <w:jc w:val="both"/>
        <w:rPr>
          <w:sz w:val="28"/>
        </w:rPr>
      </w:pPr>
      <w:r>
        <w:rPr>
          <w:sz w:val="28"/>
        </w:rPr>
        <w:t>Simon L. et al. Clinical significance of sperm DNA damage in assisted reproduction outcome //Human reproduction. – 2010. – Т. 25. – №. 7. – С. 1594-1608.</w:t>
      </w:r>
    </w:p>
    <w:p>
      <w:pPr>
        <w:pStyle w:val="ListParagraph"/>
        <w:numPr>
          <w:ilvl w:val="0"/>
          <w:numId w:val="11"/>
        </w:numPr>
        <w:tabs>
          <w:tab w:pos="1359" w:val="left" w:leader="none"/>
        </w:tabs>
        <w:spacing w:line="256" w:lineRule="auto" w:before="0" w:after="0"/>
        <w:ind w:left="142" w:right="425" w:firstLine="707"/>
        <w:jc w:val="both"/>
        <w:rPr>
          <w:sz w:val="28"/>
        </w:rPr>
      </w:pPr>
      <w:r>
        <w:rPr>
          <w:sz w:val="28"/>
        </w:rPr>
        <w:t>Simon L. et al. Sperm DNA damage measured by the alkaline Comet assay as an independent predictor of male infertility and in vitro fertilization success //Fertility and sterility. – 2011. – Т. 95. – №. 2. – С. 652-657.</w:t>
      </w:r>
    </w:p>
    <w:p>
      <w:pPr>
        <w:pStyle w:val="ListParagraph"/>
        <w:numPr>
          <w:ilvl w:val="0"/>
          <w:numId w:val="11"/>
        </w:numPr>
        <w:tabs>
          <w:tab w:pos="1426" w:val="left" w:leader="none"/>
        </w:tabs>
        <w:spacing w:line="256" w:lineRule="auto" w:before="0" w:after="0"/>
        <w:ind w:left="142" w:right="424" w:firstLine="707"/>
        <w:jc w:val="both"/>
        <w:rPr>
          <w:sz w:val="28"/>
        </w:rPr>
      </w:pPr>
      <w:r>
        <w:rPr>
          <w:sz w:val="28"/>
        </w:rPr>
        <w:t>Aitken R. J. Impact of oxidative stress on male and female germ cells: implications for fertility //Reproduction. – 2020. – Т. 159. – №. 4. – С. R189-R201.</w:t>
      </w:r>
    </w:p>
    <w:p>
      <w:pPr>
        <w:pStyle w:val="ListParagraph"/>
        <w:numPr>
          <w:ilvl w:val="0"/>
          <w:numId w:val="11"/>
        </w:numPr>
        <w:tabs>
          <w:tab w:pos="1346" w:val="left" w:leader="none"/>
        </w:tabs>
        <w:spacing w:line="256" w:lineRule="auto" w:before="0" w:after="0"/>
        <w:ind w:left="142" w:right="422" w:firstLine="707"/>
        <w:jc w:val="both"/>
        <w:rPr>
          <w:sz w:val="28"/>
        </w:rPr>
      </w:pPr>
      <w:r>
        <w:rPr>
          <w:sz w:val="28"/>
        </w:rPr>
        <w:t>Zenzes M. T. et al. Detection of benzo [a] pyrene diol epoxide-DNA adducts in embryos from smoking couples: evidence for transmission by spermatozoa //MHR: Basic science of reproductive medicine. – 1999. – Т. 5. – №. 2. – С. 125-131.</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1"/>
        </w:numPr>
        <w:tabs>
          <w:tab w:pos="1351" w:val="left" w:leader="none"/>
        </w:tabs>
        <w:spacing w:line="256" w:lineRule="auto" w:before="69" w:after="0"/>
        <w:ind w:left="143" w:right="424" w:firstLine="708"/>
        <w:jc w:val="both"/>
        <w:rPr>
          <w:sz w:val="28"/>
        </w:rPr>
      </w:pPr>
      <w:r>
        <w:rPr>
          <w:sz w:val="28"/>
        </w:rPr>
        <w:t>Lucas E. S., Watkins A. J. The long-term effects of the periconceptional period on embryo epigenetic profile and phenotype; the paternal role and his contribution, and how males can affect offspring’s phenotype/epigenetic profile //Periconception in Physiology and Medicine. – 2017. – С. 137-154.</w:t>
      </w:r>
    </w:p>
    <w:p>
      <w:pPr>
        <w:pStyle w:val="ListParagraph"/>
        <w:numPr>
          <w:ilvl w:val="0"/>
          <w:numId w:val="11"/>
        </w:numPr>
        <w:tabs>
          <w:tab w:pos="1432" w:val="left" w:leader="none"/>
        </w:tabs>
        <w:spacing w:line="256" w:lineRule="auto" w:before="0" w:after="0"/>
        <w:ind w:left="143" w:right="422" w:firstLine="707"/>
        <w:jc w:val="both"/>
        <w:rPr>
          <w:sz w:val="28"/>
        </w:rPr>
      </w:pPr>
      <w:r>
        <w:rPr>
          <w:sz w:val="28"/>
        </w:rPr>
        <w:t>Soubry A. POHaD: why we should study future fathers //Environmental epigenetics. – 2018. – Т. 4. – №. 2. – С. dvy007.</w:t>
      </w:r>
    </w:p>
    <w:p>
      <w:pPr>
        <w:pStyle w:val="ListParagraph"/>
        <w:numPr>
          <w:ilvl w:val="0"/>
          <w:numId w:val="11"/>
        </w:numPr>
        <w:tabs>
          <w:tab w:pos="1380" w:val="left" w:leader="none"/>
        </w:tabs>
        <w:spacing w:line="256" w:lineRule="auto" w:before="0" w:after="0"/>
        <w:ind w:left="143" w:right="418" w:firstLine="708"/>
        <w:jc w:val="both"/>
        <w:rPr>
          <w:sz w:val="28"/>
        </w:rPr>
      </w:pPr>
      <w:r>
        <w:rPr>
          <w:sz w:val="28"/>
        </w:rPr>
        <w:t>Binder N. K. et al. Paternal obesity in a rodent model affects placental gene expression in a sex-specific manner //Reproduction. – 2015. – Т. 149. – №. 5. – С. 435-</w:t>
      </w:r>
      <w:r>
        <w:rPr>
          <w:spacing w:val="-4"/>
          <w:sz w:val="28"/>
        </w:rPr>
        <w:t>444.</w:t>
      </w:r>
    </w:p>
    <w:p>
      <w:pPr>
        <w:pStyle w:val="ListParagraph"/>
        <w:numPr>
          <w:ilvl w:val="0"/>
          <w:numId w:val="11"/>
        </w:numPr>
        <w:tabs>
          <w:tab w:pos="1367" w:val="left" w:leader="none"/>
        </w:tabs>
        <w:spacing w:line="256" w:lineRule="auto" w:before="0" w:after="0"/>
        <w:ind w:left="143" w:right="423" w:firstLine="707"/>
        <w:jc w:val="both"/>
        <w:rPr>
          <w:sz w:val="28"/>
        </w:rPr>
      </w:pPr>
      <w:r>
        <w:rPr>
          <w:sz w:val="28"/>
        </w:rPr>
        <w:t>Ng S. F. et al. Chronic high-fat diet in fathers programs β-cell dysfunction in female rat offspring //Nature. – 2010. – Т. 467. – №. 7318. – С. 963-966.</w:t>
      </w:r>
    </w:p>
    <w:p>
      <w:pPr>
        <w:pStyle w:val="ListParagraph"/>
        <w:numPr>
          <w:ilvl w:val="0"/>
          <w:numId w:val="11"/>
        </w:numPr>
        <w:tabs>
          <w:tab w:pos="1430" w:val="left" w:leader="none"/>
        </w:tabs>
        <w:spacing w:line="256" w:lineRule="auto" w:before="0" w:after="0"/>
        <w:ind w:left="143" w:right="421" w:firstLine="708"/>
        <w:jc w:val="both"/>
        <w:rPr>
          <w:sz w:val="28"/>
        </w:rPr>
      </w:pPr>
      <w:r>
        <w:rPr>
          <w:sz w:val="28"/>
        </w:rPr>
        <w:t>Gilany K. et al. Untargeted metabolomic profiling of seminal plasma in nonobstructive</w:t>
      </w:r>
      <w:r>
        <w:rPr>
          <w:spacing w:val="63"/>
          <w:sz w:val="28"/>
        </w:rPr>
        <w:t>  </w:t>
      </w:r>
      <w:r>
        <w:rPr>
          <w:sz w:val="28"/>
        </w:rPr>
        <w:t>azoospermia</w:t>
      </w:r>
      <w:r>
        <w:rPr>
          <w:spacing w:val="63"/>
          <w:sz w:val="28"/>
        </w:rPr>
        <w:t>  </w:t>
      </w:r>
      <w:r>
        <w:rPr>
          <w:sz w:val="28"/>
        </w:rPr>
        <w:t>men:</w:t>
      </w:r>
      <w:r>
        <w:rPr>
          <w:spacing w:val="64"/>
          <w:sz w:val="28"/>
        </w:rPr>
        <w:t>  </w:t>
      </w:r>
      <w:r>
        <w:rPr>
          <w:sz w:val="28"/>
        </w:rPr>
        <w:t>A</w:t>
      </w:r>
      <w:r>
        <w:rPr>
          <w:spacing w:val="63"/>
          <w:sz w:val="28"/>
        </w:rPr>
        <w:t>  </w:t>
      </w:r>
      <w:r>
        <w:rPr>
          <w:sz w:val="28"/>
        </w:rPr>
        <w:t>noninvasive</w:t>
      </w:r>
      <w:r>
        <w:rPr>
          <w:spacing w:val="62"/>
          <w:sz w:val="28"/>
        </w:rPr>
        <w:t>  </w:t>
      </w:r>
      <w:r>
        <w:rPr>
          <w:sz w:val="28"/>
        </w:rPr>
        <w:t>detection</w:t>
      </w:r>
      <w:r>
        <w:rPr>
          <w:spacing w:val="64"/>
          <w:sz w:val="28"/>
        </w:rPr>
        <w:t>  </w:t>
      </w:r>
      <w:r>
        <w:rPr>
          <w:sz w:val="28"/>
        </w:rPr>
        <w:t>of</w:t>
      </w:r>
      <w:r>
        <w:rPr>
          <w:spacing w:val="62"/>
          <w:sz w:val="28"/>
        </w:rPr>
        <w:t>  </w:t>
      </w:r>
      <w:r>
        <w:rPr>
          <w:sz w:val="28"/>
        </w:rPr>
        <w:t>spermatogenesis</w:t>
      </w:r>
    </w:p>
    <w:p>
      <w:pPr>
        <w:pStyle w:val="BodyText"/>
        <w:spacing w:line="319" w:lineRule="exact"/>
        <w:ind w:left="143"/>
      </w:pPr>
      <w:r>
        <w:rPr/>
        <w:t>//Biomedical</w:t>
      </w:r>
      <w:r>
        <w:rPr>
          <w:spacing w:val="-4"/>
        </w:rPr>
        <w:t> </w:t>
      </w:r>
      <w:r>
        <w:rPr/>
        <w:t>Chromatography.</w:t>
      </w:r>
      <w:r>
        <w:rPr>
          <w:spacing w:val="-5"/>
        </w:rPr>
        <w:t> </w:t>
      </w:r>
      <w:r>
        <w:rPr/>
        <w:t>–</w:t>
      </w:r>
      <w:r>
        <w:rPr>
          <w:spacing w:val="-1"/>
        </w:rPr>
        <w:t> </w:t>
      </w:r>
      <w:r>
        <w:rPr/>
        <w:t>2017.</w:t>
      </w:r>
      <w:r>
        <w:rPr>
          <w:spacing w:val="-4"/>
        </w:rPr>
        <w:t> </w:t>
      </w:r>
      <w:r>
        <w:rPr/>
        <w:t>–</w:t>
      </w:r>
      <w:r>
        <w:rPr>
          <w:spacing w:val="-3"/>
        </w:rPr>
        <w:t> </w:t>
      </w:r>
      <w:r>
        <w:rPr/>
        <w:t>Т.</w:t>
      </w:r>
      <w:r>
        <w:rPr>
          <w:spacing w:val="-3"/>
        </w:rPr>
        <w:t> </w:t>
      </w:r>
      <w:r>
        <w:rPr/>
        <w:t>31.</w:t>
      </w:r>
      <w:r>
        <w:rPr>
          <w:spacing w:val="-3"/>
        </w:rPr>
        <w:t> </w:t>
      </w:r>
      <w:r>
        <w:rPr/>
        <w:t>–</w:t>
      </w:r>
      <w:r>
        <w:rPr>
          <w:spacing w:val="-3"/>
        </w:rPr>
        <w:t> </w:t>
      </w:r>
      <w:r>
        <w:rPr/>
        <w:t>№.</w:t>
      </w:r>
      <w:r>
        <w:rPr>
          <w:spacing w:val="-3"/>
        </w:rPr>
        <w:t> </w:t>
      </w:r>
      <w:r>
        <w:rPr/>
        <w:t>8.</w:t>
      </w:r>
      <w:r>
        <w:rPr>
          <w:spacing w:val="-2"/>
        </w:rPr>
        <w:t> </w:t>
      </w:r>
      <w:r>
        <w:rPr/>
        <w:t>–</w:t>
      </w:r>
      <w:r>
        <w:rPr>
          <w:spacing w:val="-2"/>
        </w:rPr>
        <w:t> </w:t>
      </w:r>
      <w:r>
        <w:rPr/>
        <w:t>С.</w:t>
      </w:r>
      <w:r>
        <w:rPr>
          <w:spacing w:val="-2"/>
        </w:rPr>
        <w:t> e3931.</w:t>
      </w:r>
    </w:p>
    <w:p>
      <w:pPr>
        <w:pStyle w:val="ListParagraph"/>
        <w:numPr>
          <w:ilvl w:val="0"/>
          <w:numId w:val="11"/>
        </w:numPr>
        <w:tabs>
          <w:tab w:pos="1372" w:val="left" w:leader="none"/>
        </w:tabs>
        <w:spacing w:line="240" w:lineRule="auto" w:before="8" w:after="0"/>
        <w:ind w:left="142" w:right="425" w:firstLine="708"/>
        <w:jc w:val="both"/>
        <w:rPr>
          <w:sz w:val="28"/>
        </w:rPr>
      </w:pPr>
      <w:r>
        <w:rPr>
          <w:sz w:val="28"/>
        </w:rPr>
        <w:t>Larcher W. Physiological plant ecology: ecophysiology and stress physiology of functional groups. – Berlin: Springer Science &amp; Business Media, 2003. – 513 с.</w:t>
      </w:r>
    </w:p>
    <w:p>
      <w:pPr>
        <w:pStyle w:val="ListParagraph"/>
        <w:numPr>
          <w:ilvl w:val="0"/>
          <w:numId w:val="11"/>
        </w:numPr>
        <w:tabs>
          <w:tab w:pos="1385" w:val="left" w:leader="none"/>
        </w:tabs>
        <w:spacing w:line="240" w:lineRule="auto" w:before="0" w:after="0"/>
        <w:ind w:left="142" w:right="425" w:firstLine="707"/>
        <w:jc w:val="both"/>
        <w:rPr>
          <w:sz w:val="28"/>
        </w:rPr>
      </w:pPr>
      <w:r>
        <w:rPr>
          <w:sz w:val="28"/>
        </w:rPr>
        <w:t>Jékely G. et al. Mechanism of phototaxis in marine zooplankton //Nature. – 2008. – Т. 456. – №. 7220. – С. 395-399.</w:t>
      </w:r>
    </w:p>
    <w:p>
      <w:pPr>
        <w:pStyle w:val="ListParagraph"/>
        <w:numPr>
          <w:ilvl w:val="0"/>
          <w:numId w:val="11"/>
        </w:numPr>
        <w:tabs>
          <w:tab w:pos="1350" w:val="left" w:leader="none"/>
        </w:tabs>
        <w:spacing w:line="240" w:lineRule="auto" w:before="1" w:after="0"/>
        <w:ind w:left="142" w:right="422" w:firstLine="708"/>
        <w:jc w:val="both"/>
        <w:rPr>
          <w:sz w:val="28"/>
        </w:rPr>
      </w:pPr>
      <w:r>
        <w:rPr>
          <w:sz w:val="28"/>
        </w:rPr>
        <w:t>Reinert J. Phototropism and phototaxis //Annual Review of Plant Physiology. – 1959. – Т. 10. – №. 1. – С. 441-458.</w:t>
      </w:r>
    </w:p>
    <w:p>
      <w:pPr>
        <w:pStyle w:val="ListParagraph"/>
        <w:numPr>
          <w:ilvl w:val="0"/>
          <w:numId w:val="11"/>
        </w:numPr>
        <w:tabs>
          <w:tab w:pos="1342" w:val="left" w:leader="none"/>
        </w:tabs>
        <w:spacing w:line="240" w:lineRule="auto" w:before="0" w:after="0"/>
        <w:ind w:left="142" w:right="423" w:firstLine="707"/>
        <w:jc w:val="both"/>
        <w:rPr>
          <w:sz w:val="28"/>
        </w:rPr>
      </w:pPr>
      <w:r>
        <w:rPr>
          <w:sz w:val="28"/>
        </w:rPr>
        <w:t>Bradshaw W.</w:t>
      </w:r>
      <w:r>
        <w:rPr>
          <w:spacing w:val="-2"/>
          <w:sz w:val="28"/>
        </w:rPr>
        <w:t> </w:t>
      </w:r>
      <w:r>
        <w:rPr>
          <w:sz w:val="28"/>
        </w:rPr>
        <w:t>E.,</w:t>
      </w:r>
      <w:r>
        <w:rPr>
          <w:spacing w:val="-5"/>
          <w:sz w:val="28"/>
        </w:rPr>
        <w:t> </w:t>
      </w:r>
      <w:r>
        <w:rPr>
          <w:sz w:val="28"/>
        </w:rPr>
        <w:t>Holzapfel C.</w:t>
      </w:r>
      <w:r>
        <w:rPr>
          <w:spacing w:val="-2"/>
          <w:sz w:val="28"/>
        </w:rPr>
        <w:t> </w:t>
      </w:r>
      <w:r>
        <w:rPr>
          <w:sz w:val="28"/>
        </w:rPr>
        <w:t>M.</w:t>
      </w:r>
      <w:r>
        <w:rPr>
          <w:spacing w:val="-2"/>
          <w:sz w:val="28"/>
        </w:rPr>
        <w:t> </w:t>
      </w:r>
      <w:r>
        <w:rPr>
          <w:sz w:val="28"/>
        </w:rPr>
        <w:t>Evolution of</w:t>
      </w:r>
      <w:r>
        <w:rPr>
          <w:spacing w:val="-4"/>
          <w:sz w:val="28"/>
        </w:rPr>
        <w:t> </w:t>
      </w:r>
      <w:r>
        <w:rPr>
          <w:sz w:val="28"/>
        </w:rPr>
        <w:t>animal photoperiodism</w:t>
      </w:r>
      <w:r>
        <w:rPr>
          <w:spacing w:val="-2"/>
          <w:sz w:val="28"/>
        </w:rPr>
        <w:t> </w:t>
      </w:r>
      <w:r>
        <w:rPr>
          <w:sz w:val="28"/>
        </w:rPr>
        <w:t>//Annual Review of Ecology, Evolution, and Systematics. – 2007. – Т. 38. – №. 1. – С. 1-25.</w:t>
      </w:r>
    </w:p>
    <w:p>
      <w:pPr>
        <w:pStyle w:val="ListParagraph"/>
        <w:numPr>
          <w:ilvl w:val="0"/>
          <w:numId w:val="11"/>
        </w:numPr>
        <w:tabs>
          <w:tab w:pos="1398" w:val="left" w:leader="none"/>
        </w:tabs>
        <w:spacing w:line="240" w:lineRule="auto" w:before="0" w:after="0"/>
        <w:ind w:left="142" w:right="420" w:firstLine="708"/>
        <w:jc w:val="both"/>
        <w:rPr>
          <w:sz w:val="28"/>
        </w:rPr>
      </w:pPr>
      <w:r>
        <w:rPr>
          <w:sz w:val="28"/>
        </w:rPr>
        <w:t>Monich V. et al. Low-power light and isolated rat hearts after ischemia of myocardium //Journal of Photochemistry and Photobiology B: Biology. – 2011. – Т. 105.</w:t>
      </w:r>
      <w:r>
        <w:rPr>
          <w:spacing w:val="40"/>
          <w:sz w:val="28"/>
        </w:rPr>
        <w:t> </w:t>
      </w:r>
      <w:r>
        <w:rPr>
          <w:sz w:val="28"/>
        </w:rPr>
        <w:t>– №. 1. – С. 21-24.</w:t>
      </w:r>
    </w:p>
    <w:p>
      <w:pPr>
        <w:pStyle w:val="ListParagraph"/>
        <w:numPr>
          <w:ilvl w:val="0"/>
          <w:numId w:val="11"/>
        </w:numPr>
        <w:tabs>
          <w:tab w:pos="1363" w:val="left" w:leader="none"/>
        </w:tabs>
        <w:spacing w:line="240" w:lineRule="auto" w:before="0" w:after="0"/>
        <w:ind w:left="142" w:right="421" w:firstLine="707"/>
        <w:jc w:val="both"/>
        <w:rPr>
          <w:sz w:val="28"/>
        </w:rPr>
      </w:pPr>
      <w:r>
        <w:rPr>
          <w:sz w:val="28"/>
        </w:rPr>
        <w:t>Nakayama T. et al. Effects of visible light and other environmental factors on the production of oxygen radicals by hamster embryos //Theriogenology. – 1994. – Т. 41.</w:t>
      </w:r>
      <w:r>
        <w:rPr>
          <w:spacing w:val="40"/>
          <w:sz w:val="28"/>
        </w:rPr>
        <w:t> </w:t>
      </w:r>
      <w:r>
        <w:rPr>
          <w:sz w:val="28"/>
        </w:rPr>
        <w:t>– №. 2. – С. 499-510.</w:t>
      </w:r>
    </w:p>
    <w:p>
      <w:pPr>
        <w:pStyle w:val="ListParagraph"/>
        <w:numPr>
          <w:ilvl w:val="0"/>
          <w:numId w:val="11"/>
        </w:numPr>
        <w:tabs>
          <w:tab w:pos="1364" w:val="left" w:leader="none"/>
        </w:tabs>
        <w:spacing w:line="240" w:lineRule="auto" w:before="0" w:after="0"/>
        <w:ind w:left="142" w:right="424" w:firstLine="707"/>
        <w:jc w:val="both"/>
        <w:rPr>
          <w:sz w:val="28"/>
        </w:rPr>
      </w:pPr>
      <w:r>
        <w:rPr>
          <w:sz w:val="28"/>
        </w:rPr>
        <w:t>Chernov A. S. et al. Stimulation of the Development of EarlyMouse Embryos under the Influence of Artificial Sunlight with Extra Fluorescent Orange-Red Component</w:t>
      </w:r>
    </w:p>
    <w:p>
      <w:pPr>
        <w:pStyle w:val="BodyText"/>
        <w:spacing w:line="321" w:lineRule="exact"/>
        <w:ind w:left="142"/>
      </w:pPr>
      <w:r>
        <w:rPr/>
        <w:t>//Medline.</w:t>
      </w:r>
      <w:r>
        <w:rPr>
          <w:spacing w:val="-2"/>
        </w:rPr>
        <w:t> </w:t>
      </w:r>
      <w:r>
        <w:rPr/>
        <w:t>ru.</w:t>
      </w:r>
      <w:r>
        <w:rPr>
          <w:spacing w:val="-2"/>
        </w:rPr>
        <w:t> </w:t>
      </w:r>
      <w:r>
        <w:rPr/>
        <w:t>–</w:t>
      </w:r>
      <w:r>
        <w:rPr>
          <w:spacing w:val="-3"/>
        </w:rPr>
        <w:t> </w:t>
      </w:r>
      <w:r>
        <w:rPr/>
        <w:t>2013.</w:t>
      </w:r>
      <w:r>
        <w:rPr>
          <w:spacing w:val="-3"/>
        </w:rPr>
        <w:t> </w:t>
      </w:r>
      <w:r>
        <w:rPr/>
        <w:t>– Т.</w:t>
      </w:r>
      <w:r>
        <w:rPr>
          <w:spacing w:val="-2"/>
        </w:rPr>
        <w:t> </w:t>
      </w:r>
      <w:r>
        <w:rPr/>
        <w:t>14.</w:t>
      </w:r>
      <w:r>
        <w:rPr>
          <w:spacing w:val="-2"/>
        </w:rPr>
        <w:t> </w:t>
      </w:r>
      <w:r>
        <w:rPr/>
        <w:t>–</w:t>
      </w:r>
      <w:r>
        <w:rPr>
          <w:spacing w:val="-1"/>
        </w:rPr>
        <w:t> </w:t>
      </w:r>
      <w:r>
        <w:rPr/>
        <w:t>С.</w:t>
      </w:r>
      <w:r>
        <w:rPr>
          <w:spacing w:val="-4"/>
        </w:rPr>
        <w:t> 295.</w:t>
      </w:r>
    </w:p>
    <w:p>
      <w:pPr>
        <w:pStyle w:val="ListParagraph"/>
        <w:numPr>
          <w:ilvl w:val="0"/>
          <w:numId w:val="11"/>
        </w:numPr>
        <w:tabs>
          <w:tab w:pos="1367" w:val="left" w:leader="none"/>
        </w:tabs>
        <w:spacing w:line="240" w:lineRule="auto" w:before="2" w:after="0"/>
        <w:ind w:left="144" w:right="421" w:firstLine="708"/>
        <w:jc w:val="both"/>
        <w:rPr>
          <w:sz w:val="28"/>
        </w:rPr>
      </w:pPr>
      <w:r>
        <w:rPr>
          <w:sz w:val="28"/>
        </w:rPr>
        <w:t>Gudkov S. V. et al. Effect of visible light on biological objects: Physiological and pathophysiological aspects //Physics of Wave Phenomena. – 2017. – Т. 25. – №. 3. – С. 207-213.</w:t>
      </w:r>
    </w:p>
    <w:p>
      <w:pPr>
        <w:pStyle w:val="ListParagraph"/>
        <w:numPr>
          <w:ilvl w:val="0"/>
          <w:numId w:val="11"/>
        </w:numPr>
        <w:tabs>
          <w:tab w:pos="1359" w:val="left" w:leader="none"/>
        </w:tabs>
        <w:spacing w:line="240" w:lineRule="auto" w:before="0" w:after="0"/>
        <w:ind w:left="144" w:right="419" w:firstLine="708"/>
        <w:jc w:val="both"/>
        <w:rPr>
          <w:sz w:val="28"/>
        </w:rPr>
      </w:pPr>
      <w:r>
        <w:rPr>
          <w:sz w:val="28"/>
        </w:rPr>
        <w:t>Тамбиев А. Х. и др. Изучение действия некоторых частот видимого света</w:t>
      </w:r>
      <w:r>
        <w:rPr>
          <w:spacing w:val="40"/>
          <w:sz w:val="28"/>
        </w:rPr>
        <w:t> </w:t>
      </w:r>
      <w:r>
        <w:rPr>
          <w:sz w:val="28"/>
        </w:rPr>
        <w:t>и КВЧ-излучения на жизнеспособность икры вьюна (Misgurnis fossilis) в процессе эмбриогенеза //Биомедицинская радиоэлектроника. – 2015. – №. 8. – С. 56-59.</w:t>
      </w:r>
    </w:p>
    <w:p>
      <w:pPr>
        <w:pStyle w:val="ListParagraph"/>
        <w:numPr>
          <w:ilvl w:val="0"/>
          <w:numId w:val="11"/>
        </w:numPr>
        <w:tabs>
          <w:tab w:pos="1429" w:val="left" w:leader="none"/>
        </w:tabs>
        <w:spacing w:line="242" w:lineRule="auto" w:before="0" w:after="0"/>
        <w:ind w:left="144" w:right="423" w:firstLine="708"/>
        <w:jc w:val="both"/>
        <w:rPr>
          <w:sz w:val="28"/>
        </w:rPr>
      </w:pPr>
      <w:r>
        <w:rPr>
          <w:sz w:val="28"/>
        </w:rPr>
        <w:t>Smithyman K., Hanawalt P. C. Molecular Photobiology: Inactivation and Recovery. – New York: Academic Press, 1969. –217 с.</w:t>
      </w:r>
    </w:p>
    <w:p>
      <w:pPr>
        <w:pStyle w:val="ListParagraph"/>
        <w:numPr>
          <w:ilvl w:val="0"/>
          <w:numId w:val="11"/>
        </w:numPr>
        <w:tabs>
          <w:tab w:pos="1366" w:val="left" w:leader="none"/>
        </w:tabs>
        <w:spacing w:line="240" w:lineRule="auto" w:before="0" w:after="0"/>
        <w:ind w:left="144" w:right="421" w:firstLine="707"/>
        <w:jc w:val="both"/>
        <w:rPr>
          <w:sz w:val="28"/>
        </w:rPr>
      </w:pPr>
      <w:r>
        <w:rPr>
          <w:sz w:val="28"/>
        </w:rPr>
        <w:t>Piazena H., Kelleher D. Comments on" Cellular response to infrared radiation involves retrograde mitochondrial signaling" //Free radical biology &amp; medicine. – 2008. – Т. 44. – №. 10. – С. 1869; author reply 1870-1.</w:t>
      </w:r>
    </w:p>
    <w:p>
      <w:pPr>
        <w:pStyle w:val="ListParagraph"/>
        <w:numPr>
          <w:ilvl w:val="0"/>
          <w:numId w:val="11"/>
        </w:numPr>
        <w:tabs>
          <w:tab w:pos="1460" w:val="left" w:leader="none"/>
        </w:tabs>
        <w:spacing w:line="240" w:lineRule="auto" w:before="0" w:after="0"/>
        <w:ind w:left="144" w:right="421" w:firstLine="708"/>
        <w:jc w:val="both"/>
        <w:rPr>
          <w:sz w:val="28"/>
        </w:rPr>
      </w:pPr>
      <w:r>
        <w:rPr>
          <w:sz w:val="28"/>
        </w:rPr>
        <w:t>Tuner, J. and Hode, L. Laser Therapy. – Sweden: Prima Books AB, Gra¨ngesberg, 2002 – 571 с.</w:t>
      </w:r>
    </w:p>
    <w:p>
      <w:pPr>
        <w:pStyle w:val="ListParagraph"/>
        <w:numPr>
          <w:ilvl w:val="0"/>
          <w:numId w:val="11"/>
        </w:numPr>
        <w:tabs>
          <w:tab w:pos="1433" w:val="left" w:leader="none"/>
        </w:tabs>
        <w:spacing w:line="240" w:lineRule="auto" w:before="0" w:after="0"/>
        <w:ind w:left="144" w:right="421" w:firstLine="707"/>
        <w:jc w:val="both"/>
        <w:rPr>
          <w:sz w:val="28"/>
        </w:rPr>
      </w:pPr>
      <w:r>
        <w:rPr>
          <w:sz w:val="28"/>
        </w:rPr>
        <w:t>Schieke S. M., Schroeder P., Krutmann J. Cutaneous effects of infrared radiation:</w:t>
      </w:r>
      <w:r>
        <w:rPr>
          <w:spacing w:val="80"/>
          <w:w w:val="150"/>
          <w:sz w:val="28"/>
        </w:rPr>
        <w:t>  </w:t>
      </w:r>
      <w:r>
        <w:rPr>
          <w:sz w:val="28"/>
        </w:rPr>
        <w:t>from</w:t>
      </w:r>
      <w:r>
        <w:rPr>
          <w:spacing w:val="80"/>
          <w:w w:val="150"/>
          <w:sz w:val="28"/>
        </w:rPr>
        <w:t>  </w:t>
      </w:r>
      <w:r>
        <w:rPr>
          <w:sz w:val="28"/>
        </w:rPr>
        <w:t>clinical</w:t>
      </w:r>
      <w:r>
        <w:rPr>
          <w:spacing w:val="80"/>
          <w:w w:val="150"/>
          <w:sz w:val="28"/>
        </w:rPr>
        <w:t>  </w:t>
      </w:r>
      <w:r>
        <w:rPr>
          <w:sz w:val="28"/>
        </w:rPr>
        <w:t>observations</w:t>
      </w:r>
      <w:r>
        <w:rPr>
          <w:spacing w:val="80"/>
          <w:w w:val="150"/>
          <w:sz w:val="28"/>
        </w:rPr>
        <w:t>  </w:t>
      </w:r>
      <w:r>
        <w:rPr>
          <w:sz w:val="28"/>
        </w:rPr>
        <w:t>to</w:t>
      </w:r>
      <w:r>
        <w:rPr>
          <w:spacing w:val="80"/>
          <w:w w:val="150"/>
          <w:sz w:val="28"/>
        </w:rPr>
        <w:t>  </w:t>
      </w:r>
      <w:r>
        <w:rPr>
          <w:sz w:val="28"/>
        </w:rPr>
        <w:t>molecular</w:t>
      </w:r>
      <w:r>
        <w:rPr>
          <w:spacing w:val="80"/>
          <w:w w:val="150"/>
          <w:sz w:val="28"/>
        </w:rPr>
        <w:t>  </w:t>
      </w:r>
      <w:r>
        <w:rPr>
          <w:sz w:val="28"/>
        </w:rPr>
        <w:t>response</w:t>
      </w:r>
      <w:r>
        <w:rPr>
          <w:spacing w:val="80"/>
          <w:w w:val="150"/>
          <w:sz w:val="28"/>
        </w:rPr>
        <w:t>  </w:t>
      </w:r>
      <w:r>
        <w:rPr>
          <w:sz w:val="28"/>
        </w:rPr>
        <w:t>mechanisms</w:t>
      </w:r>
    </w:p>
    <w:p>
      <w:pPr>
        <w:pStyle w:val="ListParagraph"/>
        <w:spacing w:after="0" w:line="240" w:lineRule="auto"/>
        <w:jc w:val="both"/>
        <w:rPr>
          <w:sz w:val="28"/>
        </w:rPr>
        <w:sectPr>
          <w:pgSz w:w="11910" w:h="16840"/>
          <w:pgMar w:header="0" w:footer="990" w:top="340" w:bottom="1200" w:left="708" w:right="425"/>
        </w:sectPr>
      </w:pPr>
    </w:p>
    <w:p>
      <w:pPr>
        <w:pStyle w:val="BodyText"/>
        <w:spacing w:line="322" w:lineRule="exact" w:before="69"/>
        <w:ind w:left="144"/>
        <w:jc w:val="left"/>
      </w:pPr>
      <w:r>
        <w:rPr/>
        <w:t>//Photodermatology,</w:t>
      </w:r>
      <w:r>
        <w:rPr>
          <w:spacing w:val="24"/>
        </w:rPr>
        <w:t> </w:t>
      </w:r>
      <w:r>
        <w:rPr/>
        <w:t>photoimmunology</w:t>
      </w:r>
      <w:r>
        <w:rPr>
          <w:spacing w:val="28"/>
        </w:rPr>
        <w:t> </w:t>
      </w:r>
      <w:r>
        <w:rPr/>
        <w:t>&amp;</w:t>
      </w:r>
      <w:r>
        <w:rPr>
          <w:spacing w:val="26"/>
        </w:rPr>
        <w:t> </w:t>
      </w:r>
      <w:r>
        <w:rPr/>
        <w:t>photomedicine.</w:t>
      </w:r>
      <w:r>
        <w:rPr>
          <w:spacing w:val="27"/>
        </w:rPr>
        <w:t> </w:t>
      </w:r>
      <w:r>
        <w:rPr/>
        <w:t>–</w:t>
      </w:r>
      <w:r>
        <w:rPr>
          <w:spacing w:val="29"/>
        </w:rPr>
        <w:t> </w:t>
      </w:r>
      <w:r>
        <w:rPr/>
        <w:t>2003.</w:t>
      </w:r>
      <w:r>
        <w:rPr>
          <w:spacing w:val="24"/>
        </w:rPr>
        <w:t> </w:t>
      </w:r>
      <w:r>
        <w:rPr/>
        <w:t>–</w:t>
      </w:r>
      <w:r>
        <w:rPr>
          <w:spacing w:val="27"/>
        </w:rPr>
        <w:t> </w:t>
      </w:r>
      <w:r>
        <w:rPr/>
        <w:t>Т.</w:t>
      </w:r>
      <w:r>
        <w:rPr>
          <w:spacing w:val="24"/>
        </w:rPr>
        <w:t> </w:t>
      </w:r>
      <w:r>
        <w:rPr/>
        <w:t>19.</w:t>
      </w:r>
      <w:r>
        <w:rPr>
          <w:spacing w:val="25"/>
        </w:rPr>
        <w:t> </w:t>
      </w:r>
      <w:r>
        <w:rPr/>
        <w:t>–</w:t>
      </w:r>
      <w:r>
        <w:rPr>
          <w:spacing w:val="26"/>
        </w:rPr>
        <w:t> </w:t>
      </w:r>
      <w:r>
        <w:rPr/>
        <w:t>№.</w:t>
      </w:r>
      <w:r>
        <w:rPr>
          <w:spacing w:val="28"/>
        </w:rPr>
        <w:t> </w:t>
      </w:r>
      <w:r>
        <w:rPr/>
        <w:t>5.</w:t>
      </w:r>
      <w:r>
        <w:rPr>
          <w:spacing w:val="24"/>
        </w:rPr>
        <w:t> </w:t>
      </w:r>
      <w:r>
        <w:rPr/>
        <w:t>–</w:t>
      </w:r>
      <w:r>
        <w:rPr>
          <w:spacing w:val="29"/>
        </w:rPr>
        <w:t> </w:t>
      </w:r>
      <w:r>
        <w:rPr>
          <w:spacing w:val="-5"/>
        </w:rPr>
        <w:t>С.</w:t>
      </w:r>
    </w:p>
    <w:p>
      <w:pPr>
        <w:pStyle w:val="BodyText"/>
        <w:spacing w:line="322" w:lineRule="exact"/>
        <w:ind w:left="143"/>
        <w:jc w:val="left"/>
      </w:pPr>
      <w:r>
        <w:rPr>
          <w:spacing w:val="-2"/>
        </w:rPr>
        <w:t>228-</w:t>
      </w:r>
      <w:r>
        <w:rPr>
          <w:spacing w:val="-4"/>
        </w:rPr>
        <w:t>234.</w:t>
      </w:r>
    </w:p>
    <w:p>
      <w:pPr>
        <w:pStyle w:val="ListParagraph"/>
        <w:numPr>
          <w:ilvl w:val="0"/>
          <w:numId w:val="11"/>
        </w:numPr>
        <w:tabs>
          <w:tab w:pos="1377" w:val="left" w:leader="none"/>
        </w:tabs>
        <w:spacing w:line="240" w:lineRule="auto" w:before="0" w:after="0"/>
        <w:ind w:left="143" w:right="421" w:firstLine="708"/>
        <w:jc w:val="both"/>
        <w:rPr>
          <w:sz w:val="28"/>
        </w:rPr>
      </w:pPr>
      <w:r>
        <w:rPr>
          <w:sz w:val="28"/>
        </w:rPr>
        <w:t>Schroeder P. et al. Cellular response to infrared radiation involves retrograde mitochondrial signaling //Free Radical Biology and Medicine. – 2007. – Т. 43. – №. 1. –</w:t>
      </w:r>
      <w:r>
        <w:rPr>
          <w:spacing w:val="40"/>
          <w:sz w:val="28"/>
        </w:rPr>
        <w:t> </w:t>
      </w:r>
      <w:r>
        <w:rPr>
          <w:sz w:val="28"/>
        </w:rPr>
        <w:t>С. 128-135.</w:t>
      </w:r>
    </w:p>
    <w:p>
      <w:pPr>
        <w:pStyle w:val="ListParagraph"/>
        <w:numPr>
          <w:ilvl w:val="0"/>
          <w:numId w:val="11"/>
        </w:numPr>
        <w:tabs>
          <w:tab w:pos="1366" w:val="left" w:leader="none"/>
        </w:tabs>
        <w:spacing w:line="240" w:lineRule="auto" w:before="0" w:after="0"/>
        <w:ind w:left="143" w:right="421" w:firstLine="708"/>
        <w:jc w:val="both"/>
        <w:rPr>
          <w:sz w:val="28"/>
        </w:rPr>
      </w:pPr>
      <w:r>
        <w:rPr>
          <w:sz w:val="28"/>
        </w:rPr>
        <w:t>Gebbers N. et al. Water-filtered infrared-A radiation (wIRA) is not implicated</w:t>
      </w:r>
      <w:r>
        <w:rPr>
          <w:spacing w:val="40"/>
          <w:sz w:val="28"/>
        </w:rPr>
        <w:t> </w:t>
      </w:r>
      <w:r>
        <w:rPr>
          <w:sz w:val="28"/>
        </w:rPr>
        <w:t>in cellular degeneration of human skin //GMS german medical science. – 2007. – Т. 5. –</w:t>
      </w:r>
      <w:r>
        <w:rPr>
          <w:spacing w:val="40"/>
          <w:sz w:val="28"/>
        </w:rPr>
        <w:t> </w:t>
      </w:r>
      <w:r>
        <w:rPr>
          <w:sz w:val="28"/>
        </w:rPr>
        <w:t>С. Doc08.</w:t>
      </w:r>
    </w:p>
    <w:p>
      <w:pPr>
        <w:pStyle w:val="ListParagraph"/>
        <w:numPr>
          <w:ilvl w:val="0"/>
          <w:numId w:val="11"/>
        </w:numPr>
        <w:tabs>
          <w:tab w:pos="1434" w:val="left" w:leader="none"/>
        </w:tabs>
        <w:spacing w:line="240" w:lineRule="auto" w:before="0" w:after="0"/>
        <w:ind w:left="143" w:right="423" w:firstLine="707"/>
        <w:jc w:val="both"/>
        <w:rPr>
          <w:sz w:val="28"/>
        </w:rPr>
      </w:pPr>
      <w:r>
        <w:rPr>
          <w:sz w:val="28"/>
        </w:rPr>
        <w:t>Jung T. et al. Effects of water-filtered infrared A irradiation on human fibroblasts //Free Radical Biology and Medicine. – 2010. – Т. 48. – №. 1. – С. 153-160.</w:t>
      </w:r>
    </w:p>
    <w:p>
      <w:pPr>
        <w:pStyle w:val="ListParagraph"/>
        <w:numPr>
          <w:ilvl w:val="0"/>
          <w:numId w:val="11"/>
        </w:numPr>
        <w:tabs>
          <w:tab w:pos="1467" w:val="left" w:leader="none"/>
        </w:tabs>
        <w:spacing w:line="240" w:lineRule="auto" w:before="0" w:after="0"/>
        <w:ind w:left="143" w:right="421" w:firstLine="707"/>
        <w:jc w:val="both"/>
        <w:rPr>
          <w:sz w:val="28"/>
        </w:rPr>
      </w:pPr>
      <w:r>
        <w:rPr>
          <w:sz w:val="28"/>
        </w:rPr>
        <w:t>Piazena H., Kelleher D. K. Effects of infrared-A irradiation on skin: discrepancies in published data highlight the need for an exact consideration of physical and photobiological laws and appropriate experimental settings //Photochemistry and photobiology. – 2010. – Т. 86. – №. 3. – С. 687-705.</w:t>
      </w:r>
    </w:p>
    <w:p>
      <w:pPr>
        <w:pStyle w:val="BodyText"/>
        <w:spacing w:line="322" w:lineRule="exact"/>
        <w:ind w:left="851"/>
        <w:jc w:val="left"/>
      </w:pPr>
      <w:r>
        <w:rPr>
          <w:spacing w:val="-2"/>
        </w:rPr>
        <w:t>134</w:t>
      </w:r>
      <w:hyperlink r:id="rId83">
        <w:r>
          <w:rPr>
            <w:spacing w:val="-2"/>
          </w:rPr>
          <w:t>https://ru.wikipedia.org/wiki/%D0%A6%D0%B8%D1%82%D0%BE%D1%85</w:t>
        </w:r>
      </w:hyperlink>
    </w:p>
    <w:p>
      <w:pPr>
        <w:pStyle w:val="BodyText"/>
        <w:spacing w:line="322" w:lineRule="exact"/>
        <w:ind w:left="143"/>
        <w:jc w:val="left"/>
      </w:pPr>
      <w:r>
        <w:rPr>
          <w:spacing w:val="-2"/>
        </w:rPr>
        <w:t>%D1%80%D0%BE%D0%BC-</w:t>
      </w:r>
      <w:r>
        <w:rPr/>
        <w:t>c-</w:t>
      </w:r>
    </w:p>
    <w:p>
      <w:pPr>
        <w:pStyle w:val="BodyText"/>
        <w:spacing w:line="322" w:lineRule="exact"/>
        <w:ind w:left="143"/>
        <w:jc w:val="left"/>
      </w:pPr>
      <w:r>
        <w:rPr>
          <w:spacing w:val="-2"/>
        </w:rPr>
        <w:t>%D0%BE%D0%BA%D1%81%D0%B8%D0%B4%D0%B0%D0%B7%D0%B0</w:t>
      </w:r>
    </w:p>
    <w:p>
      <w:pPr>
        <w:pStyle w:val="ListParagraph"/>
        <w:numPr>
          <w:ilvl w:val="0"/>
          <w:numId w:val="12"/>
        </w:numPr>
        <w:tabs>
          <w:tab w:pos="1384" w:val="left" w:leader="none"/>
        </w:tabs>
        <w:spacing w:line="240" w:lineRule="auto" w:before="0" w:after="0"/>
        <w:ind w:left="143" w:right="420" w:firstLine="707"/>
        <w:jc w:val="both"/>
        <w:rPr>
          <w:sz w:val="28"/>
        </w:rPr>
      </w:pPr>
      <w:r>
        <w:rPr>
          <w:sz w:val="28"/>
        </w:rPr>
        <w:t>Danno K., Horio T., Imamura S. Infrared radiation suppresses ultraviolet B-induced sunburn-cell formation //Archives of dermatological research. – 1992. – Т. 284. – С. 92-94.</w:t>
      </w:r>
    </w:p>
    <w:p>
      <w:pPr>
        <w:pStyle w:val="ListParagraph"/>
        <w:numPr>
          <w:ilvl w:val="0"/>
          <w:numId w:val="12"/>
        </w:numPr>
        <w:tabs>
          <w:tab w:pos="1404" w:val="left" w:leader="none"/>
        </w:tabs>
        <w:spacing w:line="240" w:lineRule="auto" w:before="0" w:after="0"/>
        <w:ind w:left="143" w:right="421" w:firstLine="708"/>
        <w:jc w:val="both"/>
        <w:rPr>
          <w:sz w:val="28"/>
        </w:rPr>
      </w:pPr>
      <w:r>
        <w:rPr>
          <w:sz w:val="28"/>
        </w:rPr>
        <w:t>Abdvakhitova A. K., Grigor'eva L. N., Parkhomenko I. M. Effect of lazer radiation</w:t>
      </w:r>
      <w:r>
        <w:rPr>
          <w:spacing w:val="25"/>
          <w:sz w:val="28"/>
        </w:rPr>
        <w:t> </w:t>
      </w:r>
      <w:r>
        <w:rPr>
          <w:sz w:val="28"/>
        </w:rPr>
        <w:t>on</w:t>
      </w:r>
      <w:r>
        <w:rPr>
          <w:spacing w:val="27"/>
          <w:sz w:val="28"/>
        </w:rPr>
        <w:t> </w:t>
      </w:r>
      <w:r>
        <w:rPr>
          <w:sz w:val="28"/>
        </w:rPr>
        <w:t>Chinese</w:t>
      </w:r>
      <w:r>
        <w:rPr>
          <w:spacing w:val="24"/>
          <w:sz w:val="28"/>
        </w:rPr>
        <w:t> </w:t>
      </w:r>
      <w:r>
        <w:rPr>
          <w:sz w:val="28"/>
        </w:rPr>
        <w:t>hamster</w:t>
      </w:r>
      <w:r>
        <w:rPr>
          <w:spacing w:val="26"/>
          <w:sz w:val="28"/>
        </w:rPr>
        <w:t> </w:t>
      </w:r>
      <w:r>
        <w:rPr>
          <w:sz w:val="28"/>
        </w:rPr>
        <w:t>cells</w:t>
      </w:r>
      <w:r>
        <w:rPr>
          <w:spacing w:val="25"/>
          <w:sz w:val="28"/>
        </w:rPr>
        <w:t> </w:t>
      </w:r>
      <w:r>
        <w:rPr>
          <w:sz w:val="28"/>
        </w:rPr>
        <w:t>cultured</w:t>
      </w:r>
      <w:r>
        <w:rPr>
          <w:spacing w:val="25"/>
          <w:sz w:val="28"/>
        </w:rPr>
        <w:t> </w:t>
      </w:r>
      <w:r>
        <w:rPr>
          <w:sz w:val="28"/>
        </w:rPr>
        <w:t>in</w:t>
      </w:r>
      <w:r>
        <w:rPr>
          <w:spacing w:val="25"/>
          <w:sz w:val="28"/>
        </w:rPr>
        <w:t> </w:t>
      </w:r>
      <w:r>
        <w:rPr>
          <w:sz w:val="28"/>
        </w:rPr>
        <w:t>vitro</w:t>
      </w:r>
      <w:r>
        <w:rPr>
          <w:spacing w:val="25"/>
          <w:sz w:val="28"/>
        </w:rPr>
        <w:t> </w:t>
      </w:r>
      <w:r>
        <w:rPr>
          <w:sz w:val="28"/>
        </w:rPr>
        <w:t>//Radiobiologiya.</w:t>
      </w:r>
      <w:r>
        <w:rPr>
          <w:spacing w:val="23"/>
          <w:sz w:val="28"/>
        </w:rPr>
        <w:t> </w:t>
      </w:r>
      <w:r>
        <w:rPr>
          <w:sz w:val="28"/>
        </w:rPr>
        <w:t>–</w:t>
      </w:r>
      <w:r>
        <w:rPr>
          <w:spacing w:val="27"/>
          <w:sz w:val="28"/>
        </w:rPr>
        <w:t> </w:t>
      </w:r>
      <w:r>
        <w:rPr>
          <w:sz w:val="28"/>
        </w:rPr>
        <w:t>1982.</w:t>
      </w:r>
      <w:r>
        <w:rPr>
          <w:spacing w:val="25"/>
          <w:sz w:val="28"/>
        </w:rPr>
        <w:t> </w:t>
      </w:r>
      <w:r>
        <w:rPr>
          <w:sz w:val="28"/>
        </w:rPr>
        <w:t>–</w:t>
      </w:r>
      <w:r>
        <w:rPr>
          <w:spacing w:val="25"/>
          <w:sz w:val="28"/>
        </w:rPr>
        <w:t> </w:t>
      </w:r>
      <w:r>
        <w:rPr>
          <w:sz w:val="28"/>
        </w:rPr>
        <w:t>Т.</w:t>
      </w:r>
      <w:r>
        <w:rPr>
          <w:spacing w:val="23"/>
          <w:sz w:val="28"/>
        </w:rPr>
        <w:t> </w:t>
      </w:r>
      <w:r>
        <w:rPr>
          <w:sz w:val="28"/>
        </w:rPr>
        <w:t>22.</w:t>
      </w:r>
      <w:r>
        <w:rPr>
          <w:spacing w:val="23"/>
          <w:sz w:val="28"/>
        </w:rPr>
        <w:t> </w:t>
      </w:r>
      <w:r>
        <w:rPr>
          <w:sz w:val="28"/>
        </w:rPr>
        <w:t>–</w:t>
      </w:r>
    </w:p>
    <w:p>
      <w:pPr>
        <w:pStyle w:val="BodyText"/>
        <w:spacing w:line="321" w:lineRule="exact"/>
        <w:ind w:left="143"/>
      </w:pPr>
      <w:r>
        <w:rPr/>
        <w:t>№.</w:t>
      </w:r>
      <w:r>
        <w:rPr>
          <w:spacing w:val="-4"/>
        </w:rPr>
        <w:t> </w:t>
      </w:r>
      <w:r>
        <w:rPr/>
        <w:t>1.</w:t>
      </w:r>
      <w:r>
        <w:rPr>
          <w:spacing w:val="-1"/>
        </w:rPr>
        <w:t> </w:t>
      </w:r>
      <w:r>
        <w:rPr/>
        <w:t>– С.</w:t>
      </w:r>
      <w:r>
        <w:rPr>
          <w:spacing w:val="-4"/>
        </w:rPr>
        <w:t> </w:t>
      </w:r>
      <w:r>
        <w:rPr/>
        <w:t>40-</w:t>
      </w:r>
      <w:r>
        <w:rPr>
          <w:spacing w:val="-5"/>
        </w:rPr>
        <w:t>43.</w:t>
      </w:r>
    </w:p>
    <w:p>
      <w:pPr>
        <w:pStyle w:val="ListParagraph"/>
        <w:numPr>
          <w:ilvl w:val="0"/>
          <w:numId w:val="12"/>
        </w:numPr>
        <w:tabs>
          <w:tab w:pos="1373" w:val="left" w:leader="none"/>
        </w:tabs>
        <w:spacing w:line="240" w:lineRule="auto" w:before="0" w:after="0"/>
        <w:ind w:left="143" w:right="421" w:firstLine="708"/>
        <w:jc w:val="both"/>
        <w:rPr>
          <w:sz w:val="28"/>
        </w:rPr>
      </w:pPr>
      <w:r>
        <w:rPr>
          <w:sz w:val="28"/>
        </w:rPr>
        <w:t>Karu T., Pyatibrat L., Kalendo G. Irradiation with He–Ne laser can influence the cytotoxic response of HeLa cells to ionizing radiation //International journal of radiation biology. – 1994. – Т. 65. – №. 6. – С. 691-697.</w:t>
      </w:r>
    </w:p>
    <w:p>
      <w:pPr>
        <w:pStyle w:val="ListParagraph"/>
        <w:numPr>
          <w:ilvl w:val="0"/>
          <w:numId w:val="12"/>
        </w:numPr>
        <w:tabs>
          <w:tab w:pos="1346" w:val="left" w:leader="none"/>
        </w:tabs>
        <w:spacing w:line="240" w:lineRule="auto" w:before="1" w:after="0"/>
        <w:ind w:left="143" w:right="422" w:firstLine="708"/>
        <w:jc w:val="both"/>
        <w:rPr>
          <w:sz w:val="28"/>
        </w:rPr>
      </w:pPr>
      <w:r>
        <w:rPr>
          <w:sz w:val="28"/>
        </w:rPr>
        <w:t>Joyce K. M., Downes C. S., Hannigan B. M. Radioadaptation in Indian muntjac fibroblast cells induced by low intensity laser irradiation //Mutation Research/DNA</w:t>
      </w:r>
      <w:r>
        <w:rPr>
          <w:spacing w:val="40"/>
          <w:sz w:val="28"/>
        </w:rPr>
        <w:t> </w:t>
      </w:r>
      <w:r>
        <w:rPr>
          <w:sz w:val="28"/>
        </w:rPr>
        <w:t>Repair. – 1999. – Т. 435. – №. 1. – С. 35-42.</w:t>
      </w:r>
    </w:p>
    <w:p>
      <w:pPr>
        <w:pStyle w:val="ListParagraph"/>
        <w:numPr>
          <w:ilvl w:val="0"/>
          <w:numId w:val="12"/>
        </w:numPr>
        <w:tabs>
          <w:tab w:pos="1393" w:val="left" w:leader="none"/>
        </w:tabs>
        <w:spacing w:line="240" w:lineRule="auto" w:before="0" w:after="0"/>
        <w:ind w:left="143" w:right="422" w:firstLine="707"/>
        <w:jc w:val="both"/>
        <w:rPr>
          <w:sz w:val="28"/>
        </w:rPr>
      </w:pPr>
      <w:r>
        <w:rPr>
          <w:sz w:val="28"/>
        </w:rPr>
        <w:t>Lage C., Teixeira P. C. N., Leitao A. C. Non-coherent visible and infrared radiation increase survival to UV (254 nm) in Escherichia coli K12 //Journal of Photochemistry and Photobiology B: Biology. – 2000. – Т. 54. – №. 2-3. – С. 155-161.</w:t>
      </w:r>
    </w:p>
    <w:p>
      <w:pPr>
        <w:pStyle w:val="ListParagraph"/>
        <w:numPr>
          <w:ilvl w:val="0"/>
          <w:numId w:val="12"/>
        </w:numPr>
        <w:tabs>
          <w:tab w:pos="1416" w:val="left" w:leader="none"/>
        </w:tabs>
        <w:spacing w:line="240" w:lineRule="auto" w:before="0" w:after="0"/>
        <w:ind w:left="143" w:right="422" w:firstLine="708"/>
        <w:jc w:val="both"/>
        <w:rPr>
          <w:sz w:val="28"/>
        </w:rPr>
      </w:pPr>
      <w:r>
        <w:rPr>
          <w:sz w:val="28"/>
        </w:rPr>
        <w:t>Kohli R., Gupta P. K. Irradiance dependence of the He–Ne laser-induced protection against UVC radiation in E. coli strains //Journal of Photochemistry and Photobiology B: Biology. – 2003. – Т. 69. – №. 3. – С. 161-167.</w:t>
      </w:r>
    </w:p>
    <w:p>
      <w:pPr>
        <w:pStyle w:val="ListParagraph"/>
        <w:numPr>
          <w:ilvl w:val="0"/>
          <w:numId w:val="12"/>
        </w:numPr>
        <w:tabs>
          <w:tab w:pos="1395" w:val="left" w:leader="none"/>
        </w:tabs>
        <w:spacing w:line="240" w:lineRule="auto" w:before="0" w:after="0"/>
        <w:ind w:left="142" w:right="421" w:firstLine="708"/>
        <w:jc w:val="both"/>
        <w:rPr>
          <w:sz w:val="28"/>
        </w:rPr>
      </w:pPr>
      <w:r>
        <w:rPr>
          <w:sz w:val="28"/>
        </w:rPr>
        <w:t>Dube A. et al. He-Ne laser irradiation protects B-lymphoblasts from UVA-induced DNA damage //Radiation and environmental biophysics. – 2001.</w:t>
      </w:r>
      <w:r>
        <w:rPr>
          <w:spacing w:val="-1"/>
          <w:sz w:val="28"/>
        </w:rPr>
        <w:t> </w:t>
      </w:r>
      <w:r>
        <w:rPr>
          <w:sz w:val="28"/>
        </w:rPr>
        <w:t>– Т. 40. –</w:t>
      </w:r>
      <w:r>
        <w:rPr>
          <w:spacing w:val="-2"/>
          <w:sz w:val="28"/>
        </w:rPr>
        <w:t> </w:t>
      </w:r>
      <w:r>
        <w:rPr>
          <w:sz w:val="28"/>
        </w:rPr>
        <w:t>С. 77-</w:t>
      </w:r>
      <w:r>
        <w:rPr>
          <w:spacing w:val="-4"/>
          <w:sz w:val="28"/>
        </w:rPr>
        <w:t>82.</w:t>
      </w:r>
    </w:p>
    <w:p>
      <w:pPr>
        <w:pStyle w:val="ListParagraph"/>
        <w:numPr>
          <w:ilvl w:val="0"/>
          <w:numId w:val="12"/>
        </w:numPr>
        <w:tabs>
          <w:tab w:pos="1364" w:val="left" w:leader="none"/>
        </w:tabs>
        <w:spacing w:line="240" w:lineRule="auto" w:before="0" w:after="0"/>
        <w:ind w:left="142" w:right="423" w:firstLine="708"/>
        <w:jc w:val="both"/>
        <w:rPr>
          <w:sz w:val="28"/>
        </w:rPr>
      </w:pPr>
      <w:r>
        <w:rPr>
          <w:sz w:val="28"/>
        </w:rPr>
        <w:t>Eells J. T. et al. Therapeutic photobiomodulation for methanol-induced retinal toxicity</w:t>
      </w:r>
      <w:r>
        <w:rPr>
          <w:spacing w:val="-1"/>
          <w:sz w:val="28"/>
        </w:rPr>
        <w:t> </w:t>
      </w:r>
      <w:r>
        <w:rPr>
          <w:sz w:val="28"/>
        </w:rPr>
        <w:t>//Proceedings</w:t>
      </w:r>
      <w:r>
        <w:rPr>
          <w:spacing w:val="-3"/>
          <w:sz w:val="28"/>
        </w:rPr>
        <w:t> </w:t>
      </w:r>
      <w:r>
        <w:rPr>
          <w:sz w:val="28"/>
        </w:rPr>
        <w:t>of</w:t>
      </w:r>
      <w:r>
        <w:rPr>
          <w:spacing w:val="-2"/>
          <w:sz w:val="28"/>
        </w:rPr>
        <w:t> </w:t>
      </w:r>
      <w:r>
        <w:rPr>
          <w:sz w:val="28"/>
        </w:rPr>
        <w:t>the</w:t>
      </w:r>
      <w:r>
        <w:rPr>
          <w:spacing w:val="-2"/>
          <w:sz w:val="28"/>
        </w:rPr>
        <w:t> </w:t>
      </w:r>
      <w:r>
        <w:rPr>
          <w:sz w:val="28"/>
        </w:rPr>
        <w:t>National</w:t>
      </w:r>
      <w:r>
        <w:rPr>
          <w:spacing w:val="-1"/>
          <w:sz w:val="28"/>
        </w:rPr>
        <w:t> </w:t>
      </w:r>
      <w:r>
        <w:rPr>
          <w:sz w:val="28"/>
        </w:rPr>
        <w:t>Academy</w:t>
      </w:r>
      <w:r>
        <w:rPr>
          <w:spacing w:val="-1"/>
          <w:sz w:val="28"/>
        </w:rPr>
        <w:t> </w:t>
      </w:r>
      <w:r>
        <w:rPr>
          <w:sz w:val="28"/>
        </w:rPr>
        <w:t>of</w:t>
      </w:r>
      <w:r>
        <w:rPr>
          <w:spacing w:val="-2"/>
          <w:sz w:val="28"/>
        </w:rPr>
        <w:t> </w:t>
      </w:r>
      <w:r>
        <w:rPr>
          <w:sz w:val="28"/>
        </w:rPr>
        <w:t>Sciences.</w:t>
      </w:r>
      <w:r>
        <w:rPr>
          <w:spacing w:val="-2"/>
          <w:sz w:val="28"/>
        </w:rPr>
        <w:t> </w:t>
      </w:r>
      <w:r>
        <w:rPr>
          <w:sz w:val="28"/>
        </w:rPr>
        <w:t>– 2003.</w:t>
      </w:r>
      <w:r>
        <w:rPr>
          <w:spacing w:val="-3"/>
          <w:sz w:val="28"/>
        </w:rPr>
        <w:t> </w:t>
      </w:r>
      <w:r>
        <w:rPr>
          <w:sz w:val="28"/>
        </w:rPr>
        <w:t>–</w:t>
      </w:r>
      <w:r>
        <w:rPr>
          <w:spacing w:val="-1"/>
          <w:sz w:val="28"/>
        </w:rPr>
        <w:t> </w:t>
      </w:r>
      <w:r>
        <w:rPr>
          <w:sz w:val="28"/>
        </w:rPr>
        <w:t>Т.</w:t>
      </w:r>
      <w:r>
        <w:rPr>
          <w:spacing w:val="-2"/>
          <w:sz w:val="28"/>
        </w:rPr>
        <w:t> </w:t>
      </w:r>
      <w:r>
        <w:rPr>
          <w:sz w:val="28"/>
        </w:rPr>
        <w:t>100.</w:t>
      </w:r>
      <w:r>
        <w:rPr>
          <w:spacing w:val="-2"/>
          <w:sz w:val="28"/>
        </w:rPr>
        <w:t> </w:t>
      </w:r>
      <w:r>
        <w:rPr>
          <w:sz w:val="28"/>
        </w:rPr>
        <w:t>–</w:t>
      </w:r>
      <w:r>
        <w:rPr>
          <w:spacing w:val="-1"/>
          <w:sz w:val="28"/>
        </w:rPr>
        <w:t> </w:t>
      </w:r>
      <w:r>
        <w:rPr>
          <w:sz w:val="28"/>
        </w:rPr>
        <w:t>№.</w:t>
      </w:r>
      <w:r>
        <w:rPr>
          <w:spacing w:val="-2"/>
          <w:sz w:val="28"/>
        </w:rPr>
        <w:t> </w:t>
      </w:r>
      <w:r>
        <w:rPr>
          <w:sz w:val="28"/>
        </w:rPr>
        <w:t>6.</w:t>
      </w:r>
      <w:r>
        <w:rPr>
          <w:spacing w:val="-2"/>
          <w:sz w:val="28"/>
        </w:rPr>
        <w:t> </w:t>
      </w:r>
      <w:r>
        <w:rPr>
          <w:sz w:val="28"/>
        </w:rPr>
        <w:t>–</w:t>
      </w:r>
      <w:r>
        <w:rPr>
          <w:spacing w:val="-1"/>
          <w:sz w:val="28"/>
        </w:rPr>
        <w:t> </w:t>
      </w:r>
      <w:r>
        <w:rPr>
          <w:sz w:val="28"/>
        </w:rPr>
        <w:t>С. </w:t>
      </w:r>
      <w:r>
        <w:rPr>
          <w:spacing w:val="-2"/>
          <w:sz w:val="28"/>
        </w:rPr>
        <w:t>3439-3444.</w:t>
      </w:r>
    </w:p>
    <w:p>
      <w:pPr>
        <w:pStyle w:val="ListParagraph"/>
        <w:numPr>
          <w:ilvl w:val="0"/>
          <w:numId w:val="12"/>
        </w:numPr>
        <w:tabs>
          <w:tab w:pos="1378" w:val="left" w:leader="none"/>
        </w:tabs>
        <w:spacing w:line="240" w:lineRule="auto" w:before="0" w:after="0"/>
        <w:ind w:left="142" w:right="422" w:firstLine="707"/>
        <w:jc w:val="both"/>
        <w:rPr>
          <w:sz w:val="28"/>
        </w:rPr>
      </w:pPr>
      <w:r>
        <w:rPr>
          <w:sz w:val="28"/>
        </w:rPr>
        <w:t>Eells J. T. et al. Mitochondrial signal transduction in accelerated wound and retinal healing by near-infrared light therapy //Mitochondrion. – 2004. – Т. 4. – №. 5-6. – С. 559-567.</w:t>
      </w:r>
    </w:p>
    <w:p>
      <w:pPr>
        <w:pStyle w:val="ListParagraph"/>
        <w:numPr>
          <w:ilvl w:val="0"/>
          <w:numId w:val="12"/>
        </w:numPr>
        <w:tabs>
          <w:tab w:pos="1345" w:val="left" w:leader="none"/>
        </w:tabs>
        <w:spacing w:line="240" w:lineRule="auto" w:before="0" w:after="0"/>
        <w:ind w:left="142" w:right="423" w:firstLine="708"/>
        <w:jc w:val="both"/>
        <w:rPr>
          <w:sz w:val="28"/>
        </w:rPr>
      </w:pPr>
      <w:r>
        <w:rPr>
          <w:sz w:val="28"/>
        </w:rPr>
        <w:t>Wong-Riley M. T. T. et al. Light-emitting diode treatment reverses the effect of TTX on cytochrome oxidase in neurons //Neuroreport. – 2001. – Т. 12. – №. 14. – С. </w:t>
      </w:r>
      <w:r>
        <w:rPr>
          <w:spacing w:val="-2"/>
          <w:sz w:val="28"/>
        </w:rPr>
        <w:t>3033-3037.</w:t>
      </w:r>
    </w:p>
    <w:p>
      <w:pPr>
        <w:pStyle w:val="ListParagraph"/>
        <w:spacing w:after="0" w:line="240" w:lineRule="auto"/>
        <w:jc w:val="both"/>
        <w:rPr>
          <w:sz w:val="28"/>
        </w:rPr>
        <w:sectPr>
          <w:pgSz w:w="11910" w:h="16840"/>
          <w:pgMar w:header="0" w:footer="990" w:top="340" w:bottom="1200" w:left="708" w:right="425"/>
        </w:sectPr>
      </w:pPr>
    </w:p>
    <w:p>
      <w:pPr>
        <w:pStyle w:val="ListParagraph"/>
        <w:numPr>
          <w:ilvl w:val="0"/>
          <w:numId w:val="12"/>
        </w:numPr>
        <w:tabs>
          <w:tab w:pos="1421" w:val="left" w:leader="none"/>
        </w:tabs>
        <w:spacing w:line="240" w:lineRule="auto" w:before="69" w:after="0"/>
        <w:ind w:left="143" w:right="422" w:firstLine="708"/>
        <w:jc w:val="both"/>
        <w:rPr>
          <w:sz w:val="28"/>
        </w:rPr>
      </w:pPr>
      <w:r>
        <w:rPr>
          <w:sz w:val="28"/>
        </w:rPr>
        <w:t>Wong-Riley M. T. T. et al. Photobiomodulation directly benefits primary neurons functionally inactivated by toxins: role of cytochrome c oxidase //Journal of Biological Chemistry. – 2005. – Т. 280. – №. 6. – С. 4761-4771.</w:t>
      </w:r>
    </w:p>
    <w:p>
      <w:pPr>
        <w:pStyle w:val="ListParagraph"/>
        <w:numPr>
          <w:ilvl w:val="0"/>
          <w:numId w:val="12"/>
        </w:numPr>
        <w:tabs>
          <w:tab w:pos="1418" w:val="left" w:leader="none"/>
        </w:tabs>
        <w:spacing w:line="240" w:lineRule="auto" w:before="0" w:after="0"/>
        <w:ind w:left="144" w:right="421" w:firstLine="707"/>
        <w:jc w:val="both"/>
        <w:rPr>
          <w:sz w:val="28"/>
        </w:rPr>
      </w:pPr>
      <w:r>
        <w:rPr>
          <w:sz w:val="28"/>
        </w:rPr>
        <w:t>Salet C., Passarella S., Quagliariello E. Effects of selective irradiation on mammalian</w:t>
      </w:r>
      <w:r>
        <w:rPr>
          <w:spacing w:val="22"/>
          <w:sz w:val="28"/>
        </w:rPr>
        <w:t> </w:t>
      </w:r>
      <w:r>
        <w:rPr>
          <w:sz w:val="28"/>
        </w:rPr>
        <w:t>mitochondria</w:t>
      </w:r>
      <w:r>
        <w:rPr>
          <w:spacing w:val="21"/>
          <w:sz w:val="28"/>
        </w:rPr>
        <w:t> </w:t>
      </w:r>
      <w:r>
        <w:rPr>
          <w:sz w:val="28"/>
        </w:rPr>
        <w:t>//Photochem.</w:t>
      </w:r>
      <w:r>
        <w:rPr>
          <w:spacing w:val="20"/>
          <w:sz w:val="28"/>
        </w:rPr>
        <w:t> </w:t>
      </w:r>
      <w:r>
        <w:rPr>
          <w:sz w:val="28"/>
        </w:rPr>
        <w:t>Photobiol.;(United</w:t>
      </w:r>
      <w:r>
        <w:rPr>
          <w:spacing w:val="22"/>
          <w:sz w:val="28"/>
        </w:rPr>
        <w:t> </w:t>
      </w:r>
      <w:r>
        <w:rPr>
          <w:sz w:val="28"/>
        </w:rPr>
        <w:t>Kingdom).</w:t>
      </w:r>
      <w:r>
        <w:rPr>
          <w:spacing w:val="20"/>
          <w:sz w:val="28"/>
        </w:rPr>
        <w:t> </w:t>
      </w:r>
      <w:r>
        <w:rPr>
          <w:sz w:val="28"/>
        </w:rPr>
        <w:t>–</w:t>
      </w:r>
      <w:r>
        <w:rPr>
          <w:spacing w:val="25"/>
          <w:sz w:val="28"/>
        </w:rPr>
        <w:t> </w:t>
      </w:r>
      <w:r>
        <w:rPr>
          <w:sz w:val="28"/>
        </w:rPr>
        <w:t>1987.</w:t>
      </w:r>
      <w:r>
        <w:rPr>
          <w:spacing w:val="20"/>
          <w:sz w:val="28"/>
        </w:rPr>
        <w:t> </w:t>
      </w:r>
      <w:r>
        <w:rPr>
          <w:sz w:val="28"/>
        </w:rPr>
        <w:t>–</w:t>
      </w:r>
      <w:r>
        <w:rPr>
          <w:spacing w:val="22"/>
          <w:sz w:val="28"/>
        </w:rPr>
        <w:t> </w:t>
      </w:r>
      <w:r>
        <w:rPr>
          <w:sz w:val="28"/>
        </w:rPr>
        <w:t>Т. 45. –</w:t>
      </w:r>
    </w:p>
    <w:p>
      <w:pPr>
        <w:pStyle w:val="BodyText"/>
        <w:spacing w:line="321" w:lineRule="exact"/>
        <w:ind w:left="143"/>
      </w:pPr>
      <w:r>
        <w:rPr/>
        <w:t>№.</w:t>
      </w:r>
      <w:r>
        <w:rPr>
          <w:spacing w:val="-1"/>
        </w:rPr>
        <w:t> </w:t>
      </w:r>
      <w:r>
        <w:rPr>
          <w:spacing w:val="-5"/>
        </w:rPr>
        <w:t>3.</w:t>
      </w:r>
    </w:p>
    <w:p>
      <w:pPr>
        <w:pStyle w:val="ListParagraph"/>
        <w:numPr>
          <w:ilvl w:val="0"/>
          <w:numId w:val="12"/>
        </w:numPr>
        <w:tabs>
          <w:tab w:pos="1367" w:val="left" w:leader="none"/>
        </w:tabs>
        <w:spacing w:line="320" w:lineRule="exact" w:before="0" w:after="0"/>
        <w:ind w:left="1367" w:right="0" w:hanging="515"/>
        <w:jc w:val="left"/>
        <w:rPr>
          <w:sz w:val="28"/>
        </w:rPr>
      </w:pPr>
      <w:r>
        <w:rPr>
          <w:sz w:val="28"/>
        </w:rPr>
        <w:t>Burnstock</w:t>
      </w:r>
      <w:r>
        <w:rPr>
          <w:spacing w:val="18"/>
          <w:sz w:val="28"/>
        </w:rPr>
        <w:t> </w:t>
      </w:r>
      <w:r>
        <w:rPr>
          <w:sz w:val="28"/>
        </w:rPr>
        <w:t>G.</w:t>
      </w:r>
      <w:r>
        <w:rPr>
          <w:spacing w:val="19"/>
          <w:sz w:val="28"/>
        </w:rPr>
        <w:t> </w:t>
      </w:r>
      <w:r>
        <w:rPr>
          <w:sz w:val="28"/>
        </w:rPr>
        <w:t>Purines</w:t>
      </w:r>
      <w:r>
        <w:rPr>
          <w:spacing w:val="20"/>
          <w:sz w:val="28"/>
        </w:rPr>
        <w:t> </w:t>
      </w:r>
      <w:r>
        <w:rPr>
          <w:sz w:val="28"/>
        </w:rPr>
        <w:t>and</w:t>
      </w:r>
      <w:r>
        <w:rPr>
          <w:spacing w:val="21"/>
          <w:sz w:val="28"/>
        </w:rPr>
        <w:t> </w:t>
      </w:r>
      <w:r>
        <w:rPr>
          <w:sz w:val="28"/>
        </w:rPr>
        <w:t>sensory</w:t>
      </w:r>
      <w:r>
        <w:rPr>
          <w:spacing w:val="20"/>
          <w:sz w:val="28"/>
        </w:rPr>
        <w:t> </w:t>
      </w:r>
      <w:r>
        <w:rPr>
          <w:sz w:val="28"/>
        </w:rPr>
        <w:t>nerves</w:t>
      </w:r>
      <w:r>
        <w:rPr>
          <w:spacing w:val="19"/>
          <w:sz w:val="28"/>
        </w:rPr>
        <w:t> </w:t>
      </w:r>
      <w:r>
        <w:rPr>
          <w:sz w:val="28"/>
        </w:rPr>
        <w:t>//Sensory</w:t>
      </w:r>
      <w:r>
        <w:rPr>
          <w:spacing w:val="21"/>
          <w:sz w:val="28"/>
        </w:rPr>
        <w:t> </w:t>
      </w:r>
      <w:r>
        <w:rPr>
          <w:sz w:val="28"/>
        </w:rPr>
        <w:t>Nerves.</w:t>
      </w:r>
      <w:r>
        <w:rPr>
          <w:spacing w:val="18"/>
          <w:sz w:val="28"/>
        </w:rPr>
        <w:t> </w:t>
      </w:r>
      <w:r>
        <w:rPr>
          <w:sz w:val="28"/>
        </w:rPr>
        <w:t>–</w:t>
      </w:r>
      <w:r>
        <w:rPr>
          <w:spacing w:val="23"/>
          <w:sz w:val="28"/>
        </w:rPr>
        <w:t> </w:t>
      </w:r>
      <w:r>
        <w:rPr>
          <w:sz w:val="28"/>
        </w:rPr>
        <w:t>2009.</w:t>
      </w:r>
      <w:r>
        <w:rPr>
          <w:spacing w:val="18"/>
          <w:sz w:val="28"/>
        </w:rPr>
        <w:t> </w:t>
      </w:r>
      <w:r>
        <w:rPr>
          <w:sz w:val="28"/>
        </w:rPr>
        <w:t>–</w:t>
      </w:r>
      <w:r>
        <w:rPr>
          <w:spacing w:val="21"/>
          <w:sz w:val="28"/>
        </w:rPr>
        <w:t> </w:t>
      </w:r>
      <w:r>
        <w:rPr>
          <w:sz w:val="28"/>
        </w:rPr>
        <w:t>С.</w:t>
      </w:r>
      <w:r>
        <w:rPr>
          <w:spacing w:val="20"/>
          <w:sz w:val="28"/>
        </w:rPr>
        <w:t> </w:t>
      </w:r>
      <w:r>
        <w:rPr>
          <w:spacing w:val="-4"/>
          <w:sz w:val="28"/>
        </w:rPr>
        <w:t>333-</w:t>
      </w:r>
    </w:p>
    <w:p>
      <w:pPr>
        <w:pStyle w:val="BodyText"/>
        <w:spacing w:line="322" w:lineRule="exact" w:before="2"/>
        <w:ind w:left="143"/>
        <w:jc w:val="left"/>
      </w:pPr>
      <w:r>
        <w:rPr>
          <w:spacing w:val="-4"/>
        </w:rPr>
        <w:t>392.</w:t>
      </w:r>
    </w:p>
    <w:p>
      <w:pPr>
        <w:pStyle w:val="ListParagraph"/>
        <w:numPr>
          <w:ilvl w:val="0"/>
          <w:numId w:val="12"/>
        </w:numPr>
        <w:tabs>
          <w:tab w:pos="1354" w:val="left" w:leader="none"/>
        </w:tabs>
        <w:spacing w:line="322" w:lineRule="exact" w:before="0" w:after="0"/>
        <w:ind w:left="1354" w:right="0" w:hanging="502"/>
        <w:jc w:val="left"/>
        <w:rPr>
          <w:sz w:val="28"/>
        </w:rPr>
      </w:pPr>
      <w:r>
        <w:rPr>
          <w:sz w:val="28"/>
        </w:rPr>
        <w:t>Burnstock</w:t>
      </w:r>
      <w:r>
        <w:rPr>
          <w:spacing w:val="8"/>
          <w:sz w:val="28"/>
        </w:rPr>
        <w:t> </w:t>
      </w:r>
      <w:r>
        <w:rPr>
          <w:sz w:val="28"/>
        </w:rPr>
        <w:t>G.,</w:t>
      </w:r>
      <w:r>
        <w:rPr>
          <w:spacing w:val="9"/>
          <w:sz w:val="28"/>
        </w:rPr>
        <w:t> </w:t>
      </w:r>
      <w:r>
        <w:rPr>
          <w:sz w:val="28"/>
        </w:rPr>
        <w:t>Khakh</w:t>
      </w:r>
      <w:r>
        <w:rPr>
          <w:spacing w:val="9"/>
          <w:sz w:val="28"/>
        </w:rPr>
        <w:t> </w:t>
      </w:r>
      <w:r>
        <w:rPr>
          <w:sz w:val="28"/>
        </w:rPr>
        <w:t>B.</w:t>
      </w:r>
      <w:r>
        <w:rPr>
          <w:spacing w:val="9"/>
          <w:sz w:val="28"/>
        </w:rPr>
        <w:t> </w:t>
      </w:r>
      <w:r>
        <w:rPr>
          <w:sz w:val="28"/>
        </w:rPr>
        <w:t>S.</w:t>
      </w:r>
      <w:r>
        <w:rPr>
          <w:spacing w:val="6"/>
          <w:sz w:val="28"/>
        </w:rPr>
        <w:t> </w:t>
      </w:r>
      <w:r>
        <w:rPr>
          <w:sz w:val="28"/>
        </w:rPr>
        <w:t>The</w:t>
      </w:r>
      <w:r>
        <w:rPr>
          <w:spacing w:val="8"/>
          <w:sz w:val="28"/>
        </w:rPr>
        <w:t> </w:t>
      </w:r>
      <w:r>
        <w:rPr>
          <w:sz w:val="28"/>
        </w:rPr>
        <w:t>double</w:t>
      </w:r>
      <w:r>
        <w:rPr>
          <w:spacing w:val="9"/>
          <w:sz w:val="28"/>
        </w:rPr>
        <w:t> </w:t>
      </w:r>
      <w:r>
        <w:rPr>
          <w:sz w:val="28"/>
        </w:rPr>
        <w:t>life</w:t>
      </w:r>
      <w:r>
        <w:rPr>
          <w:spacing w:val="8"/>
          <w:sz w:val="28"/>
        </w:rPr>
        <w:t> </w:t>
      </w:r>
      <w:r>
        <w:rPr>
          <w:sz w:val="28"/>
        </w:rPr>
        <w:t>of</w:t>
      </w:r>
      <w:r>
        <w:rPr>
          <w:spacing w:val="7"/>
          <w:sz w:val="28"/>
        </w:rPr>
        <w:t> </w:t>
      </w:r>
      <w:r>
        <w:rPr>
          <w:sz w:val="28"/>
        </w:rPr>
        <w:t>ATP</w:t>
      </w:r>
      <w:r>
        <w:rPr>
          <w:spacing w:val="7"/>
          <w:sz w:val="28"/>
        </w:rPr>
        <w:t> </w:t>
      </w:r>
      <w:r>
        <w:rPr>
          <w:sz w:val="28"/>
        </w:rPr>
        <w:t>//Sci</w:t>
      </w:r>
      <w:r>
        <w:rPr>
          <w:spacing w:val="9"/>
          <w:sz w:val="28"/>
        </w:rPr>
        <w:t> </w:t>
      </w:r>
      <w:r>
        <w:rPr>
          <w:sz w:val="28"/>
        </w:rPr>
        <w:t>Am.</w:t>
      </w:r>
      <w:r>
        <w:rPr>
          <w:spacing w:val="10"/>
          <w:sz w:val="28"/>
        </w:rPr>
        <w:t> </w:t>
      </w:r>
      <w:r>
        <w:rPr>
          <w:sz w:val="28"/>
        </w:rPr>
        <w:t>–</w:t>
      </w:r>
      <w:r>
        <w:rPr>
          <w:spacing w:val="8"/>
          <w:sz w:val="28"/>
        </w:rPr>
        <w:t> </w:t>
      </w:r>
      <w:r>
        <w:rPr>
          <w:sz w:val="28"/>
        </w:rPr>
        <w:t>2009.</w:t>
      </w:r>
      <w:r>
        <w:rPr>
          <w:spacing w:val="7"/>
          <w:sz w:val="28"/>
        </w:rPr>
        <w:t> </w:t>
      </w:r>
      <w:r>
        <w:rPr>
          <w:sz w:val="28"/>
        </w:rPr>
        <w:t>–</w:t>
      </w:r>
      <w:r>
        <w:rPr>
          <w:spacing w:val="8"/>
          <w:sz w:val="28"/>
        </w:rPr>
        <w:t> </w:t>
      </w:r>
      <w:r>
        <w:rPr>
          <w:sz w:val="28"/>
        </w:rPr>
        <w:t>Т.</w:t>
      </w:r>
      <w:r>
        <w:rPr>
          <w:spacing w:val="10"/>
          <w:sz w:val="28"/>
        </w:rPr>
        <w:t> </w:t>
      </w:r>
      <w:r>
        <w:rPr>
          <w:spacing w:val="-4"/>
          <w:sz w:val="28"/>
        </w:rPr>
        <w:t>301.</w:t>
      </w:r>
    </w:p>
    <w:p>
      <w:pPr>
        <w:pStyle w:val="BodyText"/>
        <w:spacing w:before="21"/>
        <w:ind w:left="143"/>
      </w:pPr>
      <w:r>
        <w:rPr/>
        <w:t>–</w:t>
      </w:r>
      <w:r>
        <w:rPr>
          <w:spacing w:val="-1"/>
        </w:rPr>
        <w:t> </w:t>
      </w:r>
      <w:r>
        <w:rPr/>
        <w:t>№.</w:t>
      </w:r>
      <w:r>
        <w:rPr>
          <w:spacing w:val="-2"/>
        </w:rPr>
        <w:t> </w:t>
      </w:r>
      <w:r>
        <w:rPr/>
        <w:t>6.</w:t>
      </w:r>
      <w:r>
        <w:rPr>
          <w:spacing w:val="-5"/>
        </w:rPr>
        <w:t> </w:t>
      </w:r>
      <w:r>
        <w:rPr/>
        <w:t>–</w:t>
      </w:r>
      <w:r>
        <w:rPr>
          <w:spacing w:val="-1"/>
        </w:rPr>
        <w:t> </w:t>
      </w:r>
      <w:r>
        <w:rPr/>
        <w:t>С.</w:t>
      </w:r>
      <w:r>
        <w:rPr>
          <w:spacing w:val="-1"/>
        </w:rPr>
        <w:t> </w:t>
      </w:r>
      <w:r>
        <w:rPr/>
        <w:t>84-</w:t>
      </w:r>
      <w:r>
        <w:rPr>
          <w:spacing w:val="-5"/>
        </w:rPr>
        <w:t>92.</w:t>
      </w:r>
    </w:p>
    <w:p>
      <w:pPr>
        <w:pStyle w:val="ListParagraph"/>
        <w:numPr>
          <w:ilvl w:val="0"/>
          <w:numId w:val="12"/>
        </w:numPr>
        <w:tabs>
          <w:tab w:pos="1379" w:val="left" w:leader="none"/>
        </w:tabs>
        <w:spacing w:line="256" w:lineRule="auto" w:before="21" w:after="0"/>
        <w:ind w:left="143" w:right="421" w:firstLine="707"/>
        <w:jc w:val="both"/>
        <w:rPr>
          <w:sz w:val="28"/>
        </w:rPr>
      </w:pPr>
      <w:r>
        <w:rPr>
          <w:sz w:val="28"/>
        </w:rPr>
        <w:t>Eells J. T. et al. Mitochondrial signal transduction in accelerated wound and retinal healing by near-infrared light therapy //Mitochondrion. – 2004. – Т. 4. – №. 5-6. – С. 559-567.</w:t>
      </w:r>
    </w:p>
    <w:p>
      <w:pPr>
        <w:pStyle w:val="ListParagraph"/>
        <w:numPr>
          <w:ilvl w:val="0"/>
          <w:numId w:val="12"/>
        </w:numPr>
        <w:tabs>
          <w:tab w:pos="1374" w:val="left" w:leader="none"/>
        </w:tabs>
        <w:spacing w:line="256" w:lineRule="auto" w:before="0" w:after="0"/>
        <w:ind w:left="144" w:right="425" w:firstLine="708"/>
        <w:jc w:val="both"/>
        <w:rPr>
          <w:sz w:val="28"/>
        </w:rPr>
      </w:pPr>
      <w:r>
        <w:rPr>
          <w:sz w:val="28"/>
        </w:rPr>
        <w:t>Goldman J. A. et al. Laser therapy of rheumatoid arthritis //Lasers in surgery and medicine. – 1980. – Т. 1. – №. 1. – С. 93-101.</w:t>
      </w:r>
    </w:p>
    <w:p>
      <w:pPr>
        <w:pStyle w:val="ListParagraph"/>
        <w:numPr>
          <w:ilvl w:val="0"/>
          <w:numId w:val="12"/>
        </w:numPr>
        <w:tabs>
          <w:tab w:pos="1371" w:val="left" w:leader="none"/>
        </w:tabs>
        <w:spacing w:line="256" w:lineRule="auto" w:before="0" w:after="0"/>
        <w:ind w:left="144" w:right="421" w:firstLine="708"/>
        <w:jc w:val="both"/>
        <w:rPr>
          <w:sz w:val="28"/>
        </w:rPr>
      </w:pPr>
      <w:r>
        <w:rPr>
          <w:sz w:val="28"/>
        </w:rPr>
        <w:t>Abergel R. P. et al. Control of connective tissue metabolism by lasers: recent developments and future prospects //Journal of the American Academy of Dermatology. – 1984. – Т. 11. – №. 6. – С. 1142-1150.</w:t>
      </w:r>
    </w:p>
    <w:p>
      <w:pPr>
        <w:pStyle w:val="ListParagraph"/>
        <w:numPr>
          <w:ilvl w:val="0"/>
          <w:numId w:val="12"/>
        </w:numPr>
        <w:tabs>
          <w:tab w:pos="1362" w:val="left" w:leader="none"/>
        </w:tabs>
        <w:spacing w:line="256" w:lineRule="auto" w:before="0" w:after="0"/>
        <w:ind w:left="144" w:right="422" w:firstLine="708"/>
        <w:jc w:val="both"/>
        <w:rPr>
          <w:sz w:val="28"/>
        </w:rPr>
      </w:pPr>
      <w:r>
        <w:rPr>
          <w:sz w:val="28"/>
        </w:rPr>
        <w:t>Wheeland R. G., Walker N. P. J. Lasers—25 years later //International journal of dermatology. – 1986. – Т. 25. – №. 4. – С. 209-216.</w:t>
      </w:r>
    </w:p>
    <w:p>
      <w:pPr>
        <w:pStyle w:val="ListParagraph"/>
        <w:numPr>
          <w:ilvl w:val="0"/>
          <w:numId w:val="12"/>
        </w:numPr>
        <w:tabs>
          <w:tab w:pos="1431" w:val="left" w:leader="none"/>
        </w:tabs>
        <w:spacing w:line="256" w:lineRule="auto" w:before="0" w:after="0"/>
        <w:ind w:left="144" w:right="419" w:firstLine="708"/>
        <w:jc w:val="both"/>
        <w:rPr>
          <w:sz w:val="28"/>
        </w:rPr>
      </w:pPr>
      <w:r>
        <w:rPr>
          <w:sz w:val="28"/>
        </w:rPr>
        <w:t>Saltmarche A. E. Low level laser therapy for healing acute and chronic wounds–the extendicare experience //International wound journal. – 2008. – Т. 5. – №. 2.</w:t>
      </w:r>
    </w:p>
    <w:p>
      <w:pPr>
        <w:pStyle w:val="BodyText"/>
        <w:spacing w:line="319" w:lineRule="exact"/>
        <w:ind w:left="144"/>
      </w:pPr>
      <w:r>
        <w:rPr/>
        <w:t>–</w:t>
      </w:r>
      <w:r>
        <w:rPr>
          <w:spacing w:val="-2"/>
        </w:rPr>
        <w:t> </w:t>
      </w:r>
      <w:r>
        <w:rPr/>
        <w:t>С.</w:t>
      </w:r>
      <w:r>
        <w:rPr>
          <w:spacing w:val="-2"/>
        </w:rPr>
        <w:t> </w:t>
      </w:r>
      <w:r>
        <w:rPr/>
        <w:t>351-</w:t>
      </w:r>
      <w:r>
        <w:rPr>
          <w:spacing w:val="-4"/>
        </w:rPr>
        <w:t>360.</w:t>
      </w:r>
    </w:p>
    <w:p>
      <w:pPr>
        <w:pStyle w:val="ListParagraph"/>
        <w:numPr>
          <w:ilvl w:val="0"/>
          <w:numId w:val="12"/>
        </w:numPr>
        <w:tabs>
          <w:tab w:pos="1409" w:val="left" w:leader="none"/>
        </w:tabs>
        <w:spacing w:line="256" w:lineRule="auto" w:before="11" w:after="0"/>
        <w:ind w:left="144" w:right="419" w:firstLine="708"/>
        <w:jc w:val="both"/>
        <w:rPr>
          <w:sz w:val="28"/>
        </w:rPr>
      </w:pPr>
      <w:r>
        <w:rPr>
          <w:sz w:val="28"/>
        </w:rPr>
        <w:t>Avci P. et al. Low-level laser (light) therapy (LLLT) in skin: stimulating, healing, restoring //Seminars in cutaneous medicine and surgery. – NIH Public Access, 2013.–Т. 32. – №. 1. – С. 41.</w:t>
      </w:r>
    </w:p>
    <w:p>
      <w:pPr>
        <w:pStyle w:val="ListParagraph"/>
        <w:numPr>
          <w:ilvl w:val="0"/>
          <w:numId w:val="12"/>
        </w:numPr>
        <w:tabs>
          <w:tab w:pos="1364" w:val="left" w:leader="none"/>
        </w:tabs>
        <w:spacing w:line="320" w:lineRule="exact" w:before="0" w:after="0"/>
        <w:ind w:left="1364" w:right="0" w:hanging="512"/>
        <w:jc w:val="both"/>
        <w:rPr>
          <w:sz w:val="28"/>
        </w:rPr>
      </w:pPr>
      <w:r>
        <w:rPr>
          <w:sz w:val="28"/>
        </w:rPr>
        <w:t>Sato</w:t>
      </w:r>
      <w:r>
        <w:rPr>
          <w:spacing w:val="17"/>
          <w:sz w:val="28"/>
        </w:rPr>
        <w:t> </w:t>
      </w:r>
      <w:r>
        <w:rPr>
          <w:sz w:val="28"/>
        </w:rPr>
        <w:t>H.</w:t>
      </w:r>
      <w:r>
        <w:rPr>
          <w:spacing w:val="18"/>
          <w:sz w:val="28"/>
        </w:rPr>
        <w:t> </w:t>
      </w:r>
      <w:r>
        <w:rPr>
          <w:sz w:val="28"/>
        </w:rPr>
        <w:t>et</w:t>
      </w:r>
      <w:r>
        <w:rPr>
          <w:spacing w:val="20"/>
          <w:sz w:val="28"/>
        </w:rPr>
        <w:t> </w:t>
      </w:r>
      <w:r>
        <w:rPr>
          <w:sz w:val="28"/>
        </w:rPr>
        <w:t>al.</w:t>
      </w:r>
      <w:r>
        <w:rPr>
          <w:spacing w:val="17"/>
          <w:sz w:val="28"/>
        </w:rPr>
        <w:t> </w:t>
      </w:r>
      <w:r>
        <w:rPr>
          <w:sz w:val="28"/>
        </w:rPr>
        <w:t>The</w:t>
      </w:r>
      <w:r>
        <w:rPr>
          <w:spacing w:val="19"/>
          <w:sz w:val="28"/>
        </w:rPr>
        <w:t> </w:t>
      </w:r>
      <w:r>
        <w:rPr>
          <w:sz w:val="28"/>
        </w:rPr>
        <w:t>effects</w:t>
      </w:r>
      <w:r>
        <w:rPr>
          <w:spacing w:val="20"/>
          <w:sz w:val="28"/>
        </w:rPr>
        <w:t> </w:t>
      </w:r>
      <w:r>
        <w:rPr>
          <w:sz w:val="28"/>
        </w:rPr>
        <w:t>of</w:t>
      </w:r>
      <w:r>
        <w:rPr>
          <w:spacing w:val="16"/>
          <w:sz w:val="28"/>
        </w:rPr>
        <w:t> </w:t>
      </w:r>
      <w:r>
        <w:rPr>
          <w:sz w:val="28"/>
        </w:rPr>
        <w:t>laser</w:t>
      </w:r>
      <w:r>
        <w:rPr>
          <w:spacing w:val="20"/>
          <w:sz w:val="28"/>
        </w:rPr>
        <w:t> </w:t>
      </w:r>
      <w:r>
        <w:rPr>
          <w:sz w:val="28"/>
        </w:rPr>
        <w:t>light</w:t>
      </w:r>
      <w:r>
        <w:rPr>
          <w:spacing w:val="20"/>
          <w:sz w:val="28"/>
        </w:rPr>
        <w:t> </w:t>
      </w:r>
      <w:r>
        <w:rPr>
          <w:sz w:val="28"/>
        </w:rPr>
        <w:t>on</w:t>
      </w:r>
      <w:r>
        <w:rPr>
          <w:spacing w:val="20"/>
          <w:sz w:val="28"/>
        </w:rPr>
        <w:t> </w:t>
      </w:r>
      <w:r>
        <w:rPr>
          <w:sz w:val="28"/>
        </w:rPr>
        <w:t>sperm</w:t>
      </w:r>
      <w:r>
        <w:rPr>
          <w:spacing w:val="19"/>
          <w:sz w:val="28"/>
        </w:rPr>
        <w:t> </w:t>
      </w:r>
      <w:r>
        <w:rPr>
          <w:sz w:val="28"/>
        </w:rPr>
        <w:t>motility</w:t>
      </w:r>
      <w:r>
        <w:rPr>
          <w:spacing w:val="21"/>
          <w:sz w:val="28"/>
        </w:rPr>
        <w:t> </w:t>
      </w:r>
      <w:r>
        <w:rPr>
          <w:sz w:val="28"/>
        </w:rPr>
        <w:t>and</w:t>
      </w:r>
      <w:r>
        <w:rPr>
          <w:spacing w:val="17"/>
          <w:sz w:val="28"/>
        </w:rPr>
        <w:t> </w:t>
      </w:r>
      <w:r>
        <w:rPr>
          <w:sz w:val="28"/>
        </w:rPr>
        <w:t>velocity</w:t>
      </w:r>
      <w:r>
        <w:rPr>
          <w:spacing w:val="20"/>
          <w:sz w:val="28"/>
        </w:rPr>
        <w:t> </w:t>
      </w:r>
      <w:r>
        <w:rPr>
          <w:sz w:val="28"/>
        </w:rPr>
        <w:t>in</w:t>
      </w:r>
      <w:r>
        <w:rPr>
          <w:spacing w:val="21"/>
          <w:sz w:val="28"/>
        </w:rPr>
        <w:t> </w:t>
      </w:r>
      <w:r>
        <w:rPr>
          <w:spacing w:val="-2"/>
          <w:sz w:val="28"/>
        </w:rPr>
        <w:t>vitro</w:t>
      </w:r>
    </w:p>
    <w:p>
      <w:pPr>
        <w:pStyle w:val="BodyText"/>
        <w:spacing w:before="22"/>
        <w:ind w:left="144"/>
      </w:pPr>
      <w:r>
        <w:rPr/>
        <w:t>//Andrologia.</w:t>
      </w:r>
      <w:r>
        <w:rPr>
          <w:spacing w:val="-3"/>
        </w:rPr>
        <w:t> </w:t>
      </w:r>
      <w:r>
        <w:rPr/>
        <w:t>–</w:t>
      </w:r>
      <w:r>
        <w:rPr>
          <w:spacing w:val="-3"/>
        </w:rPr>
        <w:t> </w:t>
      </w:r>
      <w:r>
        <w:rPr/>
        <w:t>1984.</w:t>
      </w:r>
      <w:r>
        <w:rPr>
          <w:spacing w:val="-3"/>
        </w:rPr>
        <w:t> </w:t>
      </w:r>
      <w:r>
        <w:rPr/>
        <w:t>–</w:t>
      </w:r>
      <w:r>
        <w:rPr>
          <w:spacing w:val="-1"/>
        </w:rPr>
        <w:t> </w:t>
      </w:r>
      <w:r>
        <w:rPr/>
        <w:t>Т.</w:t>
      </w:r>
      <w:r>
        <w:rPr>
          <w:spacing w:val="-2"/>
        </w:rPr>
        <w:t> </w:t>
      </w:r>
      <w:r>
        <w:rPr/>
        <w:t>16.</w:t>
      </w:r>
      <w:r>
        <w:rPr>
          <w:spacing w:val="-3"/>
        </w:rPr>
        <w:t> </w:t>
      </w:r>
      <w:r>
        <w:rPr/>
        <w:t>–</w:t>
      </w:r>
      <w:r>
        <w:rPr>
          <w:spacing w:val="-2"/>
        </w:rPr>
        <w:t> </w:t>
      </w:r>
      <w:r>
        <w:rPr/>
        <w:t>№.</w:t>
      </w:r>
      <w:r>
        <w:rPr>
          <w:spacing w:val="-2"/>
        </w:rPr>
        <w:t> </w:t>
      </w:r>
      <w:r>
        <w:rPr/>
        <w:t>1.</w:t>
      </w:r>
      <w:r>
        <w:rPr>
          <w:spacing w:val="-5"/>
        </w:rPr>
        <w:t> </w:t>
      </w:r>
      <w:r>
        <w:rPr/>
        <w:t>–</w:t>
      </w:r>
      <w:r>
        <w:rPr>
          <w:spacing w:val="-1"/>
        </w:rPr>
        <w:t> </w:t>
      </w:r>
      <w:r>
        <w:rPr/>
        <w:t>С.</w:t>
      </w:r>
      <w:r>
        <w:rPr>
          <w:spacing w:val="-2"/>
        </w:rPr>
        <w:t> </w:t>
      </w:r>
      <w:r>
        <w:rPr/>
        <w:t>23-</w:t>
      </w:r>
      <w:r>
        <w:rPr>
          <w:spacing w:val="-5"/>
        </w:rPr>
        <w:t>25.</w:t>
      </w:r>
    </w:p>
    <w:p>
      <w:pPr>
        <w:pStyle w:val="ListParagraph"/>
        <w:numPr>
          <w:ilvl w:val="0"/>
          <w:numId w:val="12"/>
        </w:numPr>
        <w:tabs>
          <w:tab w:pos="1351" w:val="left" w:leader="none"/>
        </w:tabs>
        <w:spacing w:line="256" w:lineRule="auto" w:before="21" w:after="0"/>
        <w:ind w:left="143" w:right="423" w:firstLine="708"/>
        <w:jc w:val="both"/>
        <w:rPr>
          <w:sz w:val="28"/>
        </w:rPr>
      </w:pPr>
      <w:r>
        <w:rPr>
          <w:sz w:val="28"/>
        </w:rPr>
        <w:t>Lenzi A. et al. Laser radiation and motility patterns of human sperm //Archives of andrology. – 1989. – Т. 23. – №. 3. – С. 229-234.</w:t>
      </w:r>
    </w:p>
    <w:p>
      <w:pPr>
        <w:pStyle w:val="ListParagraph"/>
        <w:numPr>
          <w:ilvl w:val="0"/>
          <w:numId w:val="12"/>
        </w:numPr>
        <w:tabs>
          <w:tab w:pos="1384" w:val="left" w:leader="none"/>
        </w:tabs>
        <w:spacing w:line="256" w:lineRule="auto" w:before="0" w:after="0"/>
        <w:ind w:left="144" w:right="421" w:firstLine="707"/>
        <w:jc w:val="both"/>
        <w:rPr>
          <w:sz w:val="28"/>
        </w:rPr>
      </w:pPr>
      <w:r>
        <w:rPr>
          <w:sz w:val="28"/>
        </w:rPr>
        <w:t>Firestone R. S. et al. The effects of low-level laser light exposure on sperm motion characteristics and DNA damage //Journal of andrology. – 2012. – Т.</w:t>
      </w:r>
      <w:r>
        <w:rPr>
          <w:spacing w:val="-1"/>
          <w:sz w:val="28"/>
        </w:rPr>
        <w:t> </w:t>
      </w:r>
      <w:r>
        <w:rPr>
          <w:sz w:val="28"/>
        </w:rPr>
        <w:t>33. – №. 3.</w:t>
      </w:r>
      <w:r>
        <w:rPr>
          <w:spacing w:val="-1"/>
          <w:sz w:val="28"/>
        </w:rPr>
        <w:t> </w:t>
      </w:r>
      <w:r>
        <w:rPr>
          <w:sz w:val="28"/>
        </w:rPr>
        <w:t>– С. 469-473.</w:t>
      </w:r>
    </w:p>
    <w:p>
      <w:pPr>
        <w:pStyle w:val="ListParagraph"/>
        <w:numPr>
          <w:ilvl w:val="0"/>
          <w:numId w:val="12"/>
        </w:numPr>
        <w:tabs>
          <w:tab w:pos="1344" w:val="left" w:leader="none"/>
        </w:tabs>
        <w:spacing w:line="256" w:lineRule="auto" w:before="0" w:after="0"/>
        <w:ind w:left="144" w:right="421" w:firstLine="707"/>
        <w:jc w:val="both"/>
        <w:rPr>
          <w:sz w:val="28"/>
        </w:rPr>
      </w:pPr>
      <w:r>
        <w:rPr>
          <w:sz w:val="28"/>
        </w:rPr>
        <w:t>Salman</w:t>
      </w:r>
      <w:r>
        <w:rPr>
          <w:spacing w:val="-2"/>
          <w:sz w:val="28"/>
        </w:rPr>
        <w:t> </w:t>
      </w:r>
      <w:r>
        <w:rPr>
          <w:sz w:val="28"/>
        </w:rPr>
        <w:t>Yazdi R.</w:t>
      </w:r>
      <w:r>
        <w:rPr>
          <w:spacing w:val="-4"/>
          <w:sz w:val="28"/>
        </w:rPr>
        <w:t> </w:t>
      </w:r>
      <w:r>
        <w:rPr>
          <w:sz w:val="28"/>
        </w:rPr>
        <w:t>et al.</w:t>
      </w:r>
      <w:r>
        <w:rPr>
          <w:spacing w:val="-1"/>
          <w:sz w:val="28"/>
        </w:rPr>
        <w:t> </w:t>
      </w:r>
      <w:r>
        <w:rPr>
          <w:sz w:val="28"/>
        </w:rPr>
        <w:t>Effect of</w:t>
      </w:r>
      <w:r>
        <w:rPr>
          <w:spacing w:val="-3"/>
          <w:sz w:val="28"/>
        </w:rPr>
        <w:t> </w:t>
      </w:r>
      <w:r>
        <w:rPr>
          <w:sz w:val="28"/>
        </w:rPr>
        <w:t>830-nm</w:t>
      </w:r>
      <w:r>
        <w:rPr>
          <w:spacing w:val="-1"/>
          <w:sz w:val="28"/>
        </w:rPr>
        <w:t> </w:t>
      </w:r>
      <w:r>
        <w:rPr>
          <w:sz w:val="28"/>
        </w:rPr>
        <w:t>diode</w:t>
      </w:r>
      <w:r>
        <w:rPr>
          <w:spacing w:val="-3"/>
          <w:sz w:val="28"/>
        </w:rPr>
        <w:t> </w:t>
      </w:r>
      <w:r>
        <w:rPr>
          <w:sz w:val="28"/>
        </w:rPr>
        <w:t>laser</w:t>
      </w:r>
      <w:r>
        <w:rPr>
          <w:spacing w:val="-3"/>
          <w:sz w:val="28"/>
        </w:rPr>
        <w:t> </w:t>
      </w:r>
      <w:r>
        <w:rPr>
          <w:sz w:val="28"/>
        </w:rPr>
        <w:t>irradiation</w:t>
      </w:r>
      <w:r>
        <w:rPr>
          <w:spacing w:val="-2"/>
          <w:sz w:val="28"/>
        </w:rPr>
        <w:t> </w:t>
      </w:r>
      <w:r>
        <w:rPr>
          <w:sz w:val="28"/>
        </w:rPr>
        <w:t>on</w:t>
      </w:r>
      <w:r>
        <w:rPr>
          <w:spacing w:val="-2"/>
          <w:sz w:val="28"/>
        </w:rPr>
        <w:t> </w:t>
      </w:r>
      <w:r>
        <w:rPr>
          <w:sz w:val="28"/>
        </w:rPr>
        <w:t>human sperm motility //Lasers in medical science. – 2014. – Т. 29. – С. 97-104.</w:t>
      </w:r>
    </w:p>
    <w:p>
      <w:pPr>
        <w:pStyle w:val="ListParagraph"/>
        <w:numPr>
          <w:ilvl w:val="0"/>
          <w:numId w:val="12"/>
        </w:numPr>
        <w:tabs>
          <w:tab w:pos="1368" w:val="left" w:leader="none"/>
        </w:tabs>
        <w:spacing w:line="256" w:lineRule="auto" w:before="0" w:after="0"/>
        <w:ind w:left="144" w:right="422" w:firstLine="707"/>
        <w:jc w:val="both"/>
        <w:rPr>
          <w:sz w:val="28"/>
        </w:rPr>
      </w:pPr>
      <w:r>
        <w:rPr>
          <w:sz w:val="28"/>
        </w:rPr>
        <w:t>Preece D. et al. Red light improves spermatozoa motility and does not induce oxidative DNA damage //Scientific reports. – 2017. – Т. 7. – №. 1. – С. 46480.</w:t>
      </w:r>
    </w:p>
    <w:p>
      <w:pPr>
        <w:pStyle w:val="ListParagraph"/>
        <w:numPr>
          <w:ilvl w:val="0"/>
          <w:numId w:val="12"/>
        </w:numPr>
        <w:tabs>
          <w:tab w:pos="1360" w:val="left" w:leader="none"/>
        </w:tabs>
        <w:spacing w:line="256" w:lineRule="auto" w:before="0" w:after="0"/>
        <w:ind w:left="143" w:right="419" w:firstLine="708"/>
        <w:jc w:val="both"/>
        <w:rPr>
          <w:sz w:val="28"/>
        </w:rPr>
      </w:pPr>
      <w:r>
        <w:rPr>
          <w:sz w:val="28"/>
        </w:rPr>
        <w:t>Ban Frangez H. et al. Photobiomodulation with light-emitting diodes improves sperm</w:t>
      </w:r>
      <w:r>
        <w:rPr>
          <w:spacing w:val="23"/>
          <w:sz w:val="28"/>
        </w:rPr>
        <w:t> </w:t>
      </w:r>
      <w:r>
        <w:rPr>
          <w:sz w:val="28"/>
        </w:rPr>
        <w:t>motility</w:t>
      </w:r>
      <w:r>
        <w:rPr>
          <w:spacing w:val="25"/>
          <w:sz w:val="28"/>
        </w:rPr>
        <w:t> </w:t>
      </w:r>
      <w:r>
        <w:rPr>
          <w:sz w:val="28"/>
        </w:rPr>
        <w:t>in</w:t>
      </w:r>
      <w:r>
        <w:rPr>
          <w:spacing w:val="25"/>
          <w:sz w:val="28"/>
        </w:rPr>
        <w:t> </w:t>
      </w:r>
      <w:r>
        <w:rPr>
          <w:sz w:val="28"/>
        </w:rPr>
        <w:t>men</w:t>
      </w:r>
      <w:r>
        <w:rPr>
          <w:spacing w:val="25"/>
          <w:sz w:val="28"/>
        </w:rPr>
        <w:t> </w:t>
      </w:r>
      <w:r>
        <w:rPr>
          <w:sz w:val="28"/>
        </w:rPr>
        <w:t>with</w:t>
      </w:r>
      <w:r>
        <w:rPr>
          <w:spacing w:val="25"/>
          <w:sz w:val="28"/>
        </w:rPr>
        <w:t> </w:t>
      </w:r>
      <w:r>
        <w:rPr>
          <w:sz w:val="28"/>
        </w:rPr>
        <w:t>asthenozoospermia</w:t>
      </w:r>
      <w:r>
        <w:rPr>
          <w:spacing w:val="21"/>
          <w:sz w:val="28"/>
        </w:rPr>
        <w:t> </w:t>
      </w:r>
      <w:r>
        <w:rPr>
          <w:sz w:val="28"/>
        </w:rPr>
        <w:t>//Lasers</w:t>
      </w:r>
      <w:r>
        <w:rPr>
          <w:spacing w:val="25"/>
          <w:sz w:val="28"/>
        </w:rPr>
        <w:t> </w:t>
      </w:r>
      <w:r>
        <w:rPr>
          <w:sz w:val="28"/>
        </w:rPr>
        <w:t>in</w:t>
      </w:r>
      <w:r>
        <w:rPr>
          <w:spacing w:val="25"/>
          <w:sz w:val="28"/>
        </w:rPr>
        <w:t> </w:t>
      </w:r>
      <w:r>
        <w:rPr>
          <w:sz w:val="28"/>
        </w:rPr>
        <w:t>medical</w:t>
      </w:r>
      <w:r>
        <w:rPr>
          <w:spacing w:val="22"/>
          <w:sz w:val="28"/>
        </w:rPr>
        <w:t> </w:t>
      </w:r>
      <w:r>
        <w:rPr>
          <w:sz w:val="28"/>
        </w:rPr>
        <w:t>science.</w:t>
      </w:r>
      <w:r>
        <w:rPr>
          <w:spacing w:val="23"/>
          <w:sz w:val="28"/>
        </w:rPr>
        <w:t> </w:t>
      </w:r>
      <w:r>
        <w:rPr>
          <w:sz w:val="28"/>
        </w:rPr>
        <w:t>–</w:t>
      </w:r>
      <w:r>
        <w:rPr>
          <w:spacing w:val="27"/>
          <w:sz w:val="28"/>
        </w:rPr>
        <w:t> </w:t>
      </w:r>
      <w:r>
        <w:rPr>
          <w:sz w:val="28"/>
        </w:rPr>
        <w:t>2015.</w:t>
      </w:r>
      <w:r>
        <w:rPr>
          <w:spacing w:val="23"/>
          <w:sz w:val="28"/>
        </w:rPr>
        <w:t> </w:t>
      </w:r>
      <w:r>
        <w:rPr>
          <w:sz w:val="28"/>
        </w:rPr>
        <w:t>–</w:t>
      </w:r>
      <w:r>
        <w:rPr>
          <w:spacing w:val="25"/>
          <w:sz w:val="28"/>
        </w:rPr>
        <w:t> </w:t>
      </w:r>
      <w:r>
        <w:rPr>
          <w:sz w:val="28"/>
        </w:rPr>
        <w:t>Т.</w:t>
      </w:r>
    </w:p>
    <w:p>
      <w:pPr>
        <w:pStyle w:val="BodyText"/>
        <w:spacing w:line="319" w:lineRule="exact"/>
        <w:ind w:left="143"/>
      </w:pPr>
      <w:r>
        <w:rPr/>
        <w:t>30.</w:t>
      </w:r>
      <w:r>
        <w:rPr>
          <w:spacing w:val="-7"/>
        </w:rPr>
        <w:t> </w:t>
      </w:r>
      <w:r>
        <w:rPr/>
        <w:t>– С.</w:t>
      </w:r>
      <w:r>
        <w:rPr>
          <w:spacing w:val="-1"/>
        </w:rPr>
        <w:t> </w:t>
      </w:r>
      <w:r>
        <w:rPr/>
        <w:t>235-</w:t>
      </w:r>
      <w:r>
        <w:rPr>
          <w:spacing w:val="-4"/>
        </w:rPr>
        <w:t>240.</w:t>
      </w:r>
    </w:p>
    <w:p>
      <w:pPr>
        <w:pStyle w:val="ListParagraph"/>
        <w:numPr>
          <w:ilvl w:val="0"/>
          <w:numId w:val="12"/>
        </w:numPr>
        <w:tabs>
          <w:tab w:pos="1404" w:val="left" w:leader="none"/>
        </w:tabs>
        <w:spacing w:line="256" w:lineRule="auto" w:before="11" w:after="0"/>
        <w:ind w:left="143" w:right="423" w:firstLine="708"/>
        <w:jc w:val="both"/>
        <w:rPr>
          <w:sz w:val="28"/>
        </w:rPr>
      </w:pPr>
      <w:r>
        <w:rPr>
          <w:sz w:val="28"/>
        </w:rPr>
        <w:t>Siqueira A. F. P. et al. Effects of photobiomodulation therapy (PBMT) on bovine sperm function //Lasers in medical science. – 2016. – Т. 31. – С. 1245-1250.</w:t>
      </w:r>
    </w:p>
    <w:p>
      <w:pPr>
        <w:pStyle w:val="ListParagraph"/>
        <w:numPr>
          <w:ilvl w:val="0"/>
          <w:numId w:val="12"/>
        </w:numPr>
        <w:tabs>
          <w:tab w:pos="1400" w:val="left" w:leader="none"/>
        </w:tabs>
        <w:spacing w:line="256" w:lineRule="auto" w:before="0" w:after="0"/>
        <w:ind w:left="143" w:right="423" w:firstLine="707"/>
        <w:jc w:val="both"/>
        <w:rPr>
          <w:sz w:val="28"/>
        </w:rPr>
      </w:pPr>
      <w:r>
        <w:rPr>
          <w:sz w:val="28"/>
        </w:rPr>
        <w:t>Yeste M. et al. Impact of light irradiation on preservation and function of mammalian spermatozoa //Animal reproduction science. – 2018. – Т. 194. – С. 19-32.</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2"/>
        </w:numPr>
        <w:tabs>
          <w:tab w:pos="1408" w:val="left" w:leader="none"/>
        </w:tabs>
        <w:spacing w:line="256" w:lineRule="auto" w:before="69" w:after="0"/>
        <w:ind w:left="143" w:right="421" w:firstLine="708"/>
        <w:jc w:val="both"/>
        <w:rPr>
          <w:sz w:val="28"/>
        </w:rPr>
      </w:pPr>
      <w:r>
        <w:rPr>
          <w:sz w:val="28"/>
        </w:rPr>
        <w:t>de Lamirande E., O’Flaherty C. Sperm activation: role of reactive oxygen species and kinases //Biochimica et Biophysica Acta (BBA)-Proteins and Proteomics. – 2008. – Т. 1784. – №. 1. – С. 106-115.</w:t>
      </w:r>
    </w:p>
    <w:p>
      <w:pPr>
        <w:pStyle w:val="ListParagraph"/>
        <w:numPr>
          <w:ilvl w:val="0"/>
          <w:numId w:val="12"/>
        </w:numPr>
        <w:tabs>
          <w:tab w:pos="1358" w:val="left" w:leader="none"/>
        </w:tabs>
        <w:spacing w:line="256" w:lineRule="auto" w:before="0" w:after="0"/>
        <w:ind w:left="144" w:right="419" w:firstLine="707"/>
        <w:jc w:val="both"/>
        <w:rPr>
          <w:sz w:val="28"/>
        </w:rPr>
      </w:pPr>
      <w:r>
        <w:rPr>
          <w:sz w:val="28"/>
        </w:rPr>
        <w:t>Cohen N. et al. Light irradiation of mouse spermatozoa: stimulation of in vitro fertilization and calcium signals //Photochemistry and photobiology. – 1998.</w:t>
      </w:r>
      <w:r>
        <w:rPr>
          <w:spacing w:val="-1"/>
          <w:sz w:val="28"/>
        </w:rPr>
        <w:t> </w:t>
      </w:r>
      <w:r>
        <w:rPr>
          <w:sz w:val="28"/>
        </w:rPr>
        <w:t>– Т.</w:t>
      </w:r>
      <w:r>
        <w:rPr>
          <w:spacing w:val="-1"/>
          <w:sz w:val="28"/>
        </w:rPr>
        <w:t> </w:t>
      </w:r>
      <w:r>
        <w:rPr>
          <w:sz w:val="28"/>
        </w:rPr>
        <w:t>68.</w:t>
      </w:r>
      <w:r>
        <w:rPr>
          <w:spacing w:val="-1"/>
          <w:sz w:val="28"/>
        </w:rPr>
        <w:t> </w:t>
      </w:r>
      <w:r>
        <w:rPr>
          <w:sz w:val="28"/>
        </w:rPr>
        <w:t>– №.</w:t>
      </w:r>
    </w:p>
    <w:p>
      <w:pPr>
        <w:pStyle w:val="BodyText"/>
        <w:spacing w:line="319" w:lineRule="exact"/>
        <w:ind w:left="143"/>
      </w:pPr>
      <w:r>
        <w:rPr/>
        <w:t>3.</w:t>
      </w:r>
      <w:r>
        <w:rPr>
          <w:spacing w:val="-4"/>
        </w:rPr>
        <w:t> </w:t>
      </w:r>
      <w:r>
        <w:rPr/>
        <w:t>–</w:t>
      </w:r>
      <w:r>
        <w:rPr>
          <w:spacing w:val="-1"/>
        </w:rPr>
        <w:t> </w:t>
      </w:r>
      <w:r>
        <w:rPr/>
        <w:t>С.</w:t>
      </w:r>
      <w:r>
        <w:rPr>
          <w:spacing w:val="-2"/>
        </w:rPr>
        <w:t> </w:t>
      </w:r>
      <w:r>
        <w:rPr/>
        <w:t>407-</w:t>
      </w:r>
      <w:r>
        <w:rPr>
          <w:spacing w:val="-4"/>
        </w:rPr>
        <w:t>413.</w:t>
      </w:r>
    </w:p>
    <w:p>
      <w:pPr>
        <w:pStyle w:val="ListParagraph"/>
        <w:numPr>
          <w:ilvl w:val="0"/>
          <w:numId w:val="12"/>
        </w:numPr>
        <w:tabs>
          <w:tab w:pos="1353" w:val="left" w:leader="none"/>
        </w:tabs>
        <w:spacing w:line="240" w:lineRule="auto" w:before="17" w:after="0"/>
        <w:ind w:left="1353" w:right="0" w:hanging="502"/>
        <w:jc w:val="both"/>
        <w:rPr>
          <w:sz w:val="28"/>
        </w:rPr>
      </w:pPr>
      <w:r>
        <w:rPr>
          <w:sz w:val="28"/>
        </w:rPr>
        <w:t>Karu</w:t>
      </w:r>
      <w:r>
        <w:rPr>
          <w:spacing w:val="9"/>
          <w:sz w:val="28"/>
        </w:rPr>
        <w:t> </w:t>
      </w:r>
      <w:r>
        <w:rPr>
          <w:sz w:val="28"/>
        </w:rPr>
        <w:t>T.</w:t>
      </w:r>
      <w:r>
        <w:rPr>
          <w:spacing w:val="9"/>
          <w:sz w:val="28"/>
        </w:rPr>
        <w:t> </w:t>
      </w:r>
      <w:r>
        <w:rPr>
          <w:sz w:val="28"/>
        </w:rPr>
        <w:t>Photobiology</w:t>
      </w:r>
      <w:r>
        <w:rPr>
          <w:spacing w:val="9"/>
          <w:sz w:val="28"/>
        </w:rPr>
        <w:t> </w:t>
      </w:r>
      <w:r>
        <w:rPr>
          <w:sz w:val="28"/>
        </w:rPr>
        <w:t>of</w:t>
      </w:r>
      <w:r>
        <w:rPr>
          <w:spacing w:val="9"/>
          <w:sz w:val="28"/>
        </w:rPr>
        <w:t> </w:t>
      </w:r>
      <w:r>
        <w:rPr>
          <w:sz w:val="28"/>
        </w:rPr>
        <w:t>low-power</w:t>
      </w:r>
      <w:r>
        <w:rPr>
          <w:spacing w:val="8"/>
          <w:sz w:val="28"/>
        </w:rPr>
        <w:t> </w:t>
      </w:r>
      <w:r>
        <w:rPr>
          <w:sz w:val="28"/>
        </w:rPr>
        <w:t>laser</w:t>
      </w:r>
      <w:r>
        <w:rPr>
          <w:spacing w:val="8"/>
          <w:sz w:val="28"/>
        </w:rPr>
        <w:t> </w:t>
      </w:r>
      <w:r>
        <w:rPr>
          <w:sz w:val="28"/>
        </w:rPr>
        <w:t>effects</w:t>
      </w:r>
      <w:r>
        <w:rPr>
          <w:spacing w:val="12"/>
          <w:sz w:val="28"/>
        </w:rPr>
        <w:t> </w:t>
      </w:r>
      <w:r>
        <w:rPr>
          <w:sz w:val="28"/>
        </w:rPr>
        <w:t>//Health</w:t>
      </w:r>
      <w:r>
        <w:rPr>
          <w:spacing w:val="9"/>
          <w:sz w:val="28"/>
        </w:rPr>
        <w:t> </w:t>
      </w:r>
      <w:r>
        <w:rPr>
          <w:sz w:val="28"/>
        </w:rPr>
        <w:t>physics.</w:t>
      </w:r>
      <w:r>
        <w:rPr>
          <w:spacing w:val="8"/>
          <w:sz w:val="28"/>
        </w:rPr>
        <w:t> </w:t>
      </w:r>
      <w:r>
        <w:rPr>
          <w:sz w:val="28"/>
        </w:rPr>
        <w:t>–</w:t>
      </w:r>
      <w:r>
        <w:rPr>
          <w:spacing w:val="10"/>
          <w:sz w:val="28"/>
        </w:rPr>
        <w:t> </w:t>
      </w:r>
      <w:r>
        <w:rPr>
          <w:sz w:val="28"/>
        </w:rPr>
        <w:t>1989.</w:t>
      </w:r>
      <w:r>
        <w:rPr>
          <w:spacing w:val="10"/>
          <w:sz w:val="28"/>
        </w:rPr>
        <w:t> </w:t>
      </w:r>
      <w:r>
        <w:rPr>
          <w:sz w:val="28"/>
        </w:rPr>
        <w:t>–</w:t>
      </w:r>
      <w:r>
        <w:rPr>
          <w:spacing w:val="9"/>
          <w:sz w:val="28"/>
        </w:rPr>
        <w:t> </w:t>
      </w:r>
      <w:r>
        <w:rPr>
          <w:spacing w:val="-5"/>
          <w:sz w:val="28"/>
        </w:rPr>
        <w:t>Т.</w:t>
      </w:r>
    </w:p>
    <w:p>
      <w:pPr>
        <w:pStyle w:val="BodyText"/>
        <w:spacing w:before="21"/>
        <w:ind w:left="143"/>
      </w:pPr>
      <w:r>
        <w:rPr/>
        <w:t>56.</w:t>
      </w:r>
      <w:r>
        <w:rPr>
          <w:spacing w:val="-5"/>
        </w:rPr>
        <w:t> </w:t>
      </w:r>
      <w:r>
        <w:rPr/>
        <w:t>–</w:t>
      </w:r>
      <w:r>
        <w:rPr>
          <w:spacing w:val="-1"/>
        </w:rPr>
        <w:t> </w:t>
      </w:r>
      <w:r>
        <w:rPr/>
        <w:t>№.</w:t>
      </w:r>
      <w:r>
        <w:rPr>
          <w:spacing w:val="-1"/>
        </w:rPr>
        <w:t> </w:t>
      </w:r>
      <w:r>
        <w:rPr/>
        <w:t>5.</w:t>
      </w:r>
      <w:r>
        <w:rPr>
          <w:spacing w:val="-5"/>
        </w:rPr>
        <w:t> </w:t>
      </w:r>
      <w:r>
        <w:rPr/>
        <w:t>–</w:t>
      </w:r>
      <w:r>
        <w:rPr>
          <w:spacing w:val="-1"/>
        </w:rPr>
        <w:t> </w:t>
      </w:r>
      <w:r>
        <w:rPr/>
        <w:t>С.</w:t>
      </w:r>
      <w:r>
        <w:rPr>
          <w:spacing w:val="-1"/>
        </w:rPr>
        <w:t> </w:t>
      </w:r>
      <w:r>
        <w:rPr/>
        <w:t>691-</w:t>
      </w:r>
      <w:r>
        <w:rPr>
          <w:spacing w:val="-4"/>
        </w:rPr>
        <w:t>704.</w:t>
      </w:r>
    </w:p>
    <w:p>
      <w:pPr>
        <w:pStyle w:val="ListParagraph"/>
        <w:numPr>
          <w:ilvl w:val="0"/>
          <w:numId w:val="12"/>
        </w:numPr>
        <w:tabs>
          <w:tab w:pos="1352" w:val="left" w:leader="none"/>
        </w:tabs>
        <w:spacing w:line="256" w:lineRule="auto" w:before="21" w:after="0"/>
        <w:ind w:left="143" w:right="421" w:firstLine="707"/>
        <w:jc w:val="both"/>
        <w:rPr>
          <w:sz w:val="28"/>
        </w:rPr>
      </w:pPr>
      <w:r>
        <w:rPr>
          <w:sz w:val="28"/>
        </w:rPr>
        <w:t>Callaghan G. A. et al. Reactive oxygen species inducible by low-intensity laser irradiation alter DNA synthesis in the haemopoietic cell line U937 //Lasers in Surgery and Medicine:</w:t>
      </w:r>
      <w:r>
        <w:rPr>
          <w:spacing w:val="-2"/>
          <w:sz w:val="28"/>
        </w:rPr>
        <w:t> </w:t>
      </w:r>
      <w:r>
        <w:rPr>
          <w:sz w:val="28"/>
        </w:rPr>
        <w:t>The</w:t>
      </w:r>
      <w:r>
        <w:rPr>
          <w:spacing w:val="-5"/>
          <w:sz w:val="28"/>
        </w:rPr>
        <w:t> </w:t>
      </w:r>
      <w:r>
        <w:rPr>
          <w:sz w:val="28"/>
        </w:rPr>
        <w:t>Official</w:t>
      </w:r>
      <w:r>
        <w:rPr>
          <w:spacing w:val="-2"/>
          <w:sz w:val="28"/>
        </w:rPr>
        <w:t> </w:t>
      </w:r>
      <w:r>
        <w:rPr>
          <w:sz w:val="28"/>
        </w:rPr>
        <w:t>Journal</w:t>
      </w:r>
      <w:r>
        <w:rPr>
          <w:spacing w:val="-2"/>
          <w:sz w:val="28"/>
        </w:rPr>
        <w:t> </w:t>
      </w:r>
      <w:r>
        <w:rPr>
          <w:sz w:val="28"/>
        </w:rPr>
        <w:t>of</w:t>
      </w:r>
      <w:r>
        <w:rPr>
          <w:spacing w:val="-3"/>
          <w:sz w:val="28"/>
        </w:rPr>
        <w:t> </w:t>
      </w:r>
      <w:r>
        <w:rPr>
          <w:sz w:val="28"/>
        </w:rPr>
        <w:t>the</w:t>
      </w:r>
      <w:r>
        <w:rPr>
          <w:spacing w:val="-3"/>
          <w:sz w:val="28"/>
        </w:rPr>
        <w:t> </w:t>
      </w:r>
      <w:r>
        <w:rPr>
          <w:sz w:val="28"/>
        </w:rPr>
        <w:t>American</w:t>
      </w:r>
      <w:r>
        <w:rPr>
          <w:spacing w:val="-2"/>
          <w:sz w:val="28"/>
        </w:rPr>
        <w:t> </w:t>
      </w:r>
      <w:r>
        <w:rPr>
          <w:sz w:val="28"/>
        </w:rPr>
        <w:t>Society</w:t>
      </w:r>
      <w:r>
        <w:rPr>
          <w:spacing w:val="-2"/>
          <w:sz w:val="28"/>
        </w:rPr>
        <w:t> </w:t>
      </w:r>
      <w:r>
        <w:rPr>
          <w:sz w:val="28"/>
        </w:rPr>
        <w:t>for</w:t>
      </w:r>
      <w:r>
        <w:rPr>
          <w:spacing w:val="-5"/>
          <w:sz w:val="28"/>
        </w:rPr>
        <w:t> </w:t>
      </w:r>
      <w:r>
        <w:rPr>
          <w:sz w:val="28"/>
        </w:rPr>
        <w:t>Laser</w:t>
      </w:r>
      <w:r>
        <w:rPr>
          <w:spacing w:val="-3"/>
          <w:sz w:val="28"/>
        </w:rPr>
        <w:t> </w:t>
      </w:r>
      <w:r>
        <w:rPr>
          <w:sz w:val="28"/>
        </w:rPr>
        <w:t>Medicine</w:t>
      </w:r>
      <w:r>
        <w:rPr>
          <w:spacing w:val="-3"/>
          <w:sz w:val="28"/>
        </w:rPr>
        <w:t> </w:t>
      </w:r>
      <w:r>
        <w:rPr>
          <w:sz w:val="28"/>
        </w:rPr>
        <w:t>and</w:t>
      </w:r>
      <w:r>
        <w:rPr>
          <w:spacing w:val="-2"/>
          <w:sz w:val="28"/>
        </w:rPr>
        <w:t> </w:t>
      </w:r>
      <w:r>
        <w:rPr>
          <w:sz w:val="28"/>
        </w:rPr>
        <w:t>Surgery.</w:t>
      </w:r>
      <w:r>
        <w:rPr>
          <w:spacing w:val="-4"/>
          <w:sz w:val="28"/>
        </w:rPr>
        <w:t> </w:t>
      </w:r>
      <w:r>
        <w:rPr>
          <w:sz w:val="28"/>
        </w:rPr>
        <w:t>– 1996. – Т. 19. – №. 2. – С. 201-206.</w:t>
      </w:r>
    </w:p>
    <w:p>
      <w:pPr>
        <w:pStyle w:val="ListParagraph"/>
        <w:numPr>
          <w:ilvl w:val="0"/>
          <w:numId w:val="12"/>
        </w:numPr>
        <w:tabs>
          <w:tab w:pos="1440" w:val="left" w:leader="none"/>
        </w:tabs>
        <w:spacing w:line="319" w:lineRule="exact" w:before="0" w:after="0"/>
        <w:ind w:left="1440" w:right="0" w:hanging="589"/>
        <w:jc w:val="both"/>
        <w:rPr>
          <w:sz w:val="28"/>
        </w:rPr>
      </w:pPr>
      <w:r>
        <w:rPr>
          <w:sz w:val="28"/>
        </w:rPr>
        <w:t>De</w:t>
      </w:r>
      <w:r>
        <w:rPr>
          <w:spacing w:val="62"/>
          <w:w w:val="150"/>
          <w:sz w:val="28"/>
        </w:rPr>
        <w:t> </w:t>
      </w:r>
      <w:r>
        <w:rPr>
          <w:sz w:val="28"/>
        </w:rPr>
        <w:t>Lamirande</w:t>
      </w:r>
      <w:r>
        <w:rPr>
          <w:spacing w:val="61"/>
          <w:w w:val="150"/>
          <w:sz w:val="28"/>
        </w:rPr>
        <w:t> </w:t>
      </w:r>
      <w:r>
        <w:rPr>
          <w:sz w:val="28"/>
        </w:rPr>
        <w:t>E.</w:t>
      </w:r>
      <w:r>
        <w:rPr>
          <w:spacing w:val="62"/>
          <w:w w:val="150"/>
          <w:sz w:val="28"/>
        </w:rPr>
        <w:t> </w:t>
      </w:r>
      <w:r>
        <w:rPr>
          <w:sz w:val="28"/>
        </w:rPr>
        <w:t>et</w:t>
      </w:r>
      <w:r>
        <w:rPr>
          <w:spacing w:val="64"/>
          <w:w w:val="150"/>
          <w:sz w:val="28"/>
        </w:rPr>
        <w:t> </w:t>
      </w:r>
      <w:r>
        <w:rPr>
          <w:sz w:val="28"/>
        </w:rPr>
        <w:t>al.</w:t>
      </w:r>
      <w:r>
        <w:rPr>
          <w:spacing w:val="62"/>
          <w:w w:val="150"/>
          <w:sz w:val="28"/>
        </w:rPr>
        <w:t> </w:t>
      </w:r>
      <w:r>
        <w:rPr>
          <w:sz w:val="28"/>
        </w:rPr>
        <w:t>Reactive</w:t>
      </w:r>
      <w:r>
        <w:rPr>
          <w:spacing w:val="61"/>
          <w:w w:val="150"/>
          <w:sz w:val="28"/>
        </w:rPr>
        <w:t> </w:t>
      </w:r>
      <w:r>
        <w:rPr>
          <w:sz w:val="28"/>
        </w:rPr>
        <w:t>oxygen</w:t>
      </w:r>
      <w:r>
        <w:rPr>
          <w:spacing w:val="62"/>
          <w:w w:val="150"/>
          <w:sz w:val="28"/>
        </w:rPr>
        <w:t> </w:t>
      </w:r>
      <w:r>
        <w:rPr>
          <w:sz w:val="28"/>
        </w:rPr>
        <w:t>species</w:t>
      </w:r>
      <w:r>
        <w:rPr>
          <w:spacing w:val="64"/>
          <w:w w:val="150"/>
          <w:sz w:val="28"/>
        </w:rPr>
        <w:t> </w:t>
      </w:r>
      <w:r>
        <w:rPr>
          <w:sz w:val="28"/>
        </w:rPr>
        <w:t>and</w:t>
      </w:r>
      <w:r>
        <w:rPr>
          <w:spacing w:val="64"/>
          <w:w w:val="150"/>
          <w:sz w:val="28"/>
        </w:rPr>
        <w:t> </w:t>
      </w:r>
      <w:r>
        <w:rPr>
          <w:sz w:val="28"/>
        </w:rPr>
        <w:t>sperm</w:t>
      </w:r>
      <w:r>
        <w:rPr>
          <w:spacing w:val="60"/>
          <w:w w:val="150"/>
          <w:sz w:val="28"/>
        </w:rPr>
        <w:t> </w:t>
      </w:r>
      <w:r>
        <w:rPr>
          <w:spacing w:val="-2"/>
          <w:sz w:val="28"/>
        </w:rPr>
        <w:t>physiology</w:t>
      </w:r>
    </w:p>
    <w:p>
      <w:pPr>
        <w:pStyle w:val="BodyText"/>
        <w:spacing w:before="21"/>
        <w:ind w:left="143"/>
      </w:pPr>
      <w:r>
        <w:rPr/>
        <w:t>//Reviews</w:t>
      </w:r>
      <w:r>
        <w:rPr>
          <w:spacing w:val="-4"/>
        </w:rPr>
        <w:t> </w:t>
      </w:r>
      <w:r>
        <w:rPr/>
        <w:t>of</w:t>
      </w:r>
      <w:r>
        <w:rPr>
          <w:spacing w:val="-2"/>
        </w:rPr>
        <w:t> </w:t>
      </w:r>
      <w:r>
        <w:rPr/>
        <w:t>reproduction.</w:t>
      </w:r>
      <w:r>
        <w:rPr>
          <w:spacing w:val="-3"/>
        </w:rPr>
        <w:t> </w:t>
      </w:r>
      <w:r>
        <w:rPr/>
        <w:t>–</w:t>
      </w:r>
      <w:r>
        <w:rPr>
          <w:spacing w:val="-3"/>
        </w:rPr>
        <w:t> </w:t>
      </w:r>
      <w:r>
        <w:rPr/>
        <w:t>1997.</w:t>
      </w:r>
      <w:r>
        <w:rPr>
          <w:spacing w:val="-4"/>
        </w:rPr>
        <w:t> </w:t>
      </w:r>
      <w:r>
        <w:rPr/>
        <w:t>–</w:t>
      </w:r>
      <w:r>
        <w:rPr>
          <w:spacing w:val="-1"/>
        </w:rPr>
        <w:t> </w:t>
      </w:r>
      <w:r>
        <w:rPr/>
        <w:t>Т.</w:t>
      </w:r>
      <w:r>
        <w:rPr>
          <w:spacing w:val="-6"/>
        </w:rPr>
        <w:t> </w:t>
      </w:r>
      <w:r>
        <w:rPr/>
        <w:t>2.</w:t>
      </w:r>
      <w:r>
        <w:rPr>
          <w:spacing w:val="-2"/>
        </w:rPr>
        <w:t> </w:t>
      </w:r>
      <w:r>
        <w:rPr/>
        <w:t>–</w:t>
      </w:r>
      <w:r>
        <w:rPr>
          <w:spacing w:val="-2"/>
        </w:rPr>
        <w:t> </w:t>
      </w:r>
      <w:r>
        <w:rPr/>
        <w:t>С.</w:t>
      </w:r>
      <w:r>
        <w:rPr>
          <w:spacing w:val="-2"/>
        </w:rPr>
        <w:t> </w:t>
      </w:r>
      <w:r>
        <w:rPr/>
        <w:t>48-</w:t>
      </w:r>
      <w:r>
        <w:rPr>
          <w:spacing w:val="-5"/>
        </w:rPr>
        <w:t>54.</w:t>
      </w:r>
    </w:p>
    <w:p>
      <w:pPr>
        <w:pStyle w:val="ListParagraph"/>
        <w:numPr>
          <w:ilvl w:val="0"/>
          <w:numId w:val="12"/>
        </w:numPr>
        <w:tabs>
          <w:tab w:pos="1390" w:val="left" w:leader="none"/>
        </w:tabs>
        <w:spacing w:line="256" w:lineRule="auto" w:before="22" w:after="0"/>
        <w:ind w:left="144" w:right="423" w:firstLine="708"/>
        <w:jc w:val="left"/>
        <w:rPr>
          <w:sz w:val="28"/>
        </w:rPr>
      </w:pPr>
      <w:r>
        <w:rPr>
          <w:sz w:val="28"/>
        </w:rPr>
        <w:t>Oren</w:t>
      </w:r>
      <w:r>
        <w:rPr>
          <w:spacing w:val="40"/>
          <w:sz w:val="28"/>
        </w:rPr>
        <w:t> </w:t>
      </w:r>
      <w:r>
        <w:rPr>
          <w:sz w:val="28"/>
        </w:rPr>
        <w:t>D.</w:t>
      </w:r>
      <w:r>
        <w:rPr>
          <w:spacing w:val="40"/>
          <w:sz w:val="28"/>
        </w:rPr>
        <w:t> </w:t>
      </w:r>
      <w:r>
        <w:rPr>
          <w:sz w:val="28"/>
        </w:rPr>
        <w:t>A.,</w:t>
      </w:r>
      <w:r>
        <w:rPr>
          <w:spacing w:val="40"/>
          <w:sz w:val="28"/>
        </w:rPr>
        <w:t> </w:t>
      </w:r>
      <w:r>
        <w:rPr>
          <w:sz w:val="28"/>
        </w:rPr>
        <w:t>Cubells</w:t>
      </w:r>
      <w:r>
        <w:rPr>
          <w:spacing w:val="40"/>
          <w:sz w:val="28"/>
        </w:rPr>
        <w:t> </w:t>
      </w:r>
      <w:r>
        <w:rPr>
          <w:sz w:val="28"/>
        </w:rPr>
        <w:t>J.</w:t>
      </w:r>
      <w:r>
        <w:rPr>
          <w:spacing w:val="40"/>
          <w:sz w:val="28"/>
        </w:rPr>
        <w:t> </w:t>
      </w:r>
      <w:r>
        <w:rPr>
          <w:sz w:val="28"/>
        </w:rPr>
        <w:t>F.,</w:t>
      </w:r>
      <w:r>
        <w:rPr>
          <w:spacing w:val="40"/>
          <w:sz w:val="28"/>
        </w:rPr>
        <w:t> </w:t>
      </w:r>
      <w:r>
        <w:rPr>
          <w:sz w:val="28"/>
        </w:rPr>
        <w:t>Litsch</w:t>
      </w:r>
      <w:r>
        <w:rPr>
          <w:spacing w:val="40"/>
          <w:sz w:val="28"/>
        </w:rPr>
        <w:t> </w:t>
      </w:r>
      <w:r>
        <w:rPr>
          <w:sz w:val="28"/>
        </w:rPr>
        <w:t>S.</w:t>
      </w:r>
      <w:r>
        <w:rPr>
          <w:spacing w:val="40"/>
          <w:sz w:val="28"/>
        </w:rPr>
        <w:t> </w:t>
      </w:r>
      <w:r>
        <w:rPr>
          <w:sz w:val="28"/>
        </w:rPr>
        <w:t>Bright</w:t>
      </w:r>
      <w:r>
        <w:rPr>
          <w:spacing w:val="40"/>
          <w:sz w:val="28"/>
        </w:rPr>
        <w:t> </w:t>
      </w:r>
      <w:r>
        <w:rPr>
          <w:sz w:val="28"/>
        </w:rPr>
        <w:t>light</w:t>
      </w:r>
      <w:r>
        <w:rPr>
          <w:spacing w:val="40"/>
          <w:sz w:val="28"/>
        </w:rPr>
        <w:t> </w:t>
      </w:r>
      <w:r>
        <w:rPr>
          <w:sz w:val="28"/>
        </w:rPr>
        <w:t>therapy</w:t>
      </w:r>
      <w:r>
        <w:rPr>
          <w:spacing w:val="40"/>
          <w:sz w:val="28"/>
        </w:rPr>
        <w:t> </w:t>
      </w:r>
      <w:r>
        <w:rPr>
          <w:sz w:val="28"/>
        </w:rPr>
        <w:t>for</w:t>
      </w:r>
      <w:r>
        <w:rPr>
          <w:spacing w:val="40"/>
          <w:sz w:val="28"/>
        </w:rPr>
        <w:t> </w:t>
      </w:r>
      <w:r>
        <w:rPr>
          <w:sz w:val="28"/>
        </w:rPr>
        <w:t>schizoaffective disorder //American Journal of Psychiatry. – 2001. – Т. 158. – №. 12. – С. 2086-a-2087.</w:t>
      </w:r>
    </w:p>
    <w:p>
      <w:pPr>
        <w:pStyle w:val="ListParagraph"/>
        <w:numPr>
          <w:ilvl w:val="0"/>
          <w:numId w:val="12"/>
        </w:numPr>
        <w:tabs>
          <w:tab w:pos="1363" w:val="left" w:leader="none"/>
        </w:tabs>
        <w:spacing w:line="256" w:lineRule="auto" w:before="0" w:after="0"/>
        <w:ind w:left="143" w:right="421" w:firstLine="708"/>
        <w:jc w:val="left"/>
        <w:rPr>
          <w:sz w:val="28"/>
        </w:rPr>
      </w:pPr>
      <w:r>
        <w:rPr>
          <w:sz w:val="28"/>
        </w:rPr>
        <w:t>Shahar S. et al. Light-mediated activation reveals a key role for protein kinase</w:t>
      </w:r>
      <w:r>
        <w:rPr>
          <w:spacing w:val="40"/>
          <w:sz w:val="28"/>
        </w:rPr>
        <w:t> </w:t>
      </w:r>
      <w:r>
        <w:rPr>
          <w:sz w:val="28"/>
        </w:rPr>
        <w:t>A</w:t>
      </w:r>
      <w:r>
        <w:rPr>
          <w:spacing w:val="74"/>
          <w:sz w:val="28"/>
        </w:rPr>
        <w:t> </w:t>
      </w:r>
      <w:r>
        <w:rPr>
          <w:sz w:val="28"/>
        </w:rPr>
        <w:t>and</w:t>
      </w:r>
      <w:r>
        <w:rPr>
          <w:spacing w:val="72"/>
          <w:sz w:val="28"/>
        </w:rPr>
        <w:t> </w:t>
      </w:r>
      <w:r>
        <w:rPr>
          <w:sz w:val="28"/>
        </w:rPr>
        <w:t>sarcoma</w:t>
      </w:r>
      <w:r>
        <w:rPr>
          <w:spacing w:val="71"/>
          <w:sz w:val="28"/>
        </w:rPr>
        <w:t> </w:t>
      </w:r>
      <w:r>
        <w:rPr>
          <w:sz w:val="28"/>
        </w:rPr>
        <w:t>protein</w:t>
      </w:r>
      <w:r>
        <w:rPr>
          <w:spacing w:val="72"/>
          <w:sz w:val="28"/>
        </w:rPr>
        <w:t> </w:t>
      </w:r>
      <w:r>
        <w:rPr>
          <w:sz w:val="28"/>
        </w:rPr>
        <w:t>kinase</w:t>
      </w:r>
      <w:r>
        <w:rPr>
          <w:spacing w:val="73"/>
          <w:sz w:val="28"/>
        </w:rPr>
        <w:t> </w:t>
      </w:r>
      <w:r>
        <w:rPr>
          <w:sz w:val="28"/>
        </w:rPr>
        <w:t>in</w:t>
      </w:r>
      <w:r>
        <w:rPr>
          <w:spacing w:val="72"/>
          <w:sz w:val="28"/>
        </w:rPr>
        <w:t> </w:t>
      </w:r>
      <w:r>
        <w:rPr>
          <w:sz w:val="28"/>
        </w:rPr>
        <w:t>the</w:t>
      </w:r>
      <w:r>
        <w:rPr>
          <w:spacing w:val="73"/>
          <w:sz w:val="28"/>
        </w:rPr>
        <w:t> </w:t>
      </w:r>
      <w:r>
        <w:rPr>
          <w:sz w:val="28"/>
        </w:rPr>
        <w:t>development</w:t>
      </w:r>
      <w:r>
        <w:rPr>
          <w:spacing w:val="72"/>
          <w:sz w:val="28"/>
        </w:rPr>
        <w:t> </w:t>
      </w:r>
      <w:r>
        <w:rPr>
          <w:sz w:val="28"/>
        </w:rPr>
        <w:t>of</w:t>
      </w:r>
      <w:r>
        <w:rPr>
          <w:spacing w:val="73"/>
          <w:sz w:val="28"/>
        </w:rPr>
        <w:t> </w:t>
      </w:r>
      <w:r>
        <w:rPr>
          <w:sz w:val="28"/>
        </w:rPr>
        <w:t>sperm</w:t>
      </w:r>
      <w:r>
        <w:rPr>
          <w:spacing w:val="73"/>
          <w:sz w:val="28"/>
        </w:rPr>
        <w:t> </w:t>
      </w:r>
      <w:r>
        <w:rPr>
          <w:sz w:val="28"/>
        </w:rPr>
        <w:t>hyper-activated</w:t>
      </w:r>
      <w:r>
        <w:rPr>
          <w:spacing w:val="72"/>
          <w:sz w:val="28"/>
        </w:rPr>
        <w:t> </w:t>
      </w:r>
      <w:r>
        <w:rPr>
          <w:sz w:val="28"/>
        </w:rPr>
        <w:t>motility</w:t>
      </w:r>
    </w:p>
    <w:p>
      <w:pPr>
        <w:pStyle w:val="BodyText"/>
        <w:spacing w:line="319" w:lineRule="exact"/>
        <w:ind w:left="143"/>
        <w:jc w:val="left"/>
      </w:pPr>
      <w:r>
        <w:rPr/>
        <w:t>//Human</w:t>
      </w:r>
      <w:r>
        <w:rPr>
          <w:spacing w:val="-2"/>
        </w:rPr>
        <w:t> </w:t>
      </w:r>
      <w:r>
        <w:rPr/>
        <w:t>reproduction.</w:t>
      </w:r>
      <w:r>
        <w:rPr>
          <w:spacing w:val="-2"/>
        </w:rPr>
        <w:t> </w:t>
      </w:r>
      <w:r>
        <w:rPr/>
        <w:t>–</w:t>
      </w:r>
      <w:r>
        <w:rPr>
          <w:spacing w:val="-2"/>
        </w:rPr>
        <w:t> </w:t>
      </w:r>
      <w:r>
        <w:rPr/>
        <w:t>2011.</w:t>
      </w:r>
      <w:r>
        <w:rPr>
          <w:spacing w:val="-5"/>
        </w:rPr>
        <w:t> </w:t>
      </w:r>
      <w:r>
        <w:rPr/>
        <w:t>–</w:t>
      </w:r>
      <w:r>
        <w:rPr>
          <w:spacing w:val="-2"/>
        </w:rPr>
        <w:t> </w:t>
      </w:r>
      <w:r>
        <w:rPr/>
        <w:t>Т.</w:t>
      </w:r>
      <w:r>
        <w:rPr>
          <w:spacing w:val="-5"/>
        </w:rPr>
        <w:t> </w:t>
      </w:r>
      <w:r>
        <w:rPr/>
        <w:t>26.</w:t>
      </w:r>
      <w:r>
        <w:rPr>
          <w:spacing w:val="-5"/>
        </w:rPr>
        <w:t> </w:t>
      </w:r>
      <w:r>
        <w:rPr/>
        <w:t>–</w:t>
      </w:r>
      <w:r>
        <w:rPr>
          <w:spacing w:val="-2"/>
        </w:rPr>
        <w:t> </w:t>
      </w:r>
      <w:r>
        <w:rPr/>
        <w:t>№.</w:t>
      </w:r>
      <w:r>
        <w:rPr>
          <w:spacing w:val="-2"/>
        </w:rPr>
        <w:t> </w:t>
      </w:r>
      <w:r>
        <w:rPr/>
        <w:t>9.</w:t>
      </w:r>
      <w:r>
        <w:rPr>
          <w:spacing w:val="-3"/>
        </w:rPr>
        <w:t> </w:t>
      </w:r>
      <w:r>
        <w:rPr/>
        <w:t>–</w:t>
      </w:r>
      <w:r>
        <w:rPr>
          <w:spacing w:val="-1"/>
        </w:rPr>
        <w:t> </w:t>
      </w:r>
      <w:r>
        <w:rPr/>
        <w:t>С.</w:t>
      </w:r>
      <w:r>
        <w:rPr>
          <w:spacing w:val="-5"/>
        </w:rPr>
        <w:t> </w:t>
      </w:r>
      <w:r>
        <w:rPr/>
        <w:t>2274-</w:t>
      </w:r>
      <w:r>
        <w:rPr>
          <w:spacing w:val="-2"/>
        </w:rPr>
        <w:t>2282.</w:t>
      </w:r>
    </w:p>
    <w:p>
      <w:pPr>
        <w:pStyle w:val="ListParagraph"/>
        <w:numPr>
          <w:ilvl w:val="0"/>
          <w:numId w:val="12"/>
        </w:numPr>
        <w:tabs>
          <w:tab w:pos="1485" w:val="left" w:leader="none"/>
        </w:tabs>
        <w:spacing w:line="256" w:lineRule="auto" w:before="19" w:after="0"/>
        <w:ind w:left="144" w:right="419" w:firstLine="707"/>
        <w:jc w:val="both"/>
        <w:rPr>
          <w:sz w:val="28"/>
        </w:rPr>
      </w:pPr>
      <w:r>
        <w:rPr>
          <w:sz w:val="28"/>
        </w:rPr>
        <w:t>Хохлова А.В., Полуднякова Л.В., Федотова А.Ю., Столяров Д.А., Гильмутдинова А.К., Погодина Е.С., Саенко Ю.В., Антонеева И.И.,</w:t>
      </w:r>
      <w:r>
        <w:rPr>
          <w:spacing w:val="40"/>
          <w:sz w:val="28"/>
        </w:rPr>
        <w:t> </w:t>
      </w:r>
      <w:r>
        <w:rPr>
          <w:sz w:val="28"/>
        </w:rPr>
        <w:t>БелобородовЕ.А. Влияние низкоинтенсивного лазерного излучения с длиной волны 1265 нм на уровень активных формкислорода и системуПОЛ – АОЗ в культурах клеток CHO-K1 И A875 //Ульяновский медико-биологический журнал. – 2020. – №.</w:t>
      </w:r>
    </w:p>
    <w:p>
      <w:pPr>
        <w:pStyle w:val="BodyText"/>
        <w:spacing w:line="318" w:lineRule="exact"/>
        <w:ind w:left="144"/>
      </w:pPr>
      <w:r>
        <w:rPr/>
        <w:t>4.</w:t>
      </w:r>
      <w:r>
        <w:rPr>
          <w:spacing w:val="-4"/>
        </w:rPr>
        <w:t> </w:t>
      </w:r>
      <w:r>
        <w:rPr/>
        <w:t>–</w:t>
      </w:r>
      <w:r>
        <w:rPr>
          <w:spacing w:val="-1"/>
        </w:rPr>
        <w:t> </w:t>
      </w:r>
      <w:r>
        <w:rPr/>
        <w:t>С.</w:t>
      </w:r>
      <w:r>
        <w:rPr>
          <w:spacing w:val="-2"/>
        </w:rPr>
        <w:t> </w:t>
      </w:r>
      <w:r>
        <w:rPr/>
        <w:t>122-</w:t>
      </w:r>
      <w:r>
        <w:rPr>
          <w:spacing w:val="-4"/>
        </w:rPr>
        <w:t>132.</w:t>
      </w:r>
    </w:p>
    <w:p>
      <w:pPr>
        <w:pStyle w:val="ListParagraph"/>
        <w:numPr>
          <w:ilvl w:val="0"/>
          <w:numId w:val="12"/>
        </w:numPr>
        <w:tabs>
          <w:tab w:pos="1382" w:val="left" w:leader="none"/>
        </w:tabs>
        <w:spacing w:line="256" w:lineRule="auto" w:before="21" w:after="0"/>
        <w:ind w:left="143" w:right="424" w:firstLine="708"/>
        <w:jc w:val="both"/>
        <w:rPr>
          <w:sz w:val="28"/>
        </w:rPr>
      </w:pPr>
      <w:r>
        <w:rPr>
          <w:sz w:val="28"/>
        </w:rPr>
        <w:t>Sokolovski S. G. et al. Infrared laser pulse triggers increased singlet oxygen production in tumour cells //Scientific Reports. – 2013. – Т. 3. – №. 1. – С. 3484.</w:t>
      </w:r>
    </w:p>
    <w:p>
      <w:pPr>
        <w:pStyle w:val="ListParagraph"/>
        <w:numPr>
          <w:ilvl w:val="0"/>
          <w:numId w:val="12"/>
        </w:numPr>
        <w:tabs>
          <w:tab w:pos="1362" w:val="left" w:leader="none"/>
        </w:tabs>
        <w:spacing w:line="256" w:lineRule="auto" w:before="0" w:after="0"/>
        <w:ind w:left="143" w:right="421" w:firstLine="707"/>
        <w:jc w:val="both"/>
        <w:rPr>
          <w:sz w:val="28"/>
        </w:rPr>
      </w:pPr>
      <w:r>
        <w:rPr>
          <w:sz w:val="28"/>
        </w:rPr>
        <w:t>Khokhlova A. et al. The photobiomodulation of vital parameters of the cancer cell culture by low dose of near-IR laser irradiation //IEEE Journal of Selected Topics in Quantum Electronics. – 2018. – Т. 25. – №. 1. – С. 1-10.</w:t>
      </w:r>
    </w:p>
    <w:p>
      <w:pPr>
        <w:pStyle w:val="ListParagraph"/>
        <w:numPr>
          <w:ilvl w:val="0"/>
          <w:numId w:val="12"/>
        </w:numPr>
        <w:tabs>
          <w:tab w:pos="1376" w:val="left" w:leader="none"/>
        </w:tabs>
        <w:spacing w:line="256" w:lineRule="auto" w:before="0" w:after="0"/>
        <w:ind w:left="143" w:right="422" w:firstLine="707"/>
        <w:jc w:val="both"/>
        <w:rPr>
          <w:sz w:val="28"/>
        </w:rPr>
      </w:pPr>
      <w:r>
        <w:rPr>
          <w:sz w:val="28"/>
        </w:rPr>
        <w:t>Anquez F., Yazidi-Belkoura I., Randoux S., Suret P., Courtade E. Cancerous cell death from sensitizer free photoactivation of singlet oxygen //Photochemistry and photobiology. – 2012. – Т. 88. – №. 1. – С. 167-174.</w:t>
      </w:r>
    </w:p>
    <w:p>
      <w:pPr>
        <w:pStyle w:val="ListParagraph"/>
        <w:numPr>
          <w:ilvl w:val="0"/>
          <w:numId w:val="12"/>
        </w:numPr>
        <w:tabs>
          <w:tab w:pos="1388" w:val="left" w:leader="none"/>
        </w:tabs>
        <w:spacing w:line="256" w:lineRule="auto" w:before="0" w:after="0"/>
        <w:ind w:left="143" w:right="418" w:firstLine="707"/>
        <w:jc w:val="both"/>
        <w:rPr>
          <w:sz w:val="28"/>
        </w:rPr>
      </w:pPr>
      <w:r>
        <w:rPr>
          <w:sz w:val="28"/>
        </w:rPr>
        <w:t>Saenko Y.V., Glushchenko E.S., Zolotovskii I.O., Sholokhov E., Kurkov A. Mitochondrial dependent oxidative stress in cell culture induced by laser radiation at 1265 nm.//Lasers in medical science. – 2016. – Т. 31. – С. 405-413.</w:t>
      </w:r>
    </w:p>
    <w:p>
      <w:pPr>
        <w:pStyle w:val="ListParagraph"/>
        <w:numPr>
          <w:ilvl w:val="0"/>
          <w:numId w:val="12"/>
        </w:numPr>
        <w:tabs>
          <w:tab w:pos="1368" w:val="left" w:leader="none"/>
        </w:tabs>
        <w:spacing w:line="256" w:lineRule="auto" w:before="0" w:after="0"/>
        <w:ind w:left="144" w:right="422" w:firstLine="707"/>
        <w:jc w:val="both"/>
        <w:rPr>
          <w:sz w:val="28"/>
        </w:rPr>
      </w:pPr>
      <w:r>
        <w:rPr>
          <w:sz w:val="28"/>
        </w:rPr>
        <w:t>Khokhlova A., Zolotovskii I., Stoliarov D., Vorsina S., Liamina D., Pogodina E., Fotiadi A., Saenko Y., Sokolovski S., Rafailov E. Effects of high and low level 1265 nm laser irradiation on HCT116 cancer cells</w:t>
      </w:r>
      <w:r>
        <w:rPr>
          <w:spacing w:val="40"/>
          <w:sz w:val="28"/>
        </w:rPr>
        <w:t> </w:t>
      </w:r>
      <w:r>
        <w:rPr>
          <w:sz w:val="28"/>
        </w:rPr>
        <w:t>//Mechanisms of Photobiomodulation Therapy XIV. – SPIE, 2019. – Т. 10861. – С. 85-94.</w:t>
      </w:r>
    </w:p>
    <w:p>
      <w:pPr>
        <w:pStyle w:val="ListParagraph"/>
        <w:numPr>
          <w:ilvl w:val="0"/>
          <w:numId w:val="12"/>
        </w:numPr>
        <w:tabs>
          <w:tab w:pos="1346" w:val="left" w:leader="none"/>
        </w:tabs>
        <w:spacing w:line="256" w:lineRule="auto" w:before="0" w:after="0"/>
        <w:ind w:left="144" w:right="417" w:firstLine="707"/>
        <w:jc w:val="both"/>
        <w:rPr>
          <w:sz w:val="28"/>
        </w:rPr>
      </w:pPr>
      <w:r>
        <w:rPr>
          <w:sz w:val="28"/>
        </w:rPr>
        <w:t>Pastore D., Greco M., Passarella S. Specific helium-neon laser sensitivity of the purified</w:t>
      </w:r>
      <w:r>
        <w:rPr>
          <w:spacing w:val="-2"/>
          <w:sz w:val="28"/>
        </w:rPr>
        <w:t> </w:t>
      </w:r>
      <w:r>
        <w:rPr>
          <w:sz w:val="28"/>
        </w:rPr>
        <w:t>cytochrome</w:t>
      </w:r>
      <w:r>
        <w:rPr>
          <w:spacing w:val="-2"/>
          <w:sz w:val="28"/>
        </w:rPr>
        <w:t> </w:t>
      </w:r>
      <w:r>
        <w:rPr>
          <w:sz w:val="28"/>
        </w:rPr>
        <w:t>c</w:t>
      </w:r>
      <w:r>
        <w:rPr>
          <w:spacing w:val="-2"/>
          <w:sz w:val="28"/>
        </w:rPr>
        <w:t> </w:t>
      </w:r>
      <w:r>
        <w:rPr>
          <w:sz w:val="28"/>
        </w:rPr>
        <w:t>oxidase</w:t>
      </w:r>
      <w:r>
        <w:rPr>
          <w:spacing w:val="40"/>
          <w:sz w:val="28"/>
        </w:rPr>
        <w:t> </w:t>
      </w:r>
      <w:r>
        <w:rPr>
          <w:sz w:val="28"/>
        </w:rPr>
        <w:t>//International</w:t>
      </w:r>
      <w:r>
        <w:rPr>
          <w:spacing w:val="-3"/>
          <w:sz w:val="28"/>
        </w:rPr>
        <w:t> </w:t>
      </w:r>
      <w:r>
        <w:rPr>
          <w:sz w:val="28"/>
        </w:rPr>
        <w:t>journal</w:t>
      </w:r>
      <w:r>
        <w:rPr>
          <w:spacing w:val="-2"/>
          <w:sz w:val="28"/>
        </w:rPr>
        <w:t> </w:t>
      </w:r>
      <w:r>
        <w:rPr>
          <w:sz w:val="28"/>
        </w:rPr>
        <w:t>of</w:t>
      </w:r>
      <w:r>
        <w:rPr>
          <w:spacing w:val="-2"/>
          <w:sz w:val="28"/>
        </w:rPr>
        <w:t> </w:t>
      </w:r>
      <w:r>
        <w:rPr>
          <w:sz w:val="28"/>
        </w:rPr>
        <w:t>radiation</w:t>
      </w:r>
      <w:r>
        <w:rPr>
          <w:spacing w:val="-2"/>
          <w:sz w:val="28"/>
        </w:rPr>
        <w:t> </w:t>
      </w:r>
      <w:r>
        <w:rPr>
          <w:sz w:val="28"/>
        </w:rPr>
        <w:t>biology.</w:t>
      </w:r>
      <w:r>
        <w:rPr>
          <w:spacing w:val="-2"/>
          <w:sz w:val="28"/>
        </w:rPr>
        <w:t> </w:t>
      </w:r>
      <w:r>
        <w:rPr>
          <w:sz w:val="28"/>
        </w:rPr>
        <w:t>–</w:t>
      </w:r>
      <w:r>
        <w:rPr>
          <w:spacing w:val="-2"/>
          <w:sz w:val="28"/>
        </w:rPr>
        <w:t> </w:t>
      </w:r>
      <w:r>
        <w:rPr>
          <w:sz w:val="28"/>
        </w:rPr>
        <w:t>2000.</w:t>
      </w:r>
      <w:r>
        <w:rPr>
          <w:spacing w:val="-5"/>
          <w:sz w:val="28"/>
        </w:rPr>
        <w:t> </w:t>
      </w:r>
      <w:r>
        <w:rPr>
          <w:sz w:val="28"/>
        </w:rPr>
        <w:t>–</w:t>
      </w:r>
      <w:r>
        <w:rPr>
          <w:spacing w:val="-2"/>
          <w:sz w:val="28"/>
        </w:rPr>
        <w:t> </w:t>
      </w:r>
      <w:r>
        <w:rPr>
          <w:sz w:val="28"/>
        </w:rPr>
        <w:t>Т.</w:t>
      </w:r>
      <w:r>
        <w:rPr>
          <w:spacing w:val="-2"/>
          <w:sz w:val="28"/>
        </w:rPr>
        <w:t> </w:t>
      </w:r>
      <w:r>
        <w:rPr>
          <w:sz w:val="28"/>
        </w:rPr>
        <w:t>76. – №. 6. – С. 863-870.</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2"/>
        </w:numPr>
        <w:tabs>
          <w:tab w:pos="1377" w:val="left" w:leader="none"/>
        </w:tabs>
        <w:spacing w:line="256" w:lineRule="auto" w:before="69" w:after="0"/>
        <w:ind w:left="144" w:right="419" w:firstLine="707"/>
        <w:jc w:val="both"/>
        <w:rPr>
          <w:sz w:val="28"/>
        </w:rPr>
      </w:pPr>
      <w:r>
        <w:rPr>
          <w:sz w:val="28"/>
        </w:rPr>
        <w:t>Eells J.T., Wong-Riley M.T., Ver Hoeve J., Henry M., Buchman E.V., Kane M.P.,</w:t>
      </w:r>
      <w:r>
        <w:rPr>
          <w:spacing w:val="-2"/>
          <w:sz w:val="28"/>
        </w:rPr>
        <w:t> </w:t>
      </w:r>
      <w:r>
        <w:rPr>
          <w:sz w:val="28"/>
        </w:rPr>
        <w:t>Gould</w:t>
      </w:r>
      <w:r>
        <w:rPr>
          <w:spacing w:val="-1"/>
          <w:sz w:val="28"/>
        </w:rPr>
        <w:t> </w:t>
      </w:r>
      <w:r>
        <w:rPr>
          <w:sz w:val="28"/>
        </w:rPr>
        <w:t>L.J.,</w:t>
      </w:r>
      <w:r>
        <w:rPr>
          <w:spacing w:val="-2"/>
          <w:sz w:val="28"/>
        </w:rPr>
        <w:t> </w:t>
      </w:r>
      <w:r>
        <w:rPr>
          <w:sz w:val="28"/>
        </w:rPr>
        <w:t>Das</w:t>
      </w:r>
      <w:r>
        <w:rPr>
          <w:spacing w:val="-3"/>
          <w:sz w:val="28"/>
        </w:rPr>
        <w:t> </w:t>
      </w:r>
      <w:r>
        <w:rPr>
          <w:sz w:val="28"/>
        </w:rPr>
        <w:t>R.,</w:t>
      </w:r>
      <w:r>
        <w:rPr>
          <w:spacing w:val="-2"/>
          <w:sz w:val="28"/>
        </w:rPr>
        <w:t> </w:t>
      </w:r>
      <w:r>
        <w:rPr>
          <w:sz w:val="28"/>
        </w:rPr>
        <w:t>Jett</w:t>
      </w:r>
      <w:r>
        <w:rPr>
          <w:spacing w:val="-1"/>
          <w:sz w:val="28"/>
        </w:rPr>
        <w:t> </w:t>
      </w:r>
      <w:r>
        <w:rPr>
          <w:sz w:val="28"/>
        </w:rPr>
        <w:t>M.,</w:t>
      </w:r>
      <w:r>
        <w:rPr>
          <w:spacing w:val="-5"/>
          <w:sz w:val="28"/>
        </w:rPr>
        <w:t> </w:t>
      </w:r>
      <w:r>
        <w:rPr>
          <w:sz w:val="28"/>
        </w:rPr>
        <w:t>Hodgson</w:t>
      </w:r>
      <w:r>
        <w:rPr>
          <w:spacing w:val="-3"/>
          <w:sz w:val="28"/>
        </w:rPr>
        <w:t> </w:t>
      </w:r>
      <w:r>
        <w:rPr>
          <w:sz w:val="28"/>
        </w:rPr>
        <w:t>B.D.,</w:t>
      </w:r>
      <w:r>
        <w:rPr>
          <w:spacing w:val="-2"/>
          <w:sz w:val="28"/>
        </w:rPr>
        <w:t> </w:t>
      </w:r>
      <w:r>
        <w:rPr>
          <w:sz w:val="28"/>
        </w:rPr>
        <w:t>Margolis</w:t>
      </w:r>
      <w:r>
        <w:rPr>
          <w:spacing w:val="-1"/>
          <w:sz w:val="28"/>
        </w:rPr>
        <w:t> </w:t>
      </w:r>
      <w:r>
        <w:rPr>
          <w:sz w:val="28"/>
        </w:rPr>
        <w:t>D.,</w:t>
      </w:r>
      <w:r>
        <w:rPr>
          <w:spacing w:val="-5"/>
          <w:sz w:val="28"/>
        </w:rPr>
        <w:t> </w:t>
      </w:r>
      <w:r>
        <w:rPr>
          <w:sz w:val="28"/>
        </w:rPr>
        <w:t>Whelan</w:t>
      </w:r>
      <w:r>
        <w:rPr>
          <w:spacing w:val="-3"/>
          <w:sz w:val="28"/>
        </w:rPr>
        <w:t> </w:t>
      </w:r>
      <w:r>
        <w:rPr>
          <w:sz w:val="28"/>
        </w:rPr>
        <w:t>H.T.</w:t>
      </w:r>
      <w:r>
        <w:rPr>
          <w:spacing w:val="-2"/>
          <w:sz w:val="28"/>
        </w:rPr>
        <w:t> </w:t>
      </w:r>
      <w:r>
        <w:rPr>
          <w:sz w:val="28"/>
        </w:rPr>
        <w:t>Mitochondrial signal transduction in</w:t>
      </w:r>
      <w:r>
        <w:rPr>
          <w:spacing w:val="-3"/>
          <w:sz w:val="28"/>
        </w:rPr>
        <w:t> </w:t>
      </w:r>
      <w:r>
        <w:rPr>
          <w:sz w:val="28"/>
        </w:rPr>
        <w:t>accelerated wound and retinal healing by near-infrared light therapy.</w:t>
      </w:r>
    </w:p>
    <w:p>
      <w:pPr>
        <w:pStyle w:val="BodyText"/>
        <w:spacing w:line="318" w:lineRule="exact"/>
        <w:ind w:left="144"/>
      </w:pPr>
      <w:r>
        <w:rPr/>
        <w:t>//Mitochondrion.</w:t>
      </w:r>
      <w:r>
        <w:rPr>
          <w:spacing w:val="-3"/>
        </w:rPr>
        <w:t> </w:t>
      </w:r>
      <w:r>
        <w:rPr/>
        <w:t>–</w:t>
      </w:r>
      <w:r>
        <w:rPr>
          <w:spacing w:val="-3"/>
        </w:rPr>
        <w:t> </w:t>
      </w:r>
      <w:r>
        <w:rPr/>
        <w:t>2004.</w:t>
      </w:r>
      <w:r>
        <w:rPr>
          <w:spacing w:val="-3"/>
        </w:rPr>
        <w:t> </w:t>
      </w:r>
      <w:r>
        <w:rPr/>
        <w:t>–</w:t>
      </w:r>
      <w:r>
        <w:rPr>
          <w:spacing w:val="-4"/>
        </w:rPr>
        <w:t> </w:t>
      </w:r>
      <w:r>
        <w:rPr/>
        <w:t>Т.</w:t>
      </w:r>
      <w:r>
        <w:rPr>
          <w:spacing w:val="-2"/>
        </w:rPr>
        <w:t> </w:t>
      </w:r>
      <w:r>
        <w:rPr/>
        <w:t>4.</w:t>
      </w:r>
      <w:r>
        <w:rPr>
          <w:spacing w:val="-5"/>
        </w:rPr>
        <w:t> </w:t>
      </w:r>
      <w:r>
        <w:rPr/>
        <w:t>–</w:t>
      </w:r>
      <w:r>
        <w:rPr>
          <w:spacing w:val="-1"/>
        </w:rPr>
        <w:t> </w:t>
      </w:r>
      <w:r>
        <w:rPr/>
        <w:t>№.</w:t>
      </w:r>
      <w:r>
        <w:rPr>
          <w:spacing w:val="-3"/>
        </w:rPr>
        <w:t> </w:t>
      </w:r>
      <w:r>
        <w:rPr/>
        <w:t>5-6.</w:t>
      </w:r>
      <w:r>
        <w:rPr>
          <w:spacing w:val="-5"/>
        </w:rPr>
        <w:t> </w:t>
      </w:r>
      <w:r>
        <w:rPr/>
        <w:t>–</w:t>
      </w:r>
      <w:r>
        <w:rPr>
          <w:spacing w:val="-1"/>
        </w:rPr>
        <w:t> </w:t>
      </w:r>
      <w:r>
        <w:rPr/>
        <w:t>С.</w:t>
      </w:r>
      <w:r>
        <w:rPr>
          <w:spacing w:val="-2"/>
        </w:rPr>
        <w:t> </w:t>
      </w:r>
      <w:r>
        <w:rPr/>
        <w:t>559-</w:t>
      </w:r>
      <w:r>
        <w:rPr>
          <w:spacing w:val="-4"/>
        </w:rPr>
        <w:t>567.</w:t>
      </w:r>
    </w:p>
    <w:p>
      <w:pPr>
        <w:pStyle w:val="ListParagraph"/>
        <w:numPr>
          <w:ilvl w:val="0"/>
          <w:numId w:val="12"/>
        </w:numPr>
        <w:tabs>
          <w:tab w:pos="1360" w:val="left" w:leader="none"/>
        </w:tabs>
        <w:spacing w:line="256" w:lineRule="auto" w:before="21" w:after="0"/>
        <w:ind w:left="144" w:right="421" w:firstLine="707"/>
        <w:jc w:val="both"/>
        <w:rPr>
          <w:sz w:val="28"/>
        </w:rPr>
      </w:pPr>
      <w:r>
        <w:rPr>
          <w:sz w:val="28"/>
        </w:rPr>
        <w:t>Wong-Riley M.T., Liang H.L., Eells J.T., Chance B., Henry M.M., Buchmann E., Kane M., Whelan H.T. Photobiomodulation directly benefits primary neurons functionally inactivated by toxins: role of cytochrome c oxidase //Journal of Biological Chemistry. – 2005. – Т. 280. – №. 6. – С. 4761-4771.</w:t>
      </w:r>
    </w:p>
    <w:p>
      <w:pPr>
        <w:pStyle w:val="ListParagraph"/>
        <w:numPr>
          <w:ilvl w:val="0"/>
          <w:numId w:val="12"/>
        </w:numPr>
        <w:tabs>
          <w:tab w:pos="1363" w:val="left" w:leader="none"/>
        </w:tabs>
        <w:spacing w:line="256" w:lineRule="auto" w:before="0" w:after="0"/>
        <w:ind w:left="144" w:right="420" w:firstLine="707"/>
        <w:jc w:val="both"/>
        <w:rPr>
          <w:sz w:val="28"/>
        </w:rPr>
      </w:pPr>
      <w:r>
        <w:rPr>
          <w:sz w:val="28"/>
        </w:rPr>
        <w:t>Gonzalez-Lima F., Auchter A. Protection against neurodegeneration with low-dose methylene blue and near-infrared light//Frontiers in cellular neuroscience. – 2015. – Т. 9. – С. 179.</w:t>
      </w:r>
    </w:p>
    <w:p>
      <w:pPr>
        <w:pStyle w:val="ListParagraph"/>
        <w:numPr>
          <w:ilvl w:val="0"/>
          <w:numId w:val="12"/>
        </w:numPr>
        <w:tabs>
          <w:tab w:pos="1357" w:val="left" w:leader="none"/>
        </w:tabs>
        <w:spacing w:line="256" w:lineRule="auto" w:before="0" w:after="0"/>
        <w:ind w:left="144" w:right="420" w:firstLine="708"/>
        <w:jc w:val="both"/>
        <w:rPr>
          <w:sz w:val="28"/>
        </w:rPr>
      </w:pPr>
      <w:r>
        <w:rPr>
          <w:sz w:val="28"/>
        </w:rPr>
        <w:t>Khokhlova A., Zolotovskii I., Sokolovski S., Saenko Y., Rafailov E., Stoliarov D.,</w:t>
      </w:r>
      <w:r>
        <w:rPr>
          <w:spacing w:val="-1"/>
          <w:sz w:val="28"/>
        </w:rPr>
        <w:t> </w:t>
      </w:r>
      <w:r>
        <w:rPr>
          <w:sz w:val="28"/>
        </w:rPr>
        <w:t>Pogodina</w:t>
      </w:r>
      <w:r>
        <w:rPr>
          <w:spacing w:val="-3"/>
          <w:sz w:val="28"/>
        </w:rPr>
        <w:t> </w:t>
      </w:r>
      <w:r>
        <w:rPr>
          <w:sz w:val="28"/>
        </w:rPr>
        <w:t>E.,</w:t>
      </w:r>
      <w:r>
        <w:rPr>
          <w:spacing w:val="-1"/>
          <w:sz w:val="28"/>
        </w:rPr>
        <w:t> </w:t>
      </w:r>
      <w:r>
        <w:rPr>
          <w:sz w:val="28"/>
        </w:rPr>
        <w:t>Svetukhin</w:t>
      </w:r>
      <w:r>
        <w:rPr>
          <w:spacing w:val="-2"/>
          <w:sz w:val="28"/>
        </w:rPr>
        <w:t> </w:t>
      </w:r>
      <w:r>
        <w:rPr>
          <w:sz w:val="28"/>
        </w:rPr>
        <w:t>V.,</w:t>
      </w:r>
      <w:r>
        <w:rPr>
          <w:spacing w:val="-1"/>
          <w:sz w:val="28"/>
        </w:rPr>
        <w:t> </w:t>
      </w:r>
      <w:r>
        <w:rPr>
          <w:sz w:val="28"/>
        </w:rPr>
        <w:t>Sibirny V.,</w:t>
      </w:r>
      <w:r>
        <w:rPr>
          <w:spacing w:val="-3"/>
          <w:sz w:val="28"/>
        </w:rPr>
        <w:t> </w:t>
      </w:r>
      <w:r>
        <w:rPr>
          <w:sz w:val="28"/>
        </w:rPr>
        <w:t>Fotiadi</w:t>
      </w:r>
      <w:r>
        <w:rPr>
          <w:spacing w:val="-2"/>
          <w:sz w:val="28"/>
        </w:rPr>
        <w:t> </w:t>
      </w:r>
      <w:r>
        <w:rPr>
          <w:sz w:val="28"/>
        </w:rPr>
        <w:t>A.</w:t>
      </w:r>
      <w:r>
        <w:rPr>
          <w:spacing w:val="-1"/>
          <w:sz w:val="28"/>
        </w:rPr>
        <w:t> </w:t>
      </w:r>
      <w:r>
        <w:rPr>
          <w:sz w:val="28"/>
        </w:rPr>
        <w:t>The light-oxygen effect in biological cells enhanced by highly localized surface plasmon-polaritons //Scientific reports. – 2019. – Т. 9. – №. 1. – С. 18435.</w:t>
      </w:r>
    </w:p>
    <w:p>
      <w:pPr>
        <w:pStyle w:val="ListParagraph"/>
        <w:numPr>
          <w:ilvl w:val="0"/>
          <w:numId w:val="12"/>
        </w:numPr>
        <w:tabs>
          <w:tab w:pos="1353" w:val="left" w:leader="none"/>
        </w:tabs>
        <w:spacing w:line="256" w:lineRule="auto" w:before="0" w:after="0"/>
        <w:ind w:left="144" w:right="421" w:firstLine="707"/>
        <w:jc w:val="both"/>
        <w:rPr>
          <w:sz w:val="28"/>
        </w:rPr>
      </w:pPr>
      <w:r>
        <w:rPr>
          <w:sz w:val="28"/>
        </w:rPr>
        <w:t>Chohan, K. R., Griffin, J. T. &amp; Carrell, D. T. Evaluation of chromatin integrity in human sperm using acridine orange staining with different fixatives and after cryopreservation //Andrologia. – 2004. – Т. 36. – №. 5. – С. 321-326.</w:t>
      </w:r>
    </w:p>
    <w:p>
      <w:pPr>
        <w:pStyle w:val="ListParagraph"/>
        <w:numPr>
          <w:ilvl w:val="0"/>
          <w:numId w:val="12"/>
        </w:numPr>
        <w:tabs>
          <w:tab w:pos="1492" w:val="left" w:leader="none"/>
        </w:tabs>
        <w:spacing w:line="256" w:lineRule="auto" w:before="0" w:after="0"/>
        <w:ind w:left="144" w:right="422" w:firstLine="707"/>
        <w:jc w:val="both"/>
        <w:rPr>
          <w:sz w:val="28"/>
        </w:rPr>
      </w:pPr>
      <w:r>
        <w:rPr>
          <w:sz w:val="28"/>
        </w:rPr>
        <w:t>Kawanishi, S., Hiraku, Y. Carcinogenesis with Special Reference to Inflammation //Antioxidants &amp; redox signaling. – 2006. – Т. 8. – №. 5-6. – С. 1047-1058.</w:t>
      </w:r>
    </w:p>
    <w:p>
      <w:pPr>
        <w:pStyle w:val="ListParagraph"/>
        <w:numPr>
          <w:ilvl w:val="0"/>
          <w:numId w:val="12"/>
        </w:numPr>
        <w:tabs>
          <w:tab w:pos="1349" w:val="left" w:leader="none"/>
        </w:tabs>
        <w:spacing w:line="240" w:lineRule="auto" w:before="0" w:after="0"/>
        <w:ind w:left="144" w:right="421" w:firstLine="707"/>
        <w:jc w:val="both"/>
        <w:rPr>
          <w:sz w:val="28"/>
        </w:rPr>
      </w:pPr>
      <w:r>
        <w:rPr>
          <w:sz w:val="28"/>
        </w:rPr>
        <w:t>Salama N., El-Sawy M. Light-emitting diode exposure enhances sperm motility in men with and without asthenospermia: preliminary results //Archivio Italiano di Urologia e Andrologia. – 2015. – Т. 87. – №. 1. – С. 14-19.</w:t>
      </w:r>
    </w:p>
    <w:p>
      <w:pPr>
        <w:pStyle w:val="ListParagraph"/>
        <w:numPr>
          <w:ilvl w:val="0"/>
          <w:numId w:val="12"/>
        </w:numPr>
        <w:tabs>
          <w:tab w:pos="1378" w:val="left" w:leader="none"/>
        </w:tabs>
        <w:spacing w:line="240" w:lineRule="auto" w:before="0" w:after="0"/>
        <w:ind w:left="144" w:right="423" w:firstLine="708"/>
        <w:jc w:val="both"/>
        <w:rPr>
          <w:sz w:val="28"/>
        </w:rPr>
      </w:pPr>
      <w:r>
        <w:rPr>
          <w:sz w:val="28"/>
        </w:rPr>
        <w:t>Chang M. C. Fertilizing capacity of spermatozoa deposited into the fallopian tubes //Nature. – 1951. – Т. 168. – №. 4277. – С. 697-698.</w:t>
      </w:r>
    </w:p>
    <w:p>
      <w:pPr>
        <w:pStyle w:val="ListParagraph"/>
        <w:numPr>
          <w:ilvl w:val="0"/>
          <w:numId w:val="12"/>
        </w:numPr>
        <w:tabs>
          <w:tab w:pos="1354" w:val="left" w:leader="none"/>
        </w:tabs>
        <w:spacing w:line="240" w:lineRule="auto" w:before="0" w:after="0"/>
        <w:ind w:left="144" w:right="424" w:firstLine="708"/>
        <w:jc w:val="both"/>
        <w:rPr>
          <w:sz w:val="28"/>
        </w:rPr>
      </w:pPr>
      <w:r>
        <w:rPr>
          <w:sz w:val="28"/>
        </w:rPr>
        <w:t>Austin C. R. Observations on the penetration of the sperm into the mammalian egg //Australian journal of biological sciences. – 1951. – Т. 4. – №. 4. – С. 581-596.</w:t>
      </w:r>
    </w:p>
    <w:p>
      <w:pPr>
        <w:pStyle w:val="ListParagraph"/>
        <w:numPr>
          <w:ilvl w:val="0"/>
          <w:numId w:val="12"/>
        </w:numPr>
        <w:tabs>
          <w:tab w:pos="1415" w:val="left" w:leader="none"/>
        </w:tabs>
        <w:spacing w:line="240" w:lineRule="auto" w:before="0" w:after="0"/>
        <w:ind w:left="144" w:right="423" w:firstLine="708"/>
        <w:jc w:val="both"/>
        <w:rPr>
          <w:sz w:val="28"/>
        </w:rPr>
      </w:pPr>
      <w:r>
        <w:rPr>
          <w:sz w:val="28"/>
        </w:rPr>
        <w:t>Lamirande E. D., Gagnon C. A positive role for the superoxide anion in triggering hyperactivation and capacitation of human spermatozoa //International journal of andrology. – 1993. – Т. 16. – №. 1. – С. 21-25</w:t>
      </w:r>
    </w:p>
    <w:p>
      <w:pPr>
        <w:pStyle w:val="ListParagraph"/>
        <w:numPr>
          <w:ilvl w:val="0"/>
          <w:numId w:val="12"/>
        </w:numPr>
        <w:tabs>
          <w:tab w:pos="1339" w:val="left" w:leader="none"/>
        </w:tabs>
        <w:spacing w:line="240" w:lineRule="auto" w:before="0" w:after="0"/>
        <w:ind w:left="144" w:right="512" w:firstLine="707"/>
        <w:jc w:val="both"/>
        <w:rPr>
          <w:sz w:val="28"/>
        </w:rPr>
      </w:pPr>
      <w:r>
        <w:rPr>
          <w:sz w:val="28"/>
        </w:rPr>
        <w:t>Griveau</w:t>
      </w:r>
      <w:r>
        <w:rPr>
          <w:spacing w:val="-1"/>
          <w:sz w:val="28"/>
        </w:rPr>
        <w:t> </w:t>
      </w:r>
      <w:r>
        <w:rPr>
          <w:sz w:val="28"/>
        </w:rPr>
        <w:t>J.</w:t>
      </w:r>
      <w:r>
        <w:rPr>
          <w:spacing w:val="-5"/>
          <w:sz w:val="28"/>
        </w:rPr>
        <w:t> </w:t>
      </w:r>
      <w:r>
        <w:rPr>
          <w:sz w:val="28"/>
        </w:rPr>
        <w:t>E.,</w:t>
      </w:r>
      <w:r>
        <w:rPr>
          <w:spacing w:val="-2"/>
          <w:sz w:val="28"/>
        </w:rPr>
        <w:t> </w:t>
      </w:r>
      <w:r>
        <w:rPr>
          <w:sz w:val="28"/>
        </w:rPr>
        <w:t>Renard</w:t>
      </w:r>
      <w:r>
        <w:rPr>
          <w:spacing w:val="-1"/>
          <w:sz w:val="28"/>
        </w:rPr>
        <w:t> </w:t>
      </w:r>
      <w:r>
        <w:rPr>
          <w:sz w:val="28"/>
        </w:rPr>
        <w:t>P.,</w:t>
      </w:r>
      <w:r>
        <w:rPr>
          <w:spacing w:val="-2"/>
          <w:sz w:val="28"/>
        </w:rPr>
        <w:t> </w:t>
      </w:r>
      <w:r>
        <w:rPr>
          <w:sz w:val="28"/>
        </w:rPr>
        <w:t>Lannou</w:t>
      </w:r>
      <w:r>
        <w:rPr>
          <w:spacing w:val="-1"/>
          <w:sz w:val="28"/>
        </w:rPr>
        <w:t> </w:t>
      </w:r>
      <w:r>
        <w:rPr>
          <w:sz w:val="28"/>
        </w:rPr>
        <w:t>D.</w:t>
      </w:r>
      <w:r>
        <w:rPr>
          <w:spacing w:val="-5"/>
          <w:sz w:val="28"/>
        </w:rPr>
        <w:t> </w:t>
      </w:r>
      <w:r>
        <w:rPr>
          <w:sz w:val="28"/>
        </w:rPr>
        <w:t>L.</w:t>
      </w:r>
      <w:r>
        <w:rPr>
          <w:spacing w:val="-5"/>
          <w:sz w:val="28"/>
        </w:rPr>
        <w:t> </w:t>
      </w:r>
      <w:r>
        <w:rPr>
          <w:sz w:val="28"/>
        </w:rPr>
        <w:t>An</w:t>
      </w:r>
      <w:r>
        <w:rPr>
          <w:spacing w:val="-3"/>
          <w:sz w:val="28"/>
        </w:rPr>
        <w:t> </w:t>
      </w:r>
      <w:r>
        <w:rPr>
          <w:sz w:val="28"/>
        </w:rPr>
        <w:t>in</w:t>
      </w:r>
      <w:r>
        <w:rPr>
          <w:spacing w:val="-3"/>
          <w:sz w:val="28"/>
        </w:rPr>
        <w:t> </w:t>
      </w:r>
      <w:r>
        <w:rPr>
          <w:sz w:val="28"/>
        </w:rPr>
        <w:t>vitro</w:t>
      </w:r>
      <w:r>
        <w:rPr>
          <w:spacing w:val="-1"/>
          <w:sz w:val="28"/>
        </w:rPr>
        <w:t> </w:t>
      </w:r>
      <w:r>
        <w:rPr>
          <w:sz w:val="28"/>
        </w:rPr>
        <w:t>promoting</w:t>
      </w:r>
      <w:r>
        <w:rPr>
          <w:spacing w:val="-1"/>
          <w:sz w:val="28"/>
        </w:rPr>
        <w:t> </w:t>
      </w:r>
      <w:r>
        <w:rPr>
          <w:sz w:val="28"/>
        </w:rPr>
        <w:t>role</w:t>
      </w:r>
      <w:r>
        <w:rPr>
          <w:spacing w:val="-2"/>
          <w:sz w:val="28"/>
        </w:rPr>
        <w:t> </w:t>
      </w:r>
      <w:r>
        <w:rPr>
          <w:sz w:val="28"/>
        </w:rPr>
        <w:t>for</w:t>
      </w:r>
      <w:r>
        <w:rPr>
          <w:spacing w:val="-2"/>
          <w:sz w:val="28"/>
        </w:rPr>
        <w:t> </w:t>
      </w:r>
      <w:r>
        <w:rPr>
          <w:sz w:val="28"/>
        </w:rPr>
        <w:t>hydrogen peroxide in human sperm capacitation //International journal of andrology. – 1994. – Т.</w:t>
      </w:r>
    </w:p>
    <w:p>
      <w:pPr>
        <w:pStyle w:val="BodyText"/>
        <w:spacing w:line="321" w:lineRule="exact"/>
        <w:ind w:left="144"/>
      </w:pPr>
      <w:r>
        <w:rPr/>
        <w:t>17.</w:t>
      </w:r>
      <w:r>
        <w:rPr>
          <w:spacing w:val="-5"/>
        </w:rPr>
        <w:t> </w:t>
      </w:r>
      <w:r>
        <w:rPr/>
        <w:t>–</w:t>
      </w:r>
      <w:r>
        <w:rPr>
          <w:spacing w:val="-1"/>
        </w:rPr>
        <w:t> </w:t>
      </w:r>
      <w:r>
        <w:rPr/>
        <w:t>№.</w:t>
      </w:r>
      <w:r>
        <w:rPr>
          <w:spacing w:val="-1"/>
        </w:rPr>
        <w:t> </w:t>
      </w:r>
      <w:r>
        <w:rPr/>
        <w:t>6.</w:t>
      </w:r>
      <w:r>
        <w:rPr>
          <w:spacing w:val="-5"/>
        </w:rPr>
        <w:t> </w:t>
      </w:r>
      <w:r>
        <w:rPr/>
        <w:t>–</w:t>
      </w:r>
      <w:r>
        <w:rPr>
          <w:spacing w:val="-1"/>
        </w:rPr>
        <w:t> </w:t>
      </w:r>
      <w:r>
        <w:rPr/>
        <w:t>С.</w:t>
      </w:r>
      <w:r>
        <w:rPr>
          <w:spacing w:val="-1"/>
        </w:rPr>
        <w:t> </w:t>
      </w:r>
      <w:r>
        <w:rPr/>
        <w:t>300-</w:t>
      </w:r>
      <w:r>
        <w:rPr>
          <w:spacing w:val="-4"/>
        </w:rPr>
        <w:t>307.</w:t>
      </w:r>
    </w:p>
    <w:p>
      <w:pPr>
        <w:pStyle w:val="ListParagraph"/>
        <w:numPr>
          <w:ilvl w:val="0"/>
          <w:numId w:val="12"/>
        </w:numPr>
        <w:tabs>
          <w:tab w:pos="1339" w:val="left" w:leader="none"/>
        </w:tabs>
        <w:spacing w:line="240" w:lineRule="auto" w:before="0" w:after="0"/>
        <w:ind w:left="143" w:right="518" w:firstLine="708"/>
        <w:jc w:val="left"/>
        <w:rPr>
          <w:sz w:val="28"/>
        </w:rPr>
      </w:pPr>
      <w:r>
        <w:rPr>
          <w:sz w:val="28"/>
        </w:rPr>
        <w:t>Leclerc P., Gagnon C. Phosphorylation of triton X-100 soluble and insoluble protein substrates in a demembranated/reactivated human sperm model //Molecular Reproduction</w:t>
      </w:r>
      <w:r>
        <w:rPr>
          <w:spacing w:val="-1"/>
          <w:sz w:val="28"/>
        </w:rPr>
        <w:t> </w:t>
      </w:r>
      <w:r>
        <w:rPr>
          <w:sz w:val="28"/>
        </w:rPr>
        <w:t>and</w:t>
      </w:r>
      <w:r>
        <w:rPr>
          <w:spacing w:val="-3"/>
          <w:sz w:val="28"/>
        </w:rPr>
        <w:t> </w:t>
      </w:r>
      <w:r>
        <w:rPr>
          <w:sz w:val="28"/>
        </w:rPr>
        <w:t>Development:</w:t>
      </w:r>
      <w:r>
        <w:rPr>
          <w:spacing w:val="-1"/>
          <w:sz w:val="28"/>
        </w:rPr>
        <w:t> </w:t>
      </w:r>
      <w:r>
        <w:rPr>
          <w:sz w:val="28"/>
        </w:rPr>
        <w:t>Incorporating</w:t>
      </w:r>
      <w:r>
        <w:rPr>
          <w:spacing w:val="-3"/>
          <w:sz w:val="28"/>
        </w:rPr>
        <w:t> </w:t>
      </w:r>
      <w:r>
        <w:rPr>
          <w:sz w:val="28"/>
        </w:rPr>
        <w:t>Gamete</w:t>
      </w:r>
      <w:r>
        <w:rPr>
          <w:spacing w:val="-2"/>
          <w:sz w:val="28"/>
        </w:rPr>
        <w:t> </w:t>
      </w:r>
      <w:r>
        <w:rPr>
          <w:sz w:val="28"/>
        </w:rPr>
        <w:t>Research.</w:t>
      </w:r>
      <w:r>
        <w:rPr>
          <w:spacing w:val="-2"/>
          <w:sz w:val="28"/>
        </w:rPr>
        <w:t> </w:t>
      </w:r>
      <w:r>
        <w:rPr>
          <w:sz w:val="28"/>
        </w:rPr>
        <w:t>– 1996.</w:t>
      </w:r>
      <w:r>
        <w:rPr>
          <w:spacing w:val="-5"/>
          <w:sz w:val="28"/>
        </w:rPr>
        <w:t> </w:t>
      </w:r>
      <w:r>
        <w:rPr>
          <w:sz w:val="28"/>
        </w:rPr>
        <w:t>–</w:t>
      </w:r>
      <w:r>
        <w:rPr>
          <w:spacing w:val="-1"/>
          <w:sz w:val="28"/>
        </w:rPr>
        <w:t> </w:t>
      </w:r>
      <w:r>
        <w:rPr>
          <w:sz w:val="28"/>
        </w:rPr>
        <w:t>Т.</w:t>
      </w:r>
      <w:r>
        <w:rPr>
          <w:spacing w:val="-5"/>
          <w:sz w:val="28"/>
        </w:rPr>
        <w:t> </w:t>
      </w:r>
      <w:r>
        <w:rPr>
          <w:sz w:val="28"/>
        </w:rPr>
        <w:t>44.</w:t>
      </w:r>
      <w:r>
        <w:rPr>
          <w:spacing w:val="-5"/>
          <w:sz w:val="28"/>
        </w:rPr>
        <w:t> </w:t>
      </w:r>
      <w:r>
        <w:rPr>
          <w:sz w:val="28"/>
        </w:rPr>
        <w:t>–</w:t>
      </w:r>
      <w:r>
        <w:rPr>
          <w:spacing w:val="-1"/>
          <w:sz w:val="28"/>
        </w:rPr>
        <w:t> </w:t>
      </w:r>
      <w:r>
        <w:rPr>
          <w:sz w:val="28"/>
        </w:rPr>
        <w:t>№.</w:t>
      </w:r>
      <w:r>
        <w:rPr>
          <w:spacing w:val="-2"/>
          <w:sz w:val="28"/>
        </w:rPr>
        <w:t> </w:t>
      </w:r>
      <w:r>
        <w:rPr>
          <w:sz w:val="28"/>
        </w:rPr>
        <w:t>2. – С. 200-211.</w:t>
      </w:r>
    </w:p>
    <w:p>
      <w:pPr>
        <w:pStyle w:val="ListParagraph"/>
        <w:numPr>
          <w:ilvl w:val="0"/>
          <w:numId w:val="12"/>
        </w:numPr>
        <w:tabs>
          <w:tab w:pos="1683" w:val="left" w:leader="none"/>
          <w:tab w:pos="8227" w:val="left" w:leader="none"/>
          <w:tab w:pos="9743" w:val="left" w:leader="none"/>
        </w:tabs>
        <w:spacing w:line="256" w:lineRule="auto" w:before="0" w:after="0"/>
        <w:ind w:left="144" w:right="421" w:firstLine="708"/>
        <w:jc w:val="both"/>
        <w:rPr>
          <w:sz w:val="28"/>
        </w:rPr>
      </w:pPr>
      <w:r>
        <w:rPr>
          <w:sz w:val="28"/>
        </w:rPr>
        <w:t>Электронный</w:t>
      </w:r>
      <w:r>
        <w:rPr>
          <w:spacing w:val="80"/>
          <w:sz w:val="28"/>
        </w:rPr>
        <w:t>  </w:t>
      </w:r>
      <w:r>
        <w:rPr>
          <w:sz w:val="28"/>
        </w:rPr>
        <w:t>ресурс.</w:t>
      </w:r>
      <w:r>
        <w:rPr>
          <w:spacing w:val="80"/>
          <w:sz w:val="28"/>
        </w:rPr>
        <w:t>  </w:t>
      </w:r>
      <w:r>
        <w:rPr>
          <w:sz w:val="28"/>
        </w:rPr>
        <w:t>Meduniver:</w:t>
      </w:r>
      <w:r>
        <w:rPr>
          <w:spacing w:val="80"/>
          <w:sz w:val="28"/>
        </w:rPr>
        <w:t>  </w:t>
      </w:r>
      <w:r>
        <w:rPr>
          <w:sz w:val="28"/>
        </w:rPr>
        <w:t>офиц.</w:t>
        <w:tab/>
        <w:t>сайт – </w:t>
      </w:r>
      <w:r>
        <w:rPr>
          <w:sz w:val="28"/>
        </w:rPr>
        <w:t>URL: </w:t>
      </w:r>
      <w:hyperlink r:id="rId84">
        <w:r>
          <w:rPr>
            <w:spacing w:val="-2"/>
            <w:sz w:val="28"/>
            <w:u w:val="single"/>
          </w:rPr>
          <w:t>https://meduniver.com/Medical/Physiology/kapacitacia_spermatozoidov.html</w:t>
        </w:r>
      </w:hyperlink>
      <w:r>
        <w:rPr>
          <w:sz w:val="28"/>
        </w:rPr>
        <w:tab/>
      </w:r>
      <w:r>
        <w:rPr>
          <w:spacing w:val="-2"/>
          <w:sz w:val="28"/>
        </w:rPr>
        <w:t>(дата </w:t>
      </w:r>
      <w:r>
        <w:rPr>
          <w:sz w:val="28"/>
        </w:rPr>
        <w:t>обращения 27.04.2023)</w:t>
      </w:r>
    </w:p>
    <w:p>
      <w:pPr>
        <w:pStyle w:val="ListParagraph"/>
        <w:numPr>
          <w:ilvl w:val="0"/>
          <w:numId w:val="12"/>
        </w:numPr>
        <w:tabs>
          <w:tab w:pos="1488" w:val="left" w:leader="none"/>
        </w:tabs>
        <w:spacing w:line="256" w:lineRule="auto" w:before="0" w:after="0"/>
        <w:ind w:left="144" w:right="423" w:firstLine="707"/>
        <w:jc w:val="both"/>
        <w:rPr>
          <w:sz w:val="28"/>
        </w:rPr>
      </w:pPr>
      <w:r>
        <w:rPr>
          <w:sz w:val="28"/>
        </w:rPr>
        <w:t>Burkman L. J. Characterization of hyperactivated motility by human spermatozoa during capacitation: comparison of fertile and oligozoospermic sperm populations //Archives of andrology. – 1984. – Т. 13. – №. 2-3. – С. 153-165.</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2"/>
        </w:numPr>
        <w:tabs>
          <w:tab w:pos="1406" w:val="left" w:leader="none"/>
        </w:tabs>
        <w:spacing w:line="256" w:lineRule="auto" w:before="69" w:after="0"/>
        <w:ind w:left="144" w:right="420" w:firstLine="707"/>
        <w:jc w:val="both"/>
        <w:rPr>
          <w:sz w:val="28"/>
        </w:rPr>
      </w:pPr>
      <w:r>
        <w:rPr>
          <w:sz w:val="28"/>
        </w:rPr>
        <w:t>Mortimer S. T., Mortimer D. Kinematics of human spermatozoa incubated under</w:t>
      </w:r>
      <w:r>
        <w:rPr>
          <w:spacing w:val="22"/>
          <w:sz w:val="28"/>
        </w:rPr>
        <w:t> </w:t>
      </w:r>
      <w:r>
        <w:rPr>
          <w:sz w:val="28"/>
        </w:rPr>
        <w:t>capacitating</w:t>
      </w:r>
      <w:r>
        <w:rPr>
          <w:spacing w:val="26"/>
          <w:sz w:val="28"/>
        </w:rPr>
        <w:t> </w:t>
      </w:r>
      <w:r>
        <w:rPr>
          <w:sz w:val="28"/>
        </w:rPr>
        <w:t>conditions</w:t>
      </w:r>
      <w:r>
        <w:rPr>
          <w:spacing w:val="23"/>
          <w:sz w:val="28"/>
        </w:rPr>
        <w:t> </w:t>
      </w:r>
      <w:r>
        <w:rPr>
          <w:sz w:val="28"/>
        </w:rPr>
        <w:t>//Journal</w:t>
      </w:r>
      <w:r>
        <w:rPr>
          <w:spacing w:val="23"/>
          <w:sz w:val="28"/>
        </w:rPr>
        <w:t> </w:t>
      </w:r>
      <w:r>
        <w:rPr>
          <w:sz w:val="28"/>
        </w:rPr>
        <w:t>of</w:t>
      </w:r>
      <w:r>
        <w:rPr>
          <w:spacing w:val="22"/>
          <w:sz w:val="28"/>
        </w:rPr>
        <w:t> </w:t>
      </w:r>
      <w:r>
        <w:rPr>
          <w:sz w:val="28"/>
        </w:rPr>
        <w:t>andrology.</w:t>
      </w:r>
      <w:r>
        <w:rPr>
          <w:spacing w:val="21"/>
          <w:sz w:val="28"/>
        </w:rPr>
        <w:t> </w:t>
      </w:r>
      <w:r>
        <w:rPr>
          <w:sz w:val="28"/>
        </w:rPr>
        <w:t>–</w:t>
      </w:r>
      <w:r>
        <w:rPr>
          <w:spacing w:val="28"/>
          <w:sz w:val="28"/>
        </w:rPr>
        <w:t> </w:t>
      </w:r>
      <w:r>
        <w:rPr>
          <w:sz w:val="28"/>
        </w:rPr>
        <w:t>1990.</w:t>
      </w:r>
      <w:r>
        <w:rPr>
          <w:spacing w:val="21"/>
          <w:sz w:val="28"/>
        </w:rPr>
        <w:t> </w:t>
      </w:r>
      <w:r>
        <w:rPr>
          <w:sz w:val="28"/>
        </w:rPr>
        <w:t>–</w:t>
      </w:r>
      <w:r>
        <w:rPr>
          <w:spacing w:val="23"/>
          <w:sz w:val="28"/>
        </w:rPr>
        <w:t> </w:t>
      </w:r>
      <w:r>
        <w:rPr>
          <w:sz w:val="28"/>
        </w:rPr>
        <w:t>Т.</w:t>
      </w:r>
      <w:r>
        <w:rPr>
          <w:spacing w:val="24"/>
          <w:sz w:val="28"/>
        </w:rPr>
        <w:t> </w:t>
      </w:r>
      <w:r>
        <w:rPr>
          <w:sz w:val="28"/>
        </w:rPr>
        <w:t>11.</w:t>
      </w:r>
      <w:r>
        <w:rPr>
          <w:spacing w:val="21"/>
          <w:sz w:val="28"/>
        </w:rPr>
        <w:t> </w:t>
      </w:r>
      <w:r>
        <w:rPr>
          <w:sz w:val="28"/>
        </w:rPr>
        <w:t>–</w:t>
      </w:r>
      <w:r>
        <w:rPr>
          <w:spacing w:val="26"/>
          <w:sz w:val="28"/>
        </w:rPr>
        <w:t> </w:t>
      </w:r>
      <w:r>
        <w:rPr>
          <w:sz w:val="28"/>
        </w:rPr>
        <w:t>№.</w:t>
      </w:r>
      <w:r>
        <w:rPr>
          <w:spacing w:val="22"/>
          <w:sz w:val="28"/>
        </w:rPr>
        <w:t> </w:t>
      </w:r>
      <w:r>
        <w:rPr>
          <w:sz w:val="28"/>
        </w:rPr>
        <w:t>3.</w:t>
      </w:r>
      <w:r>
        <w:rPr>
          <w:spacing w:val="21"/>
          <w:sz w:val="28"/>
        </w:rPr>
        <w:t> </w:t>
      </w:r>
      <w:r>
        <w:rPr>
          <w:sz w:val="28"/>
        </w:rPr>
        <w:t>–</w:t>
      </w:r>
      <w:r>
        <w:rPr>
          <w:spacing w:val="26"/>
          <w:sz w:val="28"/>
        </w:rPr>
        <w:t> </w:t>
      </w:r>
      <w:r>
        <w:rPr>
          <w:sz w:val="28"/>
        </w:rPr>
        <w:t>С.</w:t>
      </w:r>
      <w:r>
        <w:rPr>
          <w:spacing w:val="22"/>
          <w:sz w:val="28"/>
        </w:rPr>
        <w:t> </w:t>
      </w:r>
      <w:r>
        <w:rPr>
          <w:sz w:val="28"/>
        </w:rPr>
        <w:t>195-</w:t>
      </w:r>
      <w:r>
        <w:rPr>
          <w:spacing w:val="-4"/>
          <w:sz w:val="28"/>
        </w:rPr>
        <w:t>203</w:t>
      </w:r>
    </w:p>
    <w:p>
      <w:pPr>
        <w:pStyle w:val="ListParagraph"/>
        <w:numPr>
          <w:ilvl w:val="0"/>
          <w:numId w:val="12"/>
        </w:numPr>
        <w:tabs>
          <w:tab w:pos="1351" w:val="left" w:leader="none"/>
        </w:tabs>
        <w:spacing w:line="256" w:lineRule="auto" w:before="0" w:after="0"/>
        <w:ind w:left="143" w:right="423" w:firstLine="708"/>
        <w:jc w:val="both"/>
        <w:rPr>
          <w:sz w:val="28"/>
        </w:rPr>
      </w:pPr>
      <w:r>
        <w:rPr>
          <w:sz w:val="28"/>
        </w:rPr>
        <w:t>Brener E. et al. Remodeling of the actin cytoskeleton during mammalian sperm capacitation and acrosome reaction //Biology of reproduction. – 2003. – Т. 68. – №. 3. –</w:t>
      </w:r>
      <w:r>
        <w:rPr>
          <w:spacing w:val="40"/>
          <w:sz w:val="28"/>
        </w:rPr>
        <w:t> </w:t>
      </w:r>
      <w:r>
        <w:rPr>
          <w:sz w:val="28"/>
        </w:rPr>
        <w:t>С. 837-845.</w:t>
      </w:r>
    </w:p>
    <w:p>
      <w:pPr>
        <w:pStyle w:val="ListParagraph"/>
        <w:numPr>
          <w:ilvl w:val="0"/>
          <w:numId w:val="12"/>
        </w:numPr>
        <w:tabs>
          <w:tab w:pos="1374" w:val="left" w:leader="none"/>
        </w:tabs>
        <w:spacing w:line="256" w:lineRule="auto" w:before="0" w:after="0"/>
        <w:ind w:left="143" w:right="417" w:firstLine="707"/>
        <w:jc w:val="both"/>
        <w:rPr>
          <w:sz w:val="28"/>
        </w:rPr>
      </w:pPr>
      <w:r>
        <w:rPr>
          <w:sz w:val="28"/>
        </w:rPr>
        <w:t>Visconti, P. E., J. L. Bailey, G. D. Moore, D. Pan, P. Olds-Clarke and G. S. Kopf</w:t>
      </w:r>
      <w:r>
        <w:rPr>
          <w:spacing w:val="80"/>
          <w:sz w:val="28"/>
        </w:rPr>
        <w:t> </w:t>
      </w:r>
      <w:r>
        <w:rPr>
          <w:sz w:val="28"/>
        </w:rPr>
        <w:t>Capacitation of mouse spermatozoa. I. Correlation between the capacitation state and protein tyrosine phosphorylation //Development. – 1995. – Т. 121. – №. 4. – С. 1129-</w:t>
      </w:r>
      <w:r>
        <w:rPr>
          <w:spacing w:val="-2"/>
          <w:sz w:val="28"/>
        </w:rPr>
        <w:t>1137.</w:t>
      </w:r>
    </w:p>
    <w:p>
      <w:pPr>
        <w:pStyle w:val="ListParagraph"/>
        <w:numPr>
          <w:ilvl w:val="0"/>
          <w:numId w:val="12"/>
        </w:numPr>
        <w:tabs>
          <w:tab w:pos="1377" w:val="left" w:leader="none"/>
        </w:tabs>
        <w:spacing w:line="256" w:lineRule="auto" w:before="0" w:after="0"/>
        <w:ind w:left="144" w:right="421" w:firstLine="707"/>
        <w:jc w:val="both"/>
        <w:rPr>
          <w:sz w:val="28"/>
        </w:rPr>
      </w:pPr>
      <w:r>
        <w:rPr>
          <w:sz w:val="28"/>
        </w:rPr>
        <w:t>Cohen, G., S. Rubinstein, Y. Gur and H. Breitbart Crosstalk between protein kinase A and C regulates phospholipase D and F-actin formation during sperm</w:t>
      </w:r>
      <w:r>
        <w:rPr>
          <w:spacing w:val="40"/>
          <w:sz w:val="28"/>
        </w:rPr>
        <w:t> </w:t>
      </w:r>
      <w:r>
        <w:rPr>
          <w:sz w:val="28"/>
        </w:rPr>
        <w:t>capacitation //Developmental biology. – 2004. – Т. 267. – №. 1. – С. 230-241.</w:t>
      </w:r>
    </w:p>
    <w:p>
      <w:pPr>
        <w:pStyle w:val="ListParagraph"/>
        <w:numPr>
          <w:ilvl w:val="0"/>
          <w:numId w:val="12"/>
        </w:numPr>
        <w:tabs>
          <w:tab w:pos="1405" w:val="left" w:leader="none"/>
        </w:tabs>
        <w:spacing w:line="256" w:lineRule="auto" w:before="0" w:after="0"/>
        <w:ind w:left="144" w:right="419" w:firstLine="708"/>
        <w:jc w:val="both"/>
        <w:rPr>
          <w:sz w:val="28"/>
        </w:rPr>
      </w:pPr>
      <w:r>
        <w:rPr>
          <w:sz w:val="28"/>
        </w:rPr>
        <w:t>Rivlin, J., J. Mendel, S. Rubinstein, N. Etkovitz and H. Breitbart. Role of hydrogen peroxide</w:t>
      </w:r>
      <w:r>
        <w:rPr>
          <w:spacing w:val="-1"/>
          <w:sz w:val="28"/>
        </w:rPr>
        <w:t> </w:t>
      </w:r>
      <w:r>
        <w:rPr>
          <w:sz w:val="28"/>
        </w:rPr>
        <w:t>in sperm capacitation and acrosome</w:t>
      </w:r>
      <w:r>
        <w:rPr>
          <w:spacing w:val="-1"/>
          <w:sz w:val="28"/>
        </w:rPr>
        <w:t> </w:t>
      </w:r>
      <w:r>
        <w:rPr>
          <w:sz w:val="28"/>
        </w:rPr>
        <w:t>reaction //Biology of reproduction. – 2004. – Т. 70. – №. 2. – С. 518-522.</w:t>
      </w:r>
    </w:p>
    <w:p>
      <w:pPr>
        <w:pStyle w:val="ListParagraph"/>
        <w:numPr>
          <w:ilvl w:val="0"/>
          <w:numId w:val="12"/>
        </w:numPr>
        <w:tabs>
          <w:tab w:pos="1383" w:val="left" w:leader="none"/>
        </w:tabs>
        <w:spacing w:line="256" w:lineRule="auto" w:before="0" w:after="0"/>
        <w:ind w:left="144" w:right="420" w:firstLine="708"/>
        <w:jc w:val="both"/>
        <w:rPr>
          <w:sz w:val="28"/>
        </w:rPr>
      </w:pPr>
      <w:r>
        <w:rPr>
          <w:sz w:val="28"/>
        </w:rPr>
        <w:t>Shahar, S., Hillman, P., Lubart, R., Ickowicz, D., Breitbart, H. Activation of Sperm</w:t>
      </w:r>
      <w:r>
        <w:rPr>
          <w:spacing w:val="40"/>
          <w:sz w:val="28"/>
        </w:rPr>
        <w:t>  </w:t>
      </w:r>
      <w:r>
        <w:rPr>
          <w:sz w:val="28"/>
        </w:rPr>
        <w:t>EGFR</w:t>
      </w:r>
      <w:r>
        <w:rPr>
          <w:spacing w:val="40"/>
          <w:sz w:val="28"/>
        </w:rPr>
        <w:t>  </w:t>
      </w:r>
      <w:r>
        <w:rPr>
          <w:sz w:val="28"/>
        </w:rPr>
        <w:t>by</w:t>
      </w:r>
      <w:r>
        <w:rPr>
          <w:spacing w:val="40"/>
          <w:sz w:val="28"/>
        </w:rPr>
        <w:t>  </w:t>
      </w:r>
      <w:r>
        <w:rPr>
          <w:sz w:val="28"/>
        </w:rPr>
        <w:t>Light</w:t>
      </w:r>
      <w:r>
        <w:rPr>
          <w:spacing w:val="40"/>
          <w:sz w:val="28"/>
        </w:rPr>
        <w:t>  </w:t>
      </w:r>
      <w:r>
        <w:rPr>
          <w:sz w:val="28"/>
        </w:rPr>
        <w:t>Irradiation</w:t>
      </w:r>
      <w:r>
        <w:rPr>
          <w:spacing w:val="40"/>
          <w:sz w:val="28"/>
        </w:rPr>
        <w:t>  </w:t>
      </w:r>
      <w:r>
        <w:rPr>
          <w:sz w:val="28"/>
        </w:rPr>
        <w:t>is</w:t>
      </w:r>
      <w:r>
        <w:rPr>
          <w:spacing w:val="40"/>
          <w:sz w:val="28"/>
        </w:rPr>
        <w:t>  </w:t>
      </w:r>
      <w:r>
        <w:rPr>
          <w:sz w:val="28"/>
        </w:rPr>
        <w:t>Mediated</w:t>
      </w:r>
      <w:r>
        <w:rPr>
          <w:spacing w:val="40"/>
          <w:sz w:val="28"/>
        </w:rPr>
        <w:t>  </w:t>
      </w:r>
      <w:r>
        <w:rPr>
          <w:sz w:val="28"/>
        </w:rPr>
        <w:t>by</w:t>
      </w:r>
      <w:r>
        <w:rPr>
          <w:spacing w:val="40"/>
          <w:sz w:val="28"/>
        </w:rPr>
        <w:t>  </w:t>
      </w:r>
      <w:r>
        <w:rPr>
          <w:sz w:val="28"/>
        </w:rPr>
        <w:t>Reactive</w:t>
      </w:r>
      <w:r>
        <w:rPr>
          <w:spacing w:val="40"/>
          <w:sz w:val="28"/>
        </w:rPr>
        <w:t>  </w:t>
      </w:r>
      <w:r>
        <w:rPr>
          <w:sz w:val="28"/>
        </w:rPr>
        <w:t>Oxygen</w:t>
      </w:r>
      <w:r>
        <w:rPr>
          <w:spacing w:val="40"/>
          <w:sz w:val="28"/>
        </w:rPr>
        <w:t>  </w:t>
      </w:r>
      <w:r>
        <w:rPr>
          <w:sz w:val="28"/>
        </w:rPr>
        <w:t>Species.</w:t>
      </w:r>
    </w:p>
    <w:p>
      <w:pPr>
        <w:pStyle w:val="BodyText"/>
        <w:spacing w:line="319" w:lineRule="exact"/>
        <w:ind w:left="144"/>
      </w:pPr>
      <w:r>
        <w:rPr/>
        <w:t>//Photochemistry</w:t>
      </w:r>
      <w:r>
        <w:rPr>
          <w:spacing w:val="-5"/>
        </w:rPr>
        <w:t> </w:t>
      </w:r>
      <w:r>
        <w:rPr/>
        <w:t>and</w:t>
      </w:r>
      <w:r>
        <w:rPr>
          <w:spacing w:val="-4"/>
        </w:rPr>
        <w:t> </w:t>
      </w:r>
      <w:r>
        <w:rPr/>
        <w:t>photobiology.</w:t>
      </w:r>
      <w:r>
        <w:rPr>
          <w:spacing w:val="-3"/>
        </w:rPr>
        <w:t> </w:t>
      </w:r>
      <w:r>
        <w:rPr/>
        <w:t>–</w:t>
      </w:r>
      <w:r>
        <w:rPr>
          <w:spacing w:val="-2"/>
        </w:rPr>
        <w:t> </w:t>
      </w:r>
      <w:r>
        <w:rPr/>
        <w:t>2014.</w:t>
      </w:r>
      <w:r>
        <w:rPr>
          <w:spacing w:val="-4"/>
        </w:rPr>
        <w:t> </w:t>
      </w:r>
      <w:r>
        <w:rPr/>
        <w:t>–</w:t>
      </w:r>
      <w:r>
        <w:rPr>
          <w:spacing w:val="-4"/>
        </w:rPr>
        <w:t> </w:t>
      </w:r>
      <w:r>
        <w:rPr/>
        <w:t>Т.</w:t>
      </w:r>
      <w:r>
        <w:rPr>
          <w:spacing w:val="-3"/>
        </w:rPr>
        <w:t> </w:t>
      </w:r>
      <w:r>
        <w:rPr/>
        <w:t>90.</w:t>
      </w:r>
      <w:r>
        <w:rPr>
          <w:spacing w:val="-3"/>
        </w:rPr>
        <w:t> </w:t>
      </w:r>
      <w:r>
        <w:rPr/>
        <w:t>–</w:t>
      </w:r>
      <w:r>
        <w:rPr>
          <w:spacing w:val="-3"/>
        </w:rPr>
        <w:t> </w:t>
      </w:r>
      <w:r>
        <w:rPr/>
        <w:t>№.</w:t>
      </w:r>
      <w:r>
        <w:rPr>
          <w:spacing w:val="-6"/>
        </w:rPr>
        <w:t> </w:t>
      </w:r>
      <w:r>
        <w:rPr/>
        <w:t>5.</w:t>
      </w:r>
      <w:r>
        <w:rPr>
          <w:spacing w:val="-3"/>
        </w:rPr>
        <w:t> </w:t>
      </w:r>
      <w:r>
        <w:rPr/>
        <w:t>–</w:t>
      </w:r>
      <w:r>
        <w:rPr>
          <w:spacing w:val="-4"/>
        </w:rPr>
        <w:t> </w:t>
      </w:r>
      <w:r>
        <w:rPr/>
        <w:t>С.</w:t>
      </w:r>
      <w:r>
        <w:rPr>
          <w:spacing w:val="-3"/>
        </w:rPr>
        <w:t> </w:t>
      </w:r>
      <w:r>
        <w:rPr/>
        <w:t>1077-</w:t>
      </w:r>
      <w:r>
        <w:rPr>
          <w:spacing w:val="-2"/>
        </w:rPr>
        <w:t>1083.</w:t>
      </w:r>
    </w:p>
    <w:p>
      <w:pPr>
        <w:pStyle w:val="BodyText"/>
        <w:spacing w:line="256" w:lineRule="auto" w:before="2"/>
        <w:ind w:left="144" w:right="421" w:firstLine="707"/>
      </w:pPr>
      <w:r>
        <w:rPr/>
        <w:t>197. Itach, S. B., M. Finklestein, N. Etkovitz and H. Breitbart Hyper-activated motility in sperm capacitation is mediated by phospholipase D-dependent actin polymerization. //Developmental biology. – 2012. – Т. 362. – №. 2. – С. 154-161.</w:t>
      </w:r>
    </w:p>
    <w:p>
      <w:pPr>
        <w:pStyle w:val="ListParagraph"/>
        <w:numPr>
          <w:ilvl w:val="0"/>
          <w:numId w:val="13"/>
        </w:numPr>
        <w:tabs>
          <w:tab w:pos="1387" w:val="left" w:leader="none"/>
        </w:tabs>
        <w:spacing w:line="256" w:lineRule="auto" w:before="0" w:after="0"/>
        <w:ind w:left="143" w:right="418" w:firstLine="708"/>
        <w:jc w:val="both"/>
        <w:rPr>
          <w:sz w:val="28"/>
        </w:rPr>
      </w:pPr>
      <w:r>
        <w:rPr>
          <w:sz w:val="28"/>
        </w:rPr>
        <w:t>Finkelstein, M., N. Etkovitz and H. Breitbart</w:t>
      </w:r>
      <w:r>
        <w:rPr>
          <w:spacing w:val="40"/>
          <w:sz w:val="28"/>
        </w:rPr>
        <w:t> </w:t>
      </w:r>
      <w:r>
        <w:rPr>
          <w:sz w:val="28"/>
        </w:rPr>
        <w:t>Role and regulation of sperm gelsolin prior to fertilization. //Journal of Biological Chemistry. – 2010. – Т. 285. – №. 51. – С. 39702-39709.</w:t>
      </w:r>
    </w:p>
    <w:p>
      <w:pPr>
        <w:pStyle w:val="ListParagraph"/>
        <w:numPr>
          <w:ilvl w:val="0"/>
          <w:numId w:val="13"/>
        </w:numPr>
        <w:tabs>
          <w:tab w:pos="1345" w:val="left" w:leader="none"/>
        </w:tabs>
        <w:spacing w:line="256" w:lineRule="auto" w:before="0" w:after="0"/>
        <w:ind w:left="144" w:right="419" w:firstLine="708"/>
        <w:jc w:val="both"/>
        <w:rPr>
          <w:sz w:val="28"/>
        </w:rPr>
      </w:pPr>
      <w:r>
        <w:rPr>
          <w:sz w:val="28"/>
        </w:rPr>
        <w:t>Finkelstein,</w:t>
      </w:r>
      <w:r>
        <w:rPr>
          <w:spacing w:val="-3"/>
          <w:sz w:val="28"/>
        </w:rPr>
        <w:t> </w:t>
      </w:r>
      <w:r>
        <w:rPr>
          <w:sz w:val="28"/>
        </w:rPr>
        <w:t>M.,</w:t>
      </w:r>
      <w:r>
        <w:rPr>
          <w:spacing w:val="-1"/>
          <w:sz w:val="28"/>
        </w:rPr>
        <w:t> </w:t>
      </w:r>
      <w:r>
        <w:rPr>
          <w:sz w:val="28"/>
        </w:rPr>
        <w:t>B.</w:t>
      </w:r>
      <w:r>
        <w:rPr>
          <w:spacing w:val="-1"/>
          <w:sz w:val="28"/>
        </w:rPr>
        <w:t> </w:t>
      </w:r>
      <w:r>
        <w:rPr>
          <w:sz w:val="28"/>
        </w:rPr>
        <w:t>Megnagi,</w:t>
      </w:r>
      <w:r>
        <w:rPr>
          <w:spacing w:val="-3"/>
          <w:sz w:val="28"/>
        </w:rPr>
        <w:t> </w:t>
      </w:r>
      <w:r>
        <w:rPr>
          <w:sz w:val="28"/>
        </w:rPr>
        <w:t>D.</w:t>
      </w:r>
      <w:r>
        <w:rPr>
          <w:spacing w:val="-1"/>
          <w:sz w:val="28"/>
        </w:rPr>
        <w:t> </w:t>
      </w:r>
      <w:r>
        <w:rPr>
          <w:sz w:val="28"/>
        </w:rPr>
        <w:t>Ickowicz and</w:t>
      </w:r>
      <w:r>
        <w:rPr>
          <w:spacing w:val="-2"/>
          <w:sz w:val="28"/>
        </w:rPr>
        <w:t> </w:t>
      </w:r>
      <w:r>
        <w:rPr>
          <w:sz w:val="28"/>
        </w:rPr>
        <w:t>H.</w:t>
      </w:r>
      <w:r>
        <w:rPr>
          <w:spacing w:val="-1"/>
          <w:sz w:val="28"/>
        </w:rPr>
        <w:t> </w:t>
      </w:r>
      <w:r>
        <w:rPr>
          <w:sz w:val="28"/>
        </w:rPr>
        <w:t>Breitbart</w:t>
      </w:r>
      <w:r>
        <w:rPr>
          <w:spacing w:val="40"/>
          <w:sz w:val="28"/>
        </w:rPr>
        <w:t> </w:t>
      </w:r>
      <w:r>
        <w:rPr>
          <w:sz w:val="28"/>
        </w:rPr>
        <w:t>Regulation</w:t>
      </w:r>
      <w:r>
        <w:rPr>
          <w:spacing w:val="-2"/>
          <w:sz w:val="28"/>
        </w:rPr>
        <w:t> </w:t>
      </w:r>
      <w:r>
        <w:rPr>
          <w:sz w:val="28"/>
        </w:rPr>
        <w:t>of sperm motility</w:t>
      </w:r>
      <w:r>
        <w:rPr>
          <w:spacing w:val="40"/>
          <w:sz w:val="28"/>
        </w:rPr>
        <w:t> </w:t>
      </w:r>
      <w:r>
        <w:rPr>
          <w:sz w:val="28"/>
        </w:rPr>
        <w:t>by</w:t>
      </w:r>
      <w:r>
        <w:rPr>
          <w:spacing w:val="40"/>
          <w:sz w:val="28"/>
        </w:rPr>
        <w:t> </w:t>
      </w:r>
      <w:r>
        <w:rPr>
          <w:sz w:val="28"/>
        </w:rPr>
        <w:t>PIP2(4,5)</w:t>
      </w:r>
      <w:r>
        <w:rPr>
          <w:spacing w:val="40"/>
          <w:sz w:val="28"/>
        </w:rPr>
        <w:t> </w:t>
      </w:r>
      <w:r>
        <w:rPr>
          <w:sz w:val="28"/>
        </w:rPr>
        <w:t>and</w:t>
      </w:r>
      <w:r>
        <w:rPr>
          <w:spacing w:val="40"/>
          <w:sz w:val="28"/>
        </w:rPr>
        <w:t> </w:t>
      </w:r>
      <w:r>
        <w:rPr>
          <w:sz w:val="28"/>
        </w:rPr>
        <w:t>actin</w:t>
      </w:r>
      <w:r>
        <w:rPr>
          <w:spacing w:val="40"/>
          <w:sz w:val="28"/>
        </w:rPr>
        <w:t> </w:t>
      </w:r>
      <w:r>
        <w:rPr>
          <w:sz w:val="28"/>
        </w:rPr>
        <w:t>polymerization //Developmental</w:t>
      </w:r>
      <w:r>
        <w:rPr>
          <w:spacing w:val="40"/>
          <w:sz w:val="28"/>
        </w:rPr>
        <w:t> </w:t>
      </w:r>
      <w:r>
        <w:rPr>
          <w:sz w:val="28"/>
        </w:rPr>
        <w:t>Biology.</w:t>
      </w:r>
      <w:r>
        <w:rPr>
          <w:spacing w:val="40"/>
          <w:sz w:val="28"/>
        </w:rPr>
        <w:t> </w:t>
      </w:r>
      <w:r>
        <w:rPr>
          <w:sz w:val="28"/>
        </w:rPr>
        <w:t>–</w:t>
      </w:r>
      <w:r>
        <w:rPr>
          <w:spacing w:val="40"/>
          <w:sz w:val="28"/>
        </w:rPr>
        <w:t> </w:t>
      </w:r>
      <w:r>
        <w:rPr>
          <w:sz w:val="28"/>
        </w:rPr>
        <w:t>2013.</w:t>
      </w:r>
      <w:r>
        <w:rPr>
          <w:spacing w:val="40"/>
          <w:sz w:val="28"/>
        </w:rPr>
        <w:t> </w:t>
      </w:r>
      <w:r>
        <w:rPr>
          <w:sz w:val="28"/>
        </w:rPr>
        <w:t>–</w:t>
      </w:r>
      <w:r>
        <w:rPr>
          <w:spacing w:val="40"/>
          <w:sz w:val="28"/>
        </w:rPr>
        <w:t> </w:t>
      </w:r>
      <w:r>
        <w:rPr>
          <w:sz w:val="28"/>
        </w:rPr>
        <w:t>Т.</w:t>
      </w:r>
    </w:p>
    <w:p>
      <w:pPr>
        <w:pStyle w:val="BodyText"/>
        <w:spacing w:line="319" w:lineRule="exact"/>
        <w:ind w:left="144"/>
      </w:pPr>
      <w:r>
        <w:rPr/>
        <w:t>381.</w:t>
      </w:r>
      <w:r>
        <w:rPr>
          <w:spacing w:val="-2"/>
        </w:rPr>
        <w:t> </w:t>
      </w:r>
      <w:r>
        <w:rPr/>
        <w:t>–</w:t>
      </w:r>
      <w:r>
        <w:rPr>
          <w:spacing w:val="-2"/>
        </w:rPr>
        <w:t> </w:t>
      </w:r>
      <w:r>
        <w:rPr/>
        <w:t>№.</w:t>
      </w:r>
      <w:r>
        <w:rPr>
          <w:spacing w:val="-2"/>
        </w:rPr>
        <w:t> </w:t>
      </w:r>
      <w:r>
        <w:rPr/>
        <w:t>1.</w:t>
      </w:r>
      <w:r>
        <w:rPr>
          <w:spacing w:val="-1"/>
        </w:rPr>
        <w:t> </w:t>
      </w:r>
      <w:r>
        <w:rPr/>
        <w:t>–</w:t>
      </w:r>
      <w:r>
        <w:rPr>
          <w:spacing w:val="-1"/>
        </w:rPr>
        <w:t> </w:t>
      </w:r>
      <w:r>
        <w:rPr/>
        <w:t>С.</w:t>
      </w:r>
      <w:r>
        <w:rPr>
          <w:spacing w:val="-4"/>
        </w:rPr>
        <w:t> </w:t>
      </w:r>
      <w:r>
        <w:rPr/>
        <w:t>62-</w:t>
      </w:r>
      <w:r>
        <w:rPr>
          <w:spacing w:val="-5"/>
        </w:rPr>
        <w:t>72.</w:t>
      </w:r>
    </w:p>
    <w:p>
      <w:pPr>
        <w:pStyle w:val="ListParagraph"/>
        <w:numPr>
          <w:ilvl w:val="0"/>
          <w:numId w:val="13"/>
        </w:numPr>
        <w:tabs>
          <w:tab w:pos="1415" w:val="left" w:leader="none"/>
        </w:tabs>
        <w:spacing w:line="256" w:lineRule="auto" w:before="16" w:after="0"/>
        <w:ind w:left="144" w:right="420" w:firstLine="708"/>
        <w:jc w:val="both"/>
        <w:rPr>
          <w:sz w:val="28"/>
        </w:rPr>
      </w:pPr>
      <w:r>
        <w:rPr>
          <w:sz w:val="28"/>
        </w:rPr>
        <w:t>Ocana-Quero J. M. et al. Biological effects of helium-neon (He-Ne) laser irradiation on acrosome reaction in bull sperm cells //Journal of Photochemistry and Photobiology B: Biology. – 1997. – Т. 40. – №. 3. – С. 294-298.</w:t>
      </w:r>
    </w:p>
    <w:p>
      <w:pPr>
        <w:pStyle w:val="ListParagraph"/>
        <w:numPr>
          <w:ilvl w:val="0"/>
          <w:numId w:val="13"/>
        </w:numPr>
        <w:tabs>
          <w:tab w:pos="1410" w:val="left" w:leader="none"/>
        </w:tabs>
        <w:spacing w:line="240" w:lineRule="auto" w:before="0" w:after="0"/>
        <w:ind w:left="143" w:right="1148" w:firstLine="707"/>
        <w:jc w:val="both"/>
        <w:rPr>
          <w:sz w:val="28"/>
        </w:rPr>
      </w:pPr>
      <w:r>
        <w:rPr>
          <w:sz w:val="28"/>
        </w:rPr>
        <w:t>Marcus</w:t>
      </w:r>
      <w:r>
        <w:rPr>
          <w:spacing w:val="-2"/>
          <w:sz w:val="28"/>
        </w:rPr>
        <w:t> </w:t>
      </w:r>
      <w:r>
        <w:rPr>
          <w:sz w:val="28"/>
        </w:rPr>
        <w:t>D.</w:t>
      </w:r>
      <w:r>
        <w:rPr>
          <w:spacing w:val="-3"/>
          <w:sz w:val="28"/>
        </w:rPr>
        <w:t> </w:t>
      </w:r>
      <w:r>
        <w:rPr>
          <w:sz w:val="28"/>
        </w:rPr>
        <w:t>M.</w:t>
      </w:r>
      <w:r>
        <w:rPr>
          <w:spacing w:val="-6"/>
          <w:sz w:val="28"/>
        </w:rPr>
        <w:t> </w:t>
      </w:r>
      <w:r>
        <w:rPr>
          <w:sz w:val="28"/>
        </w:rPr>
        <w:t>Traditional</w:t>
      </w:r>
      <w:r>
        <w:rPr>
          <w:spacing w:val="-2"/>
          <w:sz w:val="28"/>
        </w:rPr>
        <w:t> </w:t>
      </w:r>
      <w:r>
        <w:rPr>
          <w:sz w:val="28"/>
        </w:rPr>
        <w:t>medicine:</w:t>
      </w:r>
      <w:r>
        <w:rPr>
          <w:spacing w:val="-2"/>
          <w:sz w:val="28"/>
        </w:rPr>
        <w:t> </w:t>
      </w:r>
      <w:r>
        <w:rPr>
          <w:sz w:val="28"/>
        </w:rPr>
        <w:t>a</w:t>
      </w:r>
      <w:r>
        <w:rPr>
          <w:spacing w:val="-5"/>
          <w:sz w:val="28"/>
        </w:rPr>
        <w:t> </w:t>
      </w:r>
      <w:r>
        <w:rPr>
          <w:sz w:val="28"/>
        </w:rPr>
        <w:t>global</w:t>
      </w:r>
      <w:r>
        <w:rPr>
          <w:spacing w:val="-4"/>
          <w:sz w:val="28"/>
        </w:rPr>
        <w:t> </w:t>
      </w:r>
      <w:r>
        <w:rPr>
          <w:sz w:val="28"/>
        </w:rPr>
        <w:t>perspective</w:t>
      </w:r>
      <w:r>
        <w:rPr>
          <w:spacing w:val="-3"/>
          <w:sz w:val="28"/>
        </w:rPr>
        <w:t> </w:t>
      </w:r>
      <w:r>
        <w:rPr>
          <w:sz w:val="28"/>
        </w:rPr>
        <w:t>//Bulletin</w:t>
      </w:r>
      <w:r>
        <w:rPr>
          <w:spacing w:val="-4"/>
          <w:sz w:val="28"/>
        </w:rPr>
        <w:t> </w:t>
      </w:r>
      <w:r>
        <w:rPr>
          <w:sz w:val="28"/>
        </w:rPr>
        <w:t>of</w:t>
      </w:r>
      <w:r>
        <w:rPr>
          <w:spacing w:val="-3"/>
          <w:sz w:val="28"/>
        </w:rPr>
        <w:t> </w:t>
      </w:r>
      <w:r>
        <w:rPr>
          <w:sz w:val="28"/>
        </w:rPr>
        <w:t>the World Health Organization. – 2010. – Т. 88. – С. 953-953.</w:t>
      </w:r>
    </w:p>
    <w:p>
      <w:pPr>
        <w:pStyle w:val="ListParagraph"/>
        <w:numPr>
          <w:ilvl w:val="0"/>
          <w:numId w:val="13"/>
        </w:numPr>
        <w:tabs>
          <w:tab w:pos="1544" w:val="left" w:leader="none"/>
        </w:tabs>
        <w:spacing w:line="256" w:lineRule="auto" w:before="0" w:after="0"/>
        <w:ind w:left="144" w:right="420" w:firstLine="708"/>
        <w:jc w:val="both"/>
        <w:rPr>
          <w:sz w:val="28"/>
        </w:rPr>
      </w:pPr>
      <w:r>
        <w:rPr>
          <w:sz w:val="28"/>
        </w:rPr>
        <w:t>Локшин В. Н., Джусубалиева Т. М. Клиническая практика в репродуктивной медицине //Алматы: MedMediaКазахстан. – 2015. – С. 12.</w:t>
      </w:r>
    </w:p>
    <w:p>
      <w:pPr>
        <w:pStyle w:val="ListParagraph"/>
        <w:numPr>
          <w:ilvl w:val="0"/>
          <w:numId w:val="13"/>
        </w:numPr>
        <w:tabs>
          <w:tab w:pos="1450" w:val="left" w:leader="none"/>
        </w:tabs>
        <w:spacing w:line="256" w:lineRule="auto" w:before="0" w:after="0"/>
        <w:ind w:left="144" w:right="417" w:firstLine="708"/>
        <w:jc w:val="both"/>
        <w:rPr>
          <w:sz w:val="28"/>
        </w:rPr>
      </w:pPr>
      <w:r>
        <w:rPr>
          <w:sz w:val="28"/>
        </w:rPr>
        <w:t>Aus G. et al. The European Association of Urology (EAU) guidelines methodology: a critical evaluation //European urology. – 2009. – Т. 56. – №. 5. – С. 859-</w:t>
      </w:r>
      <w:r>
        <w:rPr>
          <w:spacing w:val="-4"/>
          <w:sz w:val="28"/>
        </w:rPr>
        <w:t>864.</w:t>
      </w:r>
    </w:p>
    <w:p>
      <w:pPr>
        <w:pStyle w:val="ListParagraph"/>
        <w:numPr>
          <w:ilvl w:val="0"/>
          <w:numId w:val="13"/>
        </w:numPr>
        <w:tabs>
          <w:tab w:pos="1347" w:val="left" w:leader="none"/>
        </w:tabs>
        <w:spacing w:line="256" w:lineRule="auto" w:before="0" w:after="0"/>
        <w:ind w:left="144" w:right="419" w:firstLine="708"/>
        <w:jc w:val="both"/>
        <w:rPr>
          <w:sz w:val="28"/>
        </w:rPr>
      </w:pPr>
      <w:r>
        <w:rPr>
          <w:sz w:val="28"/>
        </w:rPr>
        <w:t>Zan-Bar T. et al. Influence of visible light and ultraviolet irradiation on motility and fertility of mammalian and fish sperm //Photomedicine and laser surgery. – 2005. – Т.</w:t>
      </w:r>
    </w:p>
    <w:p>
      <w:pPr>
        <w:pStyle w:val="BodyText"/>
        <w:spacing w:line="322" w:lineRule="exact"/>
        <w:ind w:left="144"/>
      </w:pPr>
      <w:r>
        <w:rPr/>
        <w:t>23.</w:t>
      </w:r>
      <w:r>
        <w:rPr>
          <w:spacing w:val="-5"/>
        </w:rPr>
        <w:t> </w:t>
      </w:r>
      <w:r>
        <w:rPr/>
        <w:t>– №.</w:t>
      </w:r>
      <w:r>
        <w:rPr>
          <w:spacing w:val="-3"/>
        </w:rPr>
        <w:t> </w:t>
      </w:r>
      <w:r>
        <w:rPr/>
        <w:t>6.</w:t>
      </w:r>
      <w:r>
        <w:rPr>
          <w:spacing w:val="-4"/>
        </w:rPr>
        <w:t> </w:t>
      </w:r>
      <w:r>
        <w:rPr/>
        <w:t>–</w:t>
      </w:r>
      <w:r>
        <w:rPr>
          <w:spacing w:val="-1"/>
        </w:rPr>
        <w:t> </w:t>
      </w:r>
      <w:r>
        <w:rPr/>
        <w:t>С.</w:t>
      </w:r>
      <w:r>
        <w:rPr>
          <w:spacing w:val="-1"/>
        </w:rPr>
        <w:t> </w:t>
      </w:r>
      <w:r>
        <w:rPr/>
        <w:t>549-</w:t>
      </w:r>
      <w:r>
        <w:rPr>
          <w:spacing w:val="-4"/>
        </w:rPr>
        <w:t>555.</w:t>
      </w:r>
    </w:p>
    <w:p>
      <w:pPr>
        <w:pStyle w:val="ListParagraph"/>
        <w:numPr>
          <w:ilvl w:val="0"/>
          <w:numId w:val="13"/>
        </w:numPr>
        <w:tabs>
          <w:tab w:pos="1388" w:val="left" w:leader="none"/>
        </w:tabs>
        <w:spacing w:line="256" w:lineRule="auto" w:before="13" w:after="0"/>
        <w:ind w:left="144" w:right="420" w:firstLine="708"/>
        <w:jc w:val="both"/>
        <w:rPr>
          <w:sz w:val="28"/>
        </w:rPr>
      </w:pPr>
      <w:r>
        <w:rPr>
          <w:sz w:val="28"/>
        </w:rPr>
        <w:t>Yeste M. Sperm cryopreservation update: Cryodamage, markers, and factors affecting the sperm freezability in pigs //Theriogenology. – 2016. – Т. 85. – №. 1. –</w:t>
      </w:r>
      <w:r>
        <w:rPr>
          <w:spacing w:val="-1"/>
          <w:sz w:val="28"/>
        </w:rPr>
        <w:t> </w:t>
      </w:r>
      <w:r>
        <w:rPr>
          <w:sz w:val="28"/>
        </w:rPr>
        <w:t>С. 47-</w:t>
      </w:r>
      <w:r>
        <w:rPr>
          <w:spacing w:val="-4"/>
          <w:sz w:val="28"/>
        </w:rPr>
        <w:t>64.</w:t>
      </w:r>
    </w:p>
    <w:p>
      <w:pPr>
        <w:pStyle w:val="ListParagraph"/>
        <w:spacing w:after="0" w:line="256" w:lineRule="auto"/>
        <w:jc w:val="both"/>
        <w:rPr>
          <w:sz w:val="28"/>
        </w:rPr>
        <w:sectPr>
          <w:pgSz w:w="11910" w:h="16840"/>
          <w:pgMar w:header="0" w:footer="990" w:top="340" w:bottom="1200" w:left="708" w:right="425"/>
        </w:sectPr>
      </w:pPr>
    </w:p>
    <w:p>
      <w:pPr>
        <w:pStyle w:val="ListParagraph"/>
        <w:numPr>
          <w:ilvl w:val="0"/>
          <w:numId w:val="13"/>
        </w:numPr>
        <w:tabs>
          <w:tab w:pos="1347" w:val="left" w:leader="none"/>
        </w:tabs>
        <w:spacing w:line="256" w:lineRule="auto" w:before="69" w:after="0"/>
        <w:ind w:left="144" w:right="421" w:firstLine="708"/>
        <w:jc w:val="both"/>
        <w:rPr>
          <w:sz w:val="28"/>
        </w:rPr>
      </w:pPr>
      <w:r>
        <w:rPr>
          <w:sz w:val="28"/>
        </w:rPr>
        <w:t>Гусейнова К. А.</w:t>
      </w:r>
      <w:r>
        <w:rPr>
          <w:spacing w:val="-1"/>
          <w:sz w:val="28"/>
        </w:rPr>
        <w:t> </w:t>
      </w:r>
      <w:r>
        <w:rPr>
          <w:sz w:val="28"/>
        </w:rPr>
        <w:t>и др. Оценка эффективности проведения внутриматочных инсеминаций в естественном и стимулированном циклах //Репродуктивная медицина. – 2014. – №. 1-2. – С. 19-23.</w:t>
      </w:r>
    </w:p>
    <w:p>
      <w:pPr>
        <w:pStyle w:val="ListParagraph"/>
        <w:numPr>
          <w:ilvl w:val="0"/>
          <w:numId w:val="13"/>
        </w:numPr>
        <w:tabs>
          <w:tab w:pos="1390" w:val="left" w:leader="none"/>
        </w:tabs>
        <w:spacing w:line="256" w:lineRule="auto" w:before="0" w:after="0"/>
        <w:ind w:left="144" w:right="423" w:firstLine="708"/>
        <w:jc w:val="both"/>
        <w:rPr>
          <w:sz w:val="28"/>
        </w:rPr>
      </w:pPr>
      <w:r>
        <w:rPr>
          <w:sz w:val="28"/>
        </w:rPr>
        <w:t>Wallach E. E. et al. Sperm antibodies: their role in infertility //Fertility and Sterility. – 1984. – Т. 42. – №. 2. – С. 171-183.</w:t>
      </w:r>
    </w:p>
    <w:p>
      <w:pPr>
        <w:pStyle w:val="ListParagraph"/>
        <w:numPr>
          <w:ilvl w:val="0"/>
          <w:numId w:val="13"/>
        </w:numPr>
        <w:tabs>
          <w:tab w:pos="1417" w:val="left" w:leader="none"/>
        </w:tabs>
        <w:spacing w:line="256" w:lineRule="auto" w:before="0" w:after="0"/>
        <w:ind w:left="144" w:right="424" w:firstLine="708"/>
        <w:jc w:val="both"/>
        <w:rPr>
          <w:sz w:val="28"/>
        </w:rPr>
      </w:pPr>
      <w:r>
        <w:rPr>
          <w:sz w:val="28"/>
        </w:rPr>
        <w:t>Abshagen K. et al. Influence of sperm surface antibodies on spontaneous pregnancy rates //Fertility and sterility. – 1998. – Т. 70. – №. 2. – С. 355-356.</w:t>
      </w:r>
    </w:p>
    <w:p>
      <w:pPr>
        <w:pStyle w:val="ListParagraph"/>
        <w:numPr>
          <w:ilvl w:val="0"/>
          <w:numId w:val="13"/>
        </w:numPr>
        <w:tabs>
          <w:tab w:pos="1385" w:val="left" w:leader="none"/>
        </w:tabs>
        <w:spacing w:line="256" w:lineRule="auto" w:before="0" w:after="0"/>
        <w:ind w:left="144" w:right="423" w:firstLine="708"/>
        <w:jc w:val="both"/>
        <w:rPr>
          <w:sz w:val="28"/>
        </w:rPr>
      </w:pPr>
      <w:r>
        <w:rPr>
          <w:sz w:val="28"/>
        </w:rPr>
        <w:t>Gautam N. et al. A high content imaging flow cytometry approach to study mitochondria</w:t>
      </w:r>
      <w:r>
        <w:rPr>
          <w:spacing w:val="80"/>
          <w:w w:val="150"/>
          <w:sz w:val="28"/>
        </w:rPr>
        <w:t> </w:t>
      </w:r>
      <w:r>
        <w:rPr>
          <w:sz w:val="28"/>
        </w:rPr>
        <w:t>in</w:t>
      </w:r>
      <w:r>
        <w:rPr>
          <w:spacing w:val="33"/>
          <w:sz w:val="28"/>
        </w:rPr>
        <w:t>  </w:t>
      </w:r>
      <w:r>
        <w:rPr>
          <w:sz w:val="28"/>
        </w:rPr>
        <w:t>T</w:t>
      </w:r>
      <w:r>
        <w:rPr>
          <w:spacing w:val="80"/>
          <w:w w:val="150"/>
          <w:sz w:val="28"/>
        </w:rPr>
        <w:t> </w:t>
      </w:r>
      <w:r>
        <w:rPr>
          <w:sz w:val="28"/>
        </w:rPr>
        <w:t>cells:</w:t>
      </w:r>
      <w:r>
        <w:rPr>
          <w:spacing w:val="80"/>
          <w:w w:val="150"/>
          <w:sz w:val="28"/>
        </w:rPr>
        <w:t> </w:t>
      </w:r>
      <w:r>
        <w:rPr>
          <w:sz w:val="28"/>
        </w:rPr>
        <w:t>MitoTracker</w:t>
      </w:r>
      <w:r>
        <w:rPr>
          <w:spacing w:val="80"/>
          <w:w w:val="150"/>
          <w:sz w:val="28"/>
        </w:rPr>
        <w:t> </w:t>
      </w:r>
      <w:r>
        <w:rPr>
          <w:sz w:val="28"/>
        </w:rPr>
        <w:t>Green</w:t>
      </w:r>
      <w:r>
        <w:rPr>
          <w:spacing w:val="80"/>
          <w:w w:val="150"/>
          <w:sz w:val="28"/>
        </w:rPr>
        <w:t> </w:t>
      </w:r>
      <w:r>
        <w:rPr>
          <w:sz w:val="28"/>
        </w:rPr>
        <w:t>FM</w:t>
      </w:r>
      <w:r>
        <w:rPr>
          <w:spacing w:val="80"/>
          <w:w w:val="150"/>
          <w:sz w:val="28"/>
        </w:rPr>
        <w:t> </w:t>
      </w:r>
      <w:r>
        <w:rPr>
          <w:sz w:val="28"/>
        </w:rPr>
        <w:t>dye</w:t>
      </w:r>
      <w:r>
        <w:rPr>
          <w:spacing w:val="80"/>
          <w:w w:val="150"/>
          <w:sz w:val="28"/>
        </w:rPr>
        <w:t> </w:t>
      </w:r>
      <w:r>
        <w:rPr>
          <w:sz w:val="28"/>
        </w:rPr>
        <w:t>concentration</w:t>
      </w:r>
      <w:r>
        <w:rPr>
          <w:spacing w:val="33"/>
          <w:sz w:val="28"/>
        </w:rPr>
        <w:t>  </w:t>
      </w:r>
      <w:r>
        <w:rPr>
          <w:sz w:val="28"/>
        </w:rPr>
        <w:t>optimization</w:t>
      </w:r>
    </w:p>
    <w:p>
      <w:pPr>
        <w:pStyle w:val="BodyText"/>
        <w:spacing w:line="319" w:lineRule="exact"/>
        <w:ind w:left="144"/>
      </w:pPr>
      <w:r>
        <w:rPr/>
        <w:t>//Methods.</w:t>
      </w:r>
      <w:r>
        <w:rPr>
          <w:spacing w:val="-3"/>
        </w:rPr>
        <w:t> </w:t>
      </w:r>
      <w:r>
        <w:rPr/>
        <w:t>–</w:t>
      </w:r>
      <w:r>
        <w:rPr>
          <w:spacing w:val="-3"/>
        </w:rPr>
        <w:t> </w:t>
      </w:r>
      <w:r>
        <w:rPr/>
        <w:t>2018.</w:t>
      </w:r>
      <w:r>
        <w:rPr>
          <w:spacing w:val="-4"/>
        </w:rPr>
        <w:t> </w:t>
      </w:r>
      <w:r>
        <w:rPr/>
        <w:t>–</w:t>
      </w:r>
      <w:r>
        <w:rPr>
          <w:spacing w:val="-3"/>
        </w:rPr>
        <w:t> </w:t>
      </w:r>
      <w:r>
        <w:rPr/>
        <w:t>Т.</w:t>
      </w:r>
      <w:r>
        <w:rPr>
          <w:spacing w:val="-2"/>
        </w:rPr>
        <w:t> </w:t>
      </w:r>
      <w:r>
        <w:rPr/>
        <w:t>134.</w:t>
      </w:r>
      <w:r>
        <w:rPr>
          <w:spacing w:val="-6"/>
        </w:rPr>
        <w:t> </w:t>
      </w:r>
      <w:r>
        <w:rPr/>
        <w:t>–</w:t>
      </w:r>
      <w:r>
        <w:rPr>
          <w:spacing w:val="-1"/>
        </w:rPr>
        <w:t> </w:t>
      </w:r>
      <w:r>
        <w:rPr/>
        <w:t>С.</w:t>
      </w:r>
      <w:r>
        <w:rPr>
          <w:spacing w:val="-2"/>
        </w:rPr>
        <w:t> </w:t>
      </w:r>
      <w:r>
        <w:rPr/>
        <w:t>11-</w:t>
      </w:r>
      <w:r>
        <w:rPr>
          <w:spacing w:val="-5"/>
        </w:rPr>
        <w:t>19.</w:t>
      </w:r>
    </w:p>
    <w:p>
      <w:pPr>
        <w:pStyle w:val="ListParagraph"/>
        <w:numPr>
          <w:ilvl w:val="0"/>
          <w:numId w:val="13"/>
        </w:numPr>
        <w:tabs>
          <w:tab w:pos="1682" w:val="left" w:leader="none"/>
          <w:tab w:pos="8232" w:val="left" w:leader="none"/>
        </w:tabs>
        <w:spacing w:line="256" w:lineRule="auto" w:before="12" w:after="0"/>
        <w:ind w:left="143" w:right="420" w:firstLine="708"/>
        <w:jc w:val="both"/>
        <w:rPr>
          <w:sz w:val="28"/>
        </w:rPr>
      </w:pPr>
      <w:r>
        <w:rPr>
          <w:sz w:val="28"/>
        </w:rPr>
        <w:t>Электронный</w:t>
      </w:r>
      <w:r>
        <w:rPr>
          <w:spacing w:val="80"/>
          <w:sz w:val="28"/>
        </w:rPr>
        <w:t>  </w:t>
      </w:r>
      <w:r>
        <w:rPr>
          <w:sz w:val="28"/>
        </w:rPr>
        <w:t>ресурс.</w:t>
      </w:r>
      <w:r>
        <w:rPr>
          <w:spacing w:val="80"/>
          <w:sz w:val="28"/>
        </w:rPr>
        <w:t>  </w:t>
      </w:r>
      <w:r>
        <w:rPr>
          <w:sz w:val="28"/>
        </w:rPr>
        <w:t>Lumiprobe:</w:t>
      </w:r>
      <w:r>
        <w:rPr>
          <w:spacing w:val="80"/>
          <w:sz w:val="28"/>
        </w:rPr>
        <w:t>  </w:t>
      </w:r>
      <w:r>
        <w:rPr>
          <w:sz w:val="28"/>
        </w:rPr>
        <w:t>офиц.</w:t>
        <w:tab/>
        <w:t>сайт – </w:t>
      </w:r>
      <w:r>
        <w:rPr>
          <w:sz w:val="28"/>
        </w:rPr>
        <w:t>URL: </w:t>
      </w:r>
      <w:hyperlink r:id="rId85">
        <w:r>
          <w:rPr>
            <w:sz w:val="28"/>
            <w:u w:val="single"/>
          </w:rPr>
          <w:t>https://ru.lumiprobe.com/p/rhodamine-123-mitochondrial-dye</w:t>
        </w:r>
      </w:hyperlink>
      <w:r>
        <w:rPr>
          <w:sz w:val="28"/>
          <w:u w:val="single"/>
        </w:rPr>
        <w:t> </w:t>
      </w:r>
      <w:r>
        <w:rPr>
          <w:sz w:val="28"/>
        </w:rPr>
        <w:t>(дата обращения </w:t>
      </w:r>
      <w:r>
        <w:rPr>
          <w:spacing w:val="-2"/>
          <w:sz w:val="28"/>
        </w:rPr>
        <w:t>28.04.2023)</w:t>
      </w:r>
    </w:p>
    <w:p>
      <w:pPr>
        <w:pStyle w:val="ListParagraph"/>
        <w:numPr>
          <w:ilvl w:val="0"/>
          <w:numId w:val="13"/>
        </w:numPr>
        <w:tabs>
          <w:tab w:pos="1638" w:val="left" w:leader="none"/>
          <w:tab w:pos="3626" w:val="left" w:leader="none"/>
          <w:tab w:pos="4855" w:val="left" w:leader="none"/>
          <w:tab w:pos="6899" w:val="left" w:leader="none"/>
          <w:tab w:pos="8320" w:val="left" w:leader="none"/>
          <w:tab w:pos="9208" w:val="left" w:leader="none"/>
          <w:tab w:pos="9712" w:val="left" w:leader="none"/>
        </w:tabs>
        <w:spacing w:line="256" w:lineRule="auto" w:before="0" w:after="0"/>
        <w:ind w:left="144" w:right="421" w:firstLine="708"/>
        <w:jc w:val="left"/>
        <w:rPr>
          <w:sz w:val="28"/>
        </w:rPr>
      </w:pPr>
      <w:r>
        <w:rPr>
          <w:spacing w:val="-2"/>
          <w:sz w:val="28"/>
        </w:rPr>
        <w:t>Электронный</w:t>
      </w:r>
      <w:r>
        <w:rPr>
          <w:sz w:val="28"/>
        </w:rPr>
        <w:tab/>
      </w:r>
      <w:r>
        <w:rPr>
          <w:spacing w:val="-2"/>
          <w:sz w:val="28"/>
        </w:rPr>
        <w:t>ресурс.</w:t>
      </w:r>
      <w:r>
        <w:rPr>
          <w:sz w:val="28"/>
        </w:rPr>
        <w:tab/>
      </w:r>
      <w:r>
        <w:rPr>
          <w:spacing w:val="-2"/>
          <w:sz w:val="28"/>
        </w:rPr>
        <w:t>Microsystemy:</w:t>
      </w:r>
      <w:r>
        <w:rPr>
          <w:sz w:val="28"/>
        </w:rPr>
        <w:tab/>
      </w:r>
      <w:r>
        <w:rPr>
          <w:spacing w:val="-2"/>
          <w:sz w:val="28"/>
        </w:rPr>
        <w:t>офиц.</w:t>
      </w:r>
      <w:r>
        <w:rPr>
          <w:sz w:val="28"/>
        </w:rPr>
        <w:tab/>
      </w:r>
      <w:r>
        <w:rPr>
          <w:spacing w:val="-4"/>
          <w:sz w:val="28"/>
        </w:rPr>
        <w:t>сайт</w:t>
      </w:r>
      <w:r>
        <w:rPr>
          <w:sz w:val="28"/>
        </w:rPr>
        <w:tab/>
        <w:t>–</w:t>
        <w:tab/>
      </w:r>
      <w:r>
        <w:rPr>
          <w:spacing w:val="-4"/>
          <w:sz w:val="28"/>
        </w:rPr>
        <w:t>URL: </w:t>
      </w:r>
      <w:hyperlink r:id="rId86">
        <w:r>
          <w:rPr>
            <w:sz w:val="28"/>
            <w:u w:val="single"/>
          </w:rPr>
          <w:t>https://www.microsystemy.ru/info/articles/lazernyy-skaniruyushchiy-konfokalnyy-</w:t>
        </w:r>
      </w:hyperlink>
      <w:hyperlink r:id="rId86">
        <w:r>
          <w:rPr>
            <w:sz w:val="28"/>
            <w:u w:val="single"/>
          </w:rPr>
          <w:t>biologicheskiy-mikroskop/</w:t>
        </w:r>
      </w:hyperlink>
      <w:r>
        <w:rPr>
          <w:sz w:val="28"/>
          <w:u w:val="single"/>
        </w:rPr>
        <w:t> </w:t>
      </w:r>
      <w:r>
        <w:rPr>
          <w:sz w:val="28"/>
        </w:rPr>
        <w:t>(дата обращения 28.04.2023)</w:t>
      </w:r>
    </w:p>
    <w:p>
      <w:pPr>
        <w:pStyle w:val="ListParagraph"/>
        <w:numPr>
          <w:ilvl w:val="0"/>
          <w:numId w:val="13"/>
        </w:numPr>
        <w:tabs>
          <w:tab w:pos="1373" w:val="left" w:leader="none"/>
        </w:tabs>
        <w:spacing w:line="318" w:lineRule="exact" w:before="0" w:after="0"/>
        <w:ind w:left="1373" w:right="0" w:hanging="521"/>
        <w:jc w:val="left"/>
        <w:rPr>
          <w:sz w:val="28"/>
        </w:rPr>
      </w:pPr>
      <w:r>
        <w:rPr>
          <w:sz w:val="28"/>
        </w:rPr>
        <w:t>Ma</w:t>
      </w:r>
      <w:r>
        <w:rPr>
          <w:spacing w:val="27"/>
          <w:sz w:val="28"/>
        </w:rPr>
        <w:t> </w:t>
      </w:r>
      <w:r>
        <w:rPr>
          <w:sz w:val="28"/>
        </w:rPr>
        <w:t>Y.,</w:t>
      </w:r>
      <w:r>
        <w:rPr>
          <w:spacing w:val="30"/>
          <w:sz w:val="28"/>
        </w:rPr>
        <w:t> </w:t>
      </w:r>
      <w:r>
        <w:rPr>
          <w:sz w:val="28"/>
        </w:rPr>
        <w:t>Xie</w:t>
      </w:r>
      <w:r>
        <w:rPr>
          <w:spacing w:val="27"/>
          <w:sz w:val="28"/>
        </w:rPr>
        <w:t> </w:t>
      </w:r>
      <w:r>
        <w:rPr>
          <w:sz w:val="28"/>
        </w:rPr>
        <w:t>N.,</w:t>
      </w:r>
      <w:r>
        <w:rPr>
          <w:spacing w:val="30"/>
          <w:sz w:val="28"/>
        </w:rPr>
        <w:t> </w:t>
      </w:r>
      <w:r>
        <w:rPr>
          <w:sz w:val="28"/>
        </w:rPr>
        <w:t>Xie</w:t>
      </w:r>
      <w:r>
        <w:rPr>
          <w:spacing w:val="30"/>
          <w:sz w:val="28"/>
        </w:rPr>
        <w:t> </w:t>
      </w:r>
      <w:r>
        <w:rPr>
          <w:sz w:val="28"/>
        </w:rPr>
        <w:t>D.,</w:t>
      </w:r>
      <w:r>
        <w:rPr>
          <w:spacing w:val="29"/>
          <w:sz w:val="28"/>
        </w:rPr>
        <w:t> </w:t>
      </w:r>
      <w:r>
        <w:rPr>
          <w:sz w:val="28"/>
        </w:rPr>
        <w:t>Sun</w:t>
      </w:r>
      <w:r>
        <w:rPr>
          <w:spacing w:val="32"/>
          <w:sz w:val="28"/>
        </w:rPr>
        <w:t> </w:t>
      </w:r>
      <w:r>
        <w:rPr>
          <w:sz w:val="28"/>
        </w:rPr>
        <w:t>L.,</w:t>
      </w:r>
      <w:r>
        <w:rPr>
          <w:spacing w:val="29"/>
          <w:sz w:val="28"/>
        </w:rPr>
        <w:t> </w:t>
      </w:r>
      <w:r>
        <w:rPr>
          <w:sz w:val="28"/>
        </w:rPr>
        <w:t>Li</w:t>
      </w:r>
      <w:r>
        <w:rPr>
          <w:spacing w:val="32"/>
          <w:sz w:val="28"/>
        </w:rPr>
        <w:t> </w:t>
      </w:r>
      <w:r>
        <w:rPr>
          <w:sz w:val="28"/>
        </w:rPr>
        <w:t>S.,</w:t>
      </w:r>
      <w:r>
        <w:rPr>
          <w:spacing w:val="29"/>
          <w:sz w:val="28"/>
        </w:rPr>
        <w:t> </w:t>
      </w:r>
      <w:r>
        <w:rPr>
          <w:sz w:val="28"/>
        </w:rPr>
        <w:t>Li</w:t>
      </w:r>
      <w:r>
        <w:rPr>
          <w:spacing w:val="31"/>
          <w:sz w:val="28"/>
        </w:rPr>
        <w:t> </w:t>
      </w:r>
      <w:r>
        <w:rPr>
          <w:sz w:val="28"/>
        </w:rPr>
        <w:t>P.,</w:t>
      </w:r>
      <w:r>
        <w:rPr>
          <w:spacing w:val="30"/>
          <w:sz w:val="28"/>
        </w:rPr>
        <w:t> </w:t>
      </w:r>
      <w:r>
        <w:rPr>
          <w:sz w:val="28"/>
        </w:rPr>
        <w:t>Li</w:t>
      </w:r>
      <w:r>
        <w:rPr>
          <w:spacing w:val="28"/>
          <w:sz w:val="28"/>
        </w:rPr>
        <w:t> </w:t>
      </w:r>
      <w:r>
        <w:rPr>
          <w:sz w:val="28"/>
        </w:rPr>
        <w:t>Y.,</w:t>
      </w:r>
      <w:r>
        <w:rPr>
          <w:spacing w:val="30"/>
          <w:sz w:val="28"/>
        </w:rPr>
        <w:t> </w:t>
      </w:r>
      <w:r>
        <w:rPr>
          <w:sz w:val="28"/>
        </w:rPr>
        <w:t>Li</w:t>
      </w:r>
      <w:r>
        <w:rPr>
          <w:spacing w:val="28"/>
          <w:sz w:val="28"/>
        </w:rPr>
        <w:t> </w:t>
      </w:r>
      <w:r>
        <w:rPr>
          <w:sz w:val="28"/>
        </w:rPr>
        <w:t>J.,</w:t>
      </w:r>
      <w:r>
        <w:rPr>
          <w:spacing w:val="30"/>
          <w:sz w:val="28"/>
        </w:rPr>
        <w:t> </w:t>
      </w:r>
      <w:r>
        <w:rPr>
          <w:sz w:val="28"/>
        </w:rPr>
        <w:t>Dong</w:t>
      </w:r>
      <w:r>
        <w:rPr>
          <w:spacing w:val="29"/>
          <w:sz w:val="28"/>
        </w:rPr>
        <w:t> </w:t>
      </w:r>
      <w:r>
        <w:rPr>
          <w:sz w:val="28"/>
        </w:rPr>
        <w:t>Z.,</w:t>
      </w:r>
      <w:r>
        <w:rPr>
          <w:spacing w:val="29"/>
          <w:sz w:val="28"/>
        </w:rPr>
        <w:t> </w:t>
      </w:r>
      <w:r>
        <w:rPr>
          <w:sz w:val="28"/>
        </w:rPr>
        <w:t>Xie</w:t>
      </w:r>
      <w:r>
        <w:rPr>
          <w:spacing w:val="30"/>
          <w:sz w:val="28"/>
        </w:rPr>
        <w:t> </w:t>
      </w:r>
      <w:r>
        <w:rPr>
          <w:sz w:val="28"/>
        </w:rPr>
        <w:t>X.</w:t>
      </w:r>
      <w:r>
        <w:rPr>
          <w:spacing w:val="27"/>
          <w:sz w:val="28"/>
        </w:rPr>
        <w:t> </w:t>
      </w:r>
      <w:r>
        <w:rPr>
          <w:spacing w:val="-10"/>
          <w:sz w:val="28"/>
        </w:rPr>
        <w:t>A</w:t>
      </w:r>
    </w:p>
    <w:p>
      <w:pPr>
        <w:pStyle w:val="BodyText"/>
        <w:spacing w:line="256" w:lineRule="auto" w:before="19"/>
        <w:ind w:left="143" w:right="420"/>
      </w:pPr>
      <w:r>
        <w:rPr/>
        <w:t>novel homozygous FBXO43 mutation associated with male infertility and teratozoospermia</w:t>
      </w:r>
      <w:r>
        <w:rPr>
          <w:spacing w:val="-1"/>
        </w:rPr>
        <w:t> </w:t>
      </w:r>
      <w:r>
        <w:rPr/>
        <w:t>in</w:t>
      </w:r>
      <w:r>
        <w:rPr>
          <w:spacing w:val="-3"/>
        </w:rPr>
        <w:t> </w:t>
      </w:r>
      <w:r>
        <w:rPr/>
        <w:t>a</w:t>
      </w:r>
      <w:r>
        <w:rPr>
          <w:spacing w:val="-4"/>
        </w:rPr>
        <w:t> </w:t>
      </w:r>
      <w:r>
        <w:rPr/>
        <w:t>consanguineous Chinese</w:t>
      </w:r>
      <w:r>
        <w:rPr>
          <w:spacing w:val="-1"/>
        </w:rPr>
        <w:t> </w:t>
      </w:r>
      <w:r>
        <w:rPr/>
        <w:t>family</w:t>
      </w:r>
      <w:r>
        <w:rPr>
          <w:spacing w:val="-3"/>
        </w:rPr>
        <w:t> </w:t>
      </w:r>
      <w:r>
        <w:rPr/>
        <w:t>// Fertility and</w:t>
      </w:r>
      <w:r>
        <w:rPr>
          <w:spacing w:val="-3"/>
        </w:rPr>
        <w:t> </w:t>
      </w:r>
      <w:r>
        <w:rPr/>
        <w:t>Sterility.</w:t>
      </w:r>
      <w:r>
        <w:rPr>
          <w:spacing w:val="-2"/>
        </w:rPr>
        <w:t> </w:t>
      </w:r>
      <w:r>
        <w:rPr/>
        <w:t>–</w:t>
      </w:r>
      <w:r>
        <w:rPr>
          <w:spacing w:val="-1"/>
        </w:rPr>
        <w:t> </w:t>
      </w:r>
      <w:r>
        <w:rPr/>
        <w:t>2019.</w:t>
      </w:r>
      <w:r>
        <w:rPr>
          <w:spacing w:val="-2"/>
        </w:rPr>
        <w:t> </w:t>
      </w:r>
      <w:r>
        <w:rPr/>
        <w:t>–</w:t>
      </w:r>
      <w:r>
        <w:rPr>
          <w:spacing w:val="-3"/>
        </w:rPr>
        <w:t> </w:t>
      </w:r>
      <w:r>
        <w:rPr/>
        <w:t>Т.</w:t>
      </w:r>
    </w:p>
    <w:p>
      <w:pPr>
        <w:pStyle w:val="BodyText"/>
        <w:spacing w:line="319" w:lineRule="exact"/>
        <w:ind w:left="142"/>
      </w:pPr>
      <w:r>
        <w:rPr/>
        <w:t>111.</w:t>
      </w:r>
      <w:r>
        <w:rPr>
          <w:spacing w:val="-2"/>
        </w:rPr>
        <w:t> </w:t>
      </w:r>
      <w:r>
        <w:rPr/>
        <w:t>-</w:t>
      </w:r>
      <w:r>
        <w:rPr>
          <w:spacing w:val="-2"/>
        </w:rPr>
        <w:t> </w:t>
      </w:r>
      <w:r>
        <w:rPr/>
        <w:t>№.</w:t>
      </w:r>
      <w:r>
        <w:rPr>
          <w:spacing w:val="-5"/>
        </w:rPr>
        <w:t> </w:t>
      </w:r>
      <w:r>
        <w:rPr/>
        <w:t>5.</w:t>
      </w:r>
      <w:r>
        <w:rPr>
          <w:spacing w:val="-2"/>
        </w:rPr>
        <w:t> </w:t>
      </w:r>
      <w:r>
        <w:rPr/>
        <w:t>–</w:t>
      </w:r>
      <w:r>
        <w:rPr>
          <w:spacing w:val="-1"/>
        </w:rPr>
        <w:t> </w:t>
      </w:r>
      <w:r>
        <w:rPr/>
        <w:t>С.</w:t>
      </w:r>
      <w:r>
        <w:rPr>
          <w:spacing w:val="-1"/>
        </w:rPr>
        <w:t> </w:t>
      </w:r>
      <w:r>
        <w:rPr/>
        <w:t>909-</w:t>
      </w:r>
      <w:r>
        <w:rPr>
          <w:spacing w:val="-4"/>
        </w:rPr>
        <w:t>917.</w:t>
      </w:r>
    </w:p>
    <w:p>
      <w:pPr>
        <w:pStyle w:val="ListParagraph"/>
        <w:numPr>
          <w:ilvl w:val="0"/>
          <w:numId w:val="13"/>
        </w:numPr>
        <w:tabs>
          <w:tab w:pos="1394" w:val="left" w:leader="none"/>
        </w:tabs>
        <w:spacing w:line="256" w:lineRule="auto" w:before="22" w:after="0"/>
        <w:ind w:left="142" w:right="424" w:firstLine="707"/>
        <w:jc w:val="both"/>
        <w:rPr>
          <w:sz w:val="28"/>
        </w:rPr>
      </w:pPr>
      <w:r>
        <w:rPr>
          <w:sz w:val="28"/>
        </w:rPr>
        <w:t>Moretti E., Sutera G., Collodel G. The importance of transmission electron microscopy</w:t>
      </w:r>
      <w:r>
        <w:rPr>
          <w:spacing w:val="-3"/>
          <w:sz w:val="28"/>
        </w:rPr>
        <w:t> </w:t>
      </w:r>
      <w:r>
        <w:rPr>
          <w:sz w:val="28"/>
        </w:rPr>
        <w:t>analysis</w:t>
      </w:r>
      <w:r>
        <w:rPr>
          <w:spacing w:val="-5"/>
          <w:sz w:val="28"/>
        </w:rPr>
        <w:t> </w:t>
      </w:r>
      <w:r>
        <w:rPr>
          <w:sz w:val="28"/>
        </w:rPr>
        <w:t>of</w:t>
      </w:r>
      <w:r>
        <w:rPr>
          <w:spacing w:val="-4"/>
          <w:sz w:val="28"/>
        </w:rPr>
        <w:t> </w:t>
      </w:r>
      <w:r>
        <w:rPr>
          <w:sz w:val="28"/>
        </w:rPr>
        <w:t>spermatozoa:</w:t>
      </w:r>
      <w:r>
        <w:rPr>
          <w:spacing w:val="-5"/>
          <w:sz w:val="28"/>
        </w:rPr>
        <w:t> </w:t>
      </w:r>
      <w:r>
        <w:rPr>
          <w:sz w:val="28"/>
        </w:rPr>
        <w:t>Diagnostic</w:t>
      </w:r>
      <w:r>
        <w:rPr>
          <w:spacing w:val="-4"/>
          <w:sz w:val="28"/>
        </w:rPr>
        <w:t> </w:t>
      </w:r>
      <w:r>
        <w:rPr>
          <w:sz w:val="28"/>
        </w:rPr>
        <w:t>applications</w:t>
      </w:r>
      <w:r>
        <w:rPr>
          <w:spacing w:val="-3"/>
          <w:sz w:val="28"/>
        </w:rPr>
        <w:t> </w:t>
      </w:r>
      <w:r>
        <w:rPr>
          <w:sz w:val="28"/>
        </w:rPr>
        <w:t>and</w:t>
      </w:r>
      <w:r>
        <w:rPr>
          <w:spacing w:val="-3"/>
          <w:sz w:val="28"/>
        </w:rPr>
        <w:t> </w:t>
      </w:r>
      <w:r>
        <w:rPr>
          <w:sz w:val="28"/>
        </w:rPr>
        <w:t>basic</w:t>
      </w:r>
      <w:r>
        <w:rPr>
          <w:spacing w:val="-4"/>
          <w:sz w:val="28"/>
        </w:rPr>
        <w:t> </w:t>
      </w:r>
      <w:r>
        <w:rPr>
          <w:sz w:val="28"/>
        </w:rPr>
        <w:t>research</w:t>
      </w:r>
      <w:r>
        <w:rPr>
          <w:spacing w:val="-3"/>
          <w:sz w:val="28"/>
        </w:rPr>
        <w:t> </w:t>
      </w:r>
      <w:r>
        <w:rPr>
          <w:sz w:val="28"/>
        </w:rPr>
        <w:t>//</w:t>
      </w:r>
      <w:r>
        <w:rPr>
          <w:spacing w:val="-3"/>
          <w:sz w:val="28"/>
        </w:rPr>
        <w:t> </w:t>
      </w:r>
      <w:r>
        <w:rPr>
          <w:sz w:val="28"/>
        </w:rPr>
        <w:t>Systems biology in reproductive medicine. – 2016. – Т. 62. - №. 3. – С. 171-183.</w:t>
      </w:r>
    </w:p>
    <w:p>
      <w:pPr>
        <w:pStyle w:val="ListParagraph"/>
        <w:numPr>
          <w:ilvl w:val="0"/>
          <w:numId w:val="13"/>
        </w:numPr>
        <w:tabs>
          <w:tab w:pos="1590" w:val="left" w:leader="none"/>
        </w:tabs>
        <w:spacing w:line="256" w:lineRule="auto" w:before="0" w:after="0"/>
        <w:ind w:left="144" w:right="420" w:firstLine="708"/>
        <w:jc w:val="both"/>
        <w:rPr>
          <w:sz w:val="28"/>
        </w:rPr>
      </w:pPr>
      <w:r>
        <w:rPr>
          <w:sz w:val="28"/>
        </w:rPr>
        <w:t>Брагина Е. Е., Бочарова Е. Н. Количественное электронно-микроскопическое исследование сперматозоидов при диагностике мужского бесплодия //Андрология и генитальная хирургия. – 2014. – №. 1. – С. 41-50.</w:t>
      </w:r>
    </w:p>
    <w:p>
      <w:pPr>
        <w:pStyle w:val="ListParagraph"/>
        <w:numPr>
          <w:ilvl w:val="0"/>
          <w:numId w:val="13"/>
        </w:numPr>
        <w:tabs>
          <w:tab w:pos="1362" w:val="left" w:leader="none"/>
        </w:tabs>
        <w:spacing w:line="256" w:lineRule="auto" w:before="0" w:after="0"/>
        <w:ind w:left="144" w:right="421" w:firstLine="708"/>
        <w:jc w:val="both"/>
        <w:rPr>
          <w:sz w:val="28"/>
        </w:rPr>
      </w:pPr>
      <w:r>
        <w:rPr>
          <w:sz w:val="28"/>
        </w:rPr>
        <w:t>Брагина Е. Е. и др. Нарушение конденсации хроматина сперматозоидов и фрагментация ДНК сперматозоидов: есть ли корреляция? //Андрология и генитальная хирургия. – 2017. – Т. 18. – №. 1. – С. 48-61.</w:t>
      </w:r>
    </w:p>
    <w:p>
      <w:pPr>
        <w:pStyle w:val="ListParagraph"/>
        <w:numPr>
          <w:ilvl w:val="0"/>
          <w:numId w:val="13"/>
        </w:numPr>
        <w:tabs>
          <w:tab w:pos="1368" w:val="left" w:leader="none"/>
        </w:tabs>
        <w:spacing w:line="256" w:lineRule="auto" w:before="0" w:after="0"/>
        <w:ind w:left="144" w:right="423" w:firstLine="707"/>
        <w:jc w:val="both"/>
        <w:rPr>
          <w:sz w:val="28"/>
        </w:rPr>
      </w:pPr>
      <w:r>
        <w:rPr>
          <w:sz w:val="28"/>
        </w:rPr>
        <w:t>Arifulin E. A. et al. High-throughput analysis of TUNEL-stained sperm using image cytometry //Cytometry Part A. – 2017. – Т. 91. – №. 9. – С. 854-858.</w:t>
      </w:r>
    </w:p>
    <w:p>
      <w:pPr>
        <w:pStyle w:val="ListParagraph"/>
        <w:numPr>
          <w:ilvl w:val="0"/>
          <w:numId w:val="13"/>
        </w:numPr>
        <w:tabs>
          <w:tab w:pos="1663" w:val="left" w:leader="none"/>
          <w:tab w:pos="3674" w:val="left" w:leader="none"/>
          <w:tab w:pos="4927" w:val="left" w:leader="none"/>
          <w:tab w:pos="6808" w:val="left" w:leader="none"/>
          <w:tab w:pos="8274" w:val="left" w:leader="none"/>
          <w:tab w:pos="9184" w:val="left" w:leader="none"/>
          <w:tab w:pos="9712" w:val="left" w:leader="none"/>
        </w:tabs>
        <w:spacing w:line="256" w:lineRule="auto" w:before="0" w:after="0"/>
        <w:ind w:left="143" w:right="421" w:firstLine="708"/>
        <w:jc w:val="left"/>
        <w:rPr>
          <w:sz w:val="28"/>
        </w:rPr>
      </w:pPr>
      <w:r>
        <w:rPr>
          <w:spacing w:val="-2"/>
          <w:sz w:val="28"/>
        </w:rPr>
        <w:t>Электронный</w:t>
      </w:r>
      <w:r>
        <w:rPr>
          <w:sz w:val="28"/>
        </w:rPr>
        <w:tab/>
      </w:r>
      <w:r>
        <w:rPr>
          <w:spacing w:val="-2"/>
          <w:sz w:val="28"/>
        </w:rPr>
        <w:t>ресурс.</w:t>
      </w:r>
      <w:r>
        <w:rPr>
          <w:sz w:val="28"/>
        </w:rPr>
        <w:tab/>
      </w:r>
      <w:r>
        <w:rPr>
          <w:spacing w:val="-2"/>
          <w:sz w:val="28"/>
        </w:rPr>
        <w:t>Researchgate</w:t>
      </w:r>
      <w:r>
        <w:rPr>
          <w:sz w:val="28"/>
        </w:rPr>
        <w:tab/>
      </w:r>
      <w:r>
        <w:rPr>
          <w:spacing w:val="-2"/>
          <w:sz w:val="28"/>
        </w:rPr>
        <w:t>офиц.</w:t>
      </w:r>
      <w:r>
        <w:rPr>
          <w:sz w:val="28"/>
        </w:rPr>
        <w:tab/>
      </w:r>
      <w:r>
        <w:rPr>
          <w:spacing w:val="-4"/>
          <w:sz w:val="28"/>
        </w:rPr>
        <w:t>сайт</w:t>
      </w:r>
      <w:r>
        <w:rPr>
          <w:sz w:val="28"/>
        </w:rPr>
        <w:tab/>
        <w:t>–</w:t>
        <w:tab/>
      </w:r>
      <w:r>
        <w:rPr>
          <w:spacing w:val="-4"/>
          <w:sz w:val="28"/>
        </w:rPr>
        <w:t>URL: </w:t>
      </w:r>
      <w:hyperlink r:id="rId87">
        <w:r>
          <w:rPr>
            <w:sz w:val="28"/>
          </w:rPr>
          <w:t>https://www.researchgate.net/figure/Schematics-of-TUNEL-assay-for-measurement-of-</w:t>
        </w:r>
      </w:hyperlink>
      <w:hyperlink r:id="rId87">
        <w:r>
          <w:rPr>
            <w:sz w:val="28"/>
          </w:rPr>
          <w:t>DNA-damage-in-spermatozoa_fig1_269173297</w:t>
        </w:r>
      </w:hyperlink>
      <w:r>
        <w:rPr>
          <w:sz w:val="28"/>
        </w:rPr>
        <w:t> (дата обращения 28.04.2023)</w:t>
      </w:r>
    </w:p>
    <w:p>
      <w:pPr>
        <w:pStyle w:val="ListParagraph"/>
        <w:numPr>
          <w:ilvl w:val="0"/>
          <w:numId w:val="13"/>
        </w:numPr>
        <w:tabs>
          <w:tab w:pos="1348" w:val="left" w:leader="none"/>
        </w:tabs>
        <w:spacing w:line="256" w:lineRule="auto" w:before="0" w:after="0"/>
        <w:ind w:left="144" w:right="419" w:firstLine="707"/>
        <w:jc w:val="left"/>
        <w:rPr>
          <w:sz w:val="28"/>
        </w:rPr>
      </w:pPr>
      <w:r>
        <w:rPr>
          <w:sz w:val="28"/>
        </w:rPr>
        <w:t>Belloc S. 1, Benkhalifa M. 1, Cohen-Bacrie M. 1 et al. Sperm deoxyribonucleic acid</w:t>
      </w:r>
      <w:r>
        <w:rPr>
          <w:spacing w:val="39"/>
          <w:sz w:val="28"/>
        </w:rPr>
        <w:t> </w:t>
      </w:r>
      <w:r>
        <w:rPr>
          <w:sz w:val="28"/>
        </w:rPr>
        <w:t>damage</w:t>
      </w:r>
      <w:r>
        <w:rPr>
          <w:spacing w:val="38"/>
          <w:sz w:val="28"/>
        </w:rPr>
        <w:t> </w:t>
      </w:r>
      <w:r>
        <w:rPr>
          <w:sz w:val="28"/>
        </w:rPr>
        <w:t>in</w:t>
      </w:r>
      <w:r>
        <w:rPr>
          <w:spacing w:val="37"/>
          <w:sz w:val="28"/>
        </w:rPr>
        <w:t> </w:t>
      </w:r>
      <w:r>
        <w:rPr>
          <w:sz w:val="28"/>
        </w:rPr>
        <w:t>normozoospermic</w:t>
      </w:r>
      <w:r>
        <w:rPr>
          <w:spacing w:val="38"/>
          <w:sz w:val="28"/>
        </w:rPr>
        <w:t> </w:t>
      </w:r>
      <w:r>
        <w:rPr>
          <w:sz w:val="28"/>
        </w:rPr>
        <w:t>men</w:t>
      </w:r>
      <w:r>
        <w:rPr>
          <w:spacing w:val="37"/>
          <w:sz w:val="28"/>
        </w:rPr>
        <w:t> </w:t>
      </w:r>
      <w:r>
        <w:rPr>
          <w:sz w:val="28"/>
        </w:rPr>
        <w:t>is</w:t>
      </w:r>
      <w:r>
        <w:rPr>
          <w:spacing w:val="39"/>
          <w:sz w:val="28"/>
        </w:rPr>
        <w:t> </w:t>
      </w:r>
      <w:r>
        <w:rPr>
          <w:sz w:val="28"/>
        </w:rPr>
        <w:t>related</w:t>
      </w:r>
      <w:r>
        <w:rPr>
          <w:spacing w:val="37"/>
          <w:sz w:val="28"/>
        </w:rPr>
        <w:t> </w:t>
      </w:r>
      <w:r>
        <w:rPr>
          <w:sz w:val="28"/>
        </w:rPr>
        <w:t>to</w:t>
      </w:r>
      <w:r>
        <w:rPr>
          <w:spacing w:val="37"/>
          <w:sz w:val="28"/>
        </w:rPr>
        <w:t> </w:t>
      </w:r>
      <w:r>
        <w:rPr>
          <w:sz w:val="28"/>
        </w:rPr>
        <w:t>age</w:t>
      </w:r>
      <w:r>
        <w:rPr>
          <w:spacing w:val="36"/>
          <w:sz w:val="28"/>
        </w:rPr>
        <w:t> </w:t>
      </w:r>
      <w:r>
        <w:rPr>
          <w:sz w:val="28"/>
        </w:rPr>
        <w:t>and</w:t>
      </w:r>
      <w:r>
        <w:rPr>
          <w:spacing w:val="37"/>
          <w:sz w:val="28"/>
        </w:rPr>
        <w:t> </w:t>
      </w:r>
      <w:r>
        <w:rPr>
          <w:sz w:val="28"/>
        </w:rPr>
        <w:t>sperm</w:t>
      </w:r>
      <w:r>
        <w:rPr>
          <w:spacing w:val="38"/>
          <w:sz w:val="28"/>
        </w:rPr>
        <w:t> </w:t>
      </w:r>
      <w:r>
        <w:rPr>
          <w:sz w:val="28"/>
        </w:rPr>
        <w:t>progressive</w:t>
      </w:r>
      <w:r>
        <w:rPr>
          <w:spacing w:val="38"/>
          <w:sz w:val="28"/>
        </w:rPr>
        <w:t> </w:t>
      </w:r>
      <w:r>
        <w:rPr>
          <w:sz w:val="28"/>
        </w:rPr>
        <w:t>motility</w:t>
      </w:r>
    </w:p>
    <w:p>
      <w:pPr>
        <w:pStyle w:val="BodyText"/>
        <w:spacing w:line="319" w:lineRule="exact"/>
        <w:ind w:left="144"/>
        <w:jc w:val="left"/>
      </w:pPr>
      <w:r>
        <w:rPr/>
        <w:t>//Fertility</w:t>
      </w:r>
      <w:r>
        <w:rPr>
          <w:spacing w:val="-2"/>
        </w:rPr>
        <w:t> </w:t>
      </w:r>
      <w:r>
        <w:rPr/>
        <w:t>and</w:t>
      </w:r>
      <w:r>
        <w:rPr>
          <w:spacing w:val="-2"/>
        </w:rPr>
        <w:t> </w:t>
      </w:r>
      <w:r>
        <w:rPr/>
        <w:t>sterility.</w:t>
      </w:r>
      <w:r>
        <w:rPr>
          <w:spacing w:val="-3"/>
        </w:rPr>
        <w:t> </w:t>
      </w:r>
      <w:r>
        <w:rPr/>
        <w:t>– 2014.</w:t>
      </w:r>
      <w:r>
        <w:rPr>
          <w:spacing w:val="-6"/>
        </w:rPr>
        <w:t> </w:t>
      </w:r>
      <w:r>
        <w:rPr/>
        <w:t>–</w:t>
      </w:r>
      <w:r>
        <w:rPr>
          <w:spacing w:val="-2"/>
        </w:rPr>
        <w:t> </w:t>
      </w:r>
      <w:r>
        <w:rPr/>
        <w:t>Т.</w:t>
      </w:r>
      <w:r>
        <w:rPr>
          <w:spacing w:val="-5"/>
        </w:rPr>
        <w:t> </w:t>
      </w:r>
      <w:r>
        <w:rPr/>
        <w:t>101.</w:t>
      </w:r>
      <w:r>
        <w:rPr>
          <w:spacing w:val="-3"/>
        </w:rPr>
        <w:t> </w:t>
      </w:r>
      <w:r>
        <w:rPr/>
        <w:t>–</w:t>
      </w:r>
      <w:r>
        <w:rPr>
          <w:spacing w:val="-4"/>
        </w:rPr>
        <w:t> </w:t>
      </w:r>
      <w:r>
        <w:rPr/>
        <w:t>№.</w:t>
      </w:r>
      <w:r>
        <w:rPr>
          <w:spacing w:val="-2"/>
        </w:rPr>
        <w:t> </w:t>
      </w:r>
      <w:r>
        <w:rPr/>
        <w:t>6.</w:t>
      </w:r>
      <w:r>
        <w:rPr>
          <w:spacing w:val="-3"/>
        </w:rPr>
        <w:t> </w:t>
      </w:r>
      <w:r>
        <w:rPr/>
        <w:t>–</w:t>
      </w:r>
      <w:r>
        <w:rPr>
          <w:spacing w:val="-2"/>
        </w:rPr>
        <w:t> </w:t>
      </w:r>
      <w:r>
        <w:rPr/>
        <w:t>С.</w:t>
      </w:r>
      <w:r>
        <w:rPr>
          <w:spacing w:val="-2"/>
        </w:rPr>
        <w:t> </w:t>
      </w:r>
      <w:r>
        <w:rPr/>
        <w:t>1588-</w:t>
      </w:r>
      <w:r>
        <w:rPr>
          <w:spacing w:val="-2"/>
        </w:rPr>
        <w:t>1593.</w:t>
      </w:r>
    </w:p>
    <w:p>
      <w:pPr>
        <w:pStyle w:val="ListParagraph"/>
        <w:numPr>
          <w:ilvl w:val="0"/>
          <w:numId w:val="13"/>
        </w:numPr>
        <w:tabs>
          <w:tab w:pos="1401" w:val="left" w:leader="none"/>
        </w:tabs>
        <w:spacing w:line="256" w:lineRule="auto" w:before="7" w:after="0"/>
        <w:ind w:left="144" w:right="420" w:firstLine="707"/>
        <w:jc w:val="left"/>
        <w:rPr>
          <w:sz w:val="28"/>
        </w:rPr>
      </w:pPr>
      <w:r>
        <w:rPr>
          <w:sz w:val="28"/>
        </w:rPr>
        <w:t>Oleszczuk</w:t>
      </w:r>
      <w:r>
        <w:rPr>
          <w:spacing w:val="40"/>
          <w:sz w:val="28"/>
        </w:rPr>
        <w:t> </w:t>
      </w:r>
      <w:r>
        <w:rPr>
          <w:sz w:val="28"/>
        </w:rPr>
        <w:t>K.,</w:t>
      </w:r>
      <w:r>
        <w:rPr>
          <w:spacing w:val="40"/>
          <w:sz w:val="28"/>
        </w:rPr>
        <w:t> </w:t>
      </w:r>
      <w:r>
        <w:rPr>
          <w:sz w:val="28"/>
        </w:rPr>
        <w:t>Giwercman</w:t>
      </w:r>
      <w:r>
        <w:rPr>
          <w:spacing w:val="40"/>
          <w:sz w:val="28"/>
        </w:rPr>
        <w:t> </w:t>
      </w:r>
      <w:r>
        <w:rPr>
          <w:sz w:val="28"/>
        </w:rPr>
        <w:t>A.,</w:t>
      </w:r>
      <w:r>
        <w:rPr>
          <w:spacing w:val="40"/>
          <w:sz w:val="28"/>
        </w:rPr>
        <w:t> </w:t>
      </w:r>
      <w:r>
        <w:rPr>
          <w:sz w:val="28"/>
        </w:rPr>
        <w:t>Bungum</w:t>
      </w:r>
      <w:r>
        <w:rPr>
          <w:spacing w:val="40"/>
          <w:sz w:val="28"/>
        </w:rPr>
        <w:t> </w:t>
      </w:r>
      <w:r>
        <w:rPr>
          <w:sz w:val="28"/>
        </w:rPr>
        <w:t>M.</w:t>
      </w:r>
      <w:r>
        <w:rPr>
          <w:spacing w:val="40"/>
          <w:sz w:val="28"/>
        </w:rPr>
        <w:t> </w:t>
      </w:r>
      <w:r>
        <w:rPr>
          <w:sz w:val="28"/>
        </w:rPr>
        <w:t>Intra-individual</w:t>
      </w:r>
      <w:r>
        <w:rPr>
          <w:spacing w:val="40"/>
          <w:sz w:val="28"/>
        </w:rPr>
        <w:t> </w:t>
      </w:r>
      <w:r>
        <w:rPr>
          <w:sz w:val="28"/>
        </w:rPr>
        <w:t>variation</w:t>
      </w:r>
      <w:r>
        <w:rPr>
          <w:spacing w:val="40"/>
          <w:sz w:val="28"/>
        </w:rPr>
        <w:t> </w:t>
      </w:r>
      <w:r>
        <w:rPr>
          <w:sz w:val="28"/>
        </w:rPr>
        <w:t>of</w:t>
      </w:r>
      <w:r>
        <w:rPr>
          <w:spacing w:val="40"/>
          <w:sz w:val="28"/>
        </w:rPr>
        <w:t> </w:t>
      </w:r>
      <w:r>
        <w:rPr>
          <w:sz w:val="28"/>
        </w:rPr>
        <w:t>the sperm</w:t>
      </w:r>
      <w:r>
        <w:rPr>
          <w:spacing w:val="19"/>
          <w:sz w:val="28"/>
        </w:rPr>
        <w:t> </w:t>
      </w:r>
      <w:r>
        <w:rPr>
          <w:sz w:val="28"/>
        </w:rPr>
        <w:t>chromatin structure</w:t>
      </w:r>
      <w:r>
        <w:rPr>
          <w:spacing w:val="19"/>
          <w:sz w:val="28"/>
        </w:rPr>
        <w:t> </w:t>
      </w:r>
      <w:r>
        <w:rPr>
          <w:sz w:val="28"/>
        </w:rPr>
        <w:t>assay</w:t>
      </w:r>
      <w:r>
        <w:rPr>
          <w:spacing w:val="20"/>
          <w:sz w:val="28"/>
        </w:rPr>
        <w:t> </w:t>
      </w:r>
      <w:r>
        <w:rPr>
          <w:sz w:val="28"/>
        </w:rPr>
        <w:t>DNA</w:t>
      </w:r>
      <w:r>
        <w:rPr>
          <w:spacing w:val="20"/>
          <w:sz w:val="28"/>
        </w:rPr>
        <w:t> </w:t>
      </w:r>
      <w:r>
        <w:rPr>
          <w:sz w:val="28"/>
        </w:rPr>
        <w:t>fragmentation</w:t>
      </w:r>
      <w:r>
        <w:rPr>
          <w:spacing w:val="20"/>
          <w:sz w:val="28"/>
        </w:rPr>
        <w:t> </w:t>
      </w:r>
      <w:r>
        <w:rPr>
          <w:sz w:val="28"/>
        </w:rPr>
        <w:t>index in men</w:t>
      </w:r>
      <w:r>
        <w:rPr>
          <w:spacing w:val="20"/>
          <w:sz w:val="28"/>
        </w:rPr>
        <w:t> </w:t>
      </w:r>
      <w:r>
        <w:rPr>
          <w:sz w:val="28"/>
        </w:rPr>
        <w:t>from</w:t>
      </w:r>
      <w:r>
        <w:rPr>
          <w:spacing w:val="19"/>
          <w:sz w:val="28"/>
        </w:rPr>
        <w:t> </w:t>
      </w:r>
      <w:r>
        <w:rPr>
          <w:sz w:val="28"/>
        </w:rPr>
        <w:t>infertile</w:t>
      </w:r>
      <w:r>
        <w:rPr>
          <w:spacing w:val="19"/>
          <w:sz w:val="28"/>
        </w:rPr>
        <w:t> </w:t>
      </w:r>
      <w:r>
        <w:rPr>
          <w:sz w:val="28"/>
        </w:rPr>
        <w:t>couples</w:t>
      </w:r>
    </w:p>
    <w:p>
      <w:pPr>
        <w:pStyle w:val="BodyText"/>
        <w:spacing w:line="319" w:lineRule="exact"/>
        <w:ind w:left="144"/>
        <w:jc w:val="left"/>
      </w:pPr>
      <w:r>
        <w:rPr/>
        <w:t>//Human</w:t>
      </w:r>
      <w:r>
        <w:rPr>
          <w:spacing w:val="-2"/>
        </w:rPr>
        <w:t> </w:t>
      </w:r>
      <w:r>
        <w:rPr/>
        <w:t>reproduction.</w:t>
      </w:r>
      <w:r>
        <w:rPr>
          <w:spacing w:val="-3"/>
        </w:rPr>
        <w:t> </w:t>
      </w:r>
      <w:r>
        <w:rPr/>
        <w:t>–</w:t>
      </w:r>
      <w:r>
        <w:rPr>
          <w:spacing w:val="-2"/>
        </w:rPr>
        <w:t> </w:t>
      </w:r>
      <w:r>
        <w:rPr/>
        <w:t>2011.</w:t>
      </w:r>
      <w:r>
        <w:rPr>
          <w:spacing w:val="-6"/>
        </w:rPr>
        <w:t> </w:t>
      </w:r>
      <w:r>
        <w:rPr/>
        <w:t>–</w:t>
      </w:r>
      <w:r>
        <w:rPr>
          <w:spacing w:val="-2"/>
        </w:rPr>
        <w:t> </w:t>
      </w:r>
      <w:r>
        <w:rPr/>
        <w:t>Т.</w:t>
      </w:r>
      <w:r>
        <w:rPr>
          <w:spacing w:val="-6"/>
        </w:rPr>
        <w:t> </w:t>
      </w:r>
      <w:r>
        <w:rPr/>
        <w:t>26.</w:t>
      </w:r>
      <w:r>
        <w:rPr>
          <w:spacing w:val="-6"/>
        </w:rPr>
        <w:t> </w:t>
      </w:r>
      <w:r>
        <w:rPr/>
        <w:t>–</w:t>
      </w:r>
      <w:r>
        <w:rPr>
          <w:spacing w:val="-2"/>
        </w:rPr>
        <w:t> </w:t>
      </w:r>
      <w:r>
        <w:rPr/>
        <w:t>№.</w:t>
      </w:r>
      <w:r>
        <w:rPr>
          <w:spacing w:val="-3"/>
        </w:rPr>
        <w:t> </w:t>
      </w:r>
      <w:r>
        <w:rPr/>
        <w:t>12.</w:t>
      </w:r>
      <w:r>
        <w:rPr>
          <w:spacing w:val="-3"/>
        </w:rPr>
        <w:t> </w:t>
      </w:r>
      <w:r>
        <w:rPr/>
        <w:t>–</w:t>
      </w:r>
      <w:r>
        <w:rPr>
          <w:spacing w:val="-2"/>
        </w:rPr>
        <w:t> </w:t>
      </w:r>
      <w:r>
        <w:rPr/>
        <w:t>С.</w:t>
      </w:r>
      <w:r>
        <w:rPr>
          <w:spacing w:val="-2"/>
        </w:rPr>
        <w:t> </w:t>
      </w:r>
      <w:r>
        <w:rPr/>
        <w:t>3244-</w:t>
      </w:r>
      <w:r>
        <w:rPr>
          <w:spacing w:val="-2"/>
        </w:rPr>
        <w:t>3248.</w:t>
      </w:r>
    </w:p>
    <w:p>
      <w:pPr>
        <w:pStyle w:val="ListParagraph"/>
        <w:numPr>
          <w:ilvl w:val="0"/>
          <w:numId w:val="13"/>
        </w:numPr>
        <w:tabs>
          <w:tab w:pos="1387" w:val="left" w:leader="none"/>
        </w:tabs>
        <w:spacing w:line="256" w:lineRule="auto" w:before="21" w:after="0"/>
        <w:ind w:left="144" w:right="422" w:firstLine="707"/>
        <w:jc w:val="left"/>
        <w:rPr>
          <w:sz w:val="28"/>
        </w:rPr>
      </w:pPr>
      <w:r>
        <w:rPr>
          <w:sz w:val="28"/>
        </w:rPr>
        <w:t>Menezo</w:t>
      </w:r>
      <w:r>
        <w:rPr>
          <w:spacing w:val="40"/>
          <w:sz w:val="28"/>
        </w:rPr>
        <w:t> </w:t>
      </w:r>
      <w:r>
        <w:rPr>
          <w:sz w:val="28"/>
        </w:rPr>
        <w:t>Y.</w:t>
      </w:r>
      <w:r>
        <w:rPr>
          <w:spacing w:val="40"/>
          <w:sz w:val="28"/>
        </w:rPr>
        <w:t> </w:t>
      </w:r>
      <w:r>
        <w:rPr>
          <w:sz w:val="28"/>
        </w:rPr>
        <w:t>Scientists</w:t>
      </w:r>
      <w:r>
        <w:rPr>
          <w:spacing w:val="40"/>
          <w:sz w:val="28"/>
        </w:rPr>
        <w:t> </w:t>
      </w:r>
      <w:r>
        <w:rPr>
          <w:sz w:val="28"/>
        </w:rPr>
        <w:t>warn</w:t>
      </w:r>
      <w:r>
        <w:rPr>
          <w:spacing w:val="40"/>
          <w:sz w:val="28"/>
        </w:rPr>
        <w:t> </w:t>
      </w:r>
      <w:r>
        <w:rPr>
          <w:sz w:val="28"/>
        </w:rPr>
        <w:t>that</w:t>
      </w:r>
      <w:r>
        <w:rPr>
          <w:spacing w:val="40"/>
          <w:sz w:val="28"/>
        </w:rPr>
        <w:t> </w:t>
      </w:r>
      <w:r>
        <w:rPr>
          <w:sz w:val="28"/>
        </w:rPr>
        <w:t>biological</w:t>
      </w:r>
      <w:r>
        <w:rPr>
          <w:spacing w:val="40"/>
          <w:sz w:val="28"/>
        </w:rPr>
        <w:t> </w:t>
      </w:r>
      <w:r>
        <w:rPr>
          <w:sz w:val="28"/>
        </w:rPr>
        <w:t>clock</w:t>
      </w:r>
      <w:r>
        <w:rPr>
          <w:spacing w:val="40"/>
          <w:sz w:val="28"/>
        </w:rPr>
        <w:t> </w:t>
      </w:r>
      <w:r>
        <w:rPr>
          <w:sz w:val="28"/>
        </w:rPr>
        <w:t>affects</w:t>
      </w:r>
      <w:r>
        <w:rPr>
          <w:spacing w:val="40"/>
          <w:sz w:val="28"/>
        </w:rPr>
        <w:t> </w:t>
      </w:r>
      <w:r>
        <w:rPr>
          <w:sz w:val="28"/>
        </w:rPr>
        <w:t>male</w:t>
      </w:r>
      <w:r>
        <w:rPr>
          <w:spacing w:val="40"/>
          <w:sz w:val="28"/>
        </w:rPr>
        <w:t> </w:t>
      </w:r>
      <w:r>
        <w:rPr>
          <w:sz w:val="28"/>
        </w:rPr>
        <w:t>fertility</w:t>
      </w:r>
      <w:r>
        <w:rPr>
          <w:spacing w:val="40"/>
          <w:sz w:val="28"/>
        </w:rPr>
        <w:t> </w:t>
      </w:r>
      <w:r>
        <w:rPr>
          <w:sz w:val="28"/>
        </w:rPr>
        <w:t>//</w:t>
      </w:r>
      <w:r>
        <w:rPr>
          <w:spacing w:val="40"/>
          <w:sz w:val="28"/>
        </w:rPr>
        <w:t> </w:t>
      </w:r>
      <w:r>
        <w:rPr>
          <w:sz w:val="28"/>
        </w:rPr>
        <w:t>The Guardian.</w:t>
      </w:r>
      <w:r>
        <w:rPr>
          <w:spacing w:val="40"/>
          <w:sz w:val="28"/>
        </w:rPr>
        <w:t> </w:t>
      </w:r>
      <w:r>
        <w:rPr>
          <w:sz w:val="28"/>
        </w:rPr>
        <w:t>– 2008. –</w:t>
      </w:r>
      <w:r>
        <w:rPr>
          <w:spacing w:val="40"/>
          <w:sz w:val="28"/>
        </w:rPr>
        <w:t> </w:t>
      </w:r>
      <w:r>
        <w:rPr>
          <w:sz w:val="28"/>
        </w:rPr>
        <w:t>№. 2. – С. 49–53.</w:t>
      </w:r>
    </w:p>
    <w:p>
      <w:pPr>
        <w:pStyle w:val="ListParagraph"/>
        <w:numPr>
          <w:ilvl w:val="0"/>
          <w:numId w:val="13"/>
        </w:numPr>
        <w:tabs>
          <w:tab w:pos="1442" w:val="left" w:leader="none"/>
        </w:tabs>
        <w:spacing w:line="256" w:lineRule="auto" w:before="0" w:after="0"/>
        <w:ind w:left="144" w:right="420" w:firstLine="707"/>
        <w:jc w:val="left"/>
        <w:rPr>
          <w:sz w:val="28"/>
        </w:rPr>
      </w:pPr>
      <w:r>
        <w:rPr>
          <w:sz w:val="28"/>
        </w:rPr>
        <w:t>Бибик</w:t>
      </w:r>
      <w:r>
        <w:rPr>
          <w:spacing w:val="80"/>
          <w:sz w:val="28"/>
        </w:rPr>
        <w:t> </w:t>
      </w:r>
      <w:r>
        <w:rPr>
          <w:sz w:val="28"/>
        </w:rPr>
        <w:t>А.</w:t>
      </w:r>
      <w:r>
        <w:rPr>
          <w:spacing w:val="80"/>
          <w:sz w:val="28"/>
        </w:rPr>
        <w:t> </w:t>
      </w:r>
      <w:r>
        <w:rPr>
          <w:sz w:val="28"/>
        </w:rPr>
        <w:t>И.,</w:t>
      </w:r>
      <w:r>
        <w:rPr>
          <w:spacing w:val="80"/>
          <w:sz w:val="28"/>
        </w:rPr>
        <w:t> </w:t>
      </w:r>
      <w:r>
        <w:rPr>
          <w:sz w:val="28"/>
        </w:rPr>
        <w:t>Иванов</w:t>
      </w:r>
      <w:r>
        <w:rPr>
          <w:spacing w:val="80"/>
          <w:sz w:val="28"/>
        </w:rPr>
        <w:t> </w:t>
      </w:r>
      <w:r>
        <w:rPr>
          <w:sz w:val="28"/>
        </w:rPr>
        <w:t>А.</w:t>
      </w:r>
      <w:r>
        <w:rPr>
          <w:spacing w:val="80"/>
          <w:sz w:val="28"/>
        </w:rPr>
        <w:t> </w:t>
      </w:r>
      <w:r>
        <w:rPr>
          <w:sz w:val="28"/>
        </w:rPr>
        <w:t>А.,</w:t>
      </w:r>
      <w:r>
        <w:rPr>
          <w:spacing w:val="80"/>
          <w:sz w:val="28"/>
        </w:rPr>
        <w:t> </w:t>
      </w:r>
      <w:r>
        <w:rPr>
          <w:sz w:val="28"/>
        </w:rPr>
        <w:t>Потачиц</w:t>
      </w:r>
      <w:r>
        <w:rPr>
          <w:spacing w:val="80"/>
          <w:sz w:val="28"/>
        </w:rPr>
        <w:t> </w:t>
      </w:r>
      <w:r>
        <w:rPr>
          <w:sz w:val="28"/>
        </w:rPr>
        <w:t>В.</w:t>
      </w:r>
      <w:r>
        <w:rPr>
          <w:spacing w:val="80"/>
          <w:sz w:val="28"/>
        </w:rPr>
        <w:t> </w:t>
      </w:r>
      <w:r>
        <w:rPr>
          <w:sz w:val="28"/>
        </w:rPr>
        <w:t>А.</w:t>
      </w:r>
      <w:r>
        <w:rPr>
          <w:spacing w:val="80"/>
          <w:sz w:val="28"/>
        </w:rPr>
        <w:t> </w:t>
      </w:r>
      <w:r>
        <w:rPr>
          <w:sz w:val="28"/>
        </w:rPr>
        <w:t>Изучение</w:t>
      </w:r>
      <w:r>
        <w:rPr>
          <w:spacing w:val="80"/>
          <w:sz w:val="28"/>
        </w:rPr>
        <w:t> </w:t>
      </w:r>
      <w:r>
        <w:rPr>
          <w:sz w:val="28"/>
        </w:rPr>
        <w:t>ваттамперной характеристики и применение инжекционного лазера. – Минск : БНТУ, 2011. – 19 с.</w:t>
      </w:r>
    </w:p>
    <w:p>
      <w:pPr>
        <w:pStyle w:val="ListParagraph"/>
        <w:spacing w:after="0" w:line="256" w:lineRule="auto"/>
        <w:jc w:val="left"/>
        <w:rPr>
          <w:sz w:val="28"/>
        </w:rPr>
        <w:sectPr>
          <w:pgSz w:w="11910" w:h="16840"/>
          <w:pgMar w:header="0" w:footer="990" w:top="340" w:bottom="1200" w:left="708" w:right="425"/>
        </w:sectPr>
      </w:pPr>
    </w:p>
    <w:p>
      <w:pPr>
        <w:pStyle w:val="ListParagraph"/>
        <w:numPr>
          <w:ilvl w:val="0"/>
          <w:numId w:val="13"/>
        </w:numPr>
        <w:tabs>
          <w:tab w:pos="1469" w:val="left" w:leader="none"/>
        </w:tabs>
        <w:spacing w:line="256" w:lineRule="auto" w:before="69" w:after="0"/>
        <w:ind w:left="143" w:right="421" w:firstLine="708"/>
        <w:jc w:val="both"/>
        <w:rPr>
          <w:sz w:val="28"/>
        </w:rPr>
      </w:pPr>
      <w:r>
        <w:rPr>
          <w:sz w:val="28"/>
        </w:rPr>
        <w:t>Баевич Г. А. Электрические процессы в pn-переходе при наличии внешнего напряжения. – Гомельский государственный университет имени Ф.Скорины. - Гомель, 2015. –18 с.</w:t>
      </w:r>
    </w:p>
    <w:p>
      <w:pPr>
        <w:pStyle w:val="ListParagraph"/>
        <w:numPr>
          <w:ilvl w:val="0"/>
          <w:numId w:val="13"/>
        </w:numPr>
        <w:tabs>
          <w:tab w:pos="1389" w:val="left" w:leader="none"/>
        </w:tabs>
        <w:spacing w:line="256" w:lineRule="auto" w:before="0" w:after="0"/>
        <w:ind w:left="143" w:right="423" w:firstLine="708"/>
        <w:jc w:val="both"/>
        <w:rPr>
          <w:sz w:val="28"/>
        </w:rPr>
      </w:pPr>
      <w:r>
        <w:rPr>
          <w:sz w:val="28"/>
        </w:rPr>
        <w:t>Cavarocchi E., Whitfield M. Saez F., Toure A. Sperm Ion Transporters and Channels in Human Asthenozoospermia: Genetic Etiology, Lessons from Animal Models, and Clinical Perspectives // International Journal of Molecular Sciences. – 2022.</w:t>
      </w:r>
      <w:r>
        <w:rPr>
          <w:spacing w:val="-1"/>
          <w:sz w:val="28"/>
        </w:rPr>
        <w:t> </w:t>
      </w:r>
      <w:r>
        <w:rPr>
          <w:sz w:val="28"/>
        </w:rPr>
        <w:t>– Т.</w:t>
      </w:r>
      <w:r>
        <w:rPr>
          <w:spacing w:val="-1"/>
          <w:sz w:val="28"/>
        </w:rPr>
        <w:t> </w:t>
      </w:r>
      <w:r>
        <w:rPr>
          <w:sz w:val="28"/>
        </w:rPr>
        <w:t>23.</w:t>
      </w:r>
      <w:r>
        <w:rPr>
          <w:spacing w:val="-1"/>
          <w:sz w:val="28"/>
        </w:rPr>
        <w:t> </w:t>
      </w:r>
      <w:r>
        <w:rPr>
          <w:sz w:val="28"/>
        </w:rPr>
        <w:t>– С. 3926.</w:t>
      </w:r>
    </w:p>
    <w:p>
      <w:pPr>
        <w:pStyle w:val="ListParagraph"/>
        <w:numPr>
          <w:ilvl w:val="0"/>
          <w:numId w:val="13"/>
        </w:numPr>
        <w:tabs>
          <w:tab w:pos="1362" w:val="left" w:leader="none"/>
        </w:tabs>
        <w:spacing w:line="256" w:lineRule="auto" w:before="0" w:after="0"/>
        <w:ind w:left="143" w:right="420" w:firstLine="707"/>
        <w:jc w:val="both"/>
        <w:rPr>
          <w:sz w:val="28"/>
        </w:rPr>
      </w:pPr>
      <w:r>
        <w:rPr>
          <w:sz w:val="28"/>
        </w:rPr>
        <w:t>Jiao S.-Y., Yang Y.-H., Chen S.-R. Molecular Genetics of Infertility: Loss-of-Function Mutations in Humans and Corresponding Knochout/Mutated Mice // Human Reproduction. – 2017. – Т. 27. – С. 154-189.</w:t>
      </w:r>
    </w:p>
    <w:p>
      <w:pPr>
        <w:pStyle w:val="ListParagraph"/>
        <w:numPr>
          <w:ilvl w:val="0"/>
          <w:numId w:val="13"/>
        </w:numPr>
        <w:tabs>
          <w:tab w:pos="1381" w:val="left" w:leader="none"/>
        </w:tabs>
        <w:spacing w:line="256" w:lineRule="auto" w:before="0" w:after="0"/>
        <w:ind w:left="143" w:right="422" w:firstLine="707"/>
        <w:jc w:val="both"/>
        <w:rPr>
          <w:sz w:val="28"/>
        </w:rPr>
      </w:pPr>
      <w:r>
        <w:rPr>
          <w:sz w:val="28"/>
        </w:rPr>
        <w:t>Toure A., Martinez G., Kheraff Z.-E., Cazin C., Beurois J., Arnoult C., Ray P.F., Coutton C. The Genetic Architecture of Morphological Abnormalities of the Sperm Tail // Human Genetics. – 2020. – Т. 140. – С. 21-42.</w:t>
      </w:r>
    </w:p>
    <w:p>
      <w:pPr>
        <w:pStyle w:val="ListParagraph"/>
        <w:numPr>
          <w:ilvl w:val="0"/>
          <w:numId w:val="13"/>
        </w:numPr>
        <w:tabs>
          <w:tab w:pos="1379" w:val="left" w:leader="none"/>
        </w:tabs>
        <w:spacing w:line="256" w:lineRule="auto" w:before="0" w:after="0"/>
        <w:ind w:left="143" w:right="421" w:firstLine="707"/>
        <w:jc w:val="both"/>
        <w:rPr>
          <w:sz w:val="28"/>
        </w:rPr>
      </w:pPr>
      <w:r>
        <w:rPr>
          <w:sz w:val="28"/>
        </w:rPr>
        <w:t>Sironen A., Shoemark A., Patel M., Loebinger M.R., Mitchison H.M. Sperm Defects in Primary Ciliary Dyskinesia and Related Causes of Male Infertility // Cellular and Molecular Life Sciences. – 2020. – Т. 77. – С. 2029-2048.</w:t>
      </w:r>
    </w:p>
    <w:p>
      <w:pPr>
        <w:pStyle w:val="ListParagraph"/>
        <w:numPr>
          <w:ilvl w:val="0"/>
          <w:numId w:val="13"/>
        </w:numPr>
        <w:tabs>
          <w:tab w:pos="1377" w:val="left" w:leader="none"/>
        </w:tabs>
        <w:spacing w:line="318" w:lineRule="exact" w:before="0" w:after="0"/>
        <w:ind w:left="1377" w:right="0" w:hanging="526"/>
        <w:jc w:val="left"/>
        <w:rPr>
          <w:sz w:val="28"/>
        </w:rPr>
      </w:pPr>
      <w:r>
        <w:rPr>
          <w:sz w:val="28"/>
        </w:rPr>
        <w:t>Tang</w:t>
      </w:r>
      <w:r>
        <w:rPr>
          <w:spacing w:val="34"/>
          <w:sz w:val="28"/>
        </w:rPr>
        <w:t> </w:t>
      </w:r>
      <w:r>
        <w:rPr>
          <w:sz w:val="28"/>
        </w:rPr>
        <w:t>S.,</w:t>
      </w:r>
      <w:r>
        <w:rPr>
          <w:spacing w:val="34"/>
          <w:sz w:val="28"/>
        </w:rPr>
        <w:t> </w:t>
      </w:r>
      <w:r>
        <w:rPr>
          <w:sz w:val="28"/>
        </w:rPr>
        <w:t>Wang</w:t>
      </w:r>
      <w:r>
        <w:rPr>
          <w:spacing w:val="35"/>
          <w:sz w:val="28"/>
        </w:rPr>
        <w:t> </w:t>
      </w:r>
      <w:r>
        <w:rPr>
          <w:sz w:val="28"/>
        </w:rPr>
        <w:t>X.,</w:t>
      </w:r>
      <w:r>
        <w:rPr>
          <w:spacing w:val="34"/>
          <w:sz w:val="28"/>
        </w:rPr>
        <w:t> </w:t>
      </w:r>
      <w:r>
        <w:rPr>
          <w:sz w:val="28"/>
        </w:rPr>
        <w:t>Li</w:t>
      </w:r>
      <w:r>
        <w:rPr>
          <w:spacing w:val="35"/>
          <w:sz w:val="28"/>
        </w:rPr>
        <w:t> </w:t>
      </w:r>
      <w:r>
        <w:rPr>
          <w:sz w:val="28"/>
        </w:rPr>
        <w:t>W.,</w:t>
      </w:r>
      <w:r>
        <w:rPr>
          <w:spacing w:val="34"/>
          <w:sz w:val="28"/>
        </w:rPr>
        <w:t> </w:t>
      </w:r>
      <w:r>
        <w:rPr>
          <w:sz w:val="28"/>
        </w:rPr>
        <w:t>Yang</w:t>
      </w:r>
      <w:r>
        <w:rPr>
          <w:spacing w:val="35"/>
          <w:sz w:val="28"/>
        </w:rPr>
        <w:t> </w:t>
      </w:r>
      <w:r>
        <w:rPr>
          <w:sz w:val="28"/>
        </w:rPr>
        <w:t>X.,</w:t>
      </w:r>
      <w:r>
        <w:rPr>
          <w:spacing w:val="31"/>
          <w:sz w:val="28"/>
        </w:rPr>
        <w:t> </w:t>
      </w:r>
      <w:r>
        <w:rPr>
          <w:sz w:val="28"/>
        </w:rPr>
        <w:t>Li</w:t>
      </w:r>
      <w:r>
        <w:rPr>
          <w:spacing w:val="35"/>
          <w:sz w:val="28"/>
        </w:rPr>
        <w:t> </w:t>
      </w:r>
      <w:r>
        <w:rPr>
          <w:sz w:val="28"/>
        </w:rPr>
        <w:t>Z.,</w:t>
      </w:r>
      <w:r>
        <w:rPr>
          <w:spacing w:val="34"/>
          <w:sz w:val="28"/>
        </w:rPr>
        <w:t> </w:t>
      </w:r>
      <w:r>
        <w:rPr>
          <w:sz w:val="28"/>
        </w:rPr>
        <w:t>Liu</w:t>
      </w:r>
      <w:r>
        <w:rPr>
          <w:spacing w:val="35"/>
          <w:sz w:val="28"/>
        </w:rPr>
        <w:t> </w:t>
      </w:r>
      <w:r>
        <w:rPr>
          <w:sz w:val="28"/>
        </w:rPr>
        <w:t>W.,</w:t>
      </w:r>
      <w:r>
        <w:rPr>
          <w:spacing w:val="34"/>
          <w:sz w:val="28"/>
        </w:rPr>
        <w:t> </w:t>
      </w:r>
      <w:r>
        <w:rPr>
          <w:sz w:val="28"/>
        </w:rPr>
        <w:t>Li</w:t>
      </w:r>
      <w:r>
        <w:rPr>
          <w:spacing w:val="35"/>
          <w:sz w:val="28"/>
        </w:rPr>
        <w:t> </w:t>
      </w:r>
      <w:r>
        <w:rPr>
          <w:sz w:val="28"/>
        </w:rPr>
        <w:t>C.,</w:t>
      </w:r>
      <w:r>
        <w:rPr>
          <w:spacing w:val="34"/>
          <w:sz w:val="28"/>
        </w:rPr>
        <w:t> </w:t>
      </w:r>
      <w:r>
        <w:rPr>
          <w:sz w:val="28"/>
        </w:rPr>
        <w:t>Zhu</w:t>
      </w:r>
      <w:r>
        <w:rPr>
          <w:spacing w:val="35"/>
          <w:sz w:val="28"/>
        </w:rPr>
        <w:t> </w:t>
      </w:r>
      <w:r>
        <w:rPr>
          <w:sz w:val="28"/>
        </w:rPr>
        <w:t>Z.,</w:t>
      </w:r>
      <w:r>
        <w:rPr>
          <w:spacing w:val="34"/>
          <w:sz w:val="28"/>
        </w:rPr>
        <w:t> </w:t>
      </w:r>
      <w:r>
        <w:rPr>
          <w:sz w:val="28"/>
        </w:rPr>
        <w:t>Wang</w:t>
      </w:r>
      <w:r>
        <w:rPr>
          <w:spacing w:val="35"/>
          <w:sz w:val="28"/>
        </w:rPr>
        <w:t> </w:t>
      </w:r>
      <w:r>
        <w:rPr>
          <w:spacing w:val="-5"/>
          <w:sz w:val="28"/>
        </w:rPr>
        <w:t>L.,</w:t>
      </w:r>
    </w:p>
    <w:p>
      <w:pPr>
        <w:pStyle w:val="BodyText"/>
        <w:spacing w:line="256" w:lineRule="auto" w:before="6"/>
        <w:ind w:left="143" w:right="421"/>
      </w:pPr>
      <w:r>
        <w:rPr/>
        <w:t>Wang J., Zhang L., Sun X., Zhi E., Wang H., Li H., Jin L., Luo Y., Wang J., Yang S.,10, Zhang F. Biallelic mutations in CFAP43 and CFAP44 cause male infertility with multiple morphological abnormalities of the sperm flagella // American Journal of Human Genetics – 2017. – Т. 100 (6). – С. 854-864</w:t>
      </w:r>
    </w:p>
    <w:p>
      <w:pPr>
        <w:pStyle w:val="ListParagraph"/>
        <w:numPr>
          <w:ilvl w:val="0"/>
          <w:numId w:val="13"/>
        </w:numPr>
        <w:tabs>
          <w:tab w:pos="1373" w:val="left" w:leader="none"/>
        </w:tabs>
        <w:spacing w:line="256" w:lineRule="auto" w:before="0" w:after="0"/>
        <w:ind w:left="142" w:right="419" w:firstLine="707"/>
        <w:jc w:val="both"/>
        <w:rPr>
          <w:sz w:val="28"/>
        </w:rPr>
      </w:pPr>
      <w:r>
        <w:rPr>
          <w:sz w:val="28"/>
        </w:rPr>
        <w:t>Khelifa M.B., Coutton C., Zouari R., Karaouze`ne T., Rendu J.,1, Bidart M., Yassine</w:t>
      </w:r>
      <w:r>
        <w:rPr>
          <w:spacing w:val="-2"/>
          <w:sz w:val="28"/>
        </w:rPr>
        <w:t> </w:t>
      </w:r>
      <w:r>
        <w:rPr>
          <w:sz w:val="28"/>
        </w:rPr>
        <w:t>S.,</w:t>
      </w:r>
      <w:r>
        <w:rPr>
          <w:spacing w:val="-2"/>
          <w:sz w:val="28"/>
        </w:rPr>
        <w:t> </w:t>
      </w:r>
      <w:r>
        <w:rPr>
          <w:sz w:val="28"/>
        </w:rPr>
        <w:t>Pierre</w:t>
      </w:r>
      <w:r>
        <w:rPr>
          <w:spacing w:val="-4"/>
          <w:sz w:val="28"/>
        </w:rPr>
        <w:t> </w:t>
      </w:r>
      <w:r>
        <w:rPr>
          <w:sz w:val="28"/>
        </w:rPr>
        <w:t>V.,</w:t>
      </w:r>
      <w:r>
        <w:rPr>
          <w:spacing w:val="-2"/>
          <w:sz w:val="28"/>
        </w:rPr>
        <w:t> </w:t>
      </w:r>
      <w:r>
        <w:rPr>
          <w:sz w:val="28"/>
        </w:rPr>
        <w:t>Delaroche</w:t>
      </w:r>
      <w:r>
        <w:rPr>
          <w:spacing w:val="-4"/>
          <w:sz w:val="28"/>
        </w:rPr>
        <w:t> </w:t>
      </w:r>
      <w:r>
        <w:rPr>
          <w:sz w:val="28"/>
        </w:rPr>
        <w:t>J.,</w:t>
      </w:r>
      <w:r>
        <w:rPr>
          <w:spacing w:val="-2"/>
          <w:sz w:val="28"/>
        </w:rPr>
        <w:t> </w:t>
      </w:r>
      <w:r>
        <w:rPr>
          <w:sz w:val="28"/>
        </w:rPr>
        <w:t>Hennebicq</w:t>
      </w:r>
      <w:r>
        <w:rPr>
          <w:spacing w:val="-1"/>
          <w:sz w:val="28"/>
        </w:rPr>
        <w:t> </w:t>
      </w:r>
      <w:r>
        <w:rPr>
          <w:sz w:val="28"/>
        </w:rPr>
        <w:t>S.,</w:t>
      </w:r>
      <w:r>
        <w:rPr>
          <w:spacing w:val="-2"/>
          <w:sz w:val="28"/>
        </w:rPr>
        <w:t> </w:t>
      </w:r>
      <w:r>
        <w:rPr>
          <w:sz w:val="28"/>
        </w:rPr>
        <w:t>Grunwald</w:t>
      </w:r>
      <w:r>
        <w:rPr>
          <w:spacing w:val="-1"/>
          <w:sz w:val="28"/>
        </w:rPr>
        <w:t> </w:t>
      </w:r>
      <w:r>
        <w:rPr>
          <w:sz w:val="28"/>
        </w:rPr>
        <w:t>D.,</w:t>
      </w:r>
      <w:r>
        <w:rPr>
          <w:spacing w:val="-5"/>
          <w:sz w:val="28"/>
        </w:rPr>
        <w:t> </w:t>
      </w:r>
      <w:r>
        <w:rPr>
          <w:sz w:val="28"/>
        </w:rPr>
        <w:t>Escalier</w:t>
      </w:r>
      <w:r>
        <w:rPr>
          <w:spacing w:val="-2"/>
          <w:sz w:val="28"/>
        </w:rPr>
        <w:t> </w:t>
      </w:r>
      <w:r>
        <w:rPr>
          <w:sz w:val="28"/>
        </w:rPr>
        <w:t>D.,</w:t>
      </w:r>
      <w:r>
        <w:rPr>
          <w:spacing w:val="-2"/>
          <w:sz w:val="28"/>
        </w:rPr>
        <w:t> </w:t>
      </w:r>
      <w:r>
        <w:rPr>
          <w:sz w:val="28"/>
        </w:rPr>
        <w:t>Pernet-Gallay K., Jouk P-S., Thierry-Mieg N., Toure</w:t>
      </w:r>
      <w:r>
        <w:rPr>
          <w:spacing w:val="-6"/>
          <w:sz w:val="28"/>
        </w:rPr>
        <w:t> </w:t>
      </w:r>
      <w:r>
        <w:rPr>
          <w:sz w:val="28"/>
        </w:rPr>
        <w:t>́A., Arnoult C., Ray P.F. Mutations in DNAH1, which encodes an inner arm heavy chain dynein, lead to male infertility from multiple morphological abnormalities of the sperm flagella //American Journal of Human Genetics. – 2014. – Т. 94 (1). – С. 95-104.</w:t>
      </w:r>
    </w:p>
    <w:p>
      <w:pPr>
        <w:pStyle w:val="ListParagraph"/>
        <w:numPr>
          <w:ilvl w:val="0"/>
          <w:numId w:val="13"/>
        </w:numPr>
        <w:tabs>
          <w:tab w:pos="1345" w:val="left" w:leader="none"/>
        </w:tabs>
        <w:spacing w:line="314" w:lineRule="exact" w:before="0" w:after="0"/>
        <w:ind w:left="1345" w:right="0" w:hanging="495"/>
        <w:jc w:val="left"/>
        <w:rPr>
          <w:sz w:val="28"/>
        </w:rPr>
      </w:pPr>
      <w:r>
        <w:rPr>
          <w:sz w:val="28"/>
        </w:rPr>
        <w:t>Tan</w:t>
      </w:r>
      <w:r>
        <w:rPr>
          <w:spacing w:val="1"/>
          <w:sz w:val="28"/>
        </w:rPr>
        <w:t> </w:t>
      </w:r>
      <w:r>
        <w:rPr>
          <w:sz w:val="28"/>
        </w:rPr>
        <w:t>C.,</w:t>
      </w:r>
      <w:r>
        <w:rPr>
          <w:spacing w:val="2"/>
          <w:sz w:val="28"/>
        </w:rPr>
        <w:t> </w:t>
      </w:r>
      <w:r>
        <w:rPr>
          <w:sz w:val="28"/>
        </w:rPr>
        <w:t>Meng</w:t>
      </w:r>
      <w:r>
        <w:rPr>
          <w:spacing w:val="3"/>
          <w:sz w:val="28"/>
        </w:rPr>
        <w:t> </w:t>
      </w:r>
      <w:r>
        <w:rPr>
          <w:sz w:val="28"/>
        </w:rPr>
        <w:t>L.,</w:t>
      </w:r>
      <w:r>
        <w:rPr>
          <w:spacing w:val="2"/>
          <w:sz w:val="28"/>
        </w:rPr>
        <w:t> </w:t>
      </w:r>
      <w:r>
        <w:rPr>
          <w:sz w:val="28"/>
        </w:rPr>
        <w:t>Lv</w:t>
      </w:r>
      <w:r>
        <w:rPr>
          <w:spacing w:val="3"/>
          <w:sz w:val="28"/>
        </w:rPr>
        <w:t> </w:t>
      </w:r>
      <w:r>
        <w:rPr>
          <w:sz w:val="28"/>
        </w:rPr>
        <w:t>M.,</w:t>
      </w:r>
      <w:r>
        <w:rPr>
          <w:spacing w:val="2"/>
          <w:sz w:val="28"/>
        </w:rPr>
        <w:t> </w:t>
      </w:r>
      <w:r>
        <w:rPr>
          <w:sz w:val="28"/>
        </w:rPr>
        <w:t>He</w:t>
      </w:r>
      <w:r>
        <w:rPr>
          <w:spacing w:val="2"/>
          <w:sz w:val="28"/>
        </w:rPr>
        <w:t> </w:t>
      </w:r>
      <w:r>
        <w:rPr>
          <w:sz w:val="28"/>
        </w:rPr>
        <w:t>X.,</w:t>
      </w:r>
      <w:r>
        <w:rPr>
          <w:spacing w:val="2"/>
          <w:sz w:val="28"/>
        </w:rPr>
        <w:t> </w:t>
      </w:r>
      <w:r>
        <w:rPr>
          <w:sz w:val="28"/>
        </w:rPr>
        <w:t>Sha</w:t>
      </w:r>
      <w:r>
        <w:rPr>
          <w:spacing w:val="1"/>
          <w:sz w:val="28"/>
        </w:rPr>
        <w:t> </w:t>
      </w:r>
      <w:r>
        <w:rPr>
          <w:sz w:val="28"/>
        </w:rPr>
        <w:t>Y.,</w:t>
      </w:r>
      <w:r>
        <w:rPr>
          <w:spacing w:val="2"/>
          <w:sz w:val="28"/>
        </w:rPr>
        <w:t> </w:t>
      </w:r>
      <w:r>
        <w:rPr>
          <w:sz w:val="28"/>
        </w:rPr>
        <w:t>Tang</w:t>
      </w:r>
      <w:r>
        <w:rPr>
          <w:spacing w:val="4"/>
          <w:sz w:val="28"/>
        </w:rPr>
        <w:t> </w:t>
      </w:r>
      <w:r>
        <w:rPr>
          <w:sz w:val="28"/>
        </w:rPr>
        <w:t>D.,</w:t>
      </w:r>
      <w:r>
        <w:rPr>
          <w:spacing w:val="2"/>
          <w:sz w:val="28"/>
        </w:rPr>
        <w:t> </w:t>
      </w:r>
      <w:r>
        <w:rPr>
          <w:sz w:val="28"/>
        </w:rPr>
        <w:t>Tan</w:t>
      </w:r>
      <w:r>
        <w:rPr>
          <w:spacing w:val="4"/>
          <w:sz w:val="28"/>
        </w:rPr>
        <w:t> </w:t>
      </w:r>
      <w:r>
        <w:rPr>
          <w:sz w:val="28"/>
        </w:rPr>
        <w:t>Y., Hu</w:t>
      </w:r>
      <w:r>
        <w:rPr>
          <w:spacing w:val="4"/>
          <w:sz w:val="28"/>
        </w:rPr>
        <w:t> </w:t>
      </w:r>
      <w:r>
        <w:rPr>
          <w:sz w:val="28"/>
        </w:rPr>
        <w:t>T.,</w:t>
      </w:r>
      <w:r>
        <w:rPr>
          <w:spacing w:val="2"/>
          <w:sz w:val="28"/>
        </w:rPr>
        <w:t> </w:t>
      </w:r>
      <w:r>
        <w:rPr>
          <w:sz w:val="28"/>
        </w:rPr>
        <w:t>He</w:t>
      </w:r>
      <w:r>
        <w:rPr>
          <w:spacing w:val="3"/>
          <w:sz w:val="28"/>
        </w:rPr>
        <w:t> </w:t>
      </w:r>
      <w:r>
        <w:rPr>
          <w:sz w:val="28"/>
        </w:rPr>
        <w:t>W.,</w:t>
      </w:r>
      <w:r>
        <w:rPr>
          <w:spacing w:val="2"/>
          <w:sz w:val="28"/>
        </w:rPr>
        <w:t> </w:t>
      </w:r>
      <w:r>
        <w:rPr>
          <w:sz w:val="28"/>
        </w:rPr>
        <w:t>Tu</w:t>
      </w:r>
      <w:r>
        <w:rPr>
          <w:spacing w:val="4"/>
          <w:sz w:val="28"/>
        </w:rPr>
        <w:t> </w:t>
      </w:r>
      <w:r>
        <w:rPr>
          <w:spacing w:val="-5"/>
          <w:sz w:val="28"/>
        </w:rPr>
        <w:t>C.,</w:t>
      </w:r>
    </w:p>
    <w:p>
      <w:pPr>
        <w:pStyle w:val="BodyText"/>
        <w:spacing w:line="256" w:lineRule="auto" w:before="18"/>
        <w:ind w:left="142" w:right="422"/>
      </w:pPr>
      <w:r>
        <w:rPr/>
        <w:t>Nie H., Zhang H., Du J., Lu G., Fan L-q, Cao Y., Lin G., Tan Y-Q. Bi-allelic variants in DNHD1 cause flagellar axoneme defects and asthenoteratozoospermia in humans and</w:t>
      </w:r>
      <w:r>
        <w:rPr>
          <w:spacing w:val="40"/>
        </w:rPr>
        <w:t> </w:t>
      </w:r>
      <w:r>
        <w:rPr/>
        <w:t>mice // American Journal of Human Genetics . – 2022. – Т. 109 (1). – С. 157-171.</w:t>
      </w:r>
    </w:p>
    <w:p>
      <w:pPr>
        <w:pStyle w:val="ListParagraph"/>
        <w:numPr>
          <w:ilvl w:val="0"/>
          <w:numId w:val="13"/>
        </w:numPr>
        <w:tabs>
          <w:tab w:pos="1358" w:val="left" w:leader="none"/>
        </w:tabs>
        <w:spacing w:line="256" w:lineRule="auto" w:before="0" w:after="0"/>
        <w:ind w:left="142" w:right="423" w:firstLine="707"/>
        <w:jc w:val="both"/>
        <w:rPr>
          <w:sz w:val="28"/>
        </w:rPr>
      </w:pPr>
      <w:r>
        <w:rPr>
          <w:sz w:val="28"/>
        </w:rPr>
        <w:t>Wang W., Tu C., Nie H., Meng L., Li Y., Yuan S., Zhang Q., Du J., Wang J., Gong F., Fan L., Lu G-X. Biallelic mutations in CFAP65 lead to severe asthenoteratospermia due to acrosome hypoplasia and flagellum malformations // Journal of Medical Genetics. – 2019. – Т. 11. – С. 750-757.</w:t>
      </w:r>
    </w:p>
    <w:p>
      <w:pPr>
        <w:pStyle w:val="ListParagraph"/>
        <w:numPr>
          <w:ilvl w:val="0"/>
          <w:numId w:val="13"/>
        </w:numPr>
        <w:tabs>
          <w:tab w:pos="1344" w:val="left" w:leader="none"/>
        </w:tabs>
        <w:spacing w:line="256" w:lineRule="auto" w:before="0" w:after="0"/>
        <w:ind w:left="142" w:right="424" w:firstLine="707"/>
        <w:jc w:val="both"/>
        <w:rPr>
          <w:sz w:val="28"/>
        </w:rPr>
      </w:pPr>
      <w:r>
        <w:rPr>
          <w:sz w:val="28"/>
        </w:rPr>
        <w:t>Yaqian L., Yan W., Yuting W., Tao Z., Xiaodong W., Chuan J., Rui Z., Fan Z., Daijuan C.,</w:t>
      </w:r>
      <w:r>
        <w:rPr>
          <w:spacing w:val="-1"/>
          <w:sz w:val="28"/>
        </w:rPr>
        <w:t> </w:t>
      </w:r>
      <w:r>
        <w:rPr>
          <w:sz w:val="28"/>
        </w:rPr>
        <w:t>Yihong</w:t>
      </w:r>
      <w:r>
        <w:rPr>
          <w:spacing w:val="-2"/>
          <w:sz w:val="28"/>
        </w:rPr>
        <w:t> </w:t>
      </w:r>
      <w:r>
        <w:rPr>
          <w:sz w:val="28"/>
        </w:rPr>
        <w:t>Y.</w:t>
      </w:r>
      <w:r>
        <w:rPr>
          <w:spacing w:val="-1"/>
          <w:sz w:val="28"/>
        </w:rPr>
        <w:t> </w:t>
      </w:r>
      <w:r>
        <w:rPr>
          <w:sz w:val="28"/>
        </w:rPr>
        <w:t>Whole-exome</w:t>
      </w:r>
      <w:r>
        <w:rPr>
          <w:spacing w:val="-3"/>
          <w:sz w:val="28"/>
        </w:rPr>
        <w:t> </w:t>
      </w:r>
      <w:r>
        <w:rPr>
          <w:sz w:val="28"/>
        </w:rPr>
        <w:t>sequencing of a cohort of</w:t>
      </w:r>
      <w:r>
        <w:rPr>
          <w:spacing w:val="-1"/>
          <w:sz w:val="28"/>
        </w:rPr>
        <w:t> </w:t>
      </w:r>
      <w:r>
        <w:rPr>
          <w:sz w:val="28"/>
        </w:rPr>
        <w:t>infertile men reveals novel causative genes in teratozoospermia that are chiefly related to sperm head defects //</w:t>
      </w:r>
      <w:r>
        <w:rPr>
          <w:spacing w:val="40"/>
          <w:sz w:val="28"/>
        </w:rPr>
        <w:t> </w:t>
      </w:r>
      <w:r>
        <w:rPr>
          <w:sz w:val="28"/>
        </w:rPr>
        <w:t>Human Reproduction. – 2022. – Т. 31. – С. 152-177.</w:t>
      </w:r>
    </w:p>
    <w:p>
      <w:pPr>
        <w:pStyle w:val="ListParagraph"/>
        <w:numPr>
          <w:ilvl w:val="0"/>
          <w:numId w:val="13"/>
        </w:numPr>
        <w:tabs>
          <w:tab w:pos="1371" w:val="left" w:leader="none"/>
        </w:tabs>
        <w:spacing w:line="316" w:lineRule="exact" w:before="0" w:after="0"/>
        <w:ind w:left="1371" w:right="0" w:hanging="521"/>
        <w:jc w:val="left"/>
        <w:rPr>
          <w:sz w:val="28"/>
        </w:rPr>
      </w:pPr>
      <w:r>
        <w:rPr>
          <w:sz w:val="28"/>
        </w:rPr>
        <w:t>Ma</w:t>
      </w:r>
      <w:r>
        <w:rPr>
          <w:spacing w:val="27"/>
          <w:sz w:val="28"/>
        </w:rPr>
        <w:t> </w:t>
      </w:r>
      <w:r>
        <w:rPr>
          <w:sz w:val="28"/>
        </w:rPr>
        <w:t>Y.,</w:t>
      </w:r>
      <w:r>
        <w:rPr>
          <w:spacing w:val="30"/>
          <w:sz w:val="28"/>
        </w:rPr>
        <w:t> </w:t>
      </w:r>
      <w:r>
        <w:rPr>
          <w:sz w:val="28"/>
        </w:rPr>
        <w:t>Xie</w:t>
      </w:r>
      <w:r>
        <w:rPr>
          <w:spacing w:val="27"/>
          <w:sz w:val="28"/>
        </w:rPr>
        <w:t> </w:t>
      </w:r>
      <w:r>
        <w:rPr>
          <w:sz w:val="28"/>
        </w:rPr>
        <w:t>N.,</w:t>
      </w:r>
      <w:r>
        <w:rPr>
          <w:spacing w:val="30"/>
          <w:sz w:val="28"/>
        </w:rPr>
        <w:t> </w:t>
      </w:r>
      <w:r>
        <w:rPr>
          <w:sz w:val="28"/>
        </w:rPr>
        <w:t>Xie</w:t>
      </w:r>
      <w:r>
        <w:rPr>
          <w:spacing w:val="30"/>
          <w:sz w:val="28"/>
        </w:rPr>
        <w:t> </w:t>
      </w:r>
      <w:r>
        <w:rPr>
          <w:sz w:val="28"/>
        </w:rPr>
        <w:t>D.,</w:t>
      </w:r>
      <w:r>
        <w:rPr>
          <w:spacing w:val="29"/>
          <w:sz w:val="28"/>
        </w:rPr>
        <w:t> </w:t>
      </w:r>
      <w:r>
        <w:rPr>
          <w:sz w:val="28"/>
        </w:rPr>
        <w:t>Sun</w:t>
      </w:r>
      <w:r>
        <w:rPr>
          <w:spacing w:val="31"/>
          <w:sz w:val="28"/>
        </w:rPr>
        <w:t> </w:t>
      </w:r>
      <w:r>
        <w:rPr>
          <w:sz w:val="28"/>
        </w:rPr>
        <w:t>L.,</w:t>
      </w:r>
      <w:r>
        <w:rPr>
          <w:spacing w:val="29"/>
          <w:sz w:val="28"/>
        </w:rPr>
        <w:t> </w:t>
      </w:r>
      <w:r>
        <w:rPr>
          <w:sz w:val="28"/>
        </w:rPr>
        <w:t>Li</w:t>
      </w:r>
      <w:r>
        <w:rPr>
          <w:spacing w:val="31"/>
          <w:sz w:val="28"/>
        </w:rPr>
        <w:t> </w:t>
      </w:r>
      <w:r>
        <w:rPr>
          <w:sz w:val="28"/>
        </w:rPr>
        <w:t>S.,</w:t>
      </w:r>
      <w:r>
        <w:rPr>
          <w:spacing w:val="30"/>
          <w:sz w:val="28"/>
        </w:rPr>
        <w:t> </w:t>
      </w:r>
      <w:r>
        <w:rPr>
          <w:sz w:val="28"/>
        </w:rPr>
        <w:t>Li</w:t>
      </w:r>
      <w:r>
        <w:rPr>
          <w:spacing w:val="30"/>
          <w:sz w:val="28"/>
        </w:rPr>
        <w:t> </w:t>
      </w:r>
      <w:r>
        <w:rPr>
          <w:sz w:val="28"/>
        </w:rPr>
        <w:t>P.,</w:t>
      </w:r>
      <w:r>
        <w:rPr>
          <w:spacing w:val="30"/>
          <w:sz w:val="28"/>
        </w:rPr>
        <w:t> </w:t>
      </w:r>
      <w:r>
        <w:rPr>
          <w:sz w:val="28"/>
        </w:rPr>
        <w:t>Li</w:t>
      </w:r>
      <w:r>
        <w:rPr>
          <w:spacing w:val="28"/>
          <w:sz w:val="28"/>
        </w:rPr>
        <w:t> </w:t>
      </w:r>
      <w:r>
        <w:rPr>
          <w:sz w:val="28"/>
        </w:rPr>
        <w:t>Y.,</w:t>
      </w:r>
      <w:r>
        <w:rPr>
          <w:spacing w:val="30"/>
          <w:sz w:val="28"/>
        </w:rPr>
        <w:t> </w:t>
      </w:r>
      <w:r>
        <w:rPr>
          <w:sz w:val="28"/>
        </w:rPr>
        <w:t>Li</w:t>
      </w:r>
      <w:r>
        <w:rPr>
          <w:spacing w:val="29"/>
          <w:sz w:val="28"/>
        </w:rPr>
        <w:t> </w:t>
      </w:r>
      <w:r>
        <w:rPr>
          <w:sz w:val="28"/>
        </w:rPr>
        <w:t>J.,</w:t>
      </w:r>
      <w:r>
        <w:rPr>
          <w:spacing w:val="29"/>
          <w:sz w:val="28"/>
        </w:rPr>
        <w:t> </w:t>
      </w:r>
      <w:r>
        <w:rPr>
          <w:sz w:val="28"/>
        </w:rPr>
        <w:t>Dong</w:t>
      </w:r>
      <w:r>
        <w:rPr>
          <w:spacing w:val="29"/>
          <w:sz w:val="28"/>
        </w:rPr>
        <w:t> </w:t>
      </w:r>
      <w:r>
        <w:rPr>
          <w:sz w:val="28"/>
        </w:rPr>
        <w:t>Z.,</w:t>
      </w:r>
      <w:r>
        <w:rPr>
          <w:spacing w:val="29"/>
          <w:sz w:val="28"/>
        </w:rPr>
        <w:t> </w:t>
      </w:r>
      <w:r>
        <w:rPr>
          <w:sz w:val="28"/>
        </w:rPr>
        <w:t>Xie</w:t>
      </w:r>
      <w:r>
        <w:rPr>
          <w:spacing w:val="30"/>
          <w:sz w:val="28"/>
        </w:rPr>
        <w:t> </w:t>
      </w:r>
      <w:r>
        <w:rPr>
          <w:sz w:val="28"/>
        </w:rPr>
        <w:t>X.</w:t>
      </w:r>
      <w:r>
        <w:rPr>
          <w:spacing w:val="27"/>
          <w:sz w:val="28"/>
        </w:rPr>
        <w:t> </w:t>
      </w:r>
      <w:r>
        <w:rPr>
          <w:spacing w:val="-10"/>
          <w:sz w:val="28"/>
        </w:rPr>
        <w:t>A</w:t>
      </w:r>
    </w:p>
    <w:p>
      <w:pPr>
        <w:pStyle w:val="BodyText"/>
        <w:spacing w:line="256" w:lineRule="auto" w:before="14"/>
        <w:ind w:left="142" w:right="421"/>
      </w:pPr>
      <w:r>
        <w:rPr/>
        <w:t>novel homozygous FBXO43 mutation associated with male infertility and teratozoospermia</w:t>
      </w:r>
      <w:r>
        <w:rPr>
          <w:spacing w:val="-1"/>
        </w:rPr>
        <w:t> </w:t>
      </w:r>
      <w:r>
        <w:rPr/>
        <w:t>in</w:t>
      </w:r>
      <w:r>
        <w:rPr>
          <w:spacing w:val="-3"/>
        </w:rPr>
        <w:t> </w:t>
      </w:r>
      <w:r>
        <w:rPr/>
        <w:t>a</w:t>
      </w:r>
      <w:r>
        <w:rPr>
          <w:spacing w:val="-4"/>
        </w:rPr>
        <w:t> </w:t>
      </w:r>
      <w:r>
        <w:rPr/>
        <w:t>consanguineous Chinese</w:t>
      </w:r>
      <w:r>
        <w:rPr>
          <w:spacing w:val="-1"/>
        </w:rPr>
        <w:t> </w:t>
      </w:r>
      <w:r>
        <w:rPr/>
        <w:t>family</w:t>
      </w:r>
      <w:r>
        <w:rPr>
          <w:spacing w:val="-3"/>
        </w:rPr>
        <w:t> </w:t>
      </w:r>
      <w:r>
        <w:rPr/>
        <w:t>// Fertility and</w:t>
      </w:r>
      <w:r>
        <w:rPr>
          <w:spacing w:val="-3"/>
        </w:rPr>
        <w:t> </w:t>
      </w:r>
      <w:r>
        <w:rPr/>
        <w:t>Sterility.</w:t>
      </w:r>
      <w:r>
        <w:rPr>
          <w:spacing w:val="-2"/>
        </w:rPr>
        <w:t> </w:t>
      </w:r>
      <w:r>
        <w:rPr/>
        <w:t>–</w:t>
      </w:r>
      <w:r>
        <w:rPr>
          <w:spacing w:val="-1"/>
        </w:rPr>
        <w:t> </w:t>
      </w:r>
      <w:r>
        <w:rPr/>
        <w:t>2019.</w:t>
      </w:r>
      <w:r>
        <w:rPr>
          <w:spacing w:val="-2"/>
        </w:rPr>
        <w:t> </w:t>
      </w:r>
      <w:r>
        <w:rPr/>
        <w:t>–</w:t>
      </w:r>
      <w:r>
        <w:rPr>
          <w:spacing w:val="-3"/>
        </w:rPr>
        <w:t> </w:t>
      </w:r>
      <w:r>
        <w:rPr/>
        <w:t>Т. 111 (5). – С. 909-917.</w:t>
      </w:r>
    </w:p>
    <w:p>
      <w:pPr>
        <w:pStyle w:val="BodyText"/>
        <w:spacing w:after="0" w:line="256" w:lineRule="auto"/>
        <w:sectPr>
          <w:pgSz w:w="11910" w:h="16840"/>
          <w:pgMar w:header="0" w:footer="990" w:top="340" w:bottom="1200" w:left="708" w:right="425"/>
        </w:sectPr>
      </w:pPr>
    </w:p>
    <w:p>
      <w:pPr>
        <w:pStyle w:val="ListParagraph"/>
        <w:numPr>
          <w:ilvl w:val="0"/>
          <w:numId w:val="13"/>
        </w:numPr>
        <w:tabs>
          <w:tab w:pos="1452" w:val="left" w:leader="none"/>
        </w:tabs>
        <w:spacing w:line="256" w:lineRule="auto" w:before="69" w:after="0"/>
        <w:ind w:left="143" w:right="418" w:firstLine="708"/>
        <w:jc w:val="both"/>
        <w:rPr>
          <w:sz w:val="28"/>
        </w:rPr>
      </w:pPr>
      <w:r>
        <w:rPr>
          <w:sz w:val="28"/>
        </w:rPr>
        <w:t>Зорова Л. Д. и др. Функциональная значимость митохондриального мембранного потенциала //Биологические мембраны. – 2017. – Т. 34. – №. 6. – С. 93-</w:t>
      </w:r>
      <w:r>
        <w:rPr>
          <w:spacing w:val="-4"/>
          <w:sz w:val="28"/>
        </w:rPr>
        <w:t>100.</w:t>
      </w:r>
    </w:p>
    <w:p>
      <w:pPr>
        <w:pStyle w:val="ListParagraph"/>
        <w:numPr>
          <w:ilvl w:val="0"/>
          <w:numId w:val="13"/>
        </w:numPr>
        <w:tabs>
          <w:tab w:pos="1545" w:val="left" w:leader="none"/>
        </w:tabs>
        <w:spacing w:line="256" w:lineRule="auto" w:before="0" w:after="0"/>
        <w:ind w:left="144" w:right="422" w:firstLine="707"/>
        <w:jc w:val="both"/>
        <w:rPr>
          <w:sz w:val="28"/>
        </w:rPr>
      </w:pPr>
      <w:r>
        <w:rPr>
          <w:sz w:val="28"/>
        </w:rPr>
        <w:t>Федеральный закон от 12.04.2010 г. №</w:t>
      </w:r>
      <w:r>
        <w:rPr>
          <w:spacing w:val="-15"/>
          <w:sz w:val="28"/>
        </w:rPr>
        <w:t> </w:t>
      </w:r>
      <w:r>
        <w:rPr>
          <w:sz w:val="28"/>
        </w:rPr>
        <w:t>61-ФЗ «Об обращении лекарственных средств». "Российская газета"- Федеральный выпуск №</w:t>
      </w:r>
      <w:r>
        <w:rPr>
          <w:spacing w:val="-16"/>
          <w:sz w:val="28"/>
        </w:rPr>
        <w:t> </w:t>
      </w:r>
      <w:r>
        <w:rPr>
          <w:sz w:val="28"/>
        </w:rPr>
        <w:t>5157 (14 апреля 2010).</w:t>
      </w:r>
    </w:p>
    <w:p>
      <w:pPr>
        <w:pStyle w:val="ListParagraph"/>
        <w:numPr>
          <w:ilvl w:val="0"/>
          <w:numId w:val="13"/>
        </w:numPr>
        <w:tabs>
          <w:tab w:pos="1363" w:val="left" w:leader="none"/>
        </w:tabs>
        <w:spacing w:line="256" w:lineRule="auto" w:before="0" w:after="0"/>
        <w:ind w:left="144" w:right="421" w:firstLine="707"/>
        <w:jc w:val="both"/>
        <w:rPr>
          <w:sz w:val="28"/>
        </w:rPr>
      </w:pPr>
      <w:r>
        <w:rPr>
          <w:sz w:val="28"/>
        </w:rPr>
        <w:t>Правила проведения качественных клинических испытаний в Российской Федерации. ОСТ 42-511-99 (УТВ. МИНЗДРАВОМРФ 29.12.1998)</w:t>
      </w:r>
    </w:p>
    <w:p>
      <w:pPr>
        <w:pStyle w:val="ListParagraph"/>
        <w:numPr>
          <w:ilvl w:val="0"/>
          <w:numId w:val="13"/>
        </w:numPr>
        <w:tabs>
          <w:tab w:pos="1362" w:val="left" w:leader="none"/>
        </w:tabs>
        <w:spacing w:line="256" w:lineRule="auto" w:before="0" w:after="0"/>
        <w:ind w:left="144" w:right="423" w:firstLine="708"/>
        <w:jc w:val="both"/>
        <w:rPr>
          <w:sz w:val="28"/>
        </w:rPr>
      </w:pPr>
      <w:r>
        <w:rPr>
          <w:sz w:val="28"/>
        </w:rPr>
        <w:t>Foskett J. Ben Goldacre, Bad Pharma: How Drug Companies Mislead Doctors and Harm Patients. – London: Fourth Estate, 2012 – 448 с.</w:t>
      </w:r>
    </w:p>
    <w:p>
      <w:pPr>
        <w:pStyle w:val="ListParagraph"/>
        <w:numPr>
          <w:ilvl w:val="0"/>
          <w:numId w:val="13"/>
        </w:numPr>
        <w:tabs>
          <w:tab w:pos="1426" w:val="left" w:leader="none"/>
        </w:tabs>
        <w:spacing w:line="256" w:lineRule="auto" w:before="0" w:after="0"/>
        <w:ind w:left="144" w:right="419" w:firstLine="708"/>
        <w:jc w:val="both"/>
        <w:rPr>
          <w:sz w:val="28"/>
        </w:rPr>
      </w:pPr>
      <w:r>
        <w:rPr>
          <w:sz w:val="28"/>
        </w:rPr>
        <w:t>Yoshii T. et al. Fine resolution of human sperm nucleoproteins by two-dimensional</w:t>
      </w:r>
      <w:r>
        <w:rPr>
          <w:spacing w:val="-1"/>
          <w:sz w:val="28"/>
        </w:rPr>
        <w:t> </w:t>
      </w:r>
      <w:r>
        <w:rPr>
          <w:sz w:val="28"/>
        </w:rPr>
        <w:t>electrophoresis</w:t>
      </w:r>
      <w:r>
        <w:rPr>
          <w:spacing w:val="-3"/>
          <w:sz w:val="28"/>
        </w:rPr>
        <w:t> </w:t>
      </w:r>
      <w:r>
        <w:rPr>
          <w:sz w:val="28"/>
        </w:rPr>
        <w:t>//Molecular</w:t>
      </w:r>
      <w:r>
        <w:rPr>
          <w:spacing w:val="-2"/>
          <w:sz w:val="28"/>
        </w:rPr>
        <w:t> </w:t>
      </w:r>
      <w:r>
        <w:rPr>
          <w:sz w:val="28"/>
        </w:rPr>
        <w:t>human</w:t>
      </w:r>
      <w:r>
        <w:rPr>
          <w:spacing w:val="-1"/>
          <w:sz w:val="28"/>
        </w:rPr>
        <w:t> </w:t>
      </w:r>
      <w:r>
        <w:rPr>
          <w:sz w:val="28"/>
        </w:rPr>
        <w:t>reproduction.</w:t>
      </w:r>
      <w:r>
        <w:rPr>
          <w:spacing w:val="-2"/>
          <w:sz w:val="28"/>
        </w:rPr>
        <w:t> </w:t>
      </w:r>
      <w:r>
        <w:rPr>
          <w:sz w:val="28"/>
        </w:rPr>
        <w:t>–</w:t>
      </w:r>
      <w:r>
        <w:rPr>
          <w:spacing w:val="-1"/>
          <w:sz w:val="28"/>
        </w:rPr>
        <w:t> </w:t>
      </w:r>
      <w:r>
        <w:rPr>
          <w:sz w:val="28"/>
        </w:rPr>
        <w:t>2005.</w:t>
      </w:r>
      <w:r>
        <w:rPr>
          <w:spacing w:val="-2"/>
          <w:sz w:val="28"/>
        </w:rPr>
        <w:t> </w:t>
      </w:r>
      <w:r>
        <w:rPr>
          <w:sz w:val="28"/>
        </w:rPr>
        <w:t>–</w:t>
      </w:r>
      <w:r>
        <w:rPr>
          <w:spacing w:val="-3"/>
          <w:sz w:val="28"/>
        </w:rPr>
        <w:t> </w:t>
      </w:r>
      <w:r>
        <w:rPr>
          <w:sz w:val="28"/>
        </w:rPr>
        <w:t>Т.</w:t>
      </w:r>
      <w:r>
        <w:rPr>
          <w:spacing w:val="-2"/>
          <w:sz w:val="28"/>
        </w:rPr>
        <w:t> </w:t>
      </w:r>
      <w:r>
        <w:rPr>
          <w:sz w:val="28"/>
        </w:rPr>
        <w:t>11.</w:t>
      </w:r>
      <w:r>
        <w:rPr>
          <w:spacing w:val="-5"/>
          <w:sz w:val="28"/>
        </w:rPr>
        <w:t> </w:t>
      </w:r>
      <w:r>
        <w:rPr>
          <w:sz w:val="28"/>
        </w:rPr>
        <w:t>–</w:t>
      </w:r>
      <w:r>
        <w:rPr>
          <w:spacing w:val="-1"/>
          <w:sz w:val="28"/>
        </w:rPr>
        <w:t> </w:t>
      </w:r>
      <w:r>
        <w:rPr>
          <w:sz w:val="28"/>
        </w:rPr>
        <w:t>№.</w:t>
      </w:r>
      <w:r>
        <w:rPr>
          <w:spacing w:val="-2"/>
          <w:sz w:val="28"/>
        </w:rPr>
        <w:t> </w:t>
      </w:r>
      <w:r>
        <w:rPr>
          <w:sz w:val="28"/>
        </w:rPr>
        <w:t>9.</w:t>
      </w:r>
      <w:r>
        <w:rPr>
          <w:spacing w:val="-2"/>
          <w:sz w:val="28"/>
        </w:rPr>
        <w:t> </w:t>
      </w:r>
      <w:r>
        <w:rPr>
          <w:sz w:val="28"/>
        </w:rPr>
        <w:t>–</w:t>
      </w:r>
      <w:r>
        <w:rPr>
          <w:spacing w:val="-1"/>
          <w:sz w:val="28"/>
        </w:rPr>
        <w:t> </w:t>
      </w:r>
      <w:r>
        <w:rPr>
          <w:sz w:val="28"/>
        </w:rPr>
        <w:t>С. </w:t>
      </w:r>
      <w:r>
        <w:rPr>
          <w:spacing w:val="-2"/>
          <w:sz w:val="28"/>
        </w:rPr>
        <w:t>677-681.</w:t>
      </w:r>
    </w:p>
    <w:p>
      <w:pPr>
        <w:pStyle w:val="ListParagraph"/>
        <w:numPr>
          <w:ilvl w:val="0"/>
          <w:numId w:val="13"/>
        </w:numPr>
        <w:tabs>
          <w:tab w:pos="1371" w:val="left" w:leader="none"/>
        </w:tabs>
        <w:spacing w:line="256" w:lineRule="auto" w:before="0" w:after="0"/>
        <w:ind w:left="144" w:right="421" w:firstLine="708"/>
        <w:jc w:val="both"/>
        <w:rPr>
          <w:sz w:val="28"/>
        </w:rPr>
      </w:pPr>
      <w:r>
        <w:rPr>
          <w:sz w:val="28"/>
        </w:rPr>
        <w:t>Carre-Eusebe D. et al. Processing of the precursor of protamine P2 in mouse. Peptide</w:t>
      </w:r>
      <w:r>
        <w:rPr>
          <w:spacing w:val="-1"/>
          <w:sz w:val="28"/>
        </w:rPr>
        <w:t> </w:t>
      </w:r>
      <w:r>
        <w:rPr>
          <w:sz w:val="28"/>
        </w:rPr>
        <w:t>mapping and</w:t>
      </w:r>
      <w:r>
        <w:rPr>
          <w:spacing w:val="-3"/>
          <w:sz w:val="28"/>
        </w:rPr>
        <w:t> </w:t>
      </w:r>
      <w:r>
        <w:rPr>
          <w:sz w:val="28"/>
        </w:rPr>
        <w:t>N-terminal</w:t>
      </w:r>
      <w:r>
        <w:rPr>
          <w:spacing w:val="-3"/>
          <w:sz w:val="28"/>
        </w:rPr>
        <w:t> </w:t>
      </w:r>
      <w:r>
        <w:rPr>
          <w:sz w:val="28"/>
        </w:rPr>
        <w:t>sequence</w:t>
      </w:r>
      <w:r>
        <w:rPr>
          <w:spacing w:val="-4"/>
          <w:sz w:val="28"/>
        </w:rPr>
        <w:t> </w:t>
      </w:r>
      <w:r>
        <w:rPr>
          <w:sz w:val="28"/>
        </w:rPr>
        <w:t>analysis</w:t>
      </w:r>
      <w:r>
        <w:rPr>
          <w:spacing w:val="-3"/>
          <w:sz w:val="28"/>
        </w:rPr>
        <w:t> </w:t>
      </w:r>
      <w:r>
        <w:rPr>
          <w:sz w:val="28"/>
        </w:rPr>
        <w:t>of</w:t>
      </w:r>
      <w:r>
        <w:rPr>
          <w:spacing w:val="-1"/>
          <w:sz w:val="28"/>
        </w:rPr>
        <w:t> </w:t>
      </w:r>
      <w:r>
        <w:rPr>
          <w:sz w:val="28"/>
        </w:rPr>
        <w:t>intermediates //Biochemical</w:t>
      </w:r>
      <w:r>
        <w:rPr>
          <w:spacing w:val="-3"/>
          <w:sz w:val="28"/>
        </w:rPr>
        <w:t> </w:t>
      </w:r>
      <w:r>
        <w:rPr>
          <w:sz w:val="28"/>
        </w:rPr>
        <w:t>journal. – 1991. – Т. 277. – №. 1. – С. 39-45.</w:t>
      </w:r>
    </w:p>
    <w:p>
      <w:pPr>
        <w:pStyle w:val="ListParagraph"/>
        <w:spacing w:after="0" w:line="256" w:lineRule="auto"/>
        <w:jc w:val="both"/>
        <w:rPr>
          <w:sz w:val="28"/>
        </w:rPr>
        <w:sectPr>
          <w:pgSz w:w="11910" w:h="16840"/>
          <w:pgMar w:header="0" w:footer="990" w:top="340" w:bottom="1200" w:left="708" w:right="425"/>
        </w:sectPr>
      </w:pPr>
    </w:p>
    <w:p>
      <w:pPr>
        <w:pStyle w:val="Heading1"/>
        <w:ind w:left="71" w:right="348"/>
      </w:pPr>
      <w:r>
        <w:rPr/>
        <w:t>ПРИЛОЖЕНИЕ</w:t>
      </w:r>
      <w:r>
        <w:rPr>
          <w:spacing w:val="-11"/>
        </w:rPr>
        <w:t> </w:t>
      </w:r>
      <w:r>
        <w:rPr>
          <w:spacing w:val="-10"/>
        </w:rPr>
        <w:t>А</w:t>
      </w:r>
    </w:p>
    <w:p>
      <w:pPr>
        <w:spacing w:before="319"/>
        <w:ind w:left="1021" w:right="1301" w:firstLine="0"/>
        <w:jc w:val="center"/>
        <w:rPr>
          <w:b/>
          <w:sz w:val="22"/>
        </w:rPr>
      </w:pPr>
      <w:r>
        <w:rPr>
          <w:b/>
          <w:sz w:val="22"/>
        </w:rPr>
        <w:t>БЛАНК</w:t>
      </w:r>
      <w:r>
        <w:rPr>
          <w:b/>
          <w:spacing w:val="-14"/>
          <w:sz w:val="22"/>
        </w:rPr>
        <w:t> </w:t>
      </w:r>
      <w:r>
        <w:rPr>
          <w:b/>
          <w:sz w:val="22"/>
        </w:rPr>
        <w:t>ЭЛЕКТРОННО-МИКРОСКОПИЧЕСКОГО</w:t>
      </w:r>
      <w:r>
        <w:rPr>
          <w:b/>
          <w:spacing w:val="-14"/>
          <w:sz w:val="22"/>
        </w:rPr>
        <w:t> </w:t>
      </w:r>
      <w:r>
        <w:rPr>
          <w:b/>
          <w:sz w:val="22"/>
        </w:rPr>
        <w:t>ИССЛЕДОВАНИЯ </w:t>
      </w:r>
      <w:r>
        <w:rPr>
          <w:b/>
          <w:spacing w:val="-2"/>
          <w:sz w:val="22"/>
        </w:rPr>
        <w:t>ЭЯКУЛЯТА</w:t>
      </w:r>
    </w:p>
    <w:p>
      <w:pPr>
        <w:tabs>
          <w:tab w:pos="3748" w:val="left" w:leader="none"/>
        </w:tabs>
        <w:spacing w:before="1"/>
        <w:ind w:left="0" w:right="281" w:firstLine="0"/>
        <w:jc w:val="center"/>
        <w:rPr>
          <w:b/>
          <w:sz w:val="22"/>
        </w:rPr>
      </w:pPr>
      <w:r>
        <w:rPr>
          <w:b/>
          <w:sz w:val="22"/>
        </w:rPr>
        <w:t>Ф.И.О.</w:t>
      </w:r>
      <w:r>
        <w:rPr>
          <w:b/>
          <w:spacing w:val="-6"/>
          <w:sz w:val="22"/>
        </w:rPr>
        <w:t> </w:t>
      </w:r>
      <w:r>
        <w:rPr>
          <w:b/>
          <w:sz w:val="22"/>
        </w:rPr>
        <w:t>Сериков</w:t>
      </w:r>
      <w:r>
        <w:rPr>
          <w:b/>
          <w:spacing w:val="-4"/>
          <w:sz w:val="22"/>
        </w:rPr>
        <w:t> С.С.</w:t>
      </w:r>
      <w:r>
        <w:rPr>
          <w:b/>
          <w:sz w:val="22"/>
        </w:rPr>
        <w:tab/>
        <w:t>возраст</w:t>
      </w:r>
      <w:r>
        <w:rPr>
          <w:b/>
          <w:spacing w:val="-9"/>
          <w:sz w:val="22"/>
        </w:rPr>
        <w:t> </w:t>
      </w:r>
      <w:r>
        <w:rPr>
          <w:b/>
          <w:sz w:val="22"/>
        </w:rPr>
        <w:t>1998</w:t>
      </w:r>
      <w:r>
        <w:rPr>
          <w:b/>
          <w:spacing w:val="-5"/>
          <w:sz w:val="22"/>
        </w:rPr>
        <w:t> </w:t>
      </w:r>
      <w:r>
        <w:rPr>
          <w:b/>
          <w:spacing w:val="-10"/>
          <w:sz w:val="22"/>
        </w:rPr>
        <w:t>г</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2"/>
        <w:gridCol w:w="801"/>
        <w:gridCol w:w="451"/>
        <w:gridCol w:w="480"/>
        <w:gridCol w:w="821"/>
        <w:gridCol w:w="372"/>
        <w:gridCol w:w="336"/>
        <w:gridCol w:w="569"/>
        <w:gridCol w:w="355"/>
        <w:gridCol w:w="547"/>
        <w:gridCol w:w="89"/>
        <w:gridCol w:w="84"/>
        <w:gridCol w:w="180"/>
        <w:gridCol w:w="96"/>
        <w:gridCol w:w="240"/>
        <w:gridCol w:w="2234"/>
      </w:tblGrid>
      <w:tr>
        <w:trPr>
          <w:trHeight w:val="254" w:hRule="atLeast"/>
        </w:trPr>
        <w:tc>
          <w:tcPr>
            <w:tcW w:w="2942" w:type="dxa"/>
          </w:tcPr>
          <w:p>
            <w:pPr>
              <w:pStyle w:val="TableParagraph"/>
              <w:spacing w:line="234" w:lineRule="exact"/>
              <w:ind w:left="362"/>
              <w:rPr>
                <w:b/>
                <w:sz w:val="22"/>
              </w:rPr>
            </w:pPr>
            <w:r>
              <w:rPr>
                <w:b/>
                <w:sz w:val="22"/>
              </w:rPr>
              <w:t>Статус</w:t>
            </w:r>
            <w:r>
              <w:rPr>
                <w:b/>
                <w:spacing w:val="-5"/>
                <w:sz w:val="22"/>
              </w:rPr>
              <w:t> </w:t>
            </w:r>
            <w:r>
              <w:rPr>
                <w:b/>
                <w:spacing w:val="-2"/>
                <w:sz w:val="22"/>
              </w:rPr>
              <w:t>сперматозоида</w:t>
            </w:r>
          </w:p>
        </w:tc>
        <w:tc>
          <w:tcPr>
            <w:tcW w:w="2553" w:type="dxa"/>
            <w:gridSpan w:val="4"/>
          </w:tcPr>
          <w:p>
            <w:pPr>
              <w:pStyle w:val="TableParagraph"/>
              <w:spacing w:line="234" w:lineRule="exact"/>
              <w:ind w:left="108"/>
              <w:rPr>
                <w:sz w:val="22"/>
              </w:rPr>
            </w:pPr>
            <w:r>
              <w:rPr>
                <w:sz w:val="22"/>
              </w:rPr>
              <w:t>Отдельный</w:t>
            </w:r>
            <w:r>
              <w:rPr>
                <w:spacing w:val="-6"/>
                <w:sz w:val="22"/>
              </w:rPr>
              <w:t> </w:t>
            </w:r>
            <w:r>
              <w:rPr>
                <w:spacing w:val="-2"/>
                <w:sz w:val="22"/>
              </w:rPr>
              <w:t>108/110</w:t>
            </w:r>
          </w:p>
        </w:tc>
        <w:tc>
          <w:tcPr>
            <w:tcW w:w="2268" w:type="dxa"/>
            <w:gridSpan w:val="6"/>
          </w:tcPr>
          <w:p>
            <w:pPr>
              <w:pStyle w:val="TableParagraph"/>
              <w:spacing w:line="234" w:lineRule="exact"/>
              <w:ind w:left="106"/>
              <w:rPr>
                <w:sz w:val="22"/>
              </w:rPr>
            </w:pPr>
            <w:r>
              <w:rPr>
                <w:sz w:val="22"/>
              </w:rPr>
              <w:t>Сдвоенный</w:t>
            </w:r>
            <w:r>
              <w:rPr>
                <w:spacing w:val="-6"/>
                <w:sz w:val="22"/>
              </w:rPr>
              <w:t> </w:t>
            </w:r>
            <w:r>
              <w:rPr>
                <w:spacing w:val="-10"/>
                <w:sz w:val="22"/>
              </w:rPr>
              <w:t>-</w:t>
            </w:r>
          </w:p>
        </w:tc>
        <w:tc>
          <w:tcPr>
            <w:tcW w:w="2834" w:type="dxa"/>
            <w:gridSpan w:val="5"/>
          </w:tcPr>
          <w:p>
            <w:pPr>
              <w:pStyle w:val="TableParagraph"/>
              <w:spacing w:line="234" w:lineRule="exact"/>
              <w:ind w:left="106"/>
              <w:rPr>
                <w:sz w:val="22"/>
              </w:rPr>
            </w:pPr>
            <w:r>
              <w:rPr>
                <w:sz w:val="22"/>
              </w:rPr>
              <w:t>Множественный</w:t>
            </w:r>
            <w:r>
              <w:rPr>
                <w:spacing w:val="-9"/>
                <w:sz w:val="22"/>
              </w:rPr>
              <w:t> </w:t>
            </w:r>
            <w:r>
              <w:rPr>
                <w:spacing w:val="-4"/>
                <w:sz w:val="22"/>
              </w:rPr>
              <w:t>2/110</w:t>
            </w:r>
          </w:p>
        </w:tc>
      </w:tr>
      <w:tr>
        <w:trPr>
          <w:trHeight w:val="757" w:hRule="atLeast"/>
        </w:trPr>
        <w:tc>
          <w:tcPr>
            <w:tcW w:w="2942" w:type="dxa"/>
            <w:vMerge w:val="restart"/>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49"/>
              <w:rPr>
                <w:b/>
                <w:sz w:val="22"/>
              </w:rPr>
            </w:pPr>
          </w:p>
          <w:p>
            <w:pPr>
              <w:pStyle w:val="TableParagraph"/>
              <w:ind w:left="976"/>
              <w:rPr>
                <w:b/>
                <w:sz w:val="22"/>
              </w:rPr>
            </w:pPr>
            <w:r>
              <w:rPr>
                <w:b/>
                <w:spacing w:val="-2"/>
                <w:sz w:val="22"/>
              </w:rPr>
              <w:t>Акросома</w:t>
            </w:r>
          </w:p>
        </w:tc>
        <w:tc>
          <w:tcPr>
            <w:tcW w:w="2553" w:type="dxa"/>
            <w:gridSpan w:val="4"/>
            <w:vMerge w:val="restart"/>
          </w:tcPr>
          <w:p>
            <w:pPr>
              <w:pStyle w:val="TableParagraph"/>
              <w:spacing w:line="251" w:lineRule="exact"/>
              <w:ind w:left="108"/>
              <w:rPr>
                <w:sz w:val="22"/>
              </w:rPr>
            </w:pPr>
            <w:r>
              <w:rPr>
                <w:i/>
                <w:sz w:val="22"/>
              </w:rPr>
              <w:t>Присутствует</w:t>
            </w:r>
            <w:r>
              <w:rPr>
                <w:i/>
                <w:spacing w:val="43"/>
                <w:sz w:val="22"/>
              </w:rPr>
              <w:t> </w:t>
            </w:r>
            <w:r>
              <w:rPr>
                <w:spacing w:val="-2"/>
                <w:sz w:val="22"/>
              </w:rPr>
              <w:t>83/110</w:t>
            </w:r>
          </w:p>
        </w:tc>
        <w:tc>
          <w:tcPr>
            <w:tcW w:w="2268" w:type="dxa"/>
            <w:gridSpan w:val="6"/>
          </w:tcPr>
          <w:p>
            <w:pPr>
              <w:pStyle w:val="TableParagraph"/>
              <w:ind w:left="106" w:right="141"/>
              <w:rPr>
                <w:sz w:val="22"/>
              </w:rPr>
            </w:pPr>
            <w:r>
              <w:rPr>
                <w:spacing w:val="-2"/>
                <w:sz w:val="22"/>
              </w:rPr>
              <w:t>Нормальное </w:t>
            </w:r>
            <w:r>
              <w:rPr>
                <w:sz w:val="22"/>
              </w:rPr>
              <w:t>положение</w:t>
            </w:r>
            <w:r>
              <w:rPr>
                <w:spacing w:val="-14"/>
                <w:sz w:val="22"/>
              </w:rPr>
              <w:t> </w:t>
            </w:r>
            <w:r>
              <w:rPr>
                <w:sz w:val="22"/>
              </w:rPr>
              <w:t>акросомы</w:t>
            </w:r>
          </w:p>
          <w:p>
            <w:pPr>
              <w:pStyle w:val="TableParagraph"/>
              <w:spacing w:line="233" w:lineRule="exact"/>
              <w:ind w:left="106"/>
              <w:rPr>
                <w:sz w:val="22"/>
              </w:rPr>
            </w:pPr>
            <w:r>
              <w:rPr>
                <w:spacing w:val="-2"/>
                <w:sz w:val="22"/>
              </w:rPr>
              <w:t>46/83</w:t>
            </w:r>
          </w:p>
        </w:tc>
        <w:tc>
          <w:tcPr>
            <w:tcW w:w="2834" w:type="dxa"/>
            <w:gridSpan w:val="5"/>
          </w:tcPr>
          <w:p>
            <w:pPr>
              <w:pStyle w:val="TableParagraph"/>
              <w:ind w:left="106" w:right="508"/>
              <w:rPr>
                <w:sz w:val="22"/>
              </w:rPr>
            </w:pPr>
            <w:r>
              <w:rPr>
                <w:sz w:val="22"/>
              </w:rPr>
              <w:t>Акросома</w:t>
            </w:r>
            <w:r>
              <w:rPr>
                <w:spacing w:val="-14"/>
                <w:sz w:val="22"/>
              </w:rPr>
              <w:t> </w:t>
            </w:r>
            <w:r>
              <w:rPr>
                <w:sz w:val="22"/>
              </w:rPr>
              <w:t>расположена далеко от ядра</w:t>
            </w:r>
            <w:r>
              <w:rPr>
                <w:spacing w:val="40"/>
                <w:sz w:val="22"/>
              </w:rPr>
              <w:t> </w:t>
            </w:r>
            <w:r>
              <w:rPr>
                <w:sz w:val="22"/>
              </w:rPr>
              <w:t>37/83</w:t>
            </w:r>
          </w:p>
        </w:tc>
      </w:tr>
      <w:tr>
        <w:trPr>
          <w:trHeight w:val="757" w:hRule="atLeast"/>
        </w:trPr>
        <w:tc>
          <w:tcPr>
            <w:tcW w:w="2942" w:type="dxa"/>
            <w:vMerge/>
            <w:tcBorders>
              <w:top w:val="nil"/>
            </w:tcBorders>
          </w:tcPr>
          <w:p>
            <w:pPr>
              <w:rPr>
                <w:sz w:val="2"/>
                <w:szCs w:val="2"/>
              </w:rPr>
            </w:pPr>
          </w:p>
        </w:tc>
        <w:tc>
          <w:tcPr>
            <w:tcW w:w="2553" w:type="dxa"/>
            <w:gridSpan w:val="4"/>
            <w:vMerge/>
            <w:tcBorders>
              <w:top w:val="nil"/>
            </w:tcBorders>
          </w:tcPr>
          <w:p>
            <w:pPr>
              <w:rPr>
                <w:sz w:val="2"/>
                <w:szCs w:val="2"/>
              </w:rPr>
            </w:pPr>
          </w:p>
        </w:tc>
        <w:tc>
          <w:tcPr>
            <w:tcW w:w="2268" w:type="dxa"/>
            <w:gridSpan w:val="6"/>
          </w:tcPr>
          <w:p>
            <w:pPr>
              <w:pStyle w:val="TableParagraph"/>
              <w:spacing w:line="251" w:lineRule="exact"/>
              <w:ind w:left="106"/>
              <w:rPr>
                <w:sz w:val="22"/>
              </w:rPr>
            </w:pPr>
            <w:r>
              <w:rPr>
                <w:spacing w:val="-2"/>
                <w:sz w:val="22"/>
              </w:rPr>
              <w:t>Постакросомная</w:t>
            </w:r>
          </w:p>
          <w:p>
            <w:pPr>
              <w:pStyle w:val="TableParagraph"/>
              <w:spacing w:line="252" w:lineRule="exact"/>
              <w:ind w:left="106" w:right="339"/>
              <w:rPr>
                <w:sz w:val="22"/>
              </w:rPr>
            </w:pPr>
            <w:r>
              <w:rPr>
                <w:spacing w:val="-2"/>
                <w:sz w:val="22"/>
              </w:rPr>
              <w:t>пластина </w:t>
            </w:r>
            <w:r>
              <w:rPr>
                <w:sz w:val="22"/>
              </w:rPr>
              <w:t>присутствует</w:t>
            </w:r>
            <w:r>
              <w:rPr>
                <w:spacing w:val="-14"/>
                <w:sz w:val="22"/>
              </w:rPr>
              <w:t> </w:t>
            </w:r>
            <w:r>
              <w:rPr>
                <w:sz w:val="22"/>
              </w:rPr>
              <w:t>78/83</w:t>
            </w:r>
          </w:p>
        </w:tc>
        <w:tc>
          <w:tcPr>
            <w:tcW w:w="2834" w:type="dxa"/>
            <w:gridSpan w:val="5"/>
          </w:tcPr>
          <w:p>
            <w:pPr>
              <w:pStyle w:val="TableParagraph"/>
              <w:ind w:left="106" w:right="254"/>
              <w:rPr>
                <w:sz w:val="22"/>
              </w:rPr>
            </w:pPr>
            <w:r>
              <w:rPr>
                <w:sz w:val="22"/>
              </w:rPr>
              <w:t>Постакросомная</w:t>
            </w:r>
            <w:r>
              <w:rPr>
                <w:spacing w:val="-14"/>
                <w:sz w:val="22"/>
              </w:rPr>
              <w:t> </w:t>
            </w:r>
            <w:r>
              <w:rPr>
                <w:sz w:val="22"/>
              </w:rPr>
              <w:t>пластина отсутствует 5/83</w:t>
            </w:r>
          </w:p>
        </w:tc>
      </w:tr>
      <w:tr>
        <w:trPr>
          <w:trHeight w:val="506" w:hRule="atLeast"/>
        </w:trPr>
        <w:tc>
          <w:tcPr>
            <w:tcW w:w="2942" w:type="dxa"/>
            <w:vMerge/>
            <w:tcBorders>
              <w:top w:val="nil"/>
            </w:tcBorders>
          </w:tcPr>
          <w:p>
            <w:pPr>
              <w:rPr>
                <w:sz w:val="2"/>
                <w:szCs w:val="2"/>
              </w:rPr>
            </w:pPr>
          </w:p>
        </w:tc>
        <w:tc>
          <w:tcPr>
            <w:tcW w:w="2553" w:type="dxa"/>
            <w:gridSpan w:val="4"/>
            <w:vMerge/>
            <w:tcBorders>
              <w:top w:val="nil"/>
            </w:tcBorders>
          </w:tcPr>
          <w:p>
            <w:pPr>
              <w:rPr>
                <w:sz w:val="2"/>
                <w:szCs w:val="2"/>
              </w:rPr>
            </w:pPr>
          </w:p>
        </w:tc>
        <w:tc>
          <w:tcPr>
            <w:tcW w:w="2268" w:type="dxa"/>
            <w:gridSpan w:val="6"/>
          </w:tcPr>
          <w:p>
            <w:pPr>
              <w:pStyle w:val="TableParagraph"/>
              <w:spacing w:line="252" w:lineRule="exact" w:before="1"/>
              <w:ind w:left="106"/>
              <w:rPr>
                <w:sz w:val="22"/>
              </w:rPr>
            </w:pPr>
            <w:r>
              <w:rPr>
                <w:sz w:val="22"/>
              </w:rPr>
              <w:t>Нормальный</w:t>
            </w:r>
            <w:r>
              <w:rPr>
                <w:spacing w:val="-8"/>
                <w:sz w:val="22"/>
              </w:rPr>
              <w:t> </w:t>
            </w:r>
            <w:r>
              <w:rPr>
                <w:spacing w:val="-2"/>
                <w:sz w:val="22"/>
              </w:rPr>
              <w:t>размер</w:t>
            </w:r>
          </w:p>
          <w:p>
            <w:pPr>
              <w:pStyle w:val="TableParagraph"/>
              <w:spacing w:line="233" w:lineRule="exact"/>
              <w:ind w:left="106"/>
              <w:rPr>
                <w:sz w:val="22"/>
              </w:rPr>
            </w:pPr>
            <w:r>
              <w:rPr>
                <w:spacing w:val="-2"/>
                <w:sz w:val="22"/>
              </w:rPr>
              <w:t>25/83</w:t>
            </w:r>
          </w:p>
        </w:tc>
        <w:tc>
          <w:tcPr>
            <w:tcW w:w="2834" w:type="dxa"/>
            <w:gridSpan w:val="5"/>
          </w:tcPr>
          <w:p>
            <w:pPr>
              <w:pStyle w:val="TableParagraph"/>
              <w:spacing w:line="252" w:lineRule="exact" w:before="1"/>
              <w:ind w:left="106"/>
              <w:rPr>
                <w:sz w:val="22"/>
              </w:rPr>
            </w:pPr>
            <w:r>
              <w:rPr>
                <w:sz w:val="22"/>
              </w:rPr>
              <w:t>Уменьшенный</w:t>
            </w:r>
            <w:r>
              <w:rPr>
                <w:spacing w:val="-8"/>
                <w:sz w:val="22"/>
              </w:rPr>
              <w:t> </w:t>
            </w:r>
            <w:r>
              <w:rPr>
                <w:spacing w:val="-2"/>
                <w:sz w:val="22"/>
              </w:rPr>
              <w:t>размер</w:t>
            </w:r>
          </w:p>
          <w:p>
            <w:pPr>
              <w:pStyle w:val="TableParagraph"/>
              <w:spacing w:line="233" w:lineRule="exact"/>
              <w:ind w:left="106"/>
              <w:rPr>
                <w:sz w:val="22"/>
              </w:rPr>
            </w:pPr>
            <w:r>
              <w:rPr>
                <w:spacing w:val="-2"/>
                <w:sz w:val="22"/>
              </w:rPr>
              <w:t>58/83</w:t>
            </w:r>
          </w:p>
        </w:tc>
      </w:tr>
      <w:tr>
        <w:trPr>
          <w:trHeight w:val="506" w:hRule="atLeast"/>
        </w:trPr>
        <w:tc>
          <w:tcPr>
            <w:tcW w:w="2942" w:type="dxa"/>
            <w:vMerge/>
            <w:tcBorders>
              <w:top w:val="nil"/>
            </w:tcBorders>
          </w:tcPr>
          <w:p>
            <w:pPr>
              <w:rPr>
                <w:sz w:val="2"/>
                <w:szCs w:val="2"/>
              </w:rPr>
            </w:pPr>
          </w:p>
        </w:tc>
        <w:tc>
          <w:tcPr>
            <w:tcW w:w="2553" w:type="dxa"/>
            <w:gridSpan w:val="4"/>
            <w:vMerge/>
            <w:tcBorders>
              <w:top w:val="nil"/>
            </w:tcBorders>
          </w:tcPr>
          <w:p>
            <w:pPr>
              <w:rPr>
                <w:sz w:val="2"/>
                <w:szCs w:val="2"/>
              </w:rPr>
            </w:pPr>
          </w:p>
        </w:tc>
        <w:tc>
          <w:tcPr>
            <w:tcW w:w="2268" w:type="dxa"/>
            <w:gridSpan w:val="6"/>
          </w:tcPr>
          <w:p>
            <w:pPr>
              <w:pStyle w:val="TableParagraph"/>
              <w:spacing w:line="252" w:lineRule="exact"/>
              <w:ind w:left="106" w:right="479"/>
              <w:rPr>
                <w:sz w:val="22"/>
              </w:rPr>
            </w:pPr>
            <w:r>
              <w:rPr>
                <w:spacing w:val="-2"/>
                <w:sz w:val="22"/>
              </w:rPr>
              <w:t>Компактное </w:t>
            </w:r>
            <w:r>
              <w:rPr>
                <w:sz w:val="22"/>
              </w:rPr>
              <w:t>содержание</w:t>
            </w:r>
            <w:r>
              <w:rPr>
                <w:spacing w:val="-14"/>
                <w:sz w:val="22"/>
              </w:rPr>
              <w:t> </w:t>
            </w:r>
            <w:r>
              <w:rPr>
                <w:sz w:val="22"/>
              </w:rPr>
              <w:t>77/83</w:t>
            </w:r>
          </w:p>
        </w:tc>
        <w:tc>
          <w:tcPr>
            <w:tcW w:w="2834" w:type="dxa"/>
            <w:gridSpan w:val="5"/>
          </w:tcPr>
          <w:p>
            <w:pPr>
              <w:pStyle w:val="TableParagraph"/>
              <w:spacing w:line="252" w:lineRule="exact" w:before="1"/>
              <w:ind w:left="106"/>
              <w:rPr>
                <w:sz w:val="22"/>
              </w:rPr>
            </w:pPr>
            <w:r>
              <w:rPr>
                <w:sz w:val="22"/>
              </w:rPr>
              <w:t>Некомпактное</w:t>
            </w:r>
            <w:r>
              <w:rPr>
                <w:spacing w:val="-9"/>
                <w:sz w:val="22"/>
              </w:rPr>
              <w:t> </w:t>
            </w:r>
            <w:r>
              <w:rPr>
                <w:spacing w:val="-2"/>
                <w:sz w:val="22"/>
              </w:rPr>
              <w:t>содержание</w:t>
            </w:r>
          </w:p>
          <w:p>
            <w:pPr>
              <w:pStyle w:val="TableParagraph"/>
              <w:spacing w:line="233" w:lineRule="exact"/>
              <w:ind w:left="106"/>
              <w:rPr>
                <w:sz w:val="22"/>
              </w:rPr>
            </w:pPr>
            <w:r>
              <w:rPr>
                <w:spacing w:val="-4"/>
                <w:sz w:val="22"/>
              </w:rPr>
              <w:t>6/83</w:t>
            </w:r>
          </w:p>
        </w:tc>
      </w:tr>
      <w:tr>
        <w:trPr>
          <w:trHeight w:val="253" w:hRule="atLeast"/>
        </w:trPr>
        <w:tc>
          <w:tcPr>
            <w:tcW w:w="2942" w:type="dxa"/>
            <w:vMerge/>
            <w:tcBorders>
              <w:top w:val="nil"/>
            </w:tcBorders>
          </w:tcPr>
          <w:p>
            <w:pPr>
              <w:rPr>
                <w:sz w:val="2"/>
                <w:szCs w:val="2"/>
              </w:rPr>
            </w:pPr>
          </w:p>
        </w:tc>
        <w:tc>
          <w:tcPr>
            <w:tcW w:w="7655" w:type="dxa"/>
            <w:gridSpan w:val="15"/>
          </w:tcPr>
          <w:p>
            <w:pPr>
              <w:pStyle w:val="TableParagraph"/>
              <w:spacing w:line="233" w:lineRule="exact" w:before="1"/>
              <w:ind w:left="108"/>
              <w:rPr>
                <w:sz w:val="22"/>
              </w:rPr>
            </w:pPr>
            <w:r>
              <w:rPr>
                <w:i/>
                <w:sz w:val="22"/>
              </w:rPr>
              <w:t>Отсутствует</w:t>
            </w:r>
            <w:r>
              <w:rPr>
                <w:i/>
                <w:spacing w:val="46"/>
                <w:sz w:val="22"/>
              </w:rPr>
              <w:t> </w:t>
            </w:r>
            <w:r>
              <w:rPr>
                <w:spacing w:val="-10"/>
                <w:sz w:val="22"/>
              </w:rPr>
              <w:t>-</w:t>
            </w:r>
          </w:p>
        </w:tc>
      </w:tr>
      <w:tr>
        <w:trPr>
          <w:trHeight w:val="254" w:hRule="atLeast"/>
        </w:trPr>
        <w:tc>
          <w:tcPr>
            <w:tcW w:w="2942" w:type="dxa"/>
            <w:vMerge/>
            <w:tcBorders>
              <w:top w:val="nil"/>
            </w:tcBorders>
          </w:tcPr>
          <w:p>
            <w:pPr>
              <w:rPr>
                <w:sz w:val="2"/>
                <w:szCs w:val="2"/>
              </w:rPr>
            </w:pPr>
          </w:p>
        </w:tc>
        <w:tc>
          <w:tcPr>
            <w:tcW w:w="7655" w:type="dxa"/>
            <w:gridSpan w:val="15"/>
          </w:tcPr>
          <w:p>
            <w:pPr>
              <w:pStyle w:val="TableParagraph"/>
              <w:spacing w:line="234" w:lineRule="exact"/>
              <w:ind w:left="108"/>
              <w:rPr>
                <w:sz w:val="22"/>
              </w:rPr>
            </w:pPr>
            <w:r>
              <w:rPr>
                <w:i/>
                <w:sz w:val="22"/>
              </w:rPr>
              <w:t>Среагировавшая</w:t>
            </w:r>
            <w:r>
              <w:rPr>
                <w:i/>
                <w:spacing w:val="45"/>
                <w:sz w:val="22"/>
              </w:rPr>
              <w:t> </w:t>
            </w:r>
            <w:r>
              <w:rPr>
                <w:spacing w:val="-2"/>
                <w:sz w:val="22"/>
              </w:rPr>
              <w:t>27/110</w:t>
            </w:r>
          </w:p>
        </w:tc>
      </w:tr>
      <w:tr>
        <w:trPr>
          <w:trHeight w:val="251" w:hRule="atLeast"/>
        </w:trPr>
        <w:tc>
          <w:tcPr>
            <w:tcW w:w="2942" w:type="dxa"/>
            <w:vMerge w:val="restart"/>
          </w:tcPr>
          <w:p>
            <w:pPr>
              <w:pStyle w:val="TableParagraph"/>
              <w:rPr>
                <w:b/>
                <w:sz w:val="22"/>
              </w:rPr>
            </w:pPr>
          </w:p>
          <w:p>
            <w:pPr>
              <w:pStyle w:val="TableParagraph"/>
              <w:spacing w:before="138"/>
              <w:rPr>
                <w:b/>
                <w:sz w:val="22"/>
              </w:rPr>
            </w:pPr>
          </w:p>
          <w:p>
            <w:pPr>
              <w:pStyle w:val="TableParagraph"/>
              <w:ind w:left="9"/>
              <w:jc w:val="center"/>
              <w:rPr>
                <w:b/>
                <w:sz w:val="22"/>
              </w:rPr>
            </w:pPr>
            <w:r>
              <w:rPr>
                <w:b/>
                <w:spacing w:val="-4"/>
                <w:sz w:val="22"/>
              </w:rPr>
              <w:t>Ядро</w:t>
            </w:r>
          </w:p>
        </w:tc>
        <w:tc>
          <w:tcPr>
            <w:tcW w:w="801" w:type="dxa"/>
            <w:vMerge w:val="restart"/>
          </w:tcPr>
          <w:p>
            <w:pPr>
              <w:pStyle w:val="TableParagraph"/>
              <w:ind w:left="350" w:right="72" w:hanging="216"/>
              <w:rPr>
                <w:sz w:val="22"/>
              </w:rPr>
            </w:pPr>
            <w:r>
              <w:rPr>
                <w:spacing w:val="-4"/>
                <w:sz w:val="22"/>
              </w:rPr>
              <w:t>Форм </w:t>
            </w:r>
            <w:r>
              <w:rPr>
                <w:spacing w:val="-10"/>
                <w:sz w:val="22"/>
              </w:rPr>
              <w:t>а</w:t>
            </w:r>
          </w:p>
        </w:tc>
        <w:tc>
          <w:tcPr>
            <w:tcW w:w="6854" w:type="dxa"/>
            <w:gridSpan w:val="14"/>
          </w:tcPr>
          <w:p>
            <w:pPr>
              <w:pStyle w:val="TableParagraph"/>
              <w:spacing w:line="232" w:lineRule="exact"/>
              <w:ind w:left="108"/>
              <w:rPr>
                <w:sz w:val="22"/>
              </w:rPr>
            </w:pPr>
            <w:r>
              <w:rPr>
                <w:i/>
                <w:sz w:val="22"/>
              </w:rPr>
              <w:t>Нормальная</w:t>
            </w:r>
            <w:r>
              <w:rPr>
                <w:i/>
                <w:spacing w:val="-6"/>
                <w:sz w:val="22"/>
              </w:rPr>
              <w:t> </w:t>
            </w:r>
            <w:r>
              <w:rPr>
                <w:i/>
                <w:sz w:val="22"/>
              </w:rPr>
              <w:t>форма</w:t>
            </w:r>
            <w:r>
              <w:rPr>
                <w:i/>
                <w:spacing w:val="-6"/>
                <w:sz w:val="22"/>
              </w:rPr>
              <w:t> </w:t>
            </w:r>
            <w:r>
              <w:rPr>
                <w:spacing w:val="-2"/>
                <w:sz w:val="22"/>
              </w:rPr>
              <w:t>19/110</w:t>
            </w:r>
          </w:p>
        </w:tc>
      </w:tr>
      <w:tr>
        <w:trPr>
          <w:trHeight w:val="506" w:hRule="atLeast"/>
        </w:trPr>
        <w:tc>
          <w:tcPr>
            <w:tcW w:w="2942" w:type="dxa"/>
            <w:vMerge/>
            <w:tcBorders>
              <w:top w:val="nil"/>
            </w:tcBorders>
          </w:tcPr>
          <w:p>
            <w:pPr>
              <w:rPr>
                <w:sz w:val="2"/>
                <w:szCs w:val="2"/>
              </w:rPr>
            </w:pPr>
          </w:p>
        </w:tc>
        <w:tc>
          <w:tcPr>
            <w:tcW w:w="801" w:type="dxa"/>
            <w:vMerge/>
            <w:tcBorders>
              <w:top w:val="nil"/>
            </w:tcBorders>
          </w:tcPr>
          <w:p>
            <w:pPr>
              <w:rPr>
                <w:sz w:val="2"/>
                <w:szCs w:val="2"/>
              </w:rPr>
            </w:pPr>
          </w:p>
        </w:tc>
        <w:tc>
          <w:tcPr>
            <w:tcW w:w="2460" w:type="dxa"/>
            <w:gridSpan w:val="5"/>
          </w:tcPr>
          <w:p>
            <w:pPr>
              <w:pStyle w:val="TableParagraph"/>
              <w:spacing w:line="251" w:lineRule="exact"/>
              <w:ind w:left="108"/>
              <w:rPr>
                <w:i/>
                <w:sz w:val="22"/>
              </w:rPr>
            </w:pPr>
            <w:r>
              <w:rPr>
                <w:i/>
                <w:sz w:val="22"/>
              </w:rPr>
              <w:t>Аномальная</w:t>
            </w:r>
            <w:r>
              <w:rPr>
                <w:i/>
                <w:spacing w:val="-8"/>
                <w:sz w:val="22"/>
              </w:rPr>
              <w:t> </w:t>
            </w:r>
            <w:r>
              <w:rPr>
                <w:i/>
                <w:spacing w:val="-4"/>
                <w:sz w:val="22"/>
              </w:rPr>
              <w:t>форма</w:t>
            </w:r>
          </w:p>
          <w:p>
            <w:pPr>
              <w:pStyle w:val="TableParagraph"/>
              <w:spacing w:line="233" w:lineRule="exact" w:before="1"/>
              <w:ind w:left="108"/>
              <w:rPr>
                <w:sz w:val="22"/>
              </w:rPr>
            </w:pPr>
            <w:r>
              <w:rPr>
                <w:spacing w:val="-2"/>
                <w:sz w:val="22"/>
              </w:rPr>
              <w:t>91/110</w:t>
            </w:r>
          </w:p>
        </w:tc>
        <w:tc>
          <w:tcPr>
            <w:tcW w:w="1824" w:type="dxa"/>
            <w:gridSpan w:val="6"/>
          </w:tcPr>
          <w:p>
            <w:pPr>
              <w:pStyle w:val="TableParagraph"/>
              <w:spacing w:line="254" w:lineRule="exact"/>
              <w:ind w:left="108" w:right="441"/>
              <w:rPr>
                <w:sz w:val="22"/>
              </w:rPr>
            </w:pPr>
            <w:r>
              <w:rPr>
                <w:spacing w:val="-2"/>
                <w:sz w:val="22"/>
              </w:rPr>
              <w:t>Сферическая </w:t>
            </w:r>
            <w:r>
              <w:rPr>
                <w:sz w:val="22"/>
              </w:rPr>
              <w:t>форма</w:t>
            </w:r>
            <w:r>
              <w:rPr>
                <w:spacing w:val="-2"/>
                <w:sz w:val="22"/>
              </w:rPr>
              <w:t> </w:t>
            </w:r>
            <w:r>
              <w:rPr>
                <w:sz w:val="22"/>
              </w:rPr>
              <w:t>ядра</w:t>
            </w:r>
            <w:r>
              <w:rPr>
                <w:spacing w:val="53"/>
                <w:sz w:val="22"/>
              </w:rPr>
              <w:t> </w:t>
            </w:r>
            <w:r>
              <w:rPr>
                <w:spacing w:val="-10"/>
                <w:sz w:val="22"/>
              </w:rPr>
              <w:t>-</w:t>
            </w:r>
          </w:p>
        </w:tc>
        <w:tc>
          <w:tcPr>
            <w:tcW w:w="2570" w:type="dxa"/>
            <w:gridSpan w:val="3"/>
          </w:tcPr>
          <w:p>
            <w:pPr>
              <w:pStyle w:val="TableParagraph"/>
              <w:spacing w:line="251" w:lineRule="exact"/>
              <w:ind w:left="108"/>
              <w:rPr>
                <w:sz w:val="22"/>
              </w:rPr>
            </w:pPr>
            <w:r>
              <w:rPr>
                <w:sz w:val="22"/>
              </w:rPr>
              <w:t>Аморфная</w:t>
            </w:r>
            <w:r>
              <w:rPr>
                <w:spacing w:val="-5"/>
                <w:sz w:val="22"/>
              </w:rPr>
              <w:t> </w:t>
            </w:r>
            <w:r>
              <w:rPr>
                <w:sz w:val="22"/>
              </w:rPr>
              <w:t>форма</w:t>
            </w:r>
            <w:r>
              <w:rPr>
                <w:spacing w:val="-3"/>
                <w:sz w:val="22"/>
              </w:rPr>
              <w:t> </w:t>
            </w:r>
            <w:r>
              <w:rPr>
                <w:spacing w:val="-4"/>
                <w:sz w:val="22"/>
              </w:rPr>
              <w:t>91/91</w:t>
            </w:r>
          </w:p>
        </w:tc>
      </w:tr>
      <w:tr>
        <w:trPr>
          <w:trHeight w:val="252" w:hRule="atLeast"/>
        </w:trPr>
        <w:tc>
          <w:tcPr>
            <w:tcW w:w="2942" w:type="dxa"/>
            <w:vMerge/>
            <w:tcBorders>
              <w:top w:val="nil"/>
            </w:tcBorders>
          </w:tcPr>
          <w:p>
            <w:pPr>
              <w:rPr>
                <w:sz w:val="2"/>
                <w:szCs w:val="2"/>
              </w:rPr>
            </w:pPr>
          </w:p>
        </w:tc>
        <w:tc>
          <w:tcPr>
            <w:tcW w:w="801" w:type="dxa"/>
            <w:vMerge w:val="restart"/>
          </w:tcPr>
          <w:p>
            <w:pPr>
              <w:pStyle w:val="TableParagraph"/>
              <w:spacing w:before="128"/>
              <w:ind w:left="185" w:right="127" w:hanging="44"/>
              <w:rPr>
                <w:sz w:val="22"/>
              </w:rPr>
            </w:pPr>
            <w:r>
              <w:rPr>
                <w:spacing w:val="-4"/>
                <w:sz w:val="22"/>
              </w:rPr>
              <w:t>Хром атин</w:t>
            </w:r>
          </w:p>
        </w:tc>
        <w:tc>
          <w:tcPr>
            <w:tcW w:w="6854" w:type="dxa"/>
            <w:gridSpan w:val="14"/>
          </w:tcPr>
          <w:p>
            <w:pPr>
              <w:pStyle w:val="TableParagraph"/>
              <w:spacing w:line="232" w:lineRule="exact"/>
              <w:ind w:left="108"/>
              <w:rPr>
                <w:sz w:val="22"/>
              </w:rPr>
            </w:pPr>
            <w:r>
              <w:rPr>
                <w:i/>
                <w:sz w:val="22"/>
              </w:rPr>
              <w:t>Неконденсированный</w:t>
            </w:r>
            <w:r>
              <w:rPr>
                <w:i/>
                <w:spacing w:val="-8"/>
                <w:sz w:val="22"/>
              </w:rPr>
              <w:t> </w:t>
            </w:r>
            <w:r>
              <w:rPr>
                <w:i/>
                <w:sz w:val="22"/>
              </w:rPr>
              <w:t>хроматин</w:t>
            </w:r>
            <w:r>
              <w:rPr>
                <w:i/>
                <w:spacing w:val="40"/>
                <w:sz w:val="22"/>
              </w:rPr>
              <w:t> </w:t>
            </w:r>
            <w:r>
              <w:rPr>
                <w:spacing w:val="-2"/>
                <w:sz w:val="22"/>
              </w:rPr>
              <w:t>27/110</w:t>
            </w:r>
          </w:p>
        </w:tc>
      </w:tr>
      <w:tr>
        <w:trPr>
          <w:trHeight w:val="505" w:hRule="atLeast"/>
        </w:trPr>
        <w:tc>
          <w:tcPr>
            <w:tcW w:w="2942" w:type="dxa"/>
            <w:vMerge/>
            <w:tcBorders>
              <w:top w:val="nil"/>
            </w:tcBorders>
          </w:tcPr>
          <w:p>
            <w:pPr>
              <w:rPr>
                <w:sz w:val="2"/>
                <w:szCs w:val="2"/>
              </w:rPr>
            </w:pPr>
          </w:p>
        </w:tc>
        <w:tc>
          <w:tcPr>
            <w:tcW w:w="801" w:type="dxa"/>
            <w:vMerge/>
            <w:tcBorders>
              <w:top w:val="nil"/>
            </w:tcBorders>
          </w:tcPr>
          <w:p>
            <w:pPr>
              <w:rPr>
                <w:sz w:val="2"/>
                <w:szCs w:val="2"/>
              </w:rPr>
            </w:pPr>
          </w:p>
        </w:tc>
        <w:tc>
          <w:tcPr>
            <w:tcW w:w="2460" w:type="dxa"/>
            <w:gridSpan w:val="5"/>
          </w:tcPr>
          <w:p>
            <w:pPr>
              <w:pStyle w:val="TableParagraph"/>
              <w:spacing w:line="251" w:lineRule="exact"/>
              <w:ind w:left="108"/>
              <w:rPr>
                <w:i/>
                <w:sz w:val="22"/>
              </w:rPr>
            </w:pPr>
            <w:r>
              <w:rPr>
                <w:i/>
                <w:sz w:val="22"/>
              </w:rPr>
              <w:t>Зрелый</w:t>
            </w:r>
            <w:r>
              <w:rPr>
                <w:i/>
                <w:spacing w:val="-4"/>
                <w:sz w:val="22"/>
              </w:rPr>
              <w:t> </w:t>
            </w:r>
            <w:r>
              <w:rPr>
                <w:i/>
                <w:spacing w:val="-2"/>
                <w:sz w:val="22"/>
              </w:rPr>
              <w:t>хроматин</w:t>
            </w:r>
          </w:p>
          <w:p>
            <w:pPr>
              <w:pStyle w:val="TableParagraph"/>
              <w:spacing w:line="235" w:lineRule="exact"/>
              <w:ind w:left="108"/>
              <w:rPr>
                <w:sz w:val="22"/>
              </w:rPr>
            </w:pPr>
            <w:r>
              <w:rPr>
                <w:spacing w:val="-2"/>
                <w:sz w:val="22"/>
              </w:rPr>
              <w:t>83/110</w:t>
            </w:r>
          </w:p>
        </w:tc>
        <w:tc>
          <w:tcPr>
            <w:tcW w:w="1920" w:type="dxa"/>
            <w:gridSpan w:val="7"/>
          </w:tcPr>
          <w:p>
            <w:pPr>
              <w:pStyle w:val="TableParagraph"/>
              <w:spacing w:line="252" w:lineRule="exact"/>
              <w:ind w:left="108" w:right="135"/>
              <w:rPr>
                <w:sz w:val="22"/>
              </w:rPr>
            </w:pPr>
            <w:r>
              <w:rPr>
                <w:spacing w:val="-2"/>
                <w:sz w:val="22"/>
              </w:rPr>
              <w:t>Вакуолизированн </w:t>
            </w:r>
            <w:r>
              <w:rPr>
                <w:sz w:val="22"/>
              </w:rPr>
              <w:t>ый 3/110</w:t>
            </w:r>
          </w:p>
        </w:tc>
        <w:tc>
          <w:tcPr>
            <w:tcW w:w="2474" w:type="dxa"/>
            <w:gridSpan w:val="2"/>
          </w:tcPr>
          <w:p>
            <w:pPr>
              <w:pStyle w:val="TableParagraph"/>
              <w:spacing w:line="251" w:lineRule="exact"/>
              <w:ind w:left="257"/>
              <w:rPr>
                <w:sz w:val="22"/>
              </w:rPr>
            </w:pPr>
            <w:r>
              <w:rPr>
                <w:sz w:val="22"/>
              </w:rPr>
              <w:t>Разрушенный</w:t>
            </w:r>
            <w:r>
              <w:rPr>
                <w:spacing w:val="-9"/>
                <w:sz w:val="22"/>
              </w:rPr>
              <w:t> </w:t>
            </w:r>
            <w:r>
              <w:rPr>
                <w:spacing w:val="-2"/>
                <w:sz w:val="22"/>
              </w:rPr>
              <w:t>12/110</w:t>
            </w:r>
          </w:p>
        </w:tc>
      </w:tr>
      <w:tr>
        <w:trPr>
          <w:trHeight w:val="251" w:hRule="atLeast"/>
        </w:trPr>
        <w:tc>
          <w:tcPr>
            <w:tcW w:w="2942" w:type="dxa"/>
          </w:tcPr>
          <w:p>
            <w:pPr>
              <w:pStyle w:val="TableParagraph"/>
              <w:spacing w:line="232" w:lineRule="exact"/>
              <w:ind w:left="460"/>
              <w:rPr>
                <w:b/>
                <w:sz w:val="22"/>
              </w:rPr>
            </w:pPr>
            <w:r>
              <w:rPr>
                <w:b/>
                <w:sz w:val="22"/>
              </w:rPr>
              <w:t>Интактные</w:t>
            </w:r>
            <w:r>
              <w:rPr>
                <w:b/>
                <w:spacing w:val="-9"/>
                <w:sz w:val="22"/>
              </w:rPr>
              <w:t> </w:t>
            </w:r>
            <w:r>
              <w:rPr>
                <w:b/>
                <w:spacing w:val="-2"/>
                <w:sz w:val="22"/>
              </w:rPr>
              <w:t>головки</w:t>
            </w:r>
          </w:p>
        </w:tc>
        <w:tc>
          <w:tcPr>
            <w:tcW w:w="7655" w:type="dxa"/>
            <w:gridSpan w:val="15"/>
          </w:tcPr>
          <w:p>
            <w:pPr>
              <w:pStyle w:val="TableParagraph"/>
              <w:spacing w:line="232" w:lineRule="exact"/>
              <w:ind w:left="11"/>
              <w:jc w:val="center"/>
              <w:rPr>
                <w:sz w:val="22"/>
              </w:rPr>
            </w:pPr>
            <w:r>
              <w:rPr>
                <w:spacing w:val="-4"/>
                <w:sz w:val="22"/>
              </w:rPr>
              <w:t>4/110</w:t>
            </w:r>
          </w:p>
        </w:tc>
      </w:tr>
      <w:tr>
        <w:trPr>
          <w:trHeight w:val="505" w:hRule="atLeast"/>
        </w:trPr>
        <w:tc>
          <w:tcPr>
            <w:tcW w:w="2942" w:type="dxa"/>
            <w:vMerge w:val="restart"/>
          </w:tcPr>
          <w:p>
            <w:pPr>
              <w:pStyle w:val="TableParagraph"/>
              <w:spacing w:before="130"/>
              <w:ind w:left="1163" w:hanging="759"/>
              <w:rPr>
                <w:b/>
                <w:sz w:val="22"/>
              </w:rPr>
            </w:pPr>
            <w:r>
              <w:rPr>
                <w:b/>
                <w:spacing w:val="-2"/>
                <w:sz w:val="22"/>
              </w:rPr>
              <w:t>Цитоплазматические капли</w:t>
            </w:r>
          </w:p>
        </w:tc>
        <w:tc>
          <w:tcPr>
            <w:tcW w:w="1732" w:type="dxa"/>
            <w:gridSpan w:val="3"/>
          </w:tcPr>
          <w:p>
            <w:pPr>
              <w:pStyle w:val="TableParagraph"/>
              <w:spacing w:line="251" w:lineRule="exact"/>
              <w:ind w:left="108"/>
              <w:rPr>
                <w:i/>
                <w:sz w:val="22"/>
              </w:rPr>
            </w:pPr>
            <w:r>
              <w:rPr>
                <w:i/>
                <w:spacing w:val="-2"/>
                <w:sz w:val="22"/>
              </w:rPr>
              <w:t>Присутствуют</w:t>
            </w:r>
          </w:p>
          <w:p>
            <w:pPr>
              <w:pStyle w:val="TableParagraph"/>
              <w:spacing w:line="233" w:lineRule="exact" w:before="1"/>
              <w:ind w:left="108"/>
              <w:rPr>
                <w:sz w:val="22"/>
              </w:rPr>
            </w:pPr>
            <w:r>
              <w:rPr>
                <w:spacing w:val="-2"/>
                <w:sz w:val="22"/>
              </w:rPr>
              <w:t>34/110</w:t>
            </w:r>
          </w:p>
        </w:tc>
        <w:tc>
          <w:tcPr>
            <w:tcW w:w="3000" w:type="dxa"/>
            <w:gridSpan w:val="6"/>
          </w:tcPr>
          <w:p>
            <w:pPr>
              <w:pStyle w:val="TableParagraph"/>
              <w:spacing w:line="251" w:lineRule="exact"/>
              <w:ind w:left="106"/>
              <w:rPr>
                <w:i/>
                <w:sz w:val="22"/>
              </w:rPr>
            </w:pPr>
            <w:r>
              <w:rPr>
                <w:i/>
                <w:sz w:val="22"/>
              </w:rPr>
              <w:t>На</w:t>
            </w:r>
            <w:r>
              <w:rPr>
                <w:i/>
                <w:spacing w:val="-4"/>
                <w:sz w:val="22"/>
              </w:rPr>
              <w:t> </w:t>
            </w:r>
            <w:r>
              <w:rPr>
                <w:i/>
                <w:sz w:val="22"/>
              </w:rPr>
              <w:t>головке</w:t>
            </w:r>
            <w:r>
              <w:rPr>
                <w:i/>
                <w:spacing w:val="50"/>
                <w:sz w:val="22"/>
              </w:rPr>
              <w:t> </w:t>
            </w:r>
            <w:r>
              <w:rPr>
                <w:i/>
                <w:spacing w:val="-4"/>
                <w:sz w:val="22"/>
              </w:rPr>
              <w:t>17/34</w:t>
            </w:r>
          </w:p>
        </w:tc>
        <w:tc>
          <w:tcPr>
            <w:tcW w:w="2923" w:type="dxa"/>
            <w:gridSpan w:val="6"/>
          </w:tcPr>
          <w:p>
            <w:pPr>
              <w:pStyle w:val="TableParagraph"/>
              <w:spacing w:line="251" w:lineRule="exact"/>
              <w:ind w:left="106"/>
              <w:rPr>
                <w:i/>
                <w:sz w:val="22"/>
              </w:rPr>
            </w:pPr>
            <w:r>
              <w:rPr>
                <w:i/>
                <w:sz w:val="22"/>
              </w:rPr>
              <w:t>На</w:t>
            </w:r>
            <w:r>
              <w:rPr>
                <w:i/>
                <w:spacing w:val="-2"/>
                <w:sz w:val="22"/>
              </w:rPr>
              <w:t> </w:t>
            </w:r>
            <w:r>
              <w:rPr>
                <w:i/>
                <w:sz w:val="22"/>
              </w:rPr>
              <w:t>средней</w:t>
            </w:r>
            <w:r>
              <w:rPr>
                <w:i/>
                <w:spacing w:val="51"/>
                <w:sz w:val="22"/>
              </w:rPr>
              <w:t> </w:t>
            </w:r>
            <w:r>
              <w:rPr>
                <w:i/>
                <w:spacing w:val="-4"/>
                <w:sz w:val="22"/>
              </w:rPr>
              <w:t>17/34</w:t>
            </w:r>
          </w:p>
        </w:tc>
      </w:tr>
      <w:tr>
        <w:trPr>
          <w:trHeight w:val="254" w:hRule="atLeast"/>
        </w:trPr>
        <w:tc>
          <w:tcPr>
            <w:tcW w:w="2942" w:type="dxa"/>
            <w:vMerge/>
            <w:tcBorders>
              <w:top w:val="nil"/>
            </w:tcBorders>
          </w:tcPr>
          <w:p>
            <w:pPr>
              <w:rPr>
                <w:sz w:val="2"/>
                <w:szCs w:val="2"/>
              </w:rPr>
            </w:pPr>
          </w:p>
        </w:tc>
        <w:tc>
          <w:tcPr>
            <w:tcW w:w="7655" w:type="dxa"/>
            <w:gridSpan w:val="15"/>
          </w:tcPr>
          <w:p>
            <w:pPr>
              <w:pStyle w:val="TableParagraph"/>
              <w:spacing w:line="234" w:lineRule="exact"/>
              <w:ind w:left="108"/>
              <w:rPr>
                <w:sz w:val="22"/>
              </w:rPr>
            </w:pPr>
            <w:r>
              <w:rPr>
                <w:i/>
                <w:sz w:val="22"/>
              </w:rPr>
              <w:t>Отсутствуют</w:t>
            </w:r>
            <w:r>
              <w:rPr>
                <w:i/>
                <w:spacing w:val="46"/>
                <w:sz w:val="22"/>
              </w:rPr>
              <w:t> </w:t>
            </w:r>
            <w:r>
              <w:rPr>
                <w:spacing w:val="-2"/>
                <w:sz w:val="22"/>
              </w:rPr>
              <w:t>76/110</w:t>
            </w:r>
          </w:p>
        </w:tc>
      </w:tr>
      <w:tr>
        <w:trPr>
          <w:trHeight w:val="251" w:hRule="atLeast"/>
        </w:trPr>
        <w:tc>
          <w:tcPr>
            <w:tcW w:w="2942" w:type="dxa"/>
            <w:vMerge w:val="restart"/>
          </w:tcPr>
          <w:p>
            <w:pPr>
              <w:pStyle w:val="TableParagraph"/>
              <w:spacing w:before="2"/>
              <w:rPr>
                <w:b/>
                <w:sz w:val="22"/>
              </w:rPr>
            </w:pPr>
          </w:p>
          <w:p>
            <w:pPr>
              <w:pStyle w:val="TableParagraph"/>
              <w:ind w:left="782"/>
              <w:rPr>
                <w:sz w:val="22"/>
              </w:rPr>
            </w:pPr>
            <w:r>
              <w:rPr>
                <w:b/>
                <w:spacing w:val="-2"/>
                <w:sz w:val="22"/>
              </w:rPr>
              <w:t>Митохондри</w:t>
            </w:r>
            <w:r>
              <w:rPr>
                <w:spacing w:val="-2"/>
                <w:sz w:val="22"/>
              </w:rPr>
              <w:t>и</w:t>
            </w:r>
          </w:p>
        </w:tc>
        <w:tc>
          <w:tcPr>
            <w:tcW w:w="1732" w:type="dxa"/>
            <w:gridSpan w:val="3"/>
          </w:tcPr>
          <w:p>
            <w:pPr>
              <w:pStyle w:val="TableParagraph"/>
              <w:spacing w:line="232" w:lineRule="exact"/>
              <w:ind w:left="108"/>
              <w:rPr>
                <w:sz w:val="22"/>
              </w:rPr>
            </w:pPr>
            <w:r>
              <w:rPr>
                <w:i/>
                <w:spacing w:val="-2"/>
                <w:sz w:val="22"/>
              </w:rPr>
              <w:t>Форма</w:t>
            </w:r>
            <w:r>
              <w:rPr>
                <w:spacing w:val="-2"/>
                <w:sz w:val="22"/>
              </w:rPr>
              <w:t>:</w:t>
            </w:r>
          </w:p>
        </w:tc>
        <w:tc>
          <w:tcPr>
            <w:tcW w:w="3089" w:type="dxa"/>
            <w:gridSpan w:val="7"/>
          </w:tcPr>
          <w:p>
            <w:pPr>
              <w:pStyle w:val="TableParagraph"/>
              <w:spacing w:line="232" w:lineRule="exact"/>
              <w:ind w:left="106"/>
              <w:rPr>
                <w:sz w:val="22"/>
              </w:rPr>
            </w:pPr>
            <w:r>
              <w:rPr>
                <w:sz w:val="22"/>
              </w:rPr>
              <w:t>Нормальная</w:t>
            </w:r>
            <w:r>
              <w:rPr>
                <w:spacing w:val="47"/>
                <w:sz w:val="22"/>
              </w:rPr>
              <w:t> </w:t>
            </w:r>
            <w:r>
              <w:rPr>
                <w:spacing w:val="-4"/>
                <w:sz w:val="22"/>
              </w:rPr>
              <w:t>33/33</w:t>
            </w:r>
          </w:p>
        </w:tc>
        <w:tc>
          <w:tcPr>
            <w:tcW w:w="2834" w:type="dxa"/>
            <w:gridSpan w:val="5"/>
          </w:tcPr>
          <w:p>
            <w:pPr>
              <w:pStyle w:val="TableParagraph"/>
              <w:spacing w:line="232" w:lineRule="exact"/>
              <w:ind w:left="106"/>
              <w:rPr>
                <w:sz w:val="22"/>
              </w:rPr>
            </w:pPr>
            <w:r>
              <w:rPr>
                <w:sz w:val="22"/>
              </w:rPr>
              <w:t>Раздутая</w:t>
            </w:r>
            <w:r>
              <w:rPr>
                <w:spacing w:val="51"/>
                <w:sz w:val="22"/>
              </w:rPr>
              <w:t> </w:t>
            </w:r>
            <w:r>
              <w:rPr>
                <w:spacing w:val="-10"/>
                <w:sz w:val="22"/>
              </w:rPr>
              <w:t>-</w:t>
            </w:r>
          </w:p>
        </w:tc>
      </w:tr>
      <w:tr>
        <w:trPr>
          <w:trHeight w:val="506" w:hRule="atLeast"/>
        </w:trPr>
        <w:tc>
          <w:tcPr>
            <w:tcW w:w="2942" w:type="dxa"/>
            <w:vMerge/>
            <w:tcBorders>
              <w:top w:val="nil"/>
            </w:tcBorders>
          </w:tcPr>
          <w:p>
            <w:pPr>
              <w:rPr>
                <w:sz w:val="2"/>
                <w:szCs w:val="2"/>
              </w:rPr>
            </w:pPr>
          </w:p>
        </w:tc>
        <w:tc>
          <w:tcPr>
            <w:tcW w:w="1732" w:type="dxa"/>
            <w:gridSpan w:val="3"/>
          </w:tcPr>
          <w:p>
            <w:pPr>
              <w:pStyle w:val="TableParagraph"/>
              <w:spacing w:line="254" w:lineRule="exact"/>
              <w:ind w:left="108"/>
              <w:rPr>
                <w:i/>
                <w:sz w:val="22"/>
              </w:rPr>
            </w:pPr>
            <w:r>
              <w:rPr>
                <w:i/>
                <w:spacing w:val="-2"/>
                <w:sz w:val="22"/>
              </w:rPr>
              <w:t>Спиралевидная укладка</w:t>
            </w:r>
          </w:p>
        </w:tc>
        <w:tc>
          <w:tcPr>
            <w:tcW w:w="3089" w:type="dxa"/>
            <w:gridSpan w:val="7"/>
          </w:tcPr>
          <w:p>
            <w:pPr>
              <w:pStyle w:val="TableParagraph"/>
              <w:spacing w:line="251" w:lineRule="exact"/>
              <w:ind w:left="106"/>
              <w:rPr>
                <w:sz w:val="22"/>
              </w:rPr>
            </w:pPr>
            <w:r>
              <w:rPr>
                <w:sz w:val="22"/>
              </w:rPr>
              <w:t>Нормальная</w:t>
            </w:r>
            <w:r>
              <w:rPr>
                <w:spacing w:val="47"/>
                <w:sz w:val="22"/>
              </w:rPr>
              <w:t> </w:t>
            </w:r>
            <w:r>
              <w:rPr>
                <w:spacing w:val="-4"/>
                <w:sz w:val="22"/>
              </w:rPr>
              <w:t>24/33</w:t>
            </w:r>
          </w:p>
        </w:tc>
        <w:tc>
          <w:tcPr>
            <w:tcW w:w="2834" w:type="dxa"/>
            <w:gridSpan w:val="5"/>
          </w:tcPr>
          <w:p>
            <w:pPr>
              <w:pStyle w:val="TableParagraph"/>
              <w:spacing w:line="251" w:lineRule="exact"/>
              <w:ind w:left="106"/>
              <w:rPr>
                <w:sz w:val="22"/>
              </w:rPr>
            </w:pPr>
            <w:r>
              <w:rPr>
                <w:sz w:val="22"/>
              </w:rPr>
              <w:t>Нерегулярная</w:t>
            </w:r>
            <w:r>
              <w:rPr>
                <w:spacing w:val="47"/>
                <w:sz w:val="22"/>
              </w:rPr>
              <w:t> </w:t>
            </w:r>
            <w:r>
              <w:rPr>
                <w:spacing w:val="-4"/>
                <w:sz w:val="22"/>
              </w:rPr>
              <w:t>9/33</w:t>
            </w:r>
          </w:p>
        </w:tc>
      </w:tr>
      <w:tr>
        <w:trPr>
          <w:trHeight w:val="252" w:hRule="atLeast"/>
        </w:trPr>
        <w:tc>
          <w:tcPr>
            <w:tcW w:w="2942" w:type="dxa"/>
            <w:vMerge w:val="restart"/>
          </w:tcPr>
          <w:p>
            <w:pPr>
              <w:pStyle w:val="TableParagraph"/>
              <w:rPr>
                <w:b/>
                <w:sz w:val="22"/>
              </w:rPr>
            </w:pPr>
          </w:p>
          <w:p>
            <w:pPr>
              <w:pStyle w:val="TableParagraph"/>
              <w:spacing w:before="138"/>
              <w:rPr>
                <w:b/>
                <w:sz w:val="22"/>
              </w:rPr>
            </w:pPr>
          </w:p>
          <w:p>
            <w:pPr>
              <w:pStyle w:val="TableParagraph"/>
              <w:ind w:left="981"/>
              <w:rPr>
                <w:b/>
                <w:sz w:val="22"/>
              </w:rPr>
            </w:pPr>
            <w:r>
              <w:rPr>
                <w:b/>
                <w:spacing w:val="-2"/>
                <w:sz w:val="22"/>
              </w:rPr>
              <w:t>Аксонема</w:t>
            </w:r>
          </w:p>
        </w:tc>
        <w:tc>
          <w:tcPr>
            <w:tcW w:w="1252" w:type="dxa"/>
            <w:gridSpan w:val="2"/>
            <w:vMerge w:val="restart"/>
          </w:tcPr>
          <w:p>
            <w:pPr>
              <w:pStyle w:val="TableParagraph"/>
              <w:spacing w:before="129"/>
              <w:rPr>
                <w:b/>
                <w:sz w:val="22"/>
              </w:rPr>
            </w:pPr>
          </w:p>
          <w:p>
            <w:pPr>
              <w:pStyle w:val="TableParagraph"/>
              <w:ind w:left="108"/>
              <w:rPr>
                <w:i/>
                <w:sz w:val="22"/>
              </w:rPr>
            </w:pPr>
            <w:r>
              <w:rPr>
                <w:i/>
                <w:spacing w:val="-2"/>
                <w:sz w:val="22"/>
              </w:rPr>
              <w:t>Строение:</w:t>
            </w:r>
          </w:p>
        </w:tc>
        <w:tc>
          <w:tcPr>
            <w:tcW w:w="6403" w:type="dxa"/>
            <w:gridSpan w:val="13"/>
          </w:tcPr>
          <w:p>
            <w:pPr>
              <w:pStyle w:val="TableParagraph"/>
              <w:spacing w:line="232" w:lineRule="exact"/>
              <w:ind w:left="106"/>
              <w:rPr>
                <w:sz w:val="22"/>
              </w:rPr>
            </w:pPr>
            <w:r>
              <w:rPr>
                <w:sz w:val="22"/>
              </w:rPr>
              <w:t>Нормальное</w:t>
            </w:r>
            <w:r>
              <w:rPr>
                <w:spacing w:val="48"/>
                <w:sz w:val="22"/>
              </w:rPr>
              <w:t> </w:t>
            </w:r>
            <w:r>
              <w:rPr>
                <w:spacing w:val="-2"/>
                <w:sz w:val="22"/>
              </w:rPr>
              <w:t>107/130</w:t>
            </w:r>
          </w:p>
        </w:tc>
      </w:tr>
      <w:tr>
        <w:trPr>
          <w:trHeight w:val="757" w:hRule="atLeast"/>
        </w:trPr>
        <w:tc>
          <w:tcPr>
            <w:tcW w:w="2942" w:type="dxa"/>
            <w:vMerge/>
            <w:tcBorders>
              <w:top w:val="nil"/>
            </w:tcBorders>
          </w:tcPr>
          <w:p>
            <w:pPr>
              <w:rPr>
                <w:sz w:val="2"/>
                <w:szCs w:val="2"/>
              </w:rPr>
            </w:pPr>
          </w:p>
        </w:tc>
        <w:tc>
          <w:tcPr>
            <w:tcW w:w="1252" w:type="dxa"/>
            <w:gridSpan w:val="2"/>
            <w:vMerge/>
            <w:tcBorders>
              <w:top w:val="nil"/>
            </w:tcBorders>
          </w:tcPr>
          <w:p>
            <w:pPr>
              <w:rPr>
                <w:sz w:val="2"/>
                <w:szCs w:val="2"/>
              </w:rPr>
            </w:pPr>
          </w:p>
        </w:tc>
        <w:tc>
          <w:tcPr>
            <w:tcW w:w="1673" w:type="dxa"/>
            <w:gridSpan w:val="3"/>
          </w:tcPr>
          <w:p>
            <w:pPr>
              <w:pStyle w:val="TableParagraph"/>
              <w:ind w:left="106" w:right="54"/>
              <w:rPr>
                <w:sz w:val="22"/>
              </w:rPr>
            </w:pPr>
            <w:r>
              <w:rPr>
                <w:spacing w:val="-2"/>
                <w:sz w:val="22"/>
              </w:rPr>
              <w:t>Дезорганизаци </w:t>
            </w:r>
            <w:r>
              <w:rPr>
                <w:spacing w:val="-6"/>
                <w:sz w:val="22"/>
              </w:rPr>
              <w:t>я:</w:t>
            </w:r>
          </w:p>
          <w:p>
            <w:pPr>
              <w:pStyle w:val="TableParagraph"/>
              <w:spacing w:line="233" w:lineRule="exact"/>
              <w:ind w:left="106"/>
              <w:rPr>
                <w:sz w:val="22"/>
              </w:rPr>
            </w:pPr>
            <w:r>
              <w:rPr>
                <w:spacing w:val="-4"/>
                <w:sz w:val="22"/>
              </w:rPr>
              <w:t>6/130</w:t>
            </w:r>
          </w:p>
        </w:tc>
        <w:tc>
          <w:tcPr>
            <w:tcW w:w="905" w:type="dxa"/>
            <w:gridSpan w:val="2"/>
          </w:tcPr>
          <w:p>
            <w:pPr>
              <w:pStyle w:val="TableParagraph"/>
              <w:spacing w:line="251" w:lineRule="exact"/>
              <w:ind w:left="108"/>
              <w:rPr>
                <w:sz w:val="22"/>
              </w:rPr>
            </w:pPr>
            <w:r>
              <w:rPr>
                <w:spacing w:val="-5"/>
                <w:sz w:val="22"/>
              </w:rPr>
              <w:t>9+0</w:t>
            </w:r>
          </w:p>
          <w:p>
            <w:pPr>
              <w:pStyle w:val="TableParagraph"/>
              <w:spacing w:line="252" w:lineRule="exact"/>
              <w:ind w:left="108"/>
              <w:rPr>
                <w:sz w:val="22"/>
              </w:rPr>
            </w:pPr>
            <w:r>
              <w:rPr>
                <w:sz w:val="22"/>
              </w:rPr>
              <w:t>-</w:t>
            </w:r>
          </w:p>
        </w:tc>
        <w:tc>
          <w:tcPr>
            <w:tcW w:w="1075" w:type="dxa"/>
            <w:gridSpan w:val="4"/>
          </w:tcPr>
          <w:p>
            <w:pPr>
              <w:pStyle w:val="TableParagraph"/>
              <w:spacing w:line="251" w:lineRule="exact"/>
              <w:ind w:left="103"/>
              <w:rPr>
                <w:sz w:val="22"/>
              </w:rPr>
            </w:pPr>
            <w:r>
              <w:rPr>
                <w:spacing w:val="-2"/>
                <w:sz w:val="22"/>
              </w:rPr>
              <w:t>Другое</w:t>
            </w:r>
          </w:p>
          <w:p>
            <w:pPr>
              <w:pStyle w:val="TableParagraph"/>
              <w:spacing w:line="252" w:lineRule="exact"/>
              <w:ind w:left="159"/>
              <w:rPr>
                <w:sz w:val="22"/>
              </w:rPr>
            </w:pPr>
            <w:r>
              <w:rPr>
                <w:spacing w:val="-2"/>
                <w:sz w:val="22"/>
              </w:rPr>
              <w:t>17/130</w:t>
            </w:r>
          </w:p>
        </w:tc>
        <w:tc>
          <w:tcPr>
            <w:tcW w:w="2750" w:type="dxa"/>
            <w:gridSpan w:val="4"/>
          </w:tcPr>
          <w:p>
            <w:pPr>
              <w:pStyle w:val="TableParagraph"/>
              <w:spacing w:line="251" w:lineRule="exact"/>
              <w:ind w:left="108"/>
              <w:rPr>
                <w:sz w:val="22"/>
              </w:rPr>
            </w:pPr>
            <w:r>
              <w:rPr>
                <w:spacing w:val="-2"/>
                <w:sz w:val="22"/>
              </w:rPr>
              <w:t>Двойной</w:t>
            </w:r>
          </w:p>
          <w:p>
            <w:pPr>
              <w:pStyle w:val="TableParagraph"/>
              <w:spacing w:line="252" w:lineRule="exact"/>
              <w:ind w:left="108"/>
              <w:rPr>
                <w:sz w:val="22"/>
              </w:rPr>
            </w:pPr>
            <w:r>
              <w:rPr>
                <w:spacing w:val="-4"/>
                <w:sz w:val="22"/>
              </w:rPr>
              <w:t>2/130</w:t>
            </w:r>
          </w:p>
        </w:tc>
      </w:tr>
      <w:tr>
        <w:trPr>
          <w:trHeight w:val="254" w:hRule="atLeast"/>
        </w:trPr>
        <w:tc>
          <w:tcPr>
            <w:tcW w:w="2942" w:type="dxa"/>
            <w:vMerge/>
            <w:tcBorders>
              <w:top w:val="nil"/>
            </w:tcBorders>
          </w:tcPr>
          <w:p>
            <w:pPr>
              <w:rPr>
                <w:sz w:val="2"/>
                <w:szCs w:val="2"/>
              </w:rPr>
            </w:pPr>
          </w:p>
        </w:tc>
        <w:tc>
          <w:tcPr>
            <w:tcW w:w="1252" w:type="dxa"/>
            <w:gridSpan w:val="2"/>
            <w:vMerge w:val="restart"/>
          </w:tcPr>
          <w:p>
            <w:pPr>
              <w:pStyle w:val="TableParagraph"/>
              <w:spacing w:before="130"/>
              <w:ind w:left="108"/>
              <w:rPr>
                <w:i/>
                <w:sz w:val="22"/>
              </w:rPr>
            </w:pPr>
            <w:r>
              <w:rPr>
                <w:i/>
                <w:spacing w:val="-2"/>
                <w:sz w:val="22"/>
              </w:rPr>
              <w:t>Ручки:</w:t>
            </w:r>
          </w:p>
        </w:tc>
        <w:tc>
          <w:tcPr>
            <w:tcW w:w="6403" w:type="dxa"/>
            <w:gridSpan w:val="13"/>
          </w:tcPr>
          <w:p>
            <w:pPr>
              <w:pStyle w:val="TableParagraph"/>
              <w:spacing w:line="234" w:lineRule="exact"/>
              <w:ind w:left="106"/>
              <w:rPr>
                <w:sz w:val="22"/>
              </w:rPr>
            </w:pPr>
            <w:r>
              <w:rPr>
                <w:sz w:val="22"/>
              </w:rPr>
              <w:t>Нормальные</w:t>
            </w:r>
            <w:r>
              <w:rPr>
                <w:spacing w:val="46"/>
                <w:sz w:val="22"/>
              </w:rPr>
              <w:t> </w:t>
            </w:r>
            <w:r>
              <w:rPr>
                <w:spacing w:val="-5"/>
                <w:sz w:val="22"/>
              </w:rPr>
              <w:t>1/1</w:t>
            </w:r>
          </w:p>
        </w:tc>
      </w:tr>
      <w:tr>
        <w:trPr>
          <w:trHeight w:val="251" w:hRule="atLeast"/>
        </w:trPr>
        <w:tc>
          <w:tcPr>
            <w:tcW w:w="2942" w:type="dxa"/>
            <w:vMerge/>
            <w:tcBorders>
              <w:top w:val="nil"/>
            </w:tcBorders>
          </w:tcPr>
          <w:p>
            <w:pPr>
              <w:rPr>
                <w:sz w:val="2"/>
                <w:szCs w:val="2"/>
              </w:rPr>
            </w:pPr>
          </w:p>
        </w:tc>
        <w:tc>
          <w:tcPr>
            <w:tcW w:w="1252" w:type="dxa"/>
            <w:gridSpan w:val="2"/>
            <w:vMerge/>
            <w:tcBorders>
              <w:top w:val="nil"/>
            </w:tcBorders>
          </w:tcPr>
          <w:p>
            <w:pPr>
              <w:rPr>
                <w:sz w:val="2"/>
                <w:szCs w:val="2"/>
              </w:rPr>
            </w:pPr>
          </w:p>
        </w:tc>
        <w:tc>
          <w:tcPr>
            <w:tcW w:w="6403" w:type="dxa"/>
            <w:gridSpan w:val="13"/>
          </w:tcPr>
          <w:p>
            <w:pPr>
              <w:pStyle w:val="TableParagraph"/>
              <w:spacing w:line="232" w:lineRule="exact"/>
              <w:ind w:left="106"/>
              <w:rPr>
                <w:sz w:val="22"/>
              </w:rPr>
            </w:pPr>
            <w:r>
              <w:rPr>
                <w:sz w:val="22"/>
              </w:rPr>
              <w:t>Утеряны</w:t>
            </w:r>
            <w:r>
              <w:rPr>
                <w:spacing w:val="51"/>
                <w:sz w:val="22"/>
              </w:rPr>
              <w:t> </w:t>
            </w:r>
            <w:r>
              <w:rPr>
                <w:spacing w:val="-10"/>
                <w:sz w:val="22"/>
              </w:rPr>
              <w:t>-</w:t>
            </w:r>
          </w:p>
        </w:tc>
      </w:tr>
      <w:tr>
        <w:trPr>
          <w:trHeight w:val="254" w:hRule="atLeast"/>
        </w:trPr>
        <w:tc>
          <w:tcPr>
            <w:tcW w:w="2942" w:type="dxa"/>
            <w:vMerge w:val="restart"/>
          </w:tcPr>
          <w:p>
            <w:pPr>
              <w:pStyle w:val="TableParagraph"/>
              <w:spacing w:line="252" w:lineRule="exact"/>
              <w:ind w:left="943" w:right="462" w:hanging="468"/>
              <w:rPr>
                <w:b/>
                <w:sz w:val="22"/>
              </w:rPr>
            </w:pPr>
            <w:r>
              <w:rPr>
                <w:b/>
                <w:sz w:val="22"/>
              </w:rPr>
              <w:t>Наружные</w:t>
            </w:r>
            <w:r>
              <w:rPr>
                <w:b/>
                <w:spacing w:val="-14"/>
                <w:sz w:val="22"/>
              </w:rPr>
              <w:t> </w:t>
            </w:r>
            <w:r>
              <w:rPr>
                <w:b/>
                <w:sz w:val="22"/>
              </w:rPr>
              <w:t>плотные </w:t>
            </w:r>
            <w:r>
              <w:rPr>
                <w:b/>
                <w:spacing w:val="-2"/>
                <w:sz w:val="22"/>
              </w:rPr>
              <w:t>фибриллы</w:t>
            </w:r>
          </w:p>
        </w:tc>
        <w:tc>
          <w:tcPr>
            <w:tcW w:w="7655" w:type="dxa"/>
            <w:gridSpan w:val="15"/>
          </w:tcPr>
          <w:p>
            <w:pPr>
              <w:pStyle w:val="TableParagraph"/>
              <w:spacing w:line="233" w:lineRule="exact" w:before="1"/>
              <w:ind w:left="108"/>
              <w:rPr>
                <w:sz w:val="22"/>
              </w:rPr>
            </w:pPr>
            <w:r>
              <w:rPr>
                <w:i/>
                <w:sz w:val="22"/>
              </w:rPr>
              <w:t>Нормальные</w:t>
            </w:r>
            <w:r>
              <w:rPr>
                <w:i/>
                <w:spacing w:val="-9"/>
                <w:sz w:val="22"/>
              </w:rPr>
              <w:t> </w:t>
            </w:r>
            <w:r>
              <w:rPr>
                <w:spacing w:val="-2"/>
                <w:sz w:val="22"/>
              </w:rPr>
              <w:t>36/38</w:t>
            </w:r>
          </w:p>
        </w:tc>
      </w:tr>
      <w:tr>
        <w:trPr>
          <w:trHeight w:val="253" w:hRule="atLeast"/>
        </w:trPr>
        <w:tc>
          <w:tcPr>
            <w:tcW w:w="2942" w:type="dxa"/>
            <w:vMerge/>
            <w:tcBorders>
              <w:top w:val="nil"/>
            </w:tcBorders>
          </w:tcPr>
          <w:p>
            <w:pPr>
              <w:rPr>
                <w:sz w:val="2"/>
                <w:szCs w:val="2"/>
              </w:rPr>
            </w:pPr>
          </w:p>
        </w:tc>
        <w:tc>
          <w:tcPr>
            <w:tcW w:w="1732" w:type="dxa"/>
            <w:gridSpan w:val="3"/>
          </w:tcPr>
          <w:p>
            <w:pPr>
              <w:pStyle w:val="TableParagraph"/>
              <w:spacing w:line="234" w:lineRule="exact"/>
              <w:ind w:left="108"/>
              <w:rPr>
                <w:i/>
                <w:sz w:val="22"/>
              </w:rPr>
            </w:pPr>
            <w:r>
              <w:rPr>
                <w:i/>
                <w:spacing w:val="-2"/>
                <w:sz w:val="22"/>
              </w:rPr>
              <w:t>Аномальные:</w:t>
            </w:r>
          </w:p>
        </w:tc>
        <w:tc>
          <w:tcPr>
            <w:tcW w:w="2098" w:type="dxa"/>
            <w:gridSpan w:val="4"/>
          </w:tcPr>
          <w:p>
            <w:pPr>
              <w:pStyle w:val="TableParagraph"/>
              <w:spacing w:line="234" w:lineRule="exact"/>
              <w:ind w:left="106"/>
              <w:rPr>
                <w:sz w:val="22"/>
              </w:rPr>
            </w:pPr>
            <w:r>
              <w:rPr>
                <w:sz w:val="22"/>
              </w:rPr>
              <w:t>Сдвинуты</w:t>
            </w:r>
            <w:r>
              <w:rPr>
                <w:spacing w:val="47"/>
                <w:sz w:val="22"/>
              </w:rPr>
              <w:t> </w:t>
            </w:r>
            <w:r>
              <w:rPr>
                <w:spacing w:val="-4"/>
                <w:sz w:val="22"/>
              </w:rPr>
              <w:t>2/38</w:t>
            </w:r>
          </w:p>
        </w:tc>
        <w:tc>
          <w:tcPr>
            <w:tcW w:w="3825" w:type="dxa"/>
            <w:gridSpan w:val="8"/>
          </w:tcPr>
          <w:p>
            <w:pPr>
              <w:pStyle w:val="TableParagraph"/>
              <w:spacing w:line="234" w:lineRule="exact"/>
              <w:ind w:left="168"/>
              <w:rPr>
                <w:sz w:val="22"/>
              </w:rPr>
            </w:pPr>
            <w:r>
              <w:rPr>
                <w:sz w:val="22"/>
              </w:rPr>
              <w:t>Отсутствуют</w:t>
            </w:r>
            <w:r>
              <w:rPr>
                <w:spacing w:val="-6"/>
                <w:sz w:val="22"/>
              </w:rPr>
              <w:t> </w:t>
            </w:r>
            <w:r>
              <w:rPr>
                <w:sz w:val="22"/>
              </w:rPr>
              <w:t>или</w:t>
            </w:r>
            <w:r>
              <w:rPr>
                <w:spacing w:val="-5"/>
                <w:sz w:val="22"/>
              </w:rPr>
              <w:t> </w:t>
            </w:r>
            <w:r>
              <w:rPr>
                <w:sz w:val="22"/>
              </w:rPr>
              <w:t>разрушены</w:t>
            </w:r>
            <w:r>
              <w:rPr>
                <w:spacing w:val="47"/>
                <w:sz w:val="22"/>
              </w:rPr>
              <w:t> </w:t>
            </w:r>
            <w:r>
              <w:rPr>
                <w:spacing w:val="-10"/>
                <w:sz w:val="22"/>
              </w:rPr>
              <w:t>-</w:t>
            </w:r>
          </w:p>
        </w:tc>
      </w:tr>
      <w:tr>
        <w:trPr>
          <w:trHeight w:val="251" w:hRule="atLeast"/>
        </w:trPr>
        <w:tc>
          <w:tcPr>
            <w:tcW w:w="2942" w:type="dxa"/>
            <w:vMerge w:val="restart"/>
          </w:tcPr>
          <w:p>
            <w:pPr>
              <w:pStyle w:val="TableParagraph"/>
              <w:spacing w:before="129"/>
              <w:rPr>
                <w:b/>
                <w:sz w:val="22"/>
              </w:rPr>
            </w:pPr>
          </w:p>
          <w:p>
            <w:pPr>
              <w:pStyle w:val="TableParagraph"/>
              <w:ind w:left="429"/>
              <w:rPr>
                <w:b/>
                <w:sz w:val="22"/>
              </w:rPr>
            </w:pPr>
            <w:r>
              <w:rPr>
                <w:b/>
                <w:sz w:val="22"/>
              </w:rPr>
              <w:t>Фиброзная</w:t>
            </w:r>
            <w:r>
              <w:rPr>
                <w:b/>
                <w:spacing w:val="-7"/>
                <w:sz w:val="22"/>
              </w:rPr>
              <w:t> </w:t>
            </w:r>
            <w:r>
              <w:rPr>
                <w:b/>
                <w:spacing w:val="-2"/>
                <w:sz w:val="22"/>
              </w:rPr>
              <w:t>оболочка</w:t>
            </w:r>
          </w:p>
        </w:tc>
        <w:tc>
          <w:tcPr>
            <w:tcW w:w="7655" w:type="dxa"/>
            <w:gridSpan w:val="15"/>
          </w:tcPr>
          <w:p>
            <w:pPr>
              <w:pStyle w:val="TableParagraph"/>
              <w:spacing w:line="232" w:lineRule="exact"/>
              <w:ind w:left="108"/>
              <w:rPr>
                <w:sz w:val="22"/>
              </w:rPr>
            </w:pPr>
            <w:r>
              <w:rPr>
                <w:i/>
                <w:sz w:val="22"/>
              </w:rPr>
              <w:t>Нормальная</w:t>
            </w:r>
            <w:r>
              <w:rPr>
                <w:i/>
                <w:spacing w:val="48"/>
                <w:sz w:val="22"/>
              </w:rPr>
              <w:t> </w:t>
            </w:r>
            <w:r>
              <w:rPr>
                <w:spacing w:val="-2"/>
                <w:sz w:val="22"/>
              </w:rPr>
              <w:t>128/134</w:t>
            </w:r>
          </w:p>
        </w:tc>
      </w:tr>
      <w:tr>
        <w:trPr>
          <w:trHeight w:val="760" w:hRule="atLeast"/>
        </w:trPr>
        <w:tc>
          <w:tcPr>
            <w:tcW w:w="2942" w:type="dxa"/>
            <w:vMerge/>
            <w:tcBorders>
              <w:top w:val="nil"/>
            </w:tcBorders>
          </w:tcPr>
          <w:p>
            <w:pPr>
              <w:rPr>
                <w:sz w:val="2"/>
                <w:szCs w:val="2"/>
              </w:rPr>
            </w:pPr>
          </w:p>
        </w:tc>
        <w:tc>
          <w:tcPr>
            <w:tcW w:w="1732" w:type="dxa"/>
            <w:gridSpan w:val="3"/>
          </w:tcPr>
          <w:p>
            <w:pPr>
              <w:pStyle w:val="TableParagraph"/>
              <w:spacing w:line="251" w:lineRule="exact"/>
              <w:ind w:left="108"/>
              <w:rPr>
                <w:i/>
                <w:sz w:val="22"/>
              </w:rPr>
            </w:pPr>
            <w:r>
              <w:rPr>
                <w:i/>
                <w:spacing w:val="-2"/>
                <w:sz w:val="22"/>
              </w:rPr>
              <w:t>Плохо</w:t>
            </w:r>
          </w:p>
          <w:p>
            <w:pPr>
              <w:pStyle w:val="TableParagraph"/>
              <w:spacing w:line="252" w:lineRule="exact"/>
              <w:ind w:left="108" w:right="202"/>
              <w:rPr>
                <w:i/>
                <w:sz w:val="22"/>
              </w:rPr>
            </w:pPr>
            <w:r>
              <w:rPr>
                <w:i/>
                <w:spacing w:val="-2"/>
                <w:sz w:val="22"/>
              </w:rPr>
              <w:t>собранная </w:t>
            </w:r>
            <w:r>
              <w:rPr>
                <w:i/>
                <w:spacing w:val="-4"/>
                <w:sz w:val="22"/>
              </w:rPr>
              <w:t>6/134</w:t>
            </w:r>
          </w:p>
        </w:tc>
        <w:tc>
          <w:tcPr>
            <w:tcW w:w="2098" w:type="dxa"/>
            <w:gridSpan w:val="4"/>
          </w:tcPr>
          <w:p>
            <w:pPr>
              <w:pStyle w:val="TableParagraph"/>
              <w:spacing w:line="251" w:lineRule="exact"/>
              <w:ind w:left="106"/>
              <w:rPr>
                <w:sz w:val="22"/>
              </w:rPr>
            </w:pPr>
            <w:r>
              <w:rPr>
                <w:sz w:val="22"/>
              </w:rPr>
              <w:t>Недостаточная</w:t>
            </w:r>
            <w:r>
              <w:rPr>
                <w:spacing w:val="-7"/>
                <w:sz w:val="22"/>
              </w:rPr>
              <w:t> </w:t>
            </w:r>
            <w:r>
              <w:rPr>
                <w:spacing w:val="-10"/>
                <w:sz w:val="22"/>
              </w:rPr>
              <w:t>-</w:t>
            </w:r>
          </w:p>
        </w:tc>
        <w:tc>
          <w:tcPr>
            <w:tcW w:w="1591" w:type="dxa"/>
            <w:gridSpan w:val="7"/>
          </w:tcPr>
          <w:p>
            <w:pPr>
              <w:pStyle w:val="TableParagraph"/>
              <w:spacing w:line="251" w:lineRule="exact"/>
              <w:ind w:left="48"/>
              <w:rPr>
                <w:sz w:val="22"/>
              </w:rPr>
            </w:pPr>
            <w:r>
              <w:rPr>
                <w:sz w:val="22"/>
              </w:rPr>
              <w:t>Чрезмерная</w:t>
            </w:r>
            <w:r>
              <w:rPr>
                <w:spacing w:val="-4"/>
                <w:sz w:val="22"/>
              </w:rPr>
              <w:t> </w:t>
            </w:r>
            <w:r>
              <w:rPr>
                <w:spacing w:val="-10"/>
                <w:sz w:val="22"/>
              </w:rPr>
              <w:t>-</w:t>
            </w:r>
          </w:p>
        </w:tc>
        <w:tc>
          <w:tcPr>
            <w:tcW w:w="2234" w:type="dxa"/>
          </w:tcPr>
          <w:p>
            <w:pPr>
              <w:pStyle w:val="TableParagraph"/>
              <w:rPr>
                <w:sz w:val="22"/>
              </w:rPr>
            </w:pPr>
          </w:p>
        </w:tc>
      </w:tr>
      <w:tr>
        <w:trPr>
          <w:trHeight w:val="251" w:hRule="atLeast"/>
        </w:trPr>
        <w:tc>
          <w:tcPr>
            <w:tcW w:w="2942" w:type="dxa"/>
          </w:tcPr>
          <w:p>
            <w:pPr>
              <w:pStyle w:val="TableParagraph"/>
              <w:spacing w:line="232" w:lineRule="exact"/>
              <w:ind w:left="107"/>
              <w:rPr>
                <w:b/>
                <w:sz w:val="22"/>
              </w:rPr>
            </w:pPr>
            <w:r>
              <w:rPr>
                <w:b/>
                <w:sz w:val="22"/>
              </w:rPr>
              <w:t>Проксимальная</w:t>
            </w:r>
            <w:r>
              <w:rPr>
                <w:b/>
                <w:spacing w:val="-8"/>
                <w:sz w:val="22"/>
              </w:rPr>
              <w:t> </w:t>
            </w:r>
            <w:r>
              <w:rPr>
                <w:b/>
                <w:spacing w:val="-2"/>
                <w:sz w:val="22"/>
              </w:rPr>
              <w:t>центриоль</w:t>
            </w:r>
          </w:p>
        </w:tc>
        <w:tc>
          <w:tcPr>
            <w:tcW w:w="1732" w:type="dxa"/>
            <w:gridSpan w:val="3"/>
          </w:tcPr>
          <w:p>
            <w:pPr>
              <w:pStyle w:val="TableParagraph"/>
              <w:spacing w:line="232" w:lineRule="exact"/>
              <w:ind w:left="108"/>
              <w:rPr>
                <w:sz w:val="22"/>
              </w:rPr>
            </w:pPr>
            <w:r>
              <w:rPr>
                <w:i/>
                <w:sz w:val="22"/>
              </w:rPr>
              <w:t>Нормальная</w:t>
            </w:r>
            <w:r>
              <w:rPr>
                <w:i/>
                <w:spacing w:val="-8"/>
                <w:sz w:val="22"/>
              </w:rPr>
              <w:t> </w:t>
            </w:r>
            <w:r>
              <w:rPr>
                <w:spacing w:val="-5"/>
                <w:sz w:val="22"/>
              </w:rPr>
              <w:t>1/1</w:t>
            </w:r>
          </w:p>
        </w:tc>
        <w:tc>
          <w:tcPr>
            <w:tcW w:w="2453" w:type="dxa"/>
            <w:gridSpan w:val="5"/>
          </w:tcPr>
          <w:p>
            <w:pPr>
              <w:pStyle w:val="TableParagraph"/>
              <w:spacing w:line="232" w:lineRule="exact"/>
              <w:ind w:left="106"/>
              <w:rPr>
                <w:i/>
                <w:sz w:val="22"/>
              </w:rPr>
            </w:pPr>
            <w:r>
              <w:rPr>
                <w:i/>
                <w:sz w:val="22"/>
              </w:rPr>
              <w:t>Аномальная-</w:t>
            </w:r>
          </w:p>
        </w:tc>
        <w:tc>
          <w:tcPr>
            <w:tcW w:w="3470" w:type="dxa"/>
            <w:gridSpan w:val="7"/>
          </w:tcPr>
          <w:p>
            <w:pPr>
              <w:pStyle w:val="TableParagraph"/>
              <w:rPr>
                <w:sz w:val="18"/>
              </w:rPr>
            </w:pPr>
          </w:p>
        </w:tc>
      </w:tr>
      <w:tr>
        <w:trPr>
          <w:trHeight w:val="506" w:hRule="atLeast"/>
        </w:trPr>
        <w:tc>
          <w:tcPr>
            <w:tcW w:w="2942" w:type="dxa"/>
          </w:tcPr>
          <w:p>
            <w:pPr>
              <w:pStyle w:val="TableParagraph"/>
              <w:spacing w:line="254" w:lineRule="exact"/>
              <w:ind w:left="904" w:hanging="293"/>
              <w:rPr>
                <w:b/>
                <w:sz w:val="22"/>
              </w:rPr>
            </w:pPr>
            <w:r>
              <w:rPr>
                <w:b/>
                <w:spacing w:val="-2"/>
                <w:sz w:val="22"/>
              </w:rPr>
              <w:t>Дополнительные включения</w:t>
            </w:r>
          </w:p>
        </w:tc>
        <w:tc>
          <w:tcPr>
            <w:tcW w:w="1732" w:type="dxa"/>
            <w:gridSpan w:val="3"/>
          </w:tcPr>
          <w:p>
            <w:pPr>
              <w:pStyle w:val="TableParagraph"/>
              <w:spacing w:line="251" w:lineRule="exact"/>
              <w:ind w:left="108"/>
              <w:rPr>
                <w:sz w:val="22"/>
              </w:rPr>
            </w:pPr>
            <w:r>
              <w:rPr>
                <w:spacing w:val="-2"/>
                <w:sz w:val="22"/>
              </w:rPr>
              <w:t>Клетки:</w:t>
            </w:r>
          </w:p>
        </w:tc>
        <w:tc>
          <w:tcPr>
            <w:tcW w:w="2453" w:type="dxa"/>
            <w:gridSpan w:val="5"/>
          </w:tcPr>
          <w:p>
            <w:pPr>
              <w:pStyle w:val="TableParagraph"/>
              <w:spacing w:line="251" w:lineRule="exact"/>
              <w:ind w:left="106"/>
              <w:rPr>
                <w:sz w:val="22"/>
              </w:rPr>
            </w:pPr>
            <w:r>
              <w:rPr>
                <w:sz w:val="22"/>
              </w:rPr>
              <w:t>Бактерии:</w:t>
            </w:r>
            <w:r>
              <w:rPr>
                <w:spacing w:val="51"/>
                <w:sz w:val="22"/>
              </w:rPr>
              <w:t> </w:t>
            </w:r>
            <w:r>
              <w:rPr>
                <w:spacing w:val="-10"/>
                <w:sz w:val="22"/>
              </w:rPr>
              <w:t>-</w:t>
            </w:r>
          </w:p>
        </w:tc>
        <w:tc>
          <w:tcPr>
            <w:tcW w:w="3470" w:type="dxa"/>
            <w:gridSpan w:val="7"/>
          </w:tcPr>
          <w:p>
            <w:pPr>
              <w:pStyle w:val="TableParagraph"/>
              <w:spacing w:line="251" w:lineRule="exact"/>
              <w:ind w:left="108"/>
              <w:rPr>
                <w:sz w:val="22"/>
              </w:rPr>
            </w:pPr>
            <w:r>
              <w:rPr>
                <w:sz w:val="22"/>
              </w:rPr>
              <w:t>Вирусы:</w:t>
            </w:r>
            <w:r>
              <w:rPr>
                <w:spacing w:val="53"/>
                <w:sz w:val="22"/>
              </w:rPr>
              <w:t> </w:t>
            </w:r>
            <w:r>
              <w:rPr>
                <w:sz w:val="22"/>
              </w:rPr>
              <w:t>в</w:t>
            </w:r>
            <w:r>
              <w:rPr>
                <w:spacing w:val="-2"/>
                <w:sz w:val="22"/>
              </w:rPr>
              <w:t> </w:t>
            </w:r>
            <w:r>
              <w:rPr>
                <w:sz w:val="22"/>
              </w:rPr>
              <w:t>8 </w:t>
            </w:r>
            <w:r>
              <w:rPr>
                <w:spacing w:val="-2"/>
                <w:sz w:val="22"/>
              </w:rPr>
              <w:t>сперматозоидах</w:t>
            </w:r>
          </w:p>
        </w:tc>
      </w:tr>
      <w:tr>
        <w:trPr>
          <w:trHeight w:val="251" w:hRule="atLeast"/>
        </w:trPr>
        <w:tc>
          <w:tcPr>
            <w:tcW w:w="10597" w:type="dxa"/>
            <w:gridSpan w:val="16"/>
          </w:tcPr>
          <w:p>
            <w:pPr>
              <w:pStyle w:val="TableParagraph"/>
              <w:spacing w:line="232" w:lineRule="exact"/>
              <w:ind w:left="10"/>
              <w:jc w:val="center"/>
              <w:rPr>
                <w:b/>
                <w:sz w:val="22"/>
              </w:rPr>
            </w:pPr>
            <w:r>
              <w:rPr>
                <w:b/>
                <w:sz w:val="22"/>
              </w:rPr>
              <w:t>Генетически</w:t>
            </w:r>
            <w:r>
              <w:rPr>
                <w:b/>
                <w:spacing w:val="-10"/>
                <w:sz w:val="22"/>
              </w:rPr>
              <w:t> </w:t>
            </w:r>
            <w:r>
              <w:rPr>
                <w:b/>
                <w:sz w:val="22"/>
              </w:rPr>
              <w:t>обусловленная</w:t>
            </w:r>
            <w:r>
              <w:rPr>
                <w:b/>
                <w:spacing w:val="-8"/>
                <w:sz w:val="22"/>
              </w:rPr>
              <w:t> </w:t>
            </w:r>
            <w:r>
              <w:rPr>
                <w:b/>
                <w:spacing w:val="-2"/>
                <w:sz w:val="22"/>
              </w:rPr>
              <w:t>патоспермия</w:t>
            </w:r>
          </w:p>
        </w:tc>
      </w:tr>
      <w:tr>
        <w:trPr>
          <w:trHeight w:val="505" w:hRule="atLeast"/>
        </w:trPr>
        <w:tc>
          <w:tcPr>
            <w:tcW w:w="2942" w:type="dxa"/>
          </w:tcPr>
          <w:p>
            <w:pPr>
              <w:pStyle w:val="TableParagraph"/>
              <w:tabs>
                <w:tab w:pos="1744" w:val="left" w:leader="none"/>
              </w:tabs>
              <w:spacing w:line="252" w:lineRule="exact"/>
              <w:ind w:left="107" w:right="93"/>
              <w:rPr>
                <w:b/>
                <w:sz w:val="22"/>
              </w:rPr>
            </w:pPr>
            <w:r>
              <w:rPr>
                <w:b/>
                <w:spacing w:val="-2"/>
                <w:sz w:val="22"/>
              </w:rPr>
              <w:t>Первичная</w:t>
            </w:r>
            <w:r>
              <w:rPr>
                <w:b/>
                <w:sz w:val="22"/>
              </w:rPr>
              <w:tab/>
            </w:r>
            <w:r>
              <w:rPr>
                <w:b/>
                <w:spacing w:val="-2"/>
                <w:sz w:val="22"/>
              </w:rPr>
              <w:t>цилиарная дискинезия</w:t>
            </w:r>
          </w:p>
        </w:tc>
        <w:tc>
          <w:tcPr>
            <w:tcW w:w="1732" w:type="dxa"/>
            <w:gridSpan w:val="3"/>
          </w:tcPr>
          <w:p>
            <w:pPr>
              <w:pStyle w:val="TableParagraph"/>
              <w:spacing w:line="251" w:lineRule="exact"/>
              <w:ind w:left="108"/>
              <w:rPr>
                <w:sz w:val="22"/>
              </w:rPr>
            </w:pPr>
            <w:r>
              <w:rPr>
                <w:spacing w:val="-2"/>
                <w:sz w:val="22"/>
              </w:rPr>
              <w:t>Присутствует</w:t>
            </w:r>
          </w:p>
        </w:tc>
        <w:tc>
          <w:tcPr>
            <w:tcW w:w="2453" w:type="dxa"/>
            <w:gridSpan w:val="5"/>
          </w:tcPr>
          <w:p>
            <w:pPr>
              <w:pStyle w:val="TableParagraph"/>
              <w:spacing w:line="251" w:lineRule="exact"/>
              <w:ind w:left="106"/>
              <w:rPr>
                <w:sz w:val="22"/>
              </w:rPr>
            </w:pPr>
            <w:r>
              <w:rPr>
                <w:spacing w:val="-2"/>
                <w:sz w:val="22"/>
                <w:u w:val="single"/>
              </w:rPr>
              <w:t>Отсутствует</w:t>
            </w:r>
          </w:p>
        </w:tc>
        <w:tc>
          <w:tcPr>
            <w:tcW w:w="3470" w:type="dxa"/>
            <w:gridSpan w:val="7"/>
          </w:tcPr>
          <w:p>
            <w:pPr>
              <w:pStyle w:val="TableParagraph"/>
              <w:spacing w:line="251" w:lineRule="exact"/>
              <w:ind w:left="108"/>
              <w:rPr>
                <w:sz w:val="22"/>
              </w:rPr>
            </w:pPr>
            <w:r>
              <w:rPr>
                <w:spacing w:val="-2"/>
                <w:sz w:val="22"/>
              </w:rPr>
              <w:t>Возможная</w:t>
            </w:r>
          </w:p>
        </w:tc>
      </w:tr>
      <w:tr>
        <w:trPr>
          <w:trHeight w:val="506" w:hRule="atLeast"/>
        </w:trPr>
        <w:tc>
          <w:tcPr>
            <w:tcW w:w="2942" w:type="dxa"/>
          </w:tcPr>
          <w:p>
            <w:pPr>
              <w:pStyle w:val="TableParagraph"/>
              <w:tabs>
                <w:tab w:pos="1763" w:val="left" w:leader="none"/>
              </w:tabs>
              <w:spacing w:line="252" w:lineRule="exact"/>
              <w:ind w:left="107" w:right="93"/>
              <w:rPr>
                <w:b/>
                <w:sz w:val="22"/>
              </w:rPr>
            </w:pPr>
            <w:r>
              <w:rPr>
                <w:b/>
                <w:spacing w:val="-2"/>
                <w:sz w:val="22"/>
              </w:rPr>
              <w:t>Дисплазия</w:t>
            </w:r>
            <w:r>
              <w:rPr>
                <w:b/>
                <w:sz w:val="22"/>
              </w:rPr>
              <w:tab/>
            </w:r>
            <w:r>
              <w:rPr>
                <w:b/>
                <w:spacing w:val="-2"/>
                <w:sz w:val="22"/>
              </w:rPr>
              <w:t>фиброзной оболочки</w:t>
            </w:r>
          </w:p>
        </w:tc>
        <w:tc>
          <w:tcPr>
            <w:tcW w:w="1732" w:type="dxa"/>
            <w:gridSpan w:val="3"/>
          </w:tcPr>
          <w:p>
            <w:pPr>
              <w:pStyle w:val="TableParagraph"/>
              <w:spacing w:line="251" w:lineRule="exact"/>
              <w:ind w:left="108"/>
              <w:rPr>
                <w:sz w:val="22"/>
              </w:rPr>
            </w:pPr>
            <w:r>
              <w:rPr>
                <w:spacing w:val="-2"/>
                <w:sz w:val="22"/>
              </w:rPr>
              <w:t>Присутствует</w:t>
            </w:r>
          </w:p>
        </w:tc>
        <w:tc>
          <w:tcPr>
            <w:tcW w:w="2453" w:type="dxa"/>
            <w:gridSpan w:val="5"/>
          </w:tcPr>
          <w:p>
            <w:pPr>
              <w:pStyle w:val="TableParagraph"/>
              <w:spacing w:line="251" w:lineRule="exact"/>
              <w:ind w:left="106"/>
              <w:rPr>
                <w:sz w:val="22"/>
              </w:rPr>
            </w:pPr>
            <w:r>
              <w:rPr>
                <w:spacing w:val="-2"/>
                <w:sz w:val="22"/>
                <w:u w:val="single"/>
              </w:rPr>
              <w:t>Отсутствует</w:t>
            </w:r>
          </w:p>
        </w:tc>
        <w:tc>
          <w:tcPr>
            <w:tcW w:w="3470" w:type="dxa"/>
            <w:gridSpan w:val="7"/>
          </w:tcPr>
          <w:p>
            <w:pPr>
              <w:pStyle w:val="TableParagraph"/>
              <w:spacing w:line="251" w:lineRule="exact"/>
              <w:ind w:left="108"/>
              <w:rPr>
                <w:sz w:val="22"/>
              </w:rPr>
            </w:pPr>
            <w:r>
              <w:rPr>
                <w:spacing w:val="-2"/>
                <w:sz w:val="22"/>
              </w:rPr>
              <w:t>Возможная</w:t>
            </w:r>
          </w:p>
        </w:tc>
      </w:tr>
      <w:tr>
        <w:trPr>
          <w:trHeight w:val="757" w:hRule="atLeast"/>
        </w:trPr>
        <w:tc>
          <w:tcPr>
            <w:tcW w:w="2942" w:type="dxa"/>
          </w:tcPr>
          <w:p>
            <w:pPr>
              <w:pStyle w:val="TableParagraph"/>
              <w:ind w:left="107" w:right="462"/>
              <w:rPr>
                <w:b/>
                <w:sz w:val="22"/>
              </w:rPr>
            </w:pPr>
            <w:r>
              <w:rPr>
                <w:b/>
                <w:spacing w:val="-2"/>
                <w:sz w:val="22"/>
              </w:rPr>
              <w:t>Синдром ацефалических</w:t>
            </w:r>
          </w:p>
          <w:p>
            <w:pPr>
              <w:pStyle w:val="TableParagraph"/>
              <w:spacing w:line="233" w:lineRule="exact"/>
              <w:ind w:left="107"/>
              <w:rPr>
                <w:b/>
                <w:sz w:val="22"/>
              </w:rPr>
            </w:pPr>
            <w:r>
              <w:rPr>
                <w:b/>
                <w:spacing w:val="-2"/>
                <w:sz w:val="22"/>
              </w:rPr>
              <w:t>сперматозоидов</w:t>
            </w:r>
          </w:p>
        </w:tc>
        <w:tc>
          <w:tcPr>
            <w:tcW w:w="1732" w:type="dxa"/>
            <w:gridSpan w:val="3"/>
          </w:tcPr>
          <w:p>
            <w:pPr>
              <w:pStyle w:val="TableParagraph"/>
              <w:spacing w:line="251" w:lineRule="exact"/>
              <w:ind w:left="108"/>
              <w:rPr>
                <w:sz w:val="22"/>
              </w:rPr>
            </w:pPr>
            <w:r>
              <w:rPr>
                <w:spacing w:val="-2"/>
                <w:sz w:val="22"/>
              </w:rPr>
              <w:t>Присутствует</w:t>
            </w:r>
          </w:p>
        </w:tc>
        <w:tc>
          <w:tcPr>
            <w:tcW w:w="2453" w:type="dxa"/>
            <w:gridSpan w:val="5"/>
          </w:tcPr>
          <w:p>
            <w:pPr>
              <w:pStyle w:val="TableParagraph"/>
              <w:spacing w:line="251" w:lineRule="exact"/>
              <w:ind w:left="106"/>
              <w:rPr>
                <w:sz w:val="22"/>
              </w:rPr>
            </w:pPr>
            <w:r>
              <w:rPr>
                <w:spacing w:val="-2"/>
                <w:sz w:val="22"/>
                <w:u w:val="single"/>
              </w:rPr>
              <w:t>Отсутствует</w:t>
            </w:r>
          </w:p>
        </w:tc>
        <w:tc>
          <w:tcPr>
            <w:tcW w:w="3470" w:type="dxa"/>
            <w:gridSpan w:val="7"/>
          </w:tcPr>
          <w:p>
            <w:pPr>
              <w:pStyle w:val="TableParagraph"/>
              <w:spacing w:line="251" w:lineRule="exact"/>
              <w:ind w:left="108"/>
              <w:rPr>
                <w:sz w:val="22"/>
              </w:rPr>
            </w:pPr>
            <w:r>
              <w:rPr>
                <w:spacing w:val="-2"/>
                <w:sz w:val="22"/>
              </w:rPr>
              <w:t>Возможная</w:t>
            </w:r>
          </w:p>
        </w:tc>
      </w:tr>
      <w:tr>
        <w:trPr>
          <w:trHeight w:val="253" w:hRule="atLeast"/>
        </w:trPr>
        <w:tc>
          <w:tcPr>
            <w:tcW w:w="2942" w:type="dxa"/>
          </w:tcPr>
          <w:p>
            <w:pPr>
              <w:pStyle w:val="TableParagraph"/>
              <w:spacing w:line="234" w:lineRule="exact"/>
              <w:ind w:left="107"/>
              <w:rPr>
                <w:b/>
                <w:sz w:val="22"/>
              </w:rPr>
            </w:pPr>
            <w:r>
              <w:rPr>
                <w:b/>
                <w:spacing w:val="-2"/>
                <w:sz w:val="22"/>
              </w:rPr>
              <w:t>Глобулозооспермия</w:t>
            </w:r>
          </w:p>
        </w:tc>
        <w:tc>
          <w:tcPr>
            <w:tcW w:w="1732" w:type="dxa"/>
            <w:gridSpan w:val="3"/>
          </w:tcPr>
          <w:p>
            <w:pPr>
              <w:pStyle w:val="TableParagraph"/>
              <w:spacing w:line="234" w:lineRule="exact"/>
              <w:ind w:left="108"/>
              <w:rPr>
                <w:sz w:val="22"/>
              </w:rPr>
            </w:pPr>
            <w:r>
              <w:rPr>
                <w:spacing w:val="-2"/>
                <w:sz w:val="22"/>
              </w:rPr>
              <w:t>Присутствует</w:t>
            </w:r>
          </w:p>
        </w:tc>
        <w:tc>
          <w:tcPr>
            <w:tcW w:w="2453" w:type="dxa"/>
            <w:gridSpan w:val="5"/>
          </w:tcPr>
          <w:p>
            <w:pPr>
              <w:pStyle w:val="TableParagraph"/>
              <w:spacing w:line="234" w:lineRule="exact"/>
              <w:ind w:left="106"/>
              <w:rPr>
                <w:sz w:val="22"/>
              </w:rPr>
            </w:pPr>
            <w:r>
              <w:rPr>
                <w:spacing w:val="-2"/>
                <w:sz w:val="22"/>
                <w:u w:val="single"/>
              </w:rPr>
              <w:t>Отсутствует</w:t>
            </w:r>
          </w:p>
        </w:tc>
        <w:tc>
          <w:tcPr>
            <w:tcW w:w="3470" w:type="dxa"/>
            <w:gridSpan w:val="7"/>
          </w:tcPr>
          <w:p>
            <w:pPr>
              <w:pStyle w:val="TableParagraph"/>
              <w:spacing w:line="234" w:lineRule="exact"/>
              <w:ind w:left="108"/>
              <w:rPr>
                <w:sz w:val="22"/>
              </w:rPr>
            </w:pPr>
            <w:r>
              <w:rPr>
                <w:spacing w:val="-2"/>
                <w:sz w:val="22"/>
              </w:rPr>
              <w:t>Возможная</w:t>
            </w:r>
          </w:p>
        </w:tc>
      </w:tr>
      <w:tr>
        <w:trPr>
          <w:trHeight w:val="506" w:hRule="atLeast"/>
        </w:trPr>
        <w:tc>
          <w:tcPr>
            <w:tcW w:w="2942" w:type="dxa"/>
          </w:tcPr>
          <w:p>
            <w:pPr>
              <w:pStyle w:val="TableParagraph"/>
              <w:tabs>
                <w:tab w:pos="2118" w:val="left" w:leader="none"/>
              </w:tabs>
              <w:spacing w:line="252" w:lineRule="exact"/>
              <w:ind w:left="107" w:right="94"/>
              <w:rPr>
                <w:b/>
                <w:sz w:val="22"/>
              </w:rPr>
            </w:pPr>
            <w:r>
              <w:rPr>
                <w:b/>
                <w:spacing w:val="-2"/>
                <w:sz w:val="22"/>
              </w:rPr>
              <w:t>Тотальная</w:t>
            </w:r>
            <w:r>
              <w:rPr>
                <w:b/>
                <w:sz w:val="22"/>
              </w:rPr>
              <w:tab/>
            </w:r>
            <w:r>
              <w:rPr>
                <w:b/>
                <w:spacing w:val="-2"/>
                <w:sz w:val="22"/>
              </w:rPr>
              <w:t>атипия центриоли</w:t>
            </w:r>
          </w:p>
        </w:tc>
        <w:tc>
          <w:tcPr>
            <w:tcW w:w="1732" w:type="dxa"/>
            <w:gridSpan w:val="3"/>
          </w:tcPr>
          <w:p>
            <w:pPr>
              <w:pStyle w:val="TableParagraph"/>
              <w:spacing w:line="251" w:lineRule="exact"/>
              <w:ind w:left="108"/>
              <w:rPr>
                <w:sz w:val="22"/>
              </w:rPr>
            </w:pPr>
            <w:r>
              <w:rPr>
                <w:spacing w:val="-2"/>
                <w:sz w:val="22"/>
              </w:rPr>
              <w:t>Присутствует</w:t>
            </w:r>
          </w:p>
        </w:tc>
        <w:tc>
          <w:tcPr>
            <w:tcW w:w="2453" w:type="dxa"/>
            <w:gridSpan w:val="5"/>
          </w:tcPr>
          <w:p>
            <w:pPr>
              <w:pStyle w:val="TableParagraph"/>
              <w:spacing w:line="251" w:lineRule="exact"/>
              <w:ind w:left="106"/>
              <w:rPr>
                <w:sz w:val="22"/>
              </w:rPr>
            </w:pPr>
            <w:r>
              <w:rPr>
                <w:spacing w:val="-2"/>
                <w:sz w:val="22"/>
                <w:u w:val="single"/>
              </w:rPr>
              <w:t>Отсутствует</w:t>
            </w:r>
          </w:p>
        </w:tc>
        <w:tc>
          <w:tcPr>
            <w:tcW w:w="3470" w:type="dxa"/>
            <w:gridSpan w:val="7"/>
          </w:tcPr>
          <w:p>
            <w:pPr>
              <w:pStyle w:val="TableParagraph"/>
              <w:spacing w:line="251" w:lineRule="exact"/>
              <w:ind w:left="108"/>
              <w:rPr>
                <w:sz w:val="22"/>
              </w:rPr>
            </w:pPr>
            <w:r>
              <w:rPr>
                <w:spacing w:val="-2"/>
                <w:sz w:val="22"/>
              </w:rPr>
              <w:t>Возможная</w:t>
            </w:r>
          </w:p>
        </w:tc>
      </w:tr>
    </w:tbl>
    <w:p>
      <w:pPr>
        <w:pStyle w:val="TableParagraph"/>
        <w:spacing w:after="0" w:line="251" w:lineRule="exact"/>
        <w:rPr>
          <w:sz w:val="22"/>
        </w:rPr>
        <w:sectPr>
          <w:pgSz w:w="11910" w:h="16840"/>
          <w:pgMar w:header="0" w:footer="990" w:top="340" w:bottom="1200" w:left="708" w:right="425"/>
        </w:sectPr>
      </w:pPr>
    </w:p>
    <w:p>
      <w:pPr>
        <w:pStyle w:val="Heading1"/>
        <w:spacing w:before="65"/>
        <w:ind w:left="0" w:right="491"/>
      </w:pPr>
      <w:r>
        <w:rPr/>
        <w:t>ПРИЛОЖЕНИЕ</w:t>
      </w:r>
      <w:r>
        <w:rPr>
          <w:spacing w:val="-9"/>
        </w:rPr>
        <w:t> </w:t>
      </w:r>
      <w:r>
        <w:rPr>
          <w:spacing w:val="-10"/>
        </w:rPr>
        <w:t>Б</w:t>
      </w:r>
    </w:p>
    <w:p>
      <w:pPr>
        <w:spacing w:before="23" w:after="15"/>
        <w:ind w:left="0" w:right="491" w:firstLine="0"/>
        <w:jc w:val="center"/>
        <w:rPr>
          <w:b/>
          <w:sz w:val="22"/>
        </w:rPr>
      </w:pPr>
      <w:r>
        <w:rPr>
          <w:b/>
          <w:sz w:val="22"/>
        </w:rPr>
        <w:t>Таблица</w:t>
      </w:r>
      <w:r>
        <w:rPr>
          <w:b/>
          <w:spacing w:val="-5"/>
          <w:sz w:val="22"/>
        </w:rPr>
        <w:t> </w:t>
      </w:r>
      <w:r>
        <w:rPr>
          <w:b/>
          <w:sz w:val="22"/>
        </w:rPr>
        <w:t>А</w:t>
      </w:r>
      <w:r>
        <w:rPr>
          <w:b/>
          <w:spacing w:val="-6"/>
          <w:sz w:val="22"/>
        </w:rPr>
        <w:t> </w:t>
      </w:r>
      <w:r>
        <w:rPr>
          <w:b/>
          <w:sz w:val="22"/>
        </w:rPr>
        <w:t>–</w:t>
      </w:r>
      <w:r>
        <w:rPr>
          <w:b/>
          <w:spacing w:val="-8"/>
          <w:sz w:val="22"/>
        </w:rPr>
        <w:t> </w:t>
      </w:r>
      <w:r>
        <w:rPr>
          <w:b/>
          <w:sz w:val="22"/>
        </w:rPr>
        <w:t>Качественные</w:t>
      </w:r>
      <w:r>
        <w:rPr>
          <w:b/>
          <w:spacing w:val="-4"/>
          <w:sz w:val="22"/>
        </w:rPr>
        <w:t> </w:t>
      </w:r>
      <w:r>
        <w:rPr>
          <w:b/>
          <w:sz w:val="22"/>
        </w:rPr>
        <w:t>и</w:t>
      </w:r>
      <w:r>
        <w:rPr>
          <w:b/>
          <w:spacing w:val="-5"/>
          <w:sz w:val="22"/>
        </w:rPr>
        <w:t> </w:t>
      </w:r>
      <w:r>
        <w:rPr>
          <w:b/>
          <w:sz w:val="22"/>
        </w:rPr>
        <w:t>количественные</w:t>
      </w:r>
      <w:r>
        <w:rPr>
          <w:b/>
          <w:spacing w:val="-5"/>
          <w:sz w:val="22"/>
        </w:rPr>
        <w:t> </w:t>
      </w:r>
      <w:r>
        <w:rPr>
          <w:b/>
          <w:sz w:val="22"/>
        </w:rPr>
        <w:t>признаки</w:t>
      </w:r>
      <w:r>
        <w:rPr>
          <w:b/>
          <w:spacing w:val="-8"/>
          <w:sz w:val="22"/>
        </w:rPr>
        <w:t> </w:t>
      </w:r>
      <w:r>
        <w:rPr>
          <w:b/>
          <w:sz w:val="22"/>
        </w:rPr>
        <w:t>эякулята</w:t>
      </w:r>
      <w:r>
        <w:rPr>
          <w:b/>
          <w:spacing w:val="-6"/>
          <w:sz w:val="22"/>
        </w:rPr>
        <w:t> </w:t>
      </w:r>
      <w:r>
        <w:rPr>
          <w:b/>
          <w:sz w:val="22"/>
        </w:rPr>
        <w:t>мужчин,</w:t>
      </w:r>
      <w:r>
        <w:rPr>
          <w:b/>
          <w:spacing w:val="-5"/>
          <w:sz w:val="22"/>
        </w:rPr>
        <w:t> </w:t>
      </w:r>
      <w:r>
        <w:rPr>
          <w:b/>
          <w:sz w:val="22"/>
        </w:rPr>
        <w:t>живущих</w:t>
      </w:r>
      <w:r>
        <w:rPr>
          <w:b/>
          <w:spacing w:val="-5"/>
          <w:sz w:val="22"/>
        </w:rPr>
        <w:t> </w:t>
      </w:r>
      <w:r>
        <w:rPr>
          <w:b/>
          <w:sz w:val="22"/>
        </w:rPr>
        <w:t>в</w:t>
      </w:r>
      <w:r>
        <w:rPr>
          <w:b/>
          <w:spacing w:val="-7"/>
          <w:sz w:val="22"/>
        </w:rPr>
        <w:t> </w:t>
      </w:r>
      <w:r>
        <w:rPr>
          <w:b/>
          <w:sz w:val="22"/>
        </w:rPr>
        <w:t>бесплодных</w:t>
      </w:r>
      <w:r>
        <w:rPr>
          <w:b/>
          <w:spacing w:val="-4"/>
          <w:sz w:val="22"/>
        </w:rPr>
        <w:t> </w:t>
      </w:r>
      <w:r>
        <w:rPr>
          <w:b/>
          <w:spacing w:val="-2"/>
          <w:sz w:val="22"/>
        </w:rPr>
        <w:t>браках</w:t>
      </w:r>
    </w:p>
    <w:tbl>
      <w:tblPr>
        <w:tblW w:w="0" w:type="auto"/>
        <w:jc w:val="left"/>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15"/>
        <w:gridCol w:w="471"/>
        <w:gridCol w:w="451"/>
        <w:gridCol w:w="523"/>
        <w:gridCol w:w="656"/>
        <w:gridCol w:w="748"/>
        <w:gridCol w:w="707"/>
        <w:gridCol w:w="656"/>
        <w:gridCol w:w="615"/>
        <w:gridCol w:w="595"/>
        <w:gridCol w:w="626"/>
        <w:gridCol w:w="534"/>
        <w:gridCol w:w="503"/>
        <w:gridCol w:w="585"/>
        <w:gridCol w:w="616"/>
        <w:gridCol w:w="493"/>
        <w:gridCol w:w="473"/>
        <w:gridCol w:w="596"/>
        <w:gridCol w:w="586"/>
        <w:gridCol w:w="463"/>
        <w:gridCol w:w="494"/>
      </w:tblGrid>
      <w:tr>
        <w:trPr>
          <w:trHeight w:val="886" w:hRule="atLeast"/>
        </w:trPr>
        <w:tc>
          <w:tcPr>
            <w:tcW w:w="3215" w:type="dxa"/>
            <w:tcBorders>
              <w:left w:val="single" w:sz="6" w:space="0" w:color="DADCDD"/>
              <w:right w:val="single" w:sz="6" w:space="0" w:color="DADCDD"/>
            </w:tcBorders>
          </w:tcPr>
          <w:p>
            <w:pPr>
              <w:pStyle w:val="TableParagraph"/>
              <w:rPr>
                <w:b/>
                <w:sz w:val="13"/>
              </w:rPr>
            </w:pPr>
          </w:p>
          <w:p>
            <w:pPr>
              <w:pStyle w:val="TableParagraph"/>
              <w:spacing w:before="66"/>
              <w:rPr>
                <w:b/>
                <w:sz w:val="13"/>
              </w:rPr>
            </w:pPr>
          </w:p>
          <w:p>
            <w:pPr>
              <w:pStyle w:val="TableParagraph"/>
              <w:ind w:left="5"/>
              <w:jc w:val="center"/>
              <w:rPr>
                <w:rFonts w:ascii="Calibri" w:hAnsi="Calibri"/>
                <w:b/>
                <w:sz w:val="13"/>
              </w:rPr>
            </w:pPr>
            <w:r>
              <w:rPr>
                <w:rFonts w:ascii="Calibri" w:hAnsi="Calibri"/>
                <w:b/>
                <w:spacing w:val="-2"/>
                <w:sz w:val="13"/>
              </w:rPr>
              <w:t>Диагноз</w:t>
            </w:r>
          </w:p>
          <w:p>
            <w:pPr>
              <w:pStyle w:val="TableParagraph"/>
              <w:spacing w:before="8"/>
              <w:rPr>
                <w:b/>
                <w:sz w:val="15"/>
              </w:rPr>
            </w:pPr>
          </w:p>
          <w:p>
            <w:pPr>
              <w:pStyle w:val="TableParagraph"/>
              <w:spacing w:line="173" w:lineRule="exact"/>
              <w:ind w:left="3033" w:right="-44"/>
              <w:rPr>
                <w:position w:val="-2"/>
                <w:sz w:val="17"/>
              </w:rPr>
            </w:pPr>
            <w:r>
              <w:rPr>
                <w:position w:val="-2"/>
                <w:sz w:val="17"/>
              </w:rPr>
              <w:drawing>
                <wp:inline distT="0" distB="0" distL="0" distR="0">
                  <wp:extent cx="105584" cy="110109"/>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89" cstate="print"/>
                          <a:stretch>
                            <a:fillRect/>
                          </a:stretch>
                        </pic:blipFill>
                        <pic:spPr>
                          <a:xfrm>
                            <a:off x="0" y="0"/>
                            <a:ext cx="105584" cy="110109"/>
                          </a:xfrm>
                          <a:prstGeom prst="rect">
                            <a:avLst/>
                          </a:prstGeom>
                        </pic:spPr>
                      </pic:pic>
                    </a:graphicData>
                  </a:graphic>
                </wp:inline>
              </w:drawing>
            </w:r>
            <w:r>
              <w:rPr>
                <w:position w:val="-2"/>
                <w:sz w:val="17"/>
              </w:rPr>
            </w:r>
          </w:p>
        </w:tc>
        <w:tc>
          <w:tcPr>
            <w:tcW w:w="471" w:type="dxa"/>
            <w:tcBorders>
              <w:left w:val="single" w:sz="6" w:space="0" w:color="DADCDD"/>
              <w:right w:val="single" w:sz="6" w:space="0" w:color="DADCDD"/>
            </w:tcBorders>
          </w:tcPr>
          <w:p>
            <w:pPr>
              <w:pStyle w:val="TableParagraph"/>
              <w:spacing w:before="41"/>
              <w:rPr>
                <w:b/>
                <w:sz w:val="13"/>
              </w:rPr>
            </w:pPr>
          </w:p>
          <w:p>
            <w:pPr>
              <w:pStyle w:val="TableParagraph"/>
              <w:spacing w:line="264" w:lineRule="auto" w:before="1"/>
              <w:ind w:left="22" w:right="30" w:firstLine="9"/>
              <w:jc w:val="center"/>
              <w:rPr>
                <w:rFonts w:ascii="Calibri" w:hAnsi="Calibri"/>
                <w:b/>
                <w:sz w:val="13"/>
              </w:rPr>
            </w:pPr>
            <w:r>
              <w:rPr>
                <w:rFonts w:ascii="Calibri" w:hAnsi="Calibri"/>
                <w:b/>
                <w:spacing w:val="-2"/>
                <w:sz w:val="13"/>
              </w:rPr>
              <w:t>Кол-</w:t>
            </w:r>
            <w:r>
              <w:rPr>
                <w:rFonts w:ascii="Calibri" w:hAnsi="Calibri"/>
                <w:b/>
                <w:spacing w:val="-2"/>
                <w:sz w:val="13"/>
              </w:rPr>
              <w:t>во</w:t>
            </w:r>
            <w:r>
              <w:rPr>
                <w:rFonts w:ascii="Calibri" w:hAnsi="Calibri"/>
                <w:b/>
                <w:spacing w:val="40"/>
                <w:sz w:val="13"/>
              </w:rPr>
              <w:t> </w:t>
            </w:r>
            <w:r>
              <w:rPr>
                <w:rFonts w:ascii="Calibri" w:hAnsi="Calibri"/>
                <w:b/>
                <w:spacing w:val="-2"/>
                <w:sz w:val="13"/>
              </w:rPr>
              <w:t>челове</w:t>
            </w:r>
            <w:r>
              <w:rPr>
                <w:rFonts w:ascii="Calibri" w:hAnsi="Calibri"/>
                <w:b/>
                <w:spacing w:val="40"/>
                <w:sz w:val="13"/>
              </w:rPr>
              <w:t> </w:t>
            </w:r>
            <w:r>
              <w:rPr>
                <w:rFonts w:ascii="Calibri" w:hAnsi="Calibri"/>
                <w:b/>
                <w:spacing w:val="-10"/>
                <w:sz w:val="13"/>
              </w:rPr>
              <w:t>к</w:t>
            </w:r>
          </w:p>
          <w:p>
            <w:pPr>
              <w:pStyle w:val="TableParagraph"/>
              <w:spacing w:line="163" w:lineRule="exact"/>
              <w:ind w:left="288" w:right="-44"/>
              <w:rPr>
                <w:position w:val="-2"/>
                <w:sz w:val="16"/>
              </w:rPr>
            </w:pPr>
            <w:r>
              <w:rPr>
                <w:position w:val="-2"/>
                <w:sz w:val="16"/>
              </w:rPr>
              <w:drawing>
                <wp:inline distT="0" distB="0" distL="0" distR="0">
                  <wp:extent cx="106049" cy="103632"/>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89" cstate="print"/>
                          <a:stretch>
                            <a:fillRect/>
                          </a:stretch>
                        </pic:blipFill>
                        <pic:spPr>
                          <a:xfrm>
                            <a:off x="0" y="0"/>
                            <a:ext cx="106049" cy="103632"/>
                          </a:xfrm>
                          <a:prstGeom prst="rect">
                            <a:avLst/>
                          </a:prstGeom>
                        </pic:spPr>
                      </pic:pic>
                    </a:graphicData>
                  </a:graphic>
                </wp:inline>
              </w:drawing>
            </w:r>
            <w:r>
              <w:rPr>
                <w:position w:val="-2"/>
                <w:sz w:val="16"/>
              </w:rPr>
            </w:r>
          </w:p>
        </w:tc>
        <w:tc>
          <w:tcPr>
            <w:tcW w:w="451" w:type="dxa"/>
            <w:tcBorders>
              <w:left w:val="single" w:sz="6" w:space="0" w:color="DADCDD"/>
            </w:tcBorders>
          </w:tcPr>
          <w:p>
            <w:pPr>
              <w:pStyle w:val="TableParagraph"/>
              <w:spacing w:before="41"/>
              <w:rPr>
                <w:b/>
                <w:sz w:val="13"/>
              </w:rPr>
            </w:pPr>
          </w:p>
          <w:p>
            <w:pPr>
              <w:pStyle w:val="TableParagraph"/>
              <w:spacing w:line="264" w:lineRule="auto" w:before="1"/>
              <w:ind w:left="53" w:right="22" w:hanging="31"/>
              <w:jc w:val="both"/>
              <w:rPr>
                <w:rFonts w:ascii="Calibri" w:hAnsi="Calibri"/>
                <w:b/>
                <w:sz w:val="13"/>
              </w:rPr>
            </w:pPr>
            <w:r>
              <w:rPr>
                <w:rFonts w:ascii="Calibri" w:hAnsi="Calibri"/>
                <w:b/>
                <w:spacing w:val="-2"/>
                <w:sz w:val="13"/>
              </w:rPr>
              <w:t>Кол-</w:t>
            </w:r>
            <w:r>
              <w:rPr>
                <w:rFonts w:ascii="Calibri" w:hAnsi="Calibri"/>
                <w:b/>
                <w:spacing w:val="-2"/>
                <w:sz w:val="13"/>
              </w:rPr>
              <w:t>во</w:t>
            </w:r>
            <w:r>
              <w:rPr>
                <w:rFonts w:ascii="Calibri" w:hAnsi="Calibri"/>
                <w:b/>
                <w:spacing w:val="40"/>
                <w:sz w:val="13"/>
              </w:rPr>
              <w:t> </w:t>
            </w:r>
            <w:r>
              <w:rPr>
                <w:rFonts w:ascii="Calibri" w:hAnsi="Calibri"/>
                <w:b/>
                <w:spacing w:val="-2"/>
                <w:sz w:val="13"/>
              </w:rPr>
              <w:t>челов</w:t>
            </w:r>
            <w:r>
              <w:rPr>
                <w:rFonts w:ascii="Calibri" w:hAnsi="Calibri"/>
                <w:b/>
                <w:spacing w:val="40"/>
                <w:sz w:val="13"/>
              </w:rPr>
              <w:t> </w:t>
            </w:r>
            <w:r>
              <w:rPr>
                <w:rFonts w:ascii="Calibri" w:hAnsi="Calibri"/>
                <w:b/>
                <w:sz w:val="13"/>
              </w:rPr>
              <w:t>ек,</w:t>
            </w:r>
            <w:r>
              <w:rPr>
                <w:rFonts w:ascii="Calibri" w:hAnsi="Calibri"/>
                <w:b/>
                <w:spacing w:val="-8"/>
                <w:sz w:val="13"/>
              </w:rPr>
              <w:t> </w:t>
            </w:r>
            <w:r>
              <w:rPr>
                <w:rFonts w:ascii="Calibri" w:hAnsi="Calibri"/>
                <w:b/>
                <w:sz w:val="13"/>
              </w:rPr>
              <w:t>%</w:t>
            </w:r>
          </w:p>
          <w:p>
            <w:pPr>
              <w:pStyle w:val="TableParagraph"/>
              <w:spacing w:line="163" w:lineRule="exact"/>
              <w:ind w:left="268" w:right="-44"/>
              <w:rPr>
                <w:position w:val="-2"/>
                <w:sz w:val="16"/>
              </w:rPr>
            </w:pPr>
            <w:r>
              <w:rPr>
                <w:position w:val="-2"/>
                <w:sz w:val="16"/>
              </w:rPr>
              <w:drawing>
                <wp:inline distT="0" distB="0" distL="0" distR="0">
                  <wp:extent cx="106395" cy="103632"/>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89" cstate="print"/>
                          <a:stretch>
                            <a:fillRect/>
                          </a:stretch>
                        </pic:blipFill>
                        <pic:spPr>
                          <a:xfrm>
                            <a:off x="0" y="0"/>
                            <a:ext cx="106395" cy="103632"/>
                          </a:xfrm>
                          <a:prstGeom prst="rect">
                            <a:avLst/>
                          </a:prstGeom>
                        </pic:spPr>
                      </pic:pic>
                    </a:graphicData>
                  </a:graphic>
                </wp:inline>
              </w:drawing>
            </w:r>
            <w:r>
              <w:rPr>
                <w:position w:val="-2"/>
                <w:sz w:val="16"/>
              </w:rPr>
            </w:r>
          </w:p>
        </w:tc>
        <w:tc>
          <w:tcPr>
            <w:tcW w:w="523" w:type="dxa"/>
            <w:tcBorders>
              <w:right w:val="single" w:sz="6" w:space="0" w:color="DADCDD"/>
            </w:tcBorders>
          </w:tcPr>
          <w:p>
            <w:pPr>
              <w:pStyle w:val="TableParagraph"/>
              <w:spacing w:line="264" w:lineRule="auto" w:before="109"/>
              <w:ind w:left="42" w:right="32" w:firstLine="12"/>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7312">
                      <wp:simplePos x="0" y="0"/>
                      <wp:positionH relativeFrom="column">
                        <wp:posOffset>217745</wp:posOffset>
                      </wp:positionH>
                      <wp:positionV relativeFrom="paragraph">
                        <wp:posOffset>446964</wp:posOffset>
                      </wp:positionV>
                      <wp:extent cx="111125" cy="111125"/>
                      <wp:effectExtent l="0" t="0" r="0" b="0"/>
                      <wp:wrapNone/>
                      <wp:docPr id="228" name="Group 228"/>
                      <wp:cNvGraphicFramePr>
                        <a:graphicFrameLocks/>
                      </wp:cNvGraphicFramePr>
                      <a:graphic>
                        <a:graphicData uri="http://schemas.microsoft.com/office/word/2010/wordprocessingGroup">
                          <wpg:wgp>
                            <wpg:cNvPr id="228" name="Group 228"/>
                            <wpg:cNvGrpSpPr/>
                            <wpg:grpSpPr>
                              <a:xfrm>
                                <a:off x="0" y="0"/>
                                <a:ext cx="111125" cy="111125"/>
                                <a:chExt cx="111125" cy="111125"/>
                              </a:xfrm>
                            </wpg:grpSpPr>
                            <pic:pic>
                              <pic:nvPicPr>
                                <pic:cNvPr id="229" name="Image 229"/>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17.145353pt;margin-top:35.19408pt;width:8.75pt;height:8.75pt;mso-position-horizontal-relative:column;mso-position-vertical-relative:paragraph;z-index:15757312" id="docshapegroup163" coordorigin="343,704" coordsize="175,175">
                      <v:shape style="position:absolute;left:342;top:703;width:175;height:175" type="#_x0000_t75" id="docshape164" stroked="false">
                        <v:imagedata r:id="rId89" o:title=""/>
                      </v:shape>
                      <w10:wrap type="none"/>
                    </v:group>
                  </w:pict>
                </mc:Fallback>
              </mc:AlternateContent>
            </w:r>
            <w:r>
              <w:rPr>
                <w:rFonts w:ascii="Calibri" w:hAnsi="Calibri"/>
                <w:b/>
                <w:spacing w:val="-2"/>
                <w:sz w:val="13"/>
              </w:rPr>
              <w:t>Объем</w:t>
            </w:r>
            <w:r>
              <w:rPr>
                <w:rFonts w:ascii="Calibri" w:hAnsi="Calibri"/>
                <w:b/>
                <w:spacing w:val="40"/>
                <w:sz w:val="13"/>
              </w:rPr>
              <w:t> </w:t>
            </w:r>
            <w:r>
              <w:rPr>
                <w:rFonts w:ascii="Calibri" w:hAnsi="Calibri"/>
                <w:b/>
                <w:spacing w:val="-2"/>
                <w:sz w:val="13"/>
              </w:rPr>
              <w:t>эякулят</w:t>
            </w:r>
            <w:r>
              <w:rPr>
                <w:rFonts w:ascii="Calibri" w:hAnsi="Calibri"/>
                <w:b/>
                <w:spacing w:val="40"/>
                <w:sz w:val="13"/>
              </w:rPr>
              <w:t> </w:t>
            </w:r>
            <w:r>
              <w:rPr>
                <w:rFonts w:ascii="Calibri" w:hAnsi="Calibri"/>
                <w:b/>
                <w:sz w:val="13"/>
              </w:rPr>
              <w:t>а</w:t>
            </w:r>
            <w:r>
              <w:rPr>
                <w:rFonts w:ascii="Calibri" w:hAnsi="Calibri"/>
                <w:b/>
                <w:spacing w:val="7"/>
                <w:sz w:val="13"/>
              </w:rPr>
              <w:t> </w:t>
            </w:r>
            <w:r>
              <w:rPr>
                <w:rFonts w:ascii="Calibri" w:hAnsi="Calibri"/>
                <w:b/>
                <w:sz w:val="13"/>
              </w:rPr>
              <w:t>(≥</w:t>
            </w:r>
            <w:r>
              <w:rPr>
                <w:rFonts w:ascii="Calibri" w:hAnsi="Calibri"/>
                <w:b/>
                <w:spacing w:val="-7"/>
                <w:sz w:val="13"/>
              </w:rPr>
              <w:t> </w:t>
            </w:r>
            <w:r>
              <w:rPr>
                <w:rFonts w:ascii="Calibri" w:hAnsi="Calibri"/>
                <w:b/>
                <w:sz w:val="13"/>
              </w:rPr>
              <w:t>1,5</w:t>
            </w:r>
            <w:r>
              <w:rPr>
                <w:rFonts w:ascii="Calibri" w:hAnsi="Calibri"/>
                <w:b/>
                <w:spacing w:val="40"/>
                <w:sz w:val="13"/>
              </w:rPr>
              <w:t> </w:t>
            </w:r>
            <w:r>
              <w:rPr>
                <w:rFonts w:ascii="Calibri" w:hAnsi="Calibri"/>
                <w:b/>
                <w:spacing w:val="-4"/>
                <w:sz w:val="13"/>
              </w:rPr>
              <w:t>мл)</w:t>
            </w:r>
          </w:p>
        </w:tc>
        <w:tc>
          <w:tcPr>
            <w:tcW w:w="656" w:type="dxa"/>
            <w:tcBorders>
              <w:left w:val="single" w:sz="6" w:space="0" w:color="DADCDD"/>
              <w:right w:val="single" w:sz="6" w:space="0" w:color="DADCDD"/>
            </w:tcBorders>
          </w:tcPr>
          <w:p>
            <w:pPr>
              <w:pStyle w:val="TableParagraph"/>
              <w:spacing w:line="264" w:lineRule="auto" w:before="89"/>
              <w:ind w:left="52" w:right="49"/>
              <w:jc w:val="center"/>
              <w:rPr>
                <w:rFonts w:ascii="Calibri" w:hAnsi="Calibri"/>
                <w:b/>
                <w:sz w:val="13"/>
              </w:rPr>
            </w:pPr>
            <w:r>
              <w:rPr>
                <w:rFonts w:ascii="Calibri" w:hAnsi="Calibri"/>
                <w:b/>
                <w:spacing w:val="-2"/>
                <w:sz w:val="13"/>
              </w:rPr>
              <w:t>Конц-</w:t>
            </w:r>
            <w:r>
              <w:rPr>
                <w:rFonts w:ascii="Calibri" w:hAnsi="Calibri"/>
                <w:b/>
                <w:spacing w:val="-2"/>
                <w:sz w:val="13"/>
              </w:rPr>
              <w:t>ция</w:t>
            </w:r>
            <w:r>
              <w:rPr>
                <w:rFonts w:ascii="Calibri" w:hAnsi="Calibri"/>
                <w:b/>
                <w:spacing w:val="40"/>
                <w:sz w:val="13"/>
              </w:rPr>
              <w:t> </w:t>
            </w:r>
            <w:r>
              <w:rPr>
                <w:rFonts w:ascii="Calibri" w:hAnsi="Calibri"/>
                <w:b/>
                <w:sz w:val="13"/>
              </w:rPr>
              <w:t>сперм-дов</w:t>
            </w:r>
            <w:r>
              <w:rPr>
                <w:rFonts w:ascii="Calibri" w:hAnsi="Calibri"/>
                <w:b/>
                <w:spacing w:val="35"/>
                <w:sz w:val="13"/>
              </w:rPr>
              <w:t> </w:t>
            </w:r>
            <w:r>
              <w:rPr>
                <w:rFonts w:ascii="Calibri" w:hAnsi="Calibri"/>
                <w:b/>
                <w:spacing w:val="-4"/>
                <w:sz w:val="13"/>
              </w:rPr>
              <w:t>(≥15</w:t>
            </w:r>
          </w:p>
          <w:p>
            <w:pPr>
              <w:pStyle w:val="TableParagraph"/>
              <w:spacing w:before="29"/>
              <w:ind w:right="2"/>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7824">
                      <wp:simplePos x="0" y="0"/>
                      <wp:positionH relativeFrom="column">
                        <wp:posOffset>302257</wp:posOffset>
                      </wp:positionH>
                      <wp:positionV relativeFrom="paragraph">
                        <wp:posOffset>57980</wp:posOffset>
                      </wp:positionV>
                      <wp:extent cx="111125" cy="111125"/>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111125" cy="111125"/>
                                <a:chExt cx="111125" cy="111125"/>
                              </a:xfrm>
                            </wpg:grpSpPr>
                            <pic:pic>
                              <pic:nvPicPr>
                                <pic:cNvPr id="231" name="Image 231"/>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3.799835pt;margin-top:4.565417pt;width:8.75pt;height:8.75pt;mso-position-horizontal-relative:column;mso-position-vertical-relative:paragraph;z-index:15757824" id="docshapegroup165" coordorigin="476,91" coordsize="175,175">
                      <v:shape style="position:absolute;left:476;top:91;width:175;height:175" type="#_x0000_t75" id="docshape166" stroked="false">
                        <v:imagedata r:id="rId89" o:title=""/>
                      </v:shape>
                      <w10:wrap type="none"/>
                    </v:group>
                  </w:pict>
                </mc:Fallback>
              </mc:AlternateContent>
            </w:r>
            <w:r>
              <w:rPr>
                <w:rFonts w:ascii="Calibri" w:hAnsi="Calibri"/>
                <w:b/>
                <w:w w:val="105"/>
                <w:sz w:val="13"/>
              </w:rPr>
              <w:t>*10</w:t>
            </w:r>
            <w:r>
              <w:rPr>
                <w:rFonts w:ascii="Calibri" w:hAnsi="Calibri"/>
                <w:b/>
                <w:w w:val="105"/>
                <w:sz w:val="13"/>
                <w:vertAlign w:val="superscript"/>
              </w:rPr>
              <w:t>6</w:t>
            </w:r>
            <w:r>
              <w:rPr>
                <w:rFonts w:ascii="Calibri" w:hAnsi="Calibri"/>
                <w:b/>
                <w:spacing w:val="5"/>
                <w:w w:val="105"/>
                <w:sz w:val="13"/>
                <w:vertAlign w:val="baseline"/>
              </w:rPr>
              <w:t> </w:t>
            </w:r>
            <w:r>
              <w:rPr>
                <w:rFonts w:ascii="Calibri" w:hAnsi="Calibri"/>
                <w:b/>
                <w:spacing w:val="-4"/>
                <w:w w:val="105"/>
                <w:sz w:val="13"/>
                <w:vertAlign w:val="baseline"/>
              </w:rPr>
              <w:t>/мл)</w:t>
            </w:r>
          </w:p>
        </w:tc>
        <w:tc>
          <w:tcPr>
            <w:tcW w:w="748" w:type="dxa"/>
            <w:tcBorders>
              <w:left w:val="single" w:sz="6" w:space="0" w:color="DADCDD"/>
              <w:right w:val="single" w:sz="6" w:space="0" w:color="DADCDD"/>
            </w:tcBorders>
          </w:tcPr>
          <w:p>
            <w:pPr>
              <w:pStyle w:val="TableParagraph"/>
              <w:spacing w:line="264" w:lineRule="auto" w:before="7"/>
              <w:ind w:left="30" w:right="24"/>
              <w:jc w:val="center"/>
              <w:rPr>
                <w:rFonts w:ascii="Calibri" w:hAnsi="Calibri"/>
                <w:b/>
                <w:sz w:val="13"/>
              </w:rPr>
            </w:pPr>
            <w:r>
              <w:rPr>
                <w:rFonts w:ascii="Calibri" w:hAnsi="Calibri"/>
                <w:b/>
                <w:sz w:val="13"/>
              </w:rPr>
              <w:t>Общ</w:t>
            </w:r>
            <w:r>
              <w:rPr>
                <w:rFonts w:ascii="Calibri" w:hAnsi="Calibri"/>
                <w:b/>
                <w:spacing w:val="-8"/>
                <w:sz w:val="13"/>
              </w:rPr>
              <w:t> </w:t>
            </w:r>
            <w:r>
              <w:rPr>
                <w:rFonts w:ascii="Calibri" w:hAnsi="Calibri"/>
                <w:b/>
                <w:sz w:val="13"/>
              </w:rPr>
              <w:t>кол-</w:t>
            </w:r>
            <w:r>
              <w:rPr>
                <w:rFonts w:ascii="Calibri" w:hAnsi="Calibri"/>
                <w:b/>
                <w:sz w:val="13"/>
              </w:rPr>
              <w:t>во</w:t>
            </w:r>
            <w:r>
              <w:rPr>
                <w:rFonts w:ascii="Calibri" w:hAnsi="Calibri"/>
                <w:b/>
                <w:spacing w:val="40"/>
                <w:sz w:val="13"/>
              </w:rPr>
              <w:t> </w:t>
            </w:r>
            <w:r>
              <w:rPr>
                <w:rFonts w:ascii="Calibri" w:hAnsi="Calibri"/>
                <w:b/>
                <w:spacing w:val="-2"/>
                <w:sz w:val="13"/>
              </w:rPr>
              <w:t>сперм-дов</w:t>
            </w:r>
            <w:r>
              <w:rPr>
                <w:rFonts w:ascii="Calibri" w:hAnsi="Calibri"/>
                <w:b/>
                <w:spacing w:val="80"/>
                <w:sz w:val="13"/>
              </w:rPr>
              <w:t> </w:t>
            </w:r>
            <w:r>
              <w:rPr>
                <w:rFonts w:ascii="Calibri" w:hAnsi="Calibri"/>
                <w:b/>
                <w:sz w:val="13"/>
              </w:rPr>
              <w:t>в</w:t>
            </w:r>
            <w:r>
              <w:rPr>
                <w:rFonts w:ascii="Calibri" w:hAnsi="Calibri"/>
                <w:b/>
                <w:spacing w:val="-8"/>
                <w:sz w:val="13"/>
              </w:rPr>
              <w:t> </w:t>
            </w:r>
            <w:r>
              <w:rPr>
                <w:rFonts w:ascii="Calibri" w:hAnsi="Calibri"/>
                <w:b/>
                <w:sz w:val="13"/>
              </w:rPr>
              <w:t>эяк</w:t>
            </w:r>
          </w:p>
          <w:p>
            <w:pPr>
              <w:pStyle w:val="TableParagraph"/>
              <w:spacing w:line="170" w:lineRule="atLeast"/>
              <w:ind w:left="30" w:right="9"/>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8336">
                      <wp:simplePos x="0" y="0"/>
                      <wp:positionH relativeFrom="column">
                        <wp:posOffset>360764</wp:posOffset>
                      </wp:positionH>
                      <wp:positionV relativeFrom="paragraph">
                        <wp:posOffset>110232</wp:posOffset>
                      </wp:positionV>
                      <wp:extent cx="111125" cy="111125"/>
                      <wp:effectExtent l="0" t="0" r="0" b="0"/>
                      <wp:wrapNone/>
                      <wp:docPr id="232" name="Group 232"/>
                      <wp:cNvGraphicFramePr>
                        <a:graphicFrameLocks/>
                      </wp:cNvGraphicFramePr>
                      <a:graphic>
                        <a:graphicData uri="http://schemas.microsoft.com/office/word/2010/wordprocessingGroup">
                          <wpg:wgp>
                            <wpg:cNvPr id="232" name="Group 232"/>
                            <wpg:cNvGrpSpPr/>
                            <wpg:grpSpPr>
                              <a:xfrm>
                                <a:off x="0" y="0"/>
                                <a:ext cx="111125" cy="111125"/>
                                <a:chExt cx="111125" cy="111125"/>
                              </a:xfrm>
                            </wpg:grpSpPr>
                            <pic:pic>
                              <pic:nvPicPr>
                                <pic:cNvPr id="233" name="Image 233"/>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8.406673pt;margin-top:8.679752pt;width:8.75pt;height:8.75pt;mso-position-horizontal-relative:column;mso-position-vertical-relative:paragraph;z-index:15758336" id="docshapegroup167" coordorigin="568,174" coordsize="175,175">
                      <v:shape style="position:absolute;left:568;top:173;width:175;height:175" type="#_x0000_t75" id="docshape168" stroked="false">
                        <v:imagedata r:id="rId89" o:title=""/>
                      </v:shape>
                      <w10:wrap type="none"/>
                    </v:group>
                  </w:pict>
                </mc:Fallback>
              </mc:AlternateContent>
            </w:r>
            <w:r>
              <w:rPr>
                <w:rFonts w:ascii="Calibri" w:hAnsi="Calibri"/>
                <w:b/>
                <w:spacing w:val="-2"/>
                <w:w w:val="105"/>
                <w:sz w:val="13"/>
              </w:rPr>
              <w:t>(≥39*10</w:t>
            </w:r>
            <w:r>
              <w:rPr>
                <w:rFonts w:ascii="Calibri" w:hAnsi="Calibri"/>
                <w:b/>
                <w:spacing w:val="-2"/>
                <w:w w:val="105"/>
                <w:sz w:val="13"/>
                <w:vertAlign w:val="superscript"/>
              </w:rPr>
              <w:t>6</w:t>
            </w:r>
            <w:r>
              <w:rPr>
                <w:rFonts w:ascii="Calibri" w:hAnsi="Calibri"/>
                <w:b/>
                <w:spacing w:val="-6"/>
                <w:w w:val="105"/>
                <w:sz w:val="13"/>
                <w:vertAlign w:val="baseline"/>
              </w:rPr>
              <w:t> </w:t>
            </w:r>
            <w:r>
              <w:rPr>
                <w:rFonts w:ascii="Calibri" w:hAnsi="Calibri"/>
                <w:b/>
                <w:spacing w:val="-2"/>
                <w:w w:val="105"/>
                <w:sz w:val="13"/>
                <w:vertAlign w:val="baseline"/>
              </w:rPr>
              <w:t>на</w:t>
            </w:r>
            <w:r>
              <w:rPr>
                <w:rFonts w:ascii="Calibri" w:hAnsi="Calibri"/>
                <w:b/>
                <w:spacing w:val="40"/>
                <w:w w:val="105"/>
                <w:sz w:val="13"/>
                <w:vertAlign w:val="baseline"/>
              </w:rPr>
              <w:t> </w:t>
            </w:r>
            <w:r>
              <w:rPr>
                <w:rFonts w:ascii="Calibri" w:hAnsi="Calibri"/>
                <w:b/>
                <w:spacing w:val="-2"/>
                <w:w w:val="105"/>
                <w:sz w:val="13"/>
                <w:vertAlign w:val="baseline"/>
              </w:rPr>
              <w:t>эякулят)</w:t>
            </w:r>
          </w:p>
        </w:tc>
        <w:tc>
          <w:tcPr>
            <w:tcW w:w="707" w:type="dxa"/>
            <w:tcBorders>
              <w:left w:val="single" w:sz="6" w:space="0" w:color="DADCDD"/>
              <w:right w:val="single" w:sz="6" w:space="0" w:color="DADCDD"/>
            </w:tcBorders>
          </w:tcPr>
          <w:p>
            <w:pPr>
              <w:pStyle w:val="TableParagraph"/>
              <w:spacing w:line="264" w:lineRule="auto" w:before="109"/>
              <w:ind w:left="19" w:right="10" w:hanging="2"/>
              <w:jc w:val="center"/>
              <w:rPr>
                <w:rFonts w:ascii="Calibri" w:hAnsi="Calibri"/>
                <w:b/>
                <w:sz w:val="13"/>
              </w:rPr>
            </w:pPr>
            <w:r>
              <w:rPr>
                <w:rFonts w:ascii="Calibri" w:hAnsi="Calibri"/>
                <w:b/>
                <w:spacing w:val="-4"/>
                <w:sz w:val="13"/>
              </w:rPr>
              <w:t>Общ</w:t>
            </w:r>
            <w:r>
              <w:rPr>
                <w:rFonts w:ascii="Calibri" w:hAnsi="Calibri"/>
                <w:b/>
                <w:spacing w:val="40"/>
                <w:sz w:val="13"/>
              </w:rPr>
              <w:t> </w:t>
            </w:r>
            <w:r>
              <w:rPr>
                <w:rFonts w:ascii="Calibri" w:hAnsi="Calibri"/>
                <w:b/>
                <w:spacing w:val="-2"/>
                <w:sz w:val="13"/>
              </w:rPr>
              <w:t>подвижнос</w:t>
            </w:r>
            <w:r>
              <w:rPr>
                <w:rFonts w:ascii="Calibri" w:hAnsi="Calibri"/>
                <w:b/>
                <w:spacing w:val="40"/>
                <w:sz w:val="13"/>
              </w:rPr>
              <w:t> </w:t>
            </w:r>
            <w:r>
              <w:rPr>
                <w:rFonts w:ascii="Calibri" w:hAnsi="Calibri"/>
                <w:b/>
                <w:sz w:val="13"/>
              </w:rPr>
              <w:t>ть</w:t>
            </w:r>
            <w:r>
              <w:rPr>
                <w:rFonts w:ascii="Calibri" w:hAnsi="Calibri"/>
                <w:b/>
                <w:spacing w:val="-3"/>
                <w:sz w:val="13"/>
              </w:rPr>
              <w:t> </w:t>
            </w:r>
            <w:r>
              <w:rPr>
                <w:rFonts w:ascii="Calibri" w:hAnsi="Calibri"/>
                <w:b/>
                <w:sz w:val="13"/>
              </w:rPr>
              <w:t>(PR +</w:t>
            </w:r>
            <w:r>
              <w:rPr>
                <w:rFonts w:ascii="Calibri" w:hAnsi="Calibri"/>
                <w:b/>
                <w:spacing w:val="-2"/>
                <w:sz w:val="13"/>
              </w:rPr>
              <w:t> </w:t>
            </w:r>
            <w:r>
              <w:rPr>
                <w:rFonts w:ascii="Calibri" w:hAnsi="Calibri"/>
                <w:b/>
                <w:spacing w:val="-5"/>
                <w:sz w:val="13"/>
              </w:rPr>
              <w:t>NP,</w:t>
            </w:r>
          </w:p>
          <w:p>
            <w:pPr>
              <w:pStyle w:val="TableParagraph"/>
              <w:spacing w:line="157" w:lineRule="exact"/>
              <w:ind w:left="13"/>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8848">
                      <wp:simplePos x="0" y="0"/>
                      <wp:positionH relativeFrom="column">
                        <wp:posOffset>334761</wp:posOffset>
                      </wp:positionH>
                      <wp:positionV relativeFrom="paragraph">
                        <wp:posOffset>45211</wp:posOffset>
                      </wp:positionV>
                      <wp:extent cx="111125" cy="111125"/>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111125" cy="111125"/>
                                <a:chExt cx="111125" cy="111125"/>
                              </a:xfrm>
                            </wpg:grpSpPr>
                            <pic:pic>
                              <pic:nvPicPr>
                                <pic:cNvPr id="235" name="Image 235"/>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6.359158pt;margin-top:3.559998pt;width:8.75pt;height:8.75pt;mso-position-horizontal-relative:column;mso-position-vertical-relative:paragraph;z-index:15758848" id="docshapegroup169" coordorigin="527,71" coordsize="175,175">
                      <v:shape style="position:absolute;left:527;top:71;width:175;height:175" type="#_x0000_t75" id="docshape170" stroked="false">
                        <v:imagedata r:id="rId89" o:title=""/>
                      </v:shape>
                      <w10:wrap type="none"/>
                    </v:group>
                  </w:pict>
                </mc:Fallback>
              </mc:AlternateContent>
            </w:r>
            <w:r>
              <w:rPr>
                <w:rFonts w:ascii="Calibri" w:hAnsi="Calibri"/>
                <w:b/>
                <w:spacing w:val="-2"/>
                <w:sz w:val="13"/>
              </w:rPr>
              <w:t>≥40%)</w:t>
            </w:r>
          </w:p>
        </w:tc>
        <w:tc>
          <w:tcPr>
            <w:tcW w:w="656" w:type="dxa"/>
            <w:tcBorders>
              <w:left w:val="single" w:sz="6" w:space="0" w:color="DADCDD"/>
              <w:right w:val="single" w:sz="6" w:space="0" w:color="DADCDD"/>
            </w:tcBorders>
          </w:tcPr>
          <w:p>
            <w:pPr>
              <w:pStyle w:val="TableParagraph"/>
              <w:spacing w:line="264" w:lineRule="auto" w:before="109"/>
              <w:ind w:left="19" w:right="23"/>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9360">
                      <wp:simplePos x="0" y="0"/>
                      <wp:positionH relativeFrom="column">
                        <wp:posOffset>302253</wp:posOffset>
                      </wp:positionH>
                      <wp:positionV relativeFrom="paragraph">
                        <wp:posOffset>446964</wp:posOffset>
                      </wp:positionV>
                      <wp:extent cx="111125" cy="111125"/>
                      <wp:effectExtent l="0" t="0" r="0" b="0"/>
                      <wp:wrapNone/>
                      <wp:docPr id="236" name="Group 236"/>
                      <wp:cNvGraphicFramePr>
                        <a:graphicFrameLocks/>
                      </wp:cNvGraphicFramePr>
                      <a:graphic>
                        <a:graphicData uri="http://schemas.microsoft.com/office/word/2010/wordprocessingGroup">
                          <wpg:wgp>
                            <wpg:cNvPr id="236" name="Group 236"/>
                            <wpg:cNvGrpSpPr/>
                            <wpg:grpSpPr>
                              <a:xfrm>
                                <a:off x="0" y="0"/>
                                <a:ext cx="111125" cy="111125"/>
                                <a:chExt cx="111125" cy="111125"/>
                              </a:xfrm>
                            </wpg:grpSpPr>
                            <pic:pic>
                              <pic:nvPicPr>
                                <pic:cNvPr id="237" name="Image 237"/>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3.79949pt;margin-top:35.19408pt;width:8.75pt;height:8.75pt;mso-position-horizontal-relative:column;mso-position-vertical-relative:paragraph;z-index:15759360" id="docshapegroup171" coordorigin="476,704" coordsize="175,175">
                      <v:shape style="position:absolute;left:475;top:703;width:175;height:175" type="#_x0000_t75" id="docshape172" stroked="false">
                        <v:imagedata r:id="rId89" o:title=""/>
                      </v:shape>
                      <w10:wrap type="none"/>
                    </v:group>
                  </w:pict>
                </mc:Fallback>
              </mc:AlternateContent>
            </w:r>
            <w:r>
              <w:rPr>
                <w:rFonts w:ascii="Calibri" w:hAnsi="Calibri"/>
                <w:b/>
                <w:spacing w:val="-2"/>
                <w:sz w:val="13"/>
              </w:rPr>
              <w:t>Прогресси</w:t>
            </w:r>
            <w:r>
              <w:rPr>
                <w:rFonts w:ascii="Calibri" w:hAnsi="Calibri"/>
                <w:b/>
                <w:spacing w:val="40"/>
                <w:sz w:val="13"/>
              </w:rPr>
              <w:t> </w:t>
            </w:r>
            <w:r>
              <w:rPr>
                <w:rFonts w:ascii="Calibri" w:hAnsi="Calibri"/>
                <w:b/>
                <w:sz w:val="13"/>
              </w:rPr>
              <w:t>вно-</w:t>
            </w:r>
            <w:r>
              <w:rPr>
                <w:rFonts w:ascii="Calibri" w:hAnsi="Calibri"/>
                <w:b/>
                <w:spacing w:val="-2"/>
                <w:sz w:val="13"/>
              </w:rPr>
              <w:t>подвиж</w:t>
            </w:r>
            <w:r>
              <w:rPr>
                <w:rFonts w:ascii="Calibri" w:hAnsi="Calibri"/>
                <w:b/>
                <w:spacing w:val="40"/>
                <w:sz w:val="13"/>
              </w:rPr>
              <w:t> </w:t>
            </w:r>
            <w:r>
              <w:rPr>
                <w:rFonts w:ascii="Calibri" w:hAnsi="Calibri"/>
                <w:b/>
                <w:sz w:val="13"/>
              </w:rPr>
              <w:t>(PR</w:t>
            </w:r>
            <w:r>
              <w:rPr>
                <w:rFonts w:ascii="Calibri" w:hAnsi="Calibri"/>
                <w:b/>
                <w:spacing w:val="-8"/>
                <w:sz w:val="13"/>
              </w:rPr>
              <w:t> </w:t>
            </w:r>
            <w:r>
              <w:rPr>
                <w:rFonts w:ascii="Calibri" w:hAnsi="Calibri"/>
                <w:b/>
                <w:sz w:val="13"/>
              </w:rPr>
              <w:t>≥32%)</w:t>
            </w:r>
          </w:p>
        </w:tc>
        <w:tc>
          <w:tcPr>
            <w:tcW w:w="615" w:type="dxa"/>
            <w:tcBorders>
              <w:left w:val="single" w:sz="6" w:space="0" w:color="DADCDD"/>
              <w:right w:val="single" w:sz="6" w:space="0" w:color="DADCDD"/>
            </w:tcBorders>
          </w:tcPr>
          <w:p>
            <w:pPr>
              <w:pStyle w:val="TableParagraph"/>
              <w:spacing w:line="264" w:lineRule="auto" w:before="109"/>
              <w:ind w:left="18" w:right="21"/>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59872">
                      <wp:simplePos x="0" y="0"/>
                      <wp:positionH relativeFrom="column">
                        <wp:posOffset>276252</wp:posOffset>
                      </wp:positionH>
                      <wp:positionV relativeFrom="paragraph">
                        <wp:posOffset>446964</wp:posOffset>
                      </wp:positionV>
                      <wp:extent cx="111125" cy="111125"/>
                      <wp:effectExtent l="0" t="0" r="0" b="0"/>
                      <wp:wrapNone/>
                      <wp:docPr id="238" name="Group 238"/>
                      <wp:cNvGraphicFramePr>
                        <a:graphicFrameLocks/>
                      </wp:cNvGraphicFramePr>
                      <a:graphic>
                        <a:graphicData uri="http://schemas.microsoft.com/office/word/2010/wordprocessingGroup">
                          <wpg:wgp>
                            <wpg:cNvPr id="238" name="Group 238"/>
                            <wpg:cNvGrpSpPr/>
                            <wpg:grpSpPr>
                              <a:xfrm>
                                <a:off x="0" y="0"/>
                                <a:ext cx="111125" cy="111125"/>
                                <a:chExt cx="111125" cy="111125"/>
                              </a:xfrm>
                            </wpg:grpSpPr>
                            <pic:pic>
                              <pic:nvPicPr>
                                <pic:cNvPr id="239" name="Image 239"/>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1.752197pt;margin-top:35.19408pt;width:8.75pt;height:8.75pt;mso-position-horizontal-relative:column;mso-position-vertical-relative:paragraph;z-index:15759872" id="docshapegroup173" coordorigin="435,704" coordsize="175,175">
                      <v:shape style="position:absolute;left:435;top:703;width:175;height:175" type="#_x0000_t75" id="docshape174" stroked="false">
                        <v:imagedata r:id="rId89" o:title=""/>
                      </v:shape>
                      <w10:wrap type="none"/>
                    </v:group>
                  </w:pict>
                </mc:Fallback>
              </mc:AlternateContent>
            </w:r>
            <w:r>
              <w:rPr>
                <w:rFonts w:ascii="Calibri" w:hAnsi="Calibri"/>
                <w:b/>
                <w:spacing w:val="-2"/>
                <w:sz w:val="13"/>
              </w:rPr>
              <w:t>Непрогре</w:t>
            </w:r>
            <w:r>
              <w:rPr>
                <w:rFonts w:ascii="Calibri" w:hAnsi="Calibri"/>
                <w:b/>
                <w:spacing w:val="40"/>
                <w:sz w:val="13"/>
              </w:rPr>
              <w:t> </w:t>
            </w:r>
            <w:r>
              <w:rPr>
                <w:rFonts w:ascii="Calibri" w:hAnsi="Calibri"/>
                <w:b/>
                <w:sz w:val="13"/>
              </w:rPr>
              <w:t>ссивно-</w:t>
            </w:r>
            <w:r>
              <w:rPr>
                <w:rFonts w:ascii="Calibri" w:hAnsi="Calibri"/>
                <w:b/>
                <w:spacing w:val="-2"/>
                <w:sz w:val="13"/>
              </w:rPr>
              <w:t>подвиж</w:t>
            </w:r>
            <w:r>
              <w:rPr>
                <w:rFonts w:ascii="Calibri" w:hAnsi="Calibri"/>
                <w:b/>
                <w:spacing w:val="40"/>
                <w:sz w:val="13"/>
              </w:rPr>
              <w:t> </w:t>
            </w:r>
            <w:r>
              <w:rPr>
                <w:rFonts w:ascii="Calibri" w:hAnsi="Calibri"/>
                <w:b/>
                <w:sz w:val="13"/>
              </w:rPr>
              <w:t>(NP,</w:t>
            </w:r>
            <w:r>
              <w:rPr>
                <w:rFonts w:ascii="Calibri" w:hAnsi="Calibri"/>
                <w:b/>
                <w:spacing w:val="-8"/>
                <w:sz w:val="13"/>
              </w:rPr>
              <w:t> </w:t>
            </w:r>
            <w:r>
              <w:rPr>
                <w:rFonts w:ascii="Calibri" w:hAnsi="Calibri"/>
                <w:b/>
                <w:sz w:val="13"/>
              </w:rPr>
              <w:t>%)</w:t>
            </w:r>
          </w:p>
        </w:tc>
        <w:tc>
          <w:tcPr>
            <w:tcW w:w="595" w:type="dxa"/>
            <w:tcBorders>
              <w:left w:val="single" w:sz="6" w:space="0" w:color="DADCDD"/>
              <w:right w:val="single" w:sz="6" w:space="0" w:color="DADCDD"/>
            </w:tcBorders>
          </w:tcPr>
          <w:p>
            <w:pPr>
              <w:pStyle w:val="TableParagraph"/>
              <w:spacing w:before="41"/>
              <w:rPr>
                <w:b/>
                <w:sz w:val="13"/>
              </w:rPr>
            </w:pPr>
          </w:p>
          <w:p>
            <w:pPr>
              <w:pStyle w:val="TableParagraph"/>
              <w:spacing w:line="264" w:lineRule="auto" w:before="1"/>
              <w:ind w:left="99" w:right="35" w:hanging="72"/>
              <w:rPr>
                <w:rFonts w:ascii="Calibri" w:hAnsi="Calibri"/>
                <w:b/>
                <w:sz w:val="13"/>
              </w:rPr>
            </w:pPr>
            <w:r>
              <w:rPr>
                <w:rFonts w:ascii="Calibri" w:hAnsi="Calibri"/>
                <w:b/>
                <w:spacing w:val="-2"/>
                <w:sz w:val="13"/>
              </w:rPr>
              <w:t>Неподви</w:t>
            </w:r>
            <w:r>
              <w:rPr>
                <w:rFonts w:ascii="Calibri" w:hAnsi="Calibri"/>
                <w:b/>
                <w:spacing w:val="40"/>
                <w:sz w:val="13"/>
              </w:rPr>
              <w:t> </w:t>
            </w:r>
            <w:r>
              <w:rPr>
                <w:rFonts w:ascii="Calibri" w:hAnsi="Calibri"/>
                <w:b/>
                <w:spacing w:val="-4"/>
                <w:sz w:val="13"/>
              </w:rPr>
              <w:t>жные</w:t>
            </w:r>
            <w:r>
              <w:rPr>
                <w:rFonts w:ascii="Calibri" w:hAnsi="Calibri"/>
                <w:b/>
                <w:spacing w:val="40"/>
                <w:sz w:val="13"/>
              </w:rPr>
              <w:t> </w:t>
            </w:r>
            <w:r>
              <w:rPr>
                <w:rFonts w:ascii="Calibri" w:hAnsi="Calibri"/>
                <w:b/>
                <w:sz w:val="13"/>
              </w:rPr>
              <w:t>(IM,</w:t>
            </w:r>
            <w:r>
              <w:rPr>
                <w:rFonts w:ascii="Calibri" w:hAnsi="Calibri"/>
                <w:b/>
                <w:spacing w:val="-8"/>
                <w:sz w:val="13"/>
              </w:rPr>
              <w:t> </w:t>
            </w:r>
            <w:r>
              <w:rPr>
                <w:rFonts w:ascii="Calibri" w:hAnsi="Calibri"/>
                <w:b/>
                <w:sz w:val="13"/>
              </w:rPr>
              <w:t>%)</w:t>
            </w:r>
          </w:p>
          <w:p>
            <w:pPr>
              <w:pStyle w:val="TableParagraph"/>
              <w:spacing w:line="163" w:lineRule="exact"/>
              <w:ind w:left="406" w:right="-44"/>
              <w:rPr>
                <w:position w:val="-2"/>
                <w:sz w:val="16"/>
              </w:rPr>
            </w:pPr>
            <w:r>
              <w:rPr>
                <w:position w:val="-2"/>
                <w:sz w:val="16"/>
              </w:rPr>
              <w:drawing>
                <wp:inline distT="0" distB="0" distL="0" distR="0">
                  <wp:extent cx="110003" cy="103632"/>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89" cstate="print"/>
                          <a:stretch>
                            <a:fillRect/>
                          </a:stretch>
                        </pic:blipFill>
                        <pic:spPr>
                          <a:xfrm>
                            <a:off x="0" y="0"/>
                            <a:ext cx="110003" cy="103632"/>
                          </a:xfrm>
                          <a:prstGeom prst="rect">
                            <a:avLst/>
                          </a:prstGeom>
                        </pic:spPr>
                      </pic:pic>
                    </a:graphicData>
                  </a:graphic>
                </wp:inline>
              </w:drawing>
            </w:r>
            <w:r>
              <w:rPr>
                <w:position w:val="-2"/>
                <w:sz w:val="16"/>
              </w:rPr>
            </w:r>
          </w:p>
        </w:tc>
        <w:tc>
          <w:tcPr>
            <w:tcW w:w="626" w:type="dxa"/>
            <w:tcBorders>
              <w:left w:val="single" w:sz="6" w:space="0" w:color="DADCDD"/>
              <w:right w:val="single" w:sz="6" w:space="0" w:color="DADCDD"/>
            </w:tcBorders>
          </w:tcPr>
          <w:p>
            <w:pPr>
              <w:pStyle w:val="TableParagraph"/>
              <w:spacing w:line="264" w:lineRule="auto" w:before="109"/>
              <w:ind w:left="20" w:right="18"/>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60384">
                      <wp:simplePos x="0" y="0"/>
                      <wp:positionH relativeFrom="column">
                        <wp:posOffset>282753</wp:posOffset>
                      </wp:positionH>
                      <wp:positionV relativeFrom="paragraph">
                        <wp:posOffset>446964</wp:posOffset>
                      </wp:positionV>
                      <wp:extent cx="111125" cy="111125"/>
                      <wp:effectExtent l="0" t="0" r="0" b="0"/>
                      <wp:wrapNone/>
                      <wp:docPr id="241" name="Group 241"/>
                      <wp:cNvGraphicFramePr>
                        <a:graphicFrameLocks/>
                      </wp:cNvGraphicFramePr>
                      <a:graphic>
                        <a:graphicData uri="http://schemas.microsoft.com/office/word/2010/wordprocessingGroup">
                          <wpg:wgp>
                            <wpg:cNvPr id="241" name="Group 241"/>
                            <wpg:cNvGrpSpPr/>
                            <wpg:grpSpPr>
                              <a:xfrm>
                                <a:off x="0" y="0"/>
                                <a:ext cx="111125" cy="111125"/>
                                <a:chExt cx="111125" cy="111125"/>
                              </a:xfrm>
                            </wpg:grpSpPr>
                            <pic:pic>
                              <pic:nvPicPr>
                                <pic:cNvPr id="242" name="Image 242"/>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2.264069pt;margin-top:35.19408pt;width:8.75pt;height:8.75pt;mso-position-horizontal-relative:column;mso-position-vertical-relative:paragraph;z-index:15760384" id="docshapegroup175" coordorigin="445,704" coordsize="175,175">
                      <v:shape style="position:absolute;left:445;top:703;width:175;height:175" type="#_x0000_t75" id="docshape176" stroked="false">
                        <v:imagedata r:id="rId89" o:title=""/>
                      </v:shape>
                      <w10:wrap type="none"/>
                    </v:group>
                  </w:pict>
                </mc:Fallback>
              </mc:AlternateContent>
            </w:r>
            <w:r>
              <w:rPr>
                <w:rFonts w:ascii="Calibri" w:hAnsi="Calibri"/>
                <w:b/>
                <w:spacing w:val="-2"/>
                <w:sz w:val="13"/>
              </w:rPr>
              <w:t>Нормаль</w:t>
            </w:r>
            <w:r>
              <w:rPr>
                <w:rFonts w:ascii="Calibri" w:hAnsi="Calibri"/>
                <w:b/>
                <w:spacing w:val="40"/>
                <w:sz w:val="13"/>
              </w:rPr>
              <w:t> </w:t>
            </w:r>
            <w:r>
              <w:rPr>
                <w:rFonts w:ascii="Calibri" w:hAnsi="Calibri"/>
                <w:b/>
                <w:spacing w:val="-4"/>
                <w:sz w:val="13"/>
              </w:rPr>
              <w:t>ные</w:t>
            </w:r>
            <w:r>
              <w:rPr>
                <w:rFonts w:ascii="Calibri" w:hAnsi="Calibri"/>
                <w:b/>
                <w:spacing w:val="40"/>
                <w:sz w:val="13"/>
              </w:rPr>
              <w:t> </w:t>
            </w:r>
            <w:r>
              <w:rPr>
                <w:rFonts w:ascii="Calibri" w:hAnsi="Calibri"/>
                <w:b/>
                <w:spacing w:val="-2"/>
                <w:sz w:val="13"/>
              </w:rPr>
              <w:t>формы</w:t>
            </w:r>
            <w:r>
              <w:rPr>
                <w:rFonts w:ascii="Calibri" w:hAnsi="Calibri"/>
                <w:b/>
                <w:spacing w:val="40"/>
                <w:sz w:val="13"/>
              </w:rPr>
              <w:t> </w:t>
            </w:r>
            <w:r>
              <w:rPr>
                <w:rFonts w:ascii="Calibri" w:hAnsi="Calibri"/>
                <w:b/>
                <w:spacing w:val="-2"/>
                <w:sz w:val="13"/>
              </w:rPr>
              <w:t>(≥4%)</w:t>
            </w:r>
          </w:p>
        </w:tc>
        <w:tc>
          <w:tcPr>
            <w:tcW w:w="534" w:type="dxa"/>
            <w:tcBorders>
              <w:left w:val="single" w:sz="6" w:space="0" w:color="DADCDD"/>
              <w:right w:val="single" w:sz="6" w:space="0" w:color="DADCDD"/>
            </w:tcBorders>
          </w:tcPr>
          <w:p>
            <w:pPr>
              <w:pStyle w:val="TableParagraph"/>
              <w:spacing w:line="264" w:lineRule="auto" w:before="109"/>
              <w:ind w:left="25" w:right="45" w:firstLine="7"/>
              <w:jc w:val="center"/>
              <w:rPr>
                <w:rFonts w:ascii="Calibri" w:hAnsi="Calibri"/>
                <w:b/>
                <w:sz w:val="13"/>
              </w:rPr>
            </w:pPr>
            <w:r>
              <w:rPr>
                <w:rFonts w:ascii="Calibri" w:hAnsi="Calibri"/>
                <w:b/>
                <w:spacing w:val="-2"/>
                <w:sz w:val="13"/>
              </w:rPr>
              <w:t>Лейкоц</w:t>
            </w:r>
            <w:r>
              <w:rPr>
                <w:rFonts w:ascii="Calibri" w:hAnsi="Calibri"/>
                <w:b/>
                <w:spacing w:val="40"/>
                <w:sz w:val="13"/>
              </w:rPr>
              <w:t> </w:t>
            </w:r>
            <w:r>
              <w:rPr>
                <w:rFonts w:ascii="Calibri" w:hAnsi="Calibri"/>
                <w:b/>
                <w:sz w:val="13"/>
              </w:rPr>
              <w:t>иты</w:t>
            </w:r>
            <w:r>
              <w:rPr>
                <w:rFonts w:ascii="Calibri" w:hAnsi="Calibri"/>
                <w:b/>
                <w:spacing w:val="-8"/>
                <w:sz w:val="13"/>
              </w:rPr>
              <w:t> </w:t>
            </w:r>
            <w:r>
              <w:rPr>
                <w:rFonts w:ascii="Calibri" w:hAnsi="Calibri"/>
                <w:b/>
                <w:sz w:val="13"/>
              </w:rPr>
              <w:t>(≤</w:t>
            </w:r>
            <w:r>
              <w:rPr>
                <w:rFonts w:ascii="Calibri" w:hAnsi="Calibri"/>
                <w:b/>
                <w:spacing w:val="-7"/>
                <w:sz w:val="13"/>
              </w:rPr>
              <w:t> </w:t>
            </w:r>
            <w:r>
              <w:rPr>
                <w:rFonts w:ascii="Calibri" w:hAnsi="Calibri"/>
                <w:b/>
                <w:sz w:val="13"/>
              </w:rPr>
              <w:t>1</w:t>
            </w:r>
            <w:r>
              <w:rPr>
                <w:rFonts w:ascii="Calibri" w:hAnsi="Calibri"/>
                <w:b/>
                <w:spacing w:val="40"/>
                <w:sz w:val="13"/>
              </w:rPr>
              <w:t> </w:t>
            </w:r>
            <w:r>
              <w:rPr>
                <w:rFonts w:ascii="Calibri" w:hAnsi="Calibri"/>
                <w:b/>
                <w:spacing w:val="-4"/>
                <w:sz w:val="13"/>
              </w:rPr>
              <w:t>млн</w:t>
            </w:r>
          </w:p>
          <w:p>
            <w:pPr>
              <w:pStyle w:val="TableParagraph"/>
              <w:spacing w:line="157" w:lineRule="exact"/>
              <w:ind w:left="8" w:right="23"/>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60896">
                      <wp:simplePos x="0" y="0"/>
                      <wp:positionH relativeFrom="column">
                        <wp:posOffset>224245</wp:posOffset>
                      </wp:positionH>
                      <wp:positionV relativeFrom="paragraph">
                        <wp:posOffset>45211</wp:posOffset>
                      </wp:positionV>
                      <wp:extent cx="111125" cy="111125"/>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111125" cy="111125"/>
                                <a:chExt cx="111125" cy="111125"/>
                              </a:xfrm>
                            </wpg:grpSpPr>
                            <pic:pic>
                              <pic:nvPicPr>
                                <pic:cNvPr id="244" name="Image 244"/>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17.657099pt;margin-top:3.559998pt;width:8.75pt;height:8.75pt;mso-position-horizontal-relative:column;mso-position-vertical-relative:paragraph;z-index:15760896" id="docshapegroup177" coordorigin="353,71" coordsize="175,175">
                      <v:shape style="position:absolute;left:353;top:71;width:175;height:175" type="#_x0000_t75" id="docshape178" stroked="false">
                        <v:imagedata r:id="rId89" o:title=""/>
                      </v:shape>
                      <w10:wrap type="none"/>
                    </v:group>
                  </w:pict>
                </mc:Fallback>
              </mc:AlternateContent>
            </w:r>
            <w:r>
              <w:rPr>
                <w:rFonts w:ascii="Calibri" w:hAnsi="Calibri"/>
                <w:b/>
                <w:spacing w:val="-4"/>
                <w:sz w:val="13"/>
              </w:rPr>
              <w:t>/мл)</w:t>
            </w:r>
          </w:p>
        </w:tc>
        <w:tc>
          <w:tcPr>
            <w:tcW w:w="503" w:type="dxa"/>
            <w:tcBorders>
              <w:left w:val="single" w:sz="6" w:space="0" w:color="DADCDD"/>
            </w:tcBorders>
          </w:tcPr>
          <w:p>
            <w:pPr>
              <w:pStyle w:val="TableParagraph"/>
              <w:spacing w:before="41"/>
              <w:rPr>
                <w:b/>
                <w:sz w:val="13"/>
              </w:rPr>
            </w:pPr>
          </w:p>
          <w:p>
            <w:pPr>
              <w:pStyle w:val="TableParagraph"/>
              <w:spacing w:line="264" w:lineRule="auto" w:before="1"/>
              <w:ind w:left="30" w:right="39"/>
              <w:jc w:val="center"/>
              <w:rPr>
                <w:rFonts w:ascii="Calibri" w:hAnsi="Calibri"/>
                <w:b/>
                <w:sz w:val="13"/>
              </w:rPr>
            </w:pPr>
            <w:r>
              <w:rPr>
                <w:rFonts w:ascii="Calibri" w:hAnsi="Calibri"/>
                <w:b/>
                <w:spacing w:val="-2"/>
                <w:sz w:val="13"/>
              </w:rPr>
              <w:t>Эритро</w:t>
            </w:r>
            <w:r>
              <w:rPr>
                <w:rFonts w:ascii="Calibri" w:hAnsi="Calibri"/>
                <w:b/>
                <w:spacing w:val="40"/>
                <w:sz w:val="13"/>
              </w:rPr>
              <w:t> </w:t>
            </w:r>
            <w:r>
              <w:rPr>
                <w:rFonts w:ascii="Calibri" w:hAnsi="Calibri"/>
                <w:b/>
                <w:spacing w:val="-4"/>
                <w:sz w:val="13"/>
              </w:rPr>
              <w:t>циты</w:t>
            </w:r>
            <w:r>
              <w:rPr>
                <w:rFonts w:ascii="Calibri" w:hAnsi="Calibri"/>
                <w:b/>
                <w:spacing w:val="40"/>
                <w:sz w:val="13"/>
              </w:rPr>
              <w:t> </w:t>
            </w:r>
            <w:r>
              <w:rPr>
                <w:rFonts w:ascii="Calibri" w:hAnsi="Calibri"/>
                <w:b/>
                <w:spacing w:val="-2"/>
                <w:sz w:val="13"/>
              </w:rPr>
              <w:t>(отсут)</w:t>
            </w:r>
          </w:p>
          <w:p>
            <w:pPr>
              <w:pStyle w:val="TableParagraph"/>
              <w:spacing w:line="163" w:lineRule="exact"/>
              <w:ind w:left="310" w:right="-44"/>
              <w:rPr>
                <w:position w:val="-2"/>
                <w:sz w:val="16"/>
              </w:rPr>
            </w:pPr>
            <w:r>
              <w:rPr>
                <w:position w:val="-2"/>
                <w:sz w:val="16"/>
              </w:rPr>
              <w:drawing>
                <wp:inline distT="0" distB="0" distL="0" distR="0">
                  <wp:extent cx="110507" cy="103632"/>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89" cstate="print"/>
                          <a:stretch>
                            <a:fillRect/>
                          </a:stretch>
                        </pic:blipFill>
                        <pic:spPr>
                          <a:xfrm>
                            <a:off x="0" y="0"/>
                            <a:ext cx="110507" cy="103632"/>
                          </a:xfrm>
                          <a:prstGeom prst="rect">
                            <a:avLst/>
                          </a:prstGeom>
                        </pic:spPr>
                      </pic:pic>
                    </a:graphicData>
                  </a:graphic>
                </wp:inline>
              </w:drawing>
            </w:r>
            <w:r>
              <w:rPr>
                <w:position w:val="-2"/>
                <w:sz w:val="16"/>
              </w:rPr>
            </w:r>
          </w:p>
        </w:tc>
        <w:tc>
          <w:tcPr>
            <w:tcW w:w="585" w:type="dxa"/>
            <w:tcBorders>
              <w:right w:val="single" w:sz="6" w:space="0" w:color="DADCDD"/>
            </w:tcBorders>
          </w:tcPr>
          <w:p>
            <w:pPr>
              <w:pStyle w:val="TableParagraph"/>
              <w:spacing w:line="264" w:lineRule="auto" w:before="109"/>
              <w:ind w:right="7"/>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61408">
                      <wp:simplePos x="0" y="0"/>
                      <wp:positionH relativeFrom="column">
                        <wp:posOffset>256749</wp:posOffset>
                      </wp:positionH>
                      <wp:positionV relativeFrom="paragraph">
                        <wp:posOffset>446964</wp:posOffset>
                      </wp:positionV>
                      <wp:extent cx="111125" cy="111125"/>
                      <wp:effectExtent l="0" t="0" r="0" b="0"/>
                      <wp:wrapNone/>
                      <wp:docPr id="246" name="Group 246"/>
                      <wp:cNvGraphicFramePr>
                        <a:graphicFrameLocks/>
                      </wp:cNvGraphicFramePr>
                      <a:graphic>
                        <a:graphicData uri="http://schemas.microsoft.com/office/word/2010/wordprocessingGroup">
                          <wpg:wgp>
                            <wpg:cNvPr id="246" name="Group 246"/>
                            <wpg:cNvGrpSpPr/>
                            <wpg:grpSpPr>
                              <a:xfrm>
                                <a:off x="0" y="0"/>
                                <a:ext cx="111125" cy="111125"/>
                                <a:chExt cx="111125" cy="111125"/>
                              </a:xfrm>
                            </wpg:grpSpPr>
                            <pic:pic>
                              <pic:nvPicPr>
                                <pic:cNvPr id="247" name="Image 247"/>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0.216469pt;margin-top:35.19408pt;width:8.75pt;height:8.75pt;mso-position-horizontal-relative:column;mso-position-vertical-relative:paragraph;z-index:15761408" id="docshapegroup179" coordorigin="404,704" coordsize="175,175">
                      <v:shape style="position:absolute;left:404;top:703;width:175;height:175" type="#_x0000_t75" id="docshape180" stroked="false">
                        <v:imagedata r:id="rId89" o:title=""/>
                      </v:shape>
                      <w10:wrap type="none"/>
                    </v:group>
                  </w:pict>
                </mc:Fallback>
              </mc:AlternateContent>
            </w:r>
            <w:r>
              <w:rPr>
                <w:rFonts w:ascii="Calibri" w:hAnsi="Calibri"/>
                <w:b/>
                <w:spacing w:val="-2"/>
                <w:sz w:val="13"/>
              </w:rPr>
              <w:t>Вязкость</w:t>
            </w:r>
            <w:r>
              <w:rPr>
                <w:rFonts w:ascii="Calibri" w:hAnsi="Calibri"/>
                <w:b/>
                <w:spacing w:val="40"/>
                <w:sz w:val="13"/>
              </w:rPr>
              <w:t> </w:t>
            </w:r>
            <w:r>
              <w:rPr>
                <w:rFonts w:ascii="Calibri" w:hAnsi="Calibri"/>
                <w:b/>
                <w:spacing w:val="-2"/>
                <w:sz w:val="13"/>
              </w:rPr>
              <w:t>эякулята</w:t>
            </w:r>
            <w:r>
              <w:rPr>
                <w:rFonts w:ascii="Calibri" w:hAnsi="Calibri"/>
                <w:b/>
                <w:spacing w:val="40"/>
                <w:sz w:val="13"/>
              </w:rPr>
              <w:t> </w:t>
            </w:r>
            <w:r>
              <w:rPr>
                <w:rFonts w:ascii="Calibri" w:hAnsi="Calibri"/>
                <w:b/>
                <w:sz w:val="13"/>
              </w:rPr>
              <w:t>(≤2</w:t>
            </w:r>
            <w:r>
              <w:rPr>
                <w:rFonts w:ascii="Calibri" w:hAnsi="Calibri"/>
                <w:b/>
                <w:spacing w:val="-1"/>
                <w:sz w:val="13"/>
              </w:rPr>
              <w:t> </w:t>
            </w:r>
            <w:r>
              <w:rPr>
                <w:rFonts w:ascii="Calibri" w:hAnsi="Calibri"/>
                <w:b/>
                <w:sz w:val="13"/>
              </w:rPr>
              <w:t>см),</w:t>
            </w:r>
            <w:r>
              <w:rPr>
                <w:rFonts w:ascii="Calibri" w:hAnsi="Calibri"/>
                <w:b/>
                <w:spacing w:val="40"/>
                <w:sz w:val="13"/>
              </w:rPr>
              <w:t> </w:t>
            </w:r>
            <w:r>
              <w:rPr>
                <w:rFonts w:ascii="Calibri" w:hAnsi="Calibri"/>
                <w:b/>
                <w:spacing w:val="-4"/>
                <w:sz w:val="13"/>
              </w:rPr>
              <w:t>чел</w:t>
            </w:r>
          </w:p>
        </w:tc>
        <w:tc>
          <w:tcPr>
            <w:tcW w:w="616" w:type="dxa"/>
            <w:tcBorders>
              <w:left w:val="single" w:sz="6" w:space="0" w:color="DADCDD"/>
              <w:right w:val="single" w:sz="6" w:space="0" w:color="DADCDD"/>
            </w:tcBorders>
          </w:tcPr>
          <w:p>
            <w:pPr>
              <w:pStyle w:val="TableParagraph"/>
              <w:spacing w:line="264" w:lineRule="auto" w:before="17"/>
              <w:ind w:left="82" w:right="102" w:hanging="5"/>
              <w:jc w:val="center"/>
              <w:rPr>
                <w:rFonts w:ascii="Calibri" w:hAnsi="Calibri"/>
                <w:b/>
                <w:sz w:val="13"/>
              </w:rPr>
            </w:pPr>
            <w:r>
              <w:rPr>
                <w:rFonts w:ascii="Calibri" w:hAnsi="Calibri"/>
                <w:b/>
                <w:spacing w:val="-2"/>
                <w:sz w:val="13"/>
              </w:rPr>
              <w:t>Агглют</w:t>
            </w:r>
            <w:r>
              <w:rPr>
                <w:rFonts w:ascii="Calibri" w:hAnsi="Calibri"/>
                <w:b/>
                <w:spacing w:val="40"/>
                <w:sz w:val="13"/>
              </w:rPr>
              <w:t> </w:t>
            </w:r>
            <w:r>
              <w:rPr>
                <w:rFonts w:ascii="Calibri" w:hAnsi="Calibri"/>
                <w:b/>
                <w:sz w:val="13"/>
              </w:rPr>
              <w:t>сперм-</w:t>
            </w:r>
            <w:r>
              <w:rPr>
                <w:rFonts w:ascii="Calibri" w:hAnsi="Calibri"/>
                <w:b/>
                <w:spacing w:val="-4"/>
                <w:sz w:val="13"/>
              </w:rPr>
              <w:t>дов</w:t>
            </w:r>
            <w:r>
              <w:rPr>
                <w:rFonts w:ascii="Calibri" w:hAnsi="Calibri"/>
                <w:b/>
                <w:spacing w:val="40"/>
                <w:sz w:val="13"/>
              </w:rPr>
              <w:t> </w:t>
            </w:r>
            <w:r>
              <w:rPr>
                <w:rFonts w:ascii="Calibri" w:hAnsi="Calibri"/>
                <w:b/>
                <w:spacing w:val="-2"/>
                <w:sz w:val="13"/>
              </w:rPr>
              <w:t>(отсут).</w:t>
            </w:r>
          </w:p>
          <w:p>
            <w:pPr>
              <w:pStyle w:val="TableParagraph"/>
              <w:spacing w:line="151" w:lineRule="exact"/>
              <w:ind w:left="184"/>
              <w:rPr>
                <w:rFonts w:ascii="Calibri" w:hAnsi="Calibri"/>
                <w:b/>
                <w:position w:val="-3"/>
                <w:sz w:val="13"/>
              </w:rPr>
            </w:pPr>
            <w:r>
              <w:rPr>
                <w:rFonts w:ascii="Calibri" w:hAnsi="Calibri"/>
                <w:b/>
                <w:sz w:val="13"/>
              </w:rPr>
              <w:t>Чел</w:t>
            </w:r>
            <w:r>
              <w:rPr>
                <w:rFonts w:ascii="Calibri" w:hAnsi="Calibri"/>
                <w:b/>
                <w:spacing w:val="-19"/>
                <w:sz w:val="13"/>
              </w:rPr>
              <w:t> </w:t>
            </w:r>
            <w:r>
              <w:rPr>
                <w:rFonts w:ascii="Calibri" w:hAnsi="Calibri"/>
                <w:b/>
                <w:spacing w:val="-8"/>
                <w:position w:val="-3"/>
                <w:sz w:val="13"/>
              </w:rPr>
              <w:drawing>
                <wp:inline distT="0" distB="0" distL="0" distR="0">
                  <wp:extent cx="110515" cy="110555"/>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89" cstate="print"/>
                          <a:stretch>
                            <a:fillRect/>
                          </a:stretch>
                        </pic:blipFill>
                        <pic:spPr>
                          <a:xfrm>
                            <a:off x="0" y="0"/>
                            <a:ext cx="110515" cy="110555"/>
                          </a:xfrm>
                          <a:prstGeom prst="rect">
                            <a:avLst/>
                          </a:prstGeom>
                        </pic:spPr>
                      </pic:pic>
                    </a:graphicData>
                  </a:graphic>
                </wp:inline>
              </w:drawing>
            </w:r>
            <w:r>
              <w:rPr>
                <w:rFonts w:ascii="Calibri" w:hAnsi="Calibri"/>
                <w:b/>
                <w:spacing w:val="-8"/>
                <w:position w:val="-3"/>
                <w:sz w:val="13"/>
              </w:rPr>
            </w:r>
          </w:p>
        </w:tc>
        <w:tc>
          <w:tcPr>
            <w:tcW w:w="493" w:type="dxa"/>
            <w:tcBorders>
              <w:left w:val="single" w:sz="6" w:space="0" w:color="DADCDD"/>
              <w:right w:val="single" w:sz="6" w:space="0" w:color="DADCDD"/>
            </w:tcBorders>
          </w:tcPr>
          <w:p>
            <w:pPr>
              <w:pStyle w:val="TableParagraph"/>
              <w:spacing w:line="264" w:lineRule="auto" w:before="109"/>
              <w:ind w:left="29" w:right="43" w:firstLine="10"/>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61920">
                      <wp:simplePos x="0" y="0"/>
                      <wp:positionH relativeFrom="column">
                        <wp:posOffset>198241</wp:posOffset>
                      </wp:positionH>
                      <wp:positionV relativeFrom="paragraph">
                        <wp:posOffset>446964</wp:posOffset>
                      </wp:positionV>
                      <wp:extent cx="111125" cy="111125"/>
                      <wp:effectExtent l="0" t="0" r="0" b="0"/>
                      <wp:wrapNone/>
                      <wp:docPr id="249" name="Group 249"/>
                      <wp:cNvGraphicFramePr>
                        <a:graphicFrameLocks/>
                      </wp:cNvGraphicFramePr>
                      <a:graphic>
                        <a:graphicData uri="http://schemas.microsoft.com/office/word/2010/wordprocessingGroup">
                          <wpg:wgp>
                            <wpg:cNvPr id="249" name="Group 249"/>
                            <wpg:cNvGrpSpPr/>
                            <wpg:grpSpPr>
                              <a:xfrm>
                                <a:off x="0" y="0"/>
                                <a:ext cx="111125" cy="111125"/>
                                <a:chExt cx="111125" cy="111125"/>
                              </a:xfrm>
                            </wpg:grpSpPr>
                            <pic:pic>
                              <pic:nvPicPr>
                                <pic:cNvPr id="250" name="Image 250"/>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15.609545pt;margin-top:35.19408pt;width:8.75pt;height:8.75pt;mso-position-horizontal-relative:column;mso-position-vertical-relative:paragraph;z-index:15761920" id="docshapegroup181" coordorigin="312,704" coordsize="175,175">
                      <v:shape style="position:absolute;left:312;top:703;width:175;height:175" type="#_x0000_t75" id="docshape182" stroked="false">
                        <v:imagedata r:id="rId89" o:title=""/>
                      </v:shape>
                      <w10:wrap type="none"/>
                    </v:group>
                  </w:pict>
                </mc:Fallback>
              </mc:AlternateContent>
            </w:r>
            <w:r>
              <w:rPr>
                <w:rFonts w:ascii="Calibri" w:hAnsi="Calibri"/>
                <w:b/>
                <w:spacing w:val="-2"/>
                <w:sz w:val="13"/>
              </w:rPr>
              <w:t>Агрега</w:t>
            </w:r>
            <w:r>
              <w:rPr>
                <w:rFonts w:ascii="Calibri" w:hAnsi="Calibri"/>
                <w:b/>
                <w:spacing w:val="40"/>
                <w:sz w:val="13"/>
              </w:rPr>
              <w:t> </w:t>
            </w:r>
            <w:r>
              <w:rPr>
                <w:rFonts w:ascii="Calibri" w:hAnsi="Calibri"/>
                <w:b/>
                <w:spacing w:val="-4"/>
                <w:sz w:val="13"/>
              </w:rPr>
              <w:t>ция</w:t>
            </w:r>
            <w:r>
              <w:rPr>
                <w:rFonts w:ascii="Calibri" w:hAnsi="Calibri"/>
                <w:b/>
                <w:spacing w:val="40"/>
                <w:sz w:val="13"/>
              </w:rPr>
              <w:t> </w:t>
            </w:r>
            <w:r>
              <w:rPr>
                <w:rFonts w:ascii="Calibri" w:hAnsi="Calibri"/>
                <w:b/>
                <w:spacing w:val="-2"/>
                <w:sz w:val="13"/>
              </w:rPr>
              <w:t>(отсут),</w:t>
            </w:r>
            <w:r>
              <w:rPr>
                <w:rFonts w:ascii="Calibri" w:hAnsi="Calibri"/>
                <w:b/>
                <w:spacing w:val="40"/>
                <w:sz w:val="13"/>
              </w:rPr>
              <w:t> </w:t>
            </w:r>
            <w:r>
              <w:rPr>
                <w:rFonts w:ascii="Calibri" w:hAnsi="Calibri"/>
                <w:b/>
                <w:spacing w:val="-4"/>
                <w:sz w:val="13"/>
              </w:rPr>
              <w:t>чел</w:t>
            </w:r>
          </w:p>
        </w:tc>
        <w:tc>
          <w:tcPr>
            <w:tcW w:w="473" w:type="dxa"/>
            <w:tcBorders>
              <w:left w:val="single" w:sz="6" w:space="0" w:color="DADCDD"/>
            </w:tcBorders>
          </w:tcPr>
          <w:p>
            <w:pPr>
              <w:pStyle w:val="TableParagraph"/>
              <w:spacing w:before="134"/>
              <w:rPr>
                <w:b/>
                <w:sz w:val="13"/>
              </w:rPr>
            </w:pPr>
          </w:p>
          <w:p>
            <w:pPr>
              <w:pStyle w:val="TableParagraph"/>
              <w:ind w:left="37"/>
              <w:rPr>
                <w:rFonts w:ascii="Calibri"/>
                <w:b/>
                <w:sz w:val="13"/>
              </w:rPr>
            </w:pPr>
            <w:r>
              <w:rPr>
                <w:rFonts w:ascii="Calibri"/>
                <w:b/>
                <w:spacing w:val="-2"/>
                <w:sz w:val="13"/>
              </w:rPr>
              <w:t>MAR+,</w:t>
            </w:r>
          </w:p>
          <w:p>
            <w:pPr>
              <w:pStyle w:val="TableParagraph"/>
              <w:spacing w:before="15"/>
              <w:ind w:left="119"/>
              <w:rPr>
                <w:rFonts w:ascii="Calibri" w:hAnsi="Calibri"/>
                <w:b/>
                <w:sz w:val="13"/>
              </w:rPr>
            </w:pPr>
            <w:r>
              <w:rPr>
                <w:rFonts w:ascii="Calibri" w:hAnsi="Calibri"/>
                <w:b/>
                <w:spacing w:val="-5"/>
                <w:sz w:val="13"/>
              </w:rPr>
              <w:t>чел</w:t>
            </w:r>
          </w:p>
          <w:p>
            <w:pPr>
              <w:pStyle w:val="TableParagraph"/>
              <w:spacing w:before="7" w:after="1"/>
              <w:rPr>
                <w:b/>
                <w:sz w:val="7"/>
              </w:rPr>
            </w:pPr>
          </w:p>
          <w:p>
            <w:pPr>
              <w:pStyle w:val="TableParagraph"/>
              <w:spacing w:line="173" w:lineRule="exact"/>
              <w:ind w:left="273" w:right="-29"/>
              <w:rPr>
                <w:position w:val="-2"/>
                <w:sz w:val="17"/>
              </w:rPr>
            </w:pPr>
            <w:r>
              <w:rPr>
                <w:position w:val="-2"/>
                <w:sz w:val="17"/>
              </w:rPr>
              <w:drawing>
                <wp:inline distT="0" distB="0" distL="0" distR="0">
                  <wp:extent cx="110064" cy="110109"/>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89" cstate="print"/>
                          <a:stretch>
                            <a:fillRect/>
                          </a:stretch>
                        </pic:blipFill>
                        <pic:spPr>
                          <a:xfrm>
                            <a:off x="0" y="0"/>
                            <a:ext cx="110064" cy="110109"/>
                          </a:xfrm>
                          <a:prstGeom prst="rect">
                            <a:avLst/>
                          </a:prstGeom>
                        </pic:spPr>
                      </pic:pic>
                    </a:graphicData>
                  </a:graphic>
                </wp:inline>
              </w:drawing>
            </w:r>
            <w:r>
              <w:rPr>
                <w:position w:val="-2"/>
                <w:sz w:val="17"/>
              </w:rPr>
            </w:r>
          </w:p>
        </w:tc>
        <w:tc>
          <w:tcPr>
            <w:tcW w:w="596" w:type="dxa"/>
            <w:tcBorders>
              <w:right w:val="single" w:sz="6" w:space="0" w:color="DADCDD"/>
            </w:tcBorders>
          </w:tcPr>
          <w:p>
            <w:pPr>
              <w:pStyle w:val="TableParagraph"/>
              <w:spacing w:before="41"/>
              <w:rPr>
                <w:b/>
                <w:sz w:val="13"/>
              </w:rPr>
            </w:pPr>
          </w:p>
          <w:p>
            <w:pPr>
              <w:pStyle w:val="TableParagraph"/>
              <w:spacing w:line="264" w:lineRule="auto" w:before="1"/>
              <w:ind w:left="5" w:right="26" w:firstLine="30"/>
              <w:jc w:val="both"/>
              <w:rPr>
                <w:rFonts w:ascii="Calibri" w:hAnsi="Calibri"/>
                <w:b/>
                <w:sz w:val="13"/>
              </w:rPr>
            </w:pPr>
            <w:r>
              <w:rPr>
                <w:rFonts w:ascii="Calibri" w:hAnsi="Calibri"/>
                <w:b/>
                <w:spacing w:val="-2"/>
                <w:sz w:val="13"/>
              </w:rPr>
              <w:t>Вязкость</w:t>
            </w:r>
            <w:r>
              <w:rPr>
                <w:rFonts w:ascii="Calibri" w:hAnsi="Calibri"/>
                <w:b/>
                <w:spacing w:val="40"/>
                <w:sz w:val="13"/>
              </w:rPr>
              <w:t> </w:t>
            </w:r>
            <w:r>
              <w:rPr>
                <w:rFonts w:ascii="Calibri" w:hAnsi="Calibri"/>
                <w:b/>
                <w:spacing w:val="-2"/>
                <w:sz w:val="13"/>
              </w:rPr>
              <w:t>эякулята</w:t>
            </w:r>
            <w:r>
              <w:rPr>
                <w:rFonts w:ascii="Calibri" w:hAnsi="Calibri"/>
                <w:b/>
                <w:spacing w:val="40"/>
                <w:sz w:val="13"/>
              </w:rPr>
              <w:t> </w:t>
            </w:r>
            <w:r>
              <w:rPr>
                <w:rFonts w:ascii="Calibri" w:hAnsi="Calibri"/>
                <w:b/>
                <w:sz w:val="13"/>
              </w:rPr>
              <w:t>(≤2 см),</w:t>
            </w:r>
            <w:r>
              <w:rPr>
                <w:rFonts w:ascii="Calibri" w:hAnsi="Calibri"/>
                <w:b/>
                <w:spacing w:val="-6"/>
                <w:sz w:val="13"/>
              </w:rPr>
              <w:t> </w:t>
            </w:r>
            <w:r>
              <w:rPr>
                <w:rFonts w:ascii="Calibri" w:hAnsi="Calibri"/>
                <w:b/>
                <w:spacing w:val="-10"/>
                <w:sz w:val="13"/>
              </w:rPr>
              <w:t>%</w:t>
            </w:r>
          </w:p>
          <w:p>
            <w:pPr>
              <w:pStyle w:val="TableParagraph"/>
              <w:spacing w:line="163" w:lineRule="exact"/>
              <w:ind w:left="394" w:right="-29"/>
              <w:rPr>
                <w:position w:val="-2"/>
                <w:sz w:val="16"/>
              </w:rPr>
            </w:pPr>
            <w:r>
              <w:rPr>
                <w:position w:val="-2"/>
                <w:sz w:val="16"/>
              </w:rPr>
              <w:drawing>
                <wp:inline distT="0" distB="0" distL="0" distR="0">
                  <wp:extent cx="110507" cy="103632"/>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89" cstate="print"/>
                          <a:stretch>
                            <a:fillRect/>
                          </a:stretch>
                        </pic:blipFill>
                        <pic:spPr>
                          <a:xfrm>
                            <a:off x="0" y="0"/>
                            <a:ext cx="110507" cy="103632"/>
                          </a:xfrm>
                          <a:prstGeom prst="rect">
                            <a:avLst/>
                          </a:prstGeom>
                        </pic:spPr>
                      </pic:pic>
                    </a:graphicData>
                  </a:graphic>
                </wp:inline>
              </w:drawing>
            </w:r>
            <w:r>
              <w:rPr>
                <w:position w:val="-2"/>
                <w:sz w:val="16"/>
              </w:rPr>
            </w:r>
          </w:p>
        </w:tc>
        <w:tc>
          <w:tcPr>
            <w:tcW w:w="586" w:type="dxa"/>
            <w:tcBorders>
              <w:left w:val="single" w:sz="6" w:space="0" w:color="DADCDD"/>
              <w:right w:val="single" w:sz="6" w:space="0" w:color="DADCDD"/>
            </w:tcBorders>
          </w:tcPr>
          <w:p>
            <w:pPr>
              <w:pStyle w:val="TableParagraph"/>
              <w:spacing w:line="264" w:lineRule="auto" w:before="109"/>
              <w:ind w:left="2" w:right="39" w:firstLine="6"/>
              <w:jc w:val="center"/>
              <w:rPr>
                <w:rFonts w:ascii="Calibri" w:hAnsi="Calibri"/>
                <w:b/>
                <w:sz w:val="13"/>
              </w:rPr>
            </w:pPr>
            <w:r>
              <w:rPr>
                <w:rFonts w:ascii="Calibri" w:hAnsi="Calibri"/>
                <w:b/>
                <w:sz w:val="13"/>
              </w:rPr>
              <mc:AlternateContent>
                <mc:Choice Requires="wps">
                  <w:drawing>
                    <wp:anchor distT="0" distB="0" distL="0" distR="0" allowOverlap="1" layoutInCell="1" locked="0" behindDoc="0" simplePos="0" relativeHeight="15762432">
                      <wp:simplePos x="0" y="0"/>
                      <wp:positionH relativeFrom="column">
                        <wp:posOffset>256748</wp:posOffset>
                      </wp:positionH>
                      <wp:positionV relativeFrom="paragraph">
                        <wp:posOffset>446964</wp:posOffset>
                      </wp:positionV>
                      <wp:extent cx="111125" cy="111125"/>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111125" cy="111125"/>
                                <a:chExt cx="111125" cy="111125"/>
                              </a:xfrm>
                            </wpg:grpSpPr>
                            <pic:pic>
                              <pic:nvPicPr>
                                <pic:cNvPr id="254" name="Image 254"/>
                                <pic:cNvPicPr/>
                              </pic:nvPicPr>
                              <pic:blipFill>
                                <a:blip r:embed="rId89" cstate="print"/>
                                <a:stretch>
                                  <a:fillRect/>
                                </a:stretch>
                              </pic:blipFill>
                              <pic:spPr>
                                <a:xfrm>
                                  <a:off x="0" y="0"/>
                                  <a:ext cx="110515" cy="110555"/>
                                </a:xfrm>
                                <a:prstGeom prst="rect">
                                  <a:avLst/>
                                </a:prstGeom>
                              </pic:spPr>
                            </pic:pic>
                          </wpg:wgp>
                        </a:graphicData>
                      </a:graphic>
                    </wp:anchor>
                  </w:drawing>
                </mc:Choice>
                <mc:Fallback>
                  <w:pict>
                    <v:group style="position:absolute;margin-left:20.216402pt;margin-top:35.19408pt;width:8.75pt;height:8.75pt;mso-position-horizontal-relative:column;mso-position-vertical-relative:paragraph;z-index:15762432" id="docshapegroup183" coordorigin="404,704" coordsize="175,175">
                      <v:shape style="position:absolute;left:404;top:703;width:175;height:175" type="#_x0000_t75" id="docshape184" stroked="false">
                        <v:imagedata r:id="rId89" o:title=""/>
                      </v:shape>
                      <w10:wrap type="none"/>
                    </v:group>
                  </w:pict>
                </mc:Fallback>
              </mc:AlternateContent>
            </w:r>
            <w:r>
              <w:rPr>
                <w:rFonts w:ascii="Calibri" w:hAnsi="Calibri"/>
                <w:b/>
                <w:spacing w:val="-2"/>
                <w:sz w:val="13"/>
              </w:rPr>
              <w:t>Агглют</w:t>
            </w:r>
            <w:r>
              <w:rPr>
                <w:rFonts w:ascii="Calibri" w:hAnsi="Calibri"/>
                <w:b/>
                <w:spacing w:val="40"/>
                <w:sz w:val="13"/>
              </w:rPr>
              <w:t> </w:t>
            </w:r>
            <w:r>
              <w:rPr>
                <w:rFonts w:ascii="Calibri" w:hAnsi="Calibri"/>
                <w:b/>
                <w:sz w:val="13"/>
              </w:rPr>
              <w:t>сперм-</w:t>
            </w:r>
            <w:r>
              <w:rPr>
                <w:rFonts w:ascii="Calibri" w:hAnsi="Calibri"/>
                <w:b/>
                <w:spacing w:val="-4"/>
                <w:sz w:val="13"/>
              </w:rPr>
              <w:t>дов</w:t>
            </w:r>
            <w:r>
              <w:rPr>
                <w:rFonts w:ascii="Calibri" w:hAnsi="Calibri"/>
                <w:b/>
                <w:spacing w:val="40"/>
                <w:sz w:val="13"/>
              </w:rPr>
              <w:t> </w:t>
            </w:r>
            <w:r>
              <w:rPr>
                <w:rFonts w:ascii="Calibri" w:hAnsi="Calibri"/>
                <w:b/>
                <w:sz w:val="13"/>
              </w:rPr>
              <w:t>(отсут),</w:t>
            </w:r>
            <w:r>
              <w:rPr>
                <w:rFonts w:ascii="Calibri" w:hAnsi="Calibri"/>
                <w:b/>
                <w:spacing w:val="-8"/>
                <w:sz w:val="13"/>
              </w:rPr>
              <w:t> </w:t>
            </w:r>
            <w:r>
              <w:rPr>
                <w:rFonts w:ascii="Calibri" w:hAnsi="Calibri"/>
                <w:b/>
                <w:sz w:val="13"/>
              </w:rPr>
              <w:t>%</w:t>
            </w:r>
          </w:p>
        </w:tc>
        <w:tc>
          <w:tcPr>
            <w:tcW w:w="463" w:type="dxa"/>
            <w:tcBorders>
              <w:left w:val="single" w:sz="6" w:space="0" w:color="DADCDD"/>
              <w:right w:val="single" w:sz="6" w:space="0" w:color="DADCDD"/>
            </w:tcBorders>
          </w:tcPr>
          <w:p>
            <w:pPr>
              <w:pStyle w:val="TableParagraph"/>
              <w:spacing w:line="264" w:lineRule="auto" w:before="109"/>
              <w:ind w:right="43" w:firstLine="10"/>
              <w:jc w:val="center"/>
              <w:rPr>
                <w:rFonts w:ascii="Calibri" w:hAnsi="Calibri"/>
                <w:b/>
                <w:sz w:val="13"/>
              </w:rPr>
            </w:pPr>
            <w:r>
              <w:rPr>
                <w:rFonts w:ascii="Calibri" w:hAnsi="Calibri"/>
                <w:b/>
                <w:spacing w:val="-2"/>
                <w:sz w:val="13"/>
              </w:rPr>
              <w:t>Агрега</w:t>
            </w:r>
            <w:r>
              <w:rPr>
                <w:rFonts w:ascii="Calibri" w:hAnsi="Calibri"/>
                <w:b/>
                <w:spacing w:val="40"/>
                <w:sz w:val="13"/>
              </w:rPr>
              <w:t> </w:t>
            </w:r>
            <w:r>
              <w:rPr>
                <w:rFonts w:ascii="Calibri" w:hAnsi="Calibri"/>
                <w:b/>
                <w:spacing w:val="-4"/>
                <w:sz w:val="13"/>
              </w:rPr>
              <w:t>ция</w:t>
            </w:r>
            <w:r>
              <w:rPr>
                <w:rFonts w:ascii="Calibri" w:hAnsi="Calibri"/>
                <w:b/>
                <w:spacing w:val="40"/>
                <w:sz w:val="13"/>
              </w:rPr>
              <w:t> </w:t>
            </w:r>
            <w:r>
              <w:rPr>
                <w:rFonts w:ascii="Calibri" w:hAnsi="Calibri"/>
                <w:b/>
                <w:spacing w:val="-2"/>
                <w:sz w:val="13"/>
              </w:rPr>
              <w:t>(отсут),</w:t>
            </w:r>
          </w:p>
          <w:p>
            <w:pPr>
              <w:pStyle w:val="TableParagraph"/>
              <w:spacing w:line="157" w:lineRule="exact"/>
              <w:ind w:right="40"/>
              <w:jc w:val="center"/>
              <w:rPr>
                <w:rFonts w:ascii="Calibri"/>
                <w:b/>
                <w:sz w:val="13"/>
              </w:rPr>
            </w:pPr>
            <w:r>
              <w:rPr>
                <w:rFonts w:ascii="Calibri"/>
                <w:b/>
                <w:sz w:val="13"/>
              </w:rPr>
              <mc:AlternateContent>
                <mc:Choice Requires="wps">
                  <w:drawing>
                    <wp:anchor distT="0" distB="0" distL="0" distR="0" allowOverlap="1" layoutInCell="1" locked="0" behindDoc="0" simplePos="0" relativeHeight="15762944">
                      <wp:simplePos x="0" y="0"/>
                      <wp:positionH relativeFrom="column">
                        <wp:posOffset>178737</wp:posOffset>
                      </wp:positionH>
                      <wp:positionV relativeFrom="paragraph">
                        <wp:posOffset>45214</wp:posOffset>
                      </wp:positionV>
                      <wp:extent cx="111125" cy="111125"/>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111125" cy="111125"/>
                                <a:chExt cx="111125" cy="111125"/>
                              </a:xfrm>
                            </wpg:grpSpPr>
                            <pic:pic>
                              <pic:nvPicPr>
                                <pic:cNvPr id="256" name="Image 256"/>
                                <pic:cNvPicPr/>
                              </pic:nvPicPr>
                              <pic:blipFill>
                                <a:blip r:embed="rId89" cstate="print"/>
                                <a:stretch>
                                  <a:fillRect/>
                                </a:stretch>
                              </pic:blipFill>
                              <pic:spPr>
                                <a:xfrm>
                                  <a:off x="0" y="0"/>
                                  <a:ext cx="110508" cy="110552"/>
                                </a:xfrm>
                                <a:prstGeom prst="rect">
                                  <a:avLst/>
                                </a:prstGeom>
                              </pic:spPr>
                            </pic:pic>
                          </wpg:wgp>
                        </a:graphicData>
                      </a:graphic>
                    </wp:anchor>
                  </w:drawing>
                </mc:Choice>
                <mc:Fallback>
                  <w:pict>
                    <v:group style="position:absolute;margin-left:14.073829pt;margin-top:3.560198pt;width:8.75pt;height:8.75pt;mso-position-horizontal-relative:column;mso-position-vertical-relative:paragraph;z-index:15762944" id="docshapegroup185" coordorigin="281,71" coordsize="175,175">
                      <v:shape style="position:absolute;left:281;top:71;width:175;height:175" type="#_x0000_t75" id="docshape186" stroked="false">
                        <v:imagedata r:id="rId89" o:title=""/>
                      </v:shape>
                      <w10:wrap type="none"/>
                    </v:group>
                  </w:pict>
                </mc:Fallback>
              </mc:AlternateContent>
            </w:r>
            <w:r>
              <w:rPr>
                <w:rFonts w:ascii="Calibri"/>
                <w:b/>
                <w:spacing w:val="-10"/>
                <w:sz w:val="13"/>
              </w:rPr>
              <w:t>%</w:t>
            </w:r>
          </w:p>
        </w:tc>
        <w:tc>
          <w:tcPr>
            <w:tcW w:w="494" w:type="dxa"/>
            <w:tcBorders>
              <w:left w:val="single" w:sz="6" w:space="0" w:color="DADCDD"/>
              <w:right w:val="single" w:sz="6" w:space="0" w:color="DADCDD"/>
            </w:tcBorders>
          </w:tcPr>
          <w:p>
            <w:pPr>
              <w:pStyle w:val="TableParagraph"/>
              <w:spacing w:before="134"/>
              <w:rPr>
                <w:b/>
                <w:sz w:val="13"/>
              </w:rPr>
            </w:pPr>
          </w:p>
          <w:p>
            <w:pPr>
              <w:pStyle w:val="TableParagraph"/>
              <w:ind w:right="36"/>
              <w:jc w:val="center"/>
              <w:rPr>
                <w:rFonts w:ascii="Calibri"/>
                <w:b/>
                <w:sz w:val="13"/>
              </w:rPr>
            </w:pPr>
            <w:r>
              <w:rPr>
                <w:rFonts w:ascii="Calibri"/>
                <w:b/>
                <w:spacing w:val="-2"/>
                <w:sz w:val="13"/>
              </w:rPr>
              <w:t>MAR+,</w:t>
            </w:r>
          </w:p>
          <w:p>
            <w:pPr>
              <w:pStyle w:val="TableParagraph"/>
              <w:spacing w:before="15"/>
              <w:ind w:left="1" w:right="36"/>
              <w:jc w:val="center"/>
              <w:rPr>
                <w:rFonts w:ascii="Calibri"/>
                <w:b/>
                <w:sz w:val="13"/>
              </w:rPr>
            </w:pPr>
            <w:r>
              <w:rPr>
                <w:rFonts w:ascii="Calibri"/>
                <w:b/>
                <w:spacing w:val="-10"/>
                <w:sz w:val="13"/>
              </w:rPr>
              <w:t>%</w:t>
            </w:r>
          </w:p>
          <w:p>
            <w:pPr>
              <w:pStyle w:val="TableParagraph"/>
              <w:spacing w:before="7" w:after="1"/>
              <w:rPr>
                <w:b/>
                <w:sz w:val="7"/>
              </w:rPr>
            </w:pPr>
          </w:p>
          <w:p>
            <w:pPr>
              <w:pStyle w:val="TableParagraph"/>
              <w:spacing w:line="173" w:lineRule="exact"/>
              <w:ind w:left="284" w:right="-29"/>
              <w:rPr>
                <w:position w:val="-2"/>
                <w:sz w:val="17"/>
              </w:rPr>
            </w:pPr>
            <w:r>
              <w:rPr>
                <w:position w:val="-2"/>
                <w:sz w:val="17"/>
              </w:rPr>
              <w:drawing>
                <wp:inline distT="0" distB="0" distL="0" distR="0">
                  <wp:extent cx="110068" cy="110109"/>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89" cstate="print"/>
                          <a:stretch>
                            <a:fillRect/>
                          </a:stretch>
                        </pic:blipFill>
                        <pic:spPr>
                          <a:xfrm>
                            <a:off x="0" y="0"/>
                            <a:ext cx="110068" cy="110109"/>
                          </a:xfrm>
                          <a:prstGeom prst="rect">
                            <a:avLst/>
                          </a:prstGeom>
                        </pic:spPr>
                      </pic:pic>
                    </a:graphicData>
                  </a:graphic>
                </wp:inline>
              </w:drawing>
            </w:r>
            <w:r>
              <w:rPr>
                <w:position w:val="-2"/>
                <w:sz w:val="17"/>
              </w:rPr>
            </w:r>
          </w:p>
        </w:tc>
      </w:tr>
      <w:tr>
        <w:trPr>
          <w:trHeight w:val="189" w:hRule="atLeast"/>
        </w:trPr>
        <w:tc>
          <w:tcPr>
            <w:tcW w:w="3215" w:type="dxa"/>
            <w:tcBorders>
              <w:left w:val="single" w:sz="6" w:space="0" w:color="DADCDD"/>
              <w:bottom w:val="single" w:sz="6" w:space="0" w:color="DADCDD"/>
              <w:right w:val="single" w:sz="6" w:space="0" w:color="DADCDD"/>
            </w:tcBorders>
          </w:tcPr>
          <w:p>
            <w:pPr>
              <w:pStyle w:val="TableParagraph"/>
              <w:spacing w:line="161" w:lineRule="exact" w:before="8"/>
              <w:ind w:left="23"/>
              <w:rPr>
                <w:rFonts w:ascii="Calibri" w:hAnsi="Calibri"/>
                <w:sz w:val="15"/>
              </w:rPr>
            </w:pPr>
            <w:r>
              <w:rPr>
                <w:rFonts w:ascii="Calibri" w:hAnsi="Calibri"/>
                <w:spacing w:val="-2"/>
                <w:sz w:val="15"/>
              </w:rPr>
              <w:t>Нормозооспермия</w:t>
            </w:r>
          </w:p>
        </w:tc>
        <w:tc>
          <w:tcPr>
            <w:tcW w:w="471" w:type="dxa"/>
            <w:tcBorders>
              <w:left w:val="single" w:sz="6" w:space="0" w:color="DADCDD"/>
              <w:bottom w:val="nil"/>
              <w:right w:val="single" w:sz="6" w:space="0" w:color="DADCDD"/>
            </w:tcBorders>
          </w:tcPr>
          <w:p>
            <w:pPr>
              <w:pStyle w:val="TableParagraph"/>
              <w:spacing w:line="161" w:lineRule="exact" w:before="8"/>
              <w:ind w:right="113"/>
              <w:jc w:val="right"/>
              <w:rPr>
                <w:rFonts w:ascii="Calibri"/>
                <w:sz w:val="15"/>
              </w:rPr>
            </w:pPr>
            <w:r>
              <w:rPr>
                <w:rFonts w:ascii="Calibri"/>
                <w:spacing w:val="-5"/>
                <w:sz w:val="15"/>
              </w:rPr>
              <w:t>451</w:t>
            </w:r>
          </w:p>
        </w:tc>
        <w:tc>
          <w:tcPr>
            <w:tcW w:w="451" w:type="dxa"/>
            <w:tcBorders>
              <w:left w:val="single" w:sz="6" w:space="0" w:color="DADCDD"/>
              <w:bottom w:val="single" w:sz="6" w:space="0" w:color="DADCDD"/>
            </w:tcBorders>
          </w:tcPr>
          <w:p>
            <w:pPr>
              <w:pStyle w:val="TableParagraph"/>
              <w:spacing w:line="161" w:lineRule="exact" w:before="8"/>
              <w:ind w:left="15"/>
              <w:jc w:val="center"/>
              <w:rPr>
                <w:rFonts w:ascii="Calibri"/>
                <w:sz w:val="15"/>
              </w:rPr>
            </w:pPr>
            <w:r>
              <w:rPr>
                <w:rFonts w:ascii="Calibri"/>
                <w:spacing w:val="-4"/>
                <w:sz w:val="15"/>
              </w:rPr>
              <w:t>47,1</w:t>
            </w:r>
          </w:p>
        </w:tc>
        <w:tc>
          <w:tcPr>
            <w:tcW w:w="523" w:type="dxa"/>
            <w:tcBorders>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3,7</w:t>
            </w:r>
          </w:p>
        </w:tc>
        <w:tc>
          <w:tcPr>
            <w:tcW w:w="656" w:type="dxa"/>
            <w:tcBorders>
              <w:left w:val="single" w:sz="6" w:space="0" w:color="DADCDD"/>
              <w:bottom w:val="single" w:sz="6" w:space="0" w:color="DADCDD"/>
              <w:right w:val="single" w:sz="6" w:space="0" w:color="DADCDD"/>
            </w:tcBorders>
          </w:tcPr>
          <w:p>
            <w:pPr>
              <w:pStyle w:val="TableParagraph"/>
              <w:spacing w:line="161" w:lineRule="exact" w:before="8"/>
              <w:ind w:left="12"/>
              <w:jc w:val="center"/>
              <w:rPr>
                <w:rFonts w:ascii="Calibri"/>
                <w:sz w:val="15"/>
              </w:rPr>
            </w:pPr>
            <w:r>
              <w:rPr>
                <w:rFonts w:ascii="Calibri"/>
                <w:spacing w:val="-4"/>
                <w:sz w:val="15"/>
              </w:rPr>
              <w:t>87,8</w:t>
            </w:r>
          </w:p>
        </w:tc>
        <w:tc>
          <w:tcPr>
            <w:tcW w:w="748" w:type="dxa"/>
            <w:tcBorders>
              <w:left w:val="single" w:sz="6" w:space="0" w:color="DADCDD"/>
              <w:bottom w:val="single" w:sz="6" w:space="0" w:color="DADCDD"/>
              <w:right w:val="single" w:sz="6" w:space="0" w:color="DADCDD"/>
            </w:tcBorders>
          </w:tcPr>
          <w:p>
            <w:pPr>
              <w:pStyle w:val="TableParagraph"/>
              <w:spacing w:line="161" w:lineRule="exact" w:before="8"/>
              <w:ind w:left="10"/>
              <w:jc w:val="center"/>
              <w:rPr>
                <w:rFonts w:ascii="Calibri"/>
                <w:sz w:val="15"/>
              </w:rPr>
            </w:pPr>
            <w:r>
              <w:rPr>
                <w:rFonts w:ascii="Calibri"/>
                <w:spacing w:val="-2"/>
                <w:sz w:val="15"/>
              </w:rPr>
              <w:t>313,8</w:t>
            </w:r>
          </w:p>
        </w:tc>
        <w:tc>
          <w:tcPr>
            <w:tcW w:w="707" w:type="dxa"/>
            <w:tcBorders>
              <w:left w:val="single" w:sz="6" w:space="0" w:color="DADCDD"/>
              <w:bottom w:val="single" w:sz="6" w:space="0" w:color="DADCDD"/>
              <w:right w:val="single" w:sz="6" w:space="0" w:color="DADCDD"/>
            </w:tcBorders>
          </w:tcPr>
          <w:p>
            <w:pPr>
              <w:pStyle w:val="TableParagraph"/>
              <w:spacing w:line="161" w:lineRule="exact" w:before="8"/>
              <w:ind w:left="19"/>
              <w:jc w:val="center"/>
              <w:rPr>
                <w:rFonts w:ascii="Calibri"/>
                <w:sz w:val="15"/>
              </w:rPr>
            </w:pPr>
            <w:r>
              <w:rPr>
                <w:rFonts w:ascii="Calibri"/>
                <w:spacing w:val="-4"/>
                <w:sz w:val="15"/>
              </w:rPr>
              <w:t>69,1</w:t>
            </w:r>
          </w:p>
        </w:tc>
        <w:tc>
          <w:tcPr>
            <w:tcW w:w="656" w:type="dxa"/>
            <w:tcBorders>
              <w:left w:val="single" w:sz="6" w:space="0" w:color="DADCDD"/>
              <w:bottom w:val="single" w:sz="6" w:space="0" w:color="DADCDD"/>
              <w:right w:val="single" w:sz="6" w:space="0" w:color="DADCDD"/>
            </w:tcBorders>
          </w:tcPr>
          <w:p>
            <w:pPr>
              <w:pStyle w:val="TableParagraph"/>
              <w:spacing w:line="161" w:lineRule="exact" w:before="8"/>
              <w:ind w:left="7"/>
              <w:jc w:val="center"/>
              <w:rPr>
                <w:rFonts w:ascii="Calibri"/>
                <w:sz w:val="15"/>
              </w:rPr>
            </w:pPr>
            <w:r>
              <w:rPr>
                <w:rFonts w:ascii="Calibri"/>
                <w:spacing w:val="-4"/>
                <w:sz w:val="15"/>
              </w:rPr>
              <w:t>42,5</w:t>
            </w:r>
          </w:p>
        </w:tc>
        <w:tc>
          <w:tcPr>
            <w:tcW w:w="615" w:type="dxa"/>
            <w:tcBorders>
              <w:left w:val="single" w:sz="6" w:space="0" w:color="DADCDD"/>
              <w:bottom w:val="single" w:sz="6" w:space="0" w:color="DADCDD"/>
              <w:right w:val="single" w:sz="6" w:space="0" w:color="DADCDD"/>
            </w:tcBorders>
          </w:tcPr>
          <w:p>
            <w:pPr>
              <w:pStyle w:val="TableParagraph"/>
              <w:spacing w:line="161" w:lineRule="exact" w:before="8"/>
              <w:ind w:left="6"/>
              <w:jc w:val="center"/>
              <w:rPr>
                <w:rFonts w:ascii="Calibri"/>
                <w:sz w:val="15"/>
              </w:rPr>
            </w:pPr>
            <w:r>
              <w:rPr>
                <w:rFonts w:ascii="Calibri"/>
                <w:spacing w:val="-4"/>
                <w:sz w:val="15"/>
              </w:rPr>
              <w:t>26,5</w:t>
            </w:r>
          </w:p>
        </w:tc>
        <w:tc>
          <w:tcPr>
            <w:tcW w:w="595" w:type="dxa"/>
            <w:tcBorders>
              <w:left w:val="single" w:sz="6" w:space="0" w:color="DADCDD"/>
              <w:bottom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4"/>
                <w:sz w:val="15"/>
              </w:rPr>
              <w:t>30,9</w:t>
            </w:r>
          </w:p>
        </w:tc>
        <w:tc>
          <w:tcPr>
            <w:tcW w:w="626" w:type="dxa"/>
            <w:tcBorders>
              <w:left w:val="single" w:sz="6" w:space="0" w:color="DADCDD"/>
              <w:bottom w:val="single" w:sz="6" w:space="0" w:color="DADCDD"/>
              <w:right w:val="single" w:sz="6" w:space="0" w:color="DADCDD"/>
            </w:tcBorders>
          </w:tcPr>
          <w:p>
            <w:pPr>
              <w:pStyle w:val="TableParagraph"/>
              <w:spacing w:line="161" w:lineRule="exact" w:before="8"/>
              <w:ind w:left="20" w:right="19"/>
              <w:jc w:val="center"/>
              <w:rPr>
                <w:rFonts w:ascii="Calibri"/>
                <w:sz w:val="15"/>
              </w:rPr>
            </w:pPr>
            <w:r>
              <w:rPr>
                <w:rFonts w:ascii="Calibri"/>
                <w:spacing w:val="-5"/>
                <w:sz w:val="15"/>
              </w:rPr>
              <w:t>8,1</w:t>
            </w:r>
          </w:p>
        </w:tc>
        <w:tc>
          <w:tcPr>
            <w:tcW w:w="534" w:type="dxa"/>
            <w:tcBorders>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0,3</w:t>
            </w:r>
          </w:p>
        </w:tc>
        <w:tc>
          <w:tcPr>
            <w:tcW w:w="503" w:type="dxa"/>
            <w:tcBorders>
              <w:left w:val="single" w:sz="6" w:space="0" w:color="DADCDD"/>
              <w:bottom w:val="single" w:sz="6" w:space="0" w:color="DADCDD"/>
            </w:tcBorders>
          </w:tcPr>
          <w:p>
            <w:pPr>
              <w:pStyle w:val="TableParagraph"/>
              <w:rPr>
                <w:sz w:val="12"/>
              </w:rPr>
            </w:pPr>
          </w:p>
        </w:tc>
        <w:tc>
          <w:tcPr>
            <w:tcW w:w="585" w:type="dxa"/>
            <w:tcBorders>
              <w:bottom w:val="single" w:sz="6" w:space="0" w:color="DADCDD"/>
              <w:right w:val="single" w:sz="6" w:space="0" w:color="DADCDD"/>
            </w:tcBorders>
          </w:tcPr>
          <w:p>
            <w:pPr>
              <w:pStyle w:val="TableParagraph"/>
              <w:spacing w:line="161" w:lineRule="exact" w:before="8"/>
              <w:ind w:left="206"/>
              <w:rPr>
                <w:rFonts w:ascii="Calibri"/>
                <w:sz w:val="15"/>
              </w:rPr>
            </w:pPr>
            <w:r>
              <w:rPr>
                <w:rFonts w:ascii="Calibri"/>
                <w:spacing w:val="-5"/>
                <w:sz w:val="15"/>
              </w:rPr>
              <w:t>65</w:t>
            </w:r>
          </w:p>
        </w:tc>
        <w:tc>
          <w:tcPr>
            <w:tcW w:w="616" w:type="dxa"/>
            <w:tcBorders>
              <w:left w:val="single" w:sz="6" w:space="0" w:color="DADCDD"/>
              <w:bottom w:val="single" w:sz="6" w:space="0" w:color="DADCDD"/>
              <w:right w:val="single" w:sz="6" w:space="0" w:color="DADCDD"/>
            </w:tcBorders>
          </w:tcPr>
          <w:p>
            <w:pPr>
              <w:pStyle w:val="TableParagraph"/>
              <w:spacing w:line="161" w:lineRule="exact" w:before="8"/>
              <w:ind w:left="225"/>
              <w:rPr>
                <w:rFonts w:ascii="Calibri"/>
                <w:sz w:val="15"/>
              </w:rPr>
            </w:pPr>
            <w:r>
              <w:rPr>
                <w:rFonts w:ascii="Calibri"/>
                <w:spacing w:val="-5"/>
                <w:sz w:val="15"/>
              </w:rPr>
              <w:t>18</w:t>
            </w:r>
          </w:p>
        </w:tc>
        <w:tc>
          <w:tcPr>
            <w:tcW w:w="493" w:type="dxa"/>
            <w:tcBorders>
              <w:left w:val="single" w:sz="6" w:space="0" w:color="DADCDD"/>
              <w:bottom w:val="single" w:sz="6" w:space="0" w:color="DADCDD"/>
              <w:right w:val="single" w:sz="6" w:space="0" w:color="DADCDD"/>
            </w:tcBorders>
          </w:tcPr>
          <w:p>
            <w:pPr>
              <w:pStyle w:val="TableParagraph"/>
              <w:spacing w:line="161" w:lineRule="exact" w:before="8"/>
              <w:ind w:left="162"/>
              <w:rPr>
                <w:rFonts w:ascii="Calibri"/>
                <w:sz w:val="15"/>
              </w:rPr>
            </w:pPr>
            <w:r>
              <w:rPr>
                <w:rFonts w:ascii="Calibri"/>
                <w:spacing w:val="-5"/>
                <w:sz w:val="15"/>
              </w:rPr>
              <w:t>58</w:t>
            </w:r>
          </w:p>
        </w:tc>
        <w:tc>
          <w:tcPr>
            <w:tcW w:w="473" w:type="dxa"/>
            <w:tcBorders>
              <w:left w:val="single" w:sz="6" w:space="0" w:color="DADCDD"/>
              <w:bottom w:val="single" w:sz="6" w:space="0" w:color="DADCDD"/>
            </w:tcBorders>
          </w:tcPr>
          <w:p>
            <w:pPr>
              <w:pStyle w:val="TableParagraph"/>
              <w:spacing w:line="161" w:lineRule="exact" w:before="8"/>
              <w:ind w:left="150"/>
              <w:rPr>
                <w:rFonts w:ascii="Calibri"/>
                <w:sz w:val="15"/>
              </w:rPr>
            </w:pPr>
            <w:r>
              <w:rPr>
                <w:rFonts w:ascii="Calibri"/>
                <w:spacing w:val="-5"/>
                <w:sz w:val="15"/>
              </w:rPr>
              <w:t>14</w:t>
            </w:r>
          </w:p>
        </w:tc>
        <w:tc>
          <w:tcPr>
            <w:tcW w:w="596" w:type="dxa"/>
            <w:tcBorders>
              <w:bottom w:val="single" w:sz="6" w:space="0" w:color="DADCDD"/>
              <w:right w:val="single" w:sz="6" w:space="0" w:color="DADCDD"/>
            </w:tcBorders>
          </w:tcPr>
          <w:p>
            <w:pPr>
              <w:pStyle w:val="TableParagraph"/>
              <w:spacing w:line="161" w:lineRule="exact" w:before="8"/>
              <w:ind w:right="25"/>
              <w:jc w:val="right"/>
              <w:rPr>
                <w:rFonts w:ascii="Calibri"/>
                <w:sz w:val="15"/>
              </w:rPr>
            </w:pPr>
            <w:r>
              <w:rPr>
                <w:rFonts w:ascii="Calibri"/>
                <w:spacing w:val="-4"/>
                <w:sz w:val="15"/>
              </w:rPr>
              <w:t>14,4</w:t>
            </w:r>
          </w:p>
        </w:tc>
        <w:tc>
          <w:tcPr>
            <w:tcW w:w="586" w:type="dxa"/>
            <w:tcBorders>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4,0</w:t>
            </w:r>
          </w:p>
        </w:tc>
        <w:tc>
          <w:tcPr>
            <w:tcW w:w="463" w:type="dxa"/>
            <w:tcBorders>
              <w:left w:val="single" w:sz="6" w:space="0" w:color="DADCDD"/>
              <w:bottom w:val="single" w:sz="6" w:space="0" w:color="DADCDD"/>
              <w:right w:val="single" w:sz="6" w:space="0" w:color="DADCDD"/>
            </w:tcBorders>
          </w:tcPr>
          <w:p>
            <w:pPr>
              <w:pStyle w:val="TableParagraph"/>
              <w:spacing w:line="161" w:lineRule="exact" w:before="8"/>
              <w:ind w:right="29"/>
              <w:jc w:val="right"/>
              <w:rPr>
                <w:rFonts w:ascii="Calibri"/>
                <w:sz w:val="15"/>
              </w:rPr>
            </w:pPr>
            <w:r>
              <w:rPr>
                <w:rFonts w:ascii="Calibri"/>
                <w:spacing w:val="-4"/>
                <w:sz w:val="15"/>
              </w:rPr>
              <w:t>12,9</w:t>
            </w:r>
          </w:p>
        </w:tc>
        <w:tc>
          <w:tcPr>
            <w:tcW w:w="494" w:type="dxa"/>
            <w:tcBorders>
              <w:left w:val="single" w:sz="6" w:space="0" w:color="DADCDD"/>
              <w:bottom w:val="single" w:sz="6" w:space="0" w:color="DADCDD"/>
              <w:right w:val="single" w:sz="4" w:space="0" w:color="DADCDD"/>
            </w:tcBorders>
          </w:tcPr>
          <w:p>
            <w:pPr>
              <w:pStyle w:val="TableParagraph"/>
              <w:spacing w:line="161" w:lineRule="exact" w:before="8"/>
              <w:ind w:left="217" w:right="1"/>
              <w:jc w:val="center"/>
              <w:rPr>
                <w:rFonts w:ascii="Calibri"/>
                <w:sz w:val="15"/>
              </w:rPr>
            </w:pPr>
            <w:r>
              <w:rPr>
                <w:rFonts w:ascii="Calibri"/>
                <w:spacing w:val="-5"/>
                <w:sz w:val="15"/>
              </w:rPr>
              <w:t>3,1</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1" w:lineRule="exact" w:before="8"/>
              <w:ind w:left="23"/>
              <w:rPr>
                <w:rFonts w:ascii="Calibri" w:hAnsi="Calibri"/>
                <w:sz w:val="15"/>
              </w:rPr>
            </w:pPr>
            <w:r>
              <w:rPr>
                <w:rFonts w:ascii="Calibri" w:hAnsi="Calibri"/>
                <w:spacing w:val="-2"/>
                <w:sz w:val="15"/>
              </w:rPr>
              <w:t>Астенозооспермия</w:t>
            </w:r>
          </w:p>
        </w:tc>
        <w:tc>
          <w:tcPr>
            <w:tcW w:w="471" w:type="dxa"/>
            <w:tcBorders>
              <w:top w:val="nil"/>
              <w:left w:val="nil"/>
              <w:bottom w:val="nil"/>
              <w:right w:val="nil"/>
            </w:tcBorders>
          </w:tcPr>
          <w:p>
            <w:pPr>
              <w:pStyle w:val="TableParagraph"/>
              <w:spacing w:line="161" w:lineRule="exact" w:before="8"/>
              <w:ind w:right="121"/>
              <w:jc w:val="right"/>
              <w:rPr>
                <w:rFonts w:ascii="Calibri"/>
                <w:sz w:val="15"/>
              </w:rPr>
            </w:pPr>
            <w:r>
              <w:rPr>
                <w:rFonts w:ascii="Calibri"/>
                <w:spacing w:val="-5"/>
                <w:sz w:val="15"/>
              </w:rPr>
              <w:t>153</w:t>
            </w:r>
          </w:p>
        </w:tc>
        <w:tc>
          <w:tcPr>
            <w:tcW w:w="451" w:type="dxa"/>
            <w:tcBorders>
              <w:top w:val="single" w:sz="6" w:space="0" w:color="DADCDD"/>
              <w:left w:val="nil"/>
              <w:bottom w:val="single" w:sz="6" w:space="0" w:color="DADCDD"/>
            </w:tcBorders>
          </w:tcPr>
          <w:p>
            <w:pPr>
              <w:pStyle w:val="TableParagraph"/>
              <w:spacing w:line="161" w:lineRule="exact" w:before="8"/>
              <w:ind w:left="33" w:right="11"/>
              <w:jc w:val="center"/>
              <w:rPr>
                <w:rFonts w:ascii="Calibri"/>
                <w:sz w:val="15"/>
              </w:rPr>
            </w:pPr>
            <w:r>
              <w:rPr>
                <w:rFonts w:ascii="Calibri"/>
                <w:spacing w:val="-4"/>
                <w:sz w:val="15"/>
              </w:rPr>
              <w:t>16,0</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3,4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4"/>
                <w:sz w:val="15"/>
              </w:rPr>
              <w:t>58,6</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0"/>
              <w:jc w:val="center"/>
              <w:rPr>
                <w:rFonts w:ascii="Calibri"/>
                <w:sz w:val="15"/>
              </w:rPr>
            </w:pPr>
            <w:r>
              <w:rPr>
                <w:rFonts w:ascii="Calibri"/>
                <w:spacing w:val="-2"/>
                <w:sz w:val="15"/>
              </w:rPr>
              <w:t>194,3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
              <w:jc w:val="center"/>
              <w:rPr>
                <w:rFonts w:ascii="Calibri"/>
                <w:sz w:val="15"/>
              </w:rPr>
            </w:pPr>
            <w:r>
              <w:rPr>
                <w:rFonts w:ascii="Calibri"/>
                <w:spacing w:val="-4"/>
                <w:sz w:val="15"/>
              </w:rPr>
              <w:t>55,4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7"/>
              <w:jc w:val="center"/>
              <w:rPr>
                <w:rFonts w:ascii="Calibri"/>
                <w:sz w:val="15"/>
              </w:rPr>
            </w:pPr>
            <w:r>
              <w:rPr>
                <w:rFonts w:ascii="Calibri"/>
                <w:spacing w:val="-4"/>
                <w:sz w:val="15"/>
              </w:rPr>
              <w:t>23,2</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5"/>
              <w:jc w:val="center"/>
              <w:rPr>
                <w:rFonts w:ascii="Calibri"/>
                <w:sz w:val="15"/>
              </w:rPr>
            </w:pPr>
            <w:r>
              <w:rPr>
                <w:rFonts w:ascii="Calibri"/>
                <w:spacing w:val="-4"/>
                <w:sz w:val="15"/>
              </w:rPr>
              <w:t>32,3</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3"/>
              <w:jc w:val="center"/>
              <w:rPr>
                <w:rFonts w:ascii="Calibri"/>
                <w:sz w:val="15"/>
              </w:rPr>
            </w:pPr>
            <w:r>
              <w:rPr>
                <w:rFonts w:ascii="Calibri"/>
                <w:spacing w:val="-4"/>
                <w:sz w:val="15"/>
              </w:rPr>
              <w:t>44,6</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06"/>
              <w:rPr>
                <w:rFonts w:ascii="Calibri"/>
                <w:sz w:val="15"/>
              </w:rPr>
            </w:pPr>
            <w:r>
              <w:rPr>
                <w:rFonts w:ascii="Calibri"/>
                <w:spacing w:val="-5"/>
                <w:sz w:val="15"/>
              </w:rPr>
              <w:t>38</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5"/>
              <w:rPr>
                <w:rFonts w:ascii="Calibri"/>
                <w:sz w:val="15"/>
              </w:rPr>
            </w:pPr>
            <w:r>
              <w:rPr>
                <w:rFonts w:ascii="Calibri"/>
                <w:spacing w:val="-10"/>
                <w:sz w:val="15"/>
              </w:rPr>
              <w:t>4</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62"/>
              <w:rPr>
                <w:rFonts w:ascii="Calibri"/>
                <w:sz w:val="15"/>
              </w:rPr>
            </w:pPr>
            <w:r>
              <w:rPr>
                <w:rFonts w:ascii="Calibri"/>
                <w:spacing w:val="-5"/>
                <w:sz w:val="15"/>
              </w:rPr>
              <w:t>11</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1" w:right="17"/>
              <w:jc w:val="center"/>
              <w:rPr>
                <w:rFonts w:ascii="Calibri"/>
                <w:sz w:val="15"/>
              </w:rPr>
            </w:pPr>
            <w:r>
              <w:rPr>
                <w:rFonts w:ascii="Calibri"/>
                <w:spacing w:val="-10"/>
                <w:sz w:val="15"/>
              </w:rPr>
              <w:t>3</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5"/>
              <w:jc w:val="right"/>
              <w:rPr>
                <w:rFonts w:ascii="Calibri"/>
                <w:sz w:val="15"/>
              </w:rPr>
            </w:pPr>
            <w:r>
              <w:rPr>
                <w:rFonts w:ascii="Calibri"/>
                <w:spacing w:val="-4"/>
                <w:sz w:val="15"/>
              </w:rPr>
              <w:t>24,8</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2,6</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30"/>
              <w:jc w:val="right"/>
              <w:rPr>
                <w:rFonts w:ascii="Calibri"/>
                <w:sz w:val="15"/>
              </w:rPr>
            </w:pPr>
            <w:r>
              <w:rPr>
                <w:rFonts w:ascii="Calibri"/>
                <w:spacing w:val="-5"/>
                <w:sz w:val="15"/>
              </w:rPr>
              <w:t>7,2</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right="1"/>
              <w:jc w:val="center"/>
              <w:rPr>
                <w:rFonts w:ascii="Calibri"/>
                <w:sz w:val="15"/>
              </w:rPr>
            </w:pPr>
            <w:r>
              <w:rPr>
                <w:rFonts w:ascii="Calibri"/>
                <w:spacing w:val="-5"/>
                <w:sz w:val="15"/>
              </w:rPr>
              <w:t>2,0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44</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4,6</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3,2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81,1</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2"/>
                <w:sz w:val="15"/>
              </w:rPr>
              <w:t>255,4</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
              <w:jc w:val="center"/>
              <w:rPr>
                <w:rFonts w:ascii="Calibri"/>
                <w:sz w:val="15"/>
              </w:rPr>
            </w:pPr>
            <w:r>
              <w:rPr>
                <w:rFonts w:ascii="Calibri"/>
                <w:spacing w:val="-5"/>
                <w:sz w:val="15"/>
              </w:rPr>
              <w:t>68</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40,6</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27,4</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5"/>
                <w:sz w:val="15"/>
              </w:rPr>
              <w:t>32</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7,6</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4,4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6</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2</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6</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13,6</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4,5</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4"/>
                <w:sz w:val="15"/>
              </w:rPr>
              <w:t>13,6</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Олигозооспермия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37</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3,9</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3,6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pacing w:val="-5"/>
                <w:sz w:val="15"/>
              </w:rPr>
              <w:t>9,2</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34,7</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71,1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41,2</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29,8</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28,9</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5,6</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8</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21,6</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2,7</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2,7</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Олигоастенотератозооспермия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33</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3,4</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4,1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pacing w:val="-5"/>
                <w:sz w:val="15"/>
              </w:rPr>
              <w:t>8,2</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36,5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43,5</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16,6</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26,8</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56,5</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2,7</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06"/>
              <w:rPr>
                <w:rFonts w:ascii="Calibri"/>
                <w:sz w:val="15"/>
              </w:rPr>
            </w:pPr>
            <w:r>
              <w:rPr>
                <w:rFonts w:ascii="Calibri"/>
                <w:spacing w:val="-5"/>
                <w:sz w:val="15"/>
              </w:rPr>
              <w:t>10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3</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30,3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3,0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3,0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9,1</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Олигоспермия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31</w:t>
            </w:r>
          </w:p>
        </w:tc>
        <w:tc>
          <w:tcPr>
            <w:tcW w:w="451" w:type="dxa"/>
            <w:tcBorders>
              <w:top w:val="single" w:sz="6" w:space="0" w:color="DADCDD"/>
              <w:left w:val="nil"/>
              <w:bottom w:val="single" w:sz="6" w:space="0" w:color="DADCDD"/>
            </w:tcBorders>
          </w:tcPr>
          <w:p>
            <w:pPr>
              <w:pStyle w:val="TableParagraph"/>
              <w:spacing w:line="162" w:lineRule="exact" w:before="8"/>
              <w:ind w:left="33" w:right="2"/>
              <w:jc w:val="center"/>
              <w:rPr>
                <w:rFonts w:ascii="Calibri"/>
                <w:sz w:val="15"/>
              </w:rPr>
            </w:pPr>
            <w:r>
              <w:rPr>
                <w:rFonts w:ascii="Calibri"/>
                <w:spacing w:val="-5"/>
                <w:sz w:val="15"/>
              </w:rPr>
              <w:t>3,2</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1,1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5"/>
              <w:jc w:val="center"/>
              <w:rPr>
                <w:rFonts w:ascii="Calibri"/>
                <w:sz w:val="15"/>
              </w:rPr>
            </w:pPr>
            <w:r>
              <w:rPr>
                <w:rFonts w:ascii="Calibri"/>
                <w:spacing w:val="-5"/>
                <w:sz w:val="15"/>
              </w:rPr>
              <w:t>89</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92,5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66,1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5"/>
                <w:sz w:val="15"/>
              </w:rPr>
              <w:t>40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26,1</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33,9</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7,5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5</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7</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2</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16,1</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3,2</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4"/>
                <w:sz w:val="15"/>
              </w:rPr>
              <w:t>22,6</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6,5</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Олигоастенозооспермия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30</w:t>
            </w:r>
          </w:p>
        </w:tc>
        <w:tc>
          <w:tcPr>
            <w:tcW w:w="451" w:type="dxa"/>
            <w:tcBorders>
              <w:top w:val="single" w:sz="6" w:space="0" w:color="DADCDD"/>
              <w:left w:val="nil"/>
              <w:bottom w:val="single" w:sz="6" w:space="0" w:color="DADCDD"/>
            </w:tcBorders>
          </w:tcPr>
          <w:p>
            <w:pPr>
              <w:pStyle w:val="TableParagraph"/>
              <w:spacing w:line="162" w:lineRule="exact" w:before="8"/>
              <w:ind w:left="33" w:right="2"/>
              <w:jc w:val="center"/>
              <w:rPr>
                <w:rFonts w:ascii="Calibri"/>
                <w:sz w:val="15"/>
              </w:rPr>
            </w:pPr>
            <w:r>
              <w:rPr>
                <w:rFonts w:ascii="Calibri"/>
                <w:spacing w:val="-5"/>
                <w:sz w:val="15"/>
              </w:rPr>
              <w:t>3,1</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10,2</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35,3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55,2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20,8</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34,5</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44,8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4</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7</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2</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23,3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6,7</w:t>
            </w:r>
          </w:p>
        </w:tc>
      </w:tr>
      <w:tr>
        <w:trPr>
          <w:trHeight w:val="189" w:hRule="atLeast"/>
        </w:trPr>
        <w:tc>
          <w:tcPr>
            <w:tcW w:w="32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Pr>
                <w:rFonts w:ascii="Calibri" w:hAnsi="Calibri"/>
                <w:sz w:val="15"/>
              </w:rPr>
            </w:pPr>
            <w:r>
              <w:rPr>
                <w:rFonts w:ascii="Calibri" w:hAnsi="Calibri"/>
                <w:spacing w:val="-2"/>
                <w:sz w:val="15"/>
              </w:rPr>
              <w:t>Азооспермия</w:t>
            </w:r>
          </w:p>
        </w:tc>
        <w:tc>
          <w:tcPr>
            <w:tcW w:w="471" w:type="dxa"/>
            <w:tcBorders>
              <w:top w:val="nil"/>
              <w:left w:val="single" w:sz="6" w:space="0" w:color="DADCDD"/>
              <w:bottom w:val="single" w:sz="6" w:space="0" w:color="DADCDD"/>
              <w:right w:val="single" w:sz="6" w:space="0" w:color="DADCDD"/>
            </w:tcBorders>
          </w:tcPr>
          <w:p>
            <w:pPr>
              <w:pStyle w:val="TableParagraph"/>
              <w:spacing w:line="162" w:lineRule="exact" w:before="8"/>
              <w:ind w:right="144"/>
              <w:jc w:val="right"/>
              <w:rPr>
                <w:rFonts w:ascii="Calibri"/>
                <w:sz w:val="15"/>
              </w:rPr>
            </w:pPr>
            <w:r>
              <w:rPr>
                <w:rFonts w:ascii="Calibri"/>
                <w:spacing w:val="-5"/>
                <w:sz w:val="15"/>
              </w:rPr>
              <w:t>29</w:t>
            </w:r>
          </w:p>
        </w:tc>
        <w:tc>
          <w:tcPr>
            <w:tcW w:w="451" w:type="dxa"/>
            <w:tcBorders>
              <w:top w:val="single" w:sz="6" w:space="0" w:color="DADCDD"/>
              <w:left w:val="single" w:sz="6" w:space="0" w:color="DADCDD"/>
              <w:bottom w:val="single" w:sz="6" w:space="0" w:color="DADCDD"/>
            </w:tcBorders>
          </w:tcPr>
          <w:p>
            <w:pPr>
              <w:pStyle w:val="TableParagraph"/>
              <w:spacing w:line="162" w:lineRule="exact" w:before="8"/>
              <w:ind w:left="24"/>
              <w:jc w:val="center"/>
              <w:rPr>
                <w:rFonts w:ascii="Calibri"/>
                <w:sz w:val="15"/>
              </w:rPr>
            </w:pPr>
            <w:r>
              <w:rPr>
                <w:rFonts w:ascii="Calibri"/>
                <w:spacing w:val="-5"/>
                <w:sz w:val="15"/>
              </w:rPr>
              <w:t>3,0</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0</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10"/>
                <w:sz w:val="15"/>
              </w:rPr>
              <w:t>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10"/>
                <w:sz w:val="15"/>
              </w:rPr>
              <w:t>0</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10"/>
                <w:sz w:val="15"/>
              </w:rPr>
              <w:t>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10"/>
                <w:sz w:val="15"/>
              </w:rPr>
              <w:t>0</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10"/>
                <w:sz w:val="15"/>
              </w:rPr>
              <w:t>0</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0</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0,1</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3</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10,3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Pr>
                <w:rFonts w:ascii="Calibri" w:hAnsi="Calibri"/>
                <w:sz w:val="15"/>
              </w:rPr>
            </w:pPr>
            <w:r>
              <w:rPr>
                <w:rFonts w:ascii="Calibri" w:hAnsi="Calibri"/>
                <w:spacing w:val="-2"/>
                <w:sz w:val="15"/>
              </w:rPr>
              <w:t>Криптозооспермия</w:t>
            </w:r>
          </w:p>
        </w:tc>
        <w:tc>
          <w:tcPr>
            <w:tcW w:w="471" w:type="dxa"/>
            <w:tcBorders>
              <w:top w:val="single" w:sz="6" w:space="0" w:color="DADCDD"/>
              <w:left w:val="single" w:sz="6" w:space="0" w:color="DADCDD"/>
              <w:bottom w:val="nil"/>
              <w:right w:val="single" w:sz="6" w:space="0" w:color="DADCDD"/>
            </w:tcBorders>
          </w:tcPr>
          <w:p>
            <w:pPr>
              <w:pStyle w:val="TableParagraph"/>
              <w:spacing w:line="162" w:lineRule="exact" w:before="8"/>
              <w:ind w:right="144"/>
              <w:jc w:val="right"/>
              <w:rPr>
                <w:rFonts w:ascii="Calibri"/>
                <w:sz w:val="15"/>
              </w:rPr>
            </w:pPr>
            <w:r>
              <w:rPr>
                <w:rFonts w:ascii="Calibri"/>
                <w:spacing w:val="-5"/>
                <w:sz w:val="15"/>
              </w:rPr>
              <w:t>24</w:t>
            </w:r>
          </w:p>
        </w:tc>
        <w:tc>
          <w:tcPr>
            <w:tcW w:w="451" w:type="dxa"/>
            <w:tcBorders>
              <w:top w:val="single" w:sz="6" w:space="0" w:color="DADCDD"/>
              <w:left w:val="single" w:sz="6" w:space="0" w:color="DADCDD"/>
              <w:bottom w:val="single" w:sz="6" w:space="0" w:color="DADCDD"/>
            </w:tcBorders>
          </w:tcPr>
          <w:p>
            <w:pPr>
              <w:pStyle w:val="TableParagraph"/>
              <w:spacing w:line="162" w:lineRule="exact" w:before="8"/>
              <w:ind w:left="24"/>
              <w:jc w:val="center"/>
              <w:rPr>
                <w:rFonts w:ascii="Calibri"/>
                <w:sz w:val="15"/>
              </w:rPr>
            </w:pPr>
            <w:r>
              <w:rPr>
                <w:rFonts w:ascii="Calibri"/>
                <w:spacing w:val="-5"/>
                <w:sz w:val="15"/>
              </w:rPr>
              <w:t>2,5</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2"/>
              <w:jc w:val="center"/>
              <w:rPr>
                <w:rFonts w:ascii="Calibri" w:hAnsi="Calibri"/>
                <w:sz w:val="15"/>
              </w:rPr>
            </w:pPr>
            <w:r>
              <w:rPr>
                <w:rFonts w:ascii="Calibri" w:hAnsi="Calibri"/>
                <w:sz w:val="15"/>
              </w:rPr>
              <w:t>ед </w:t>
            </w:r>
            <w:r>
              <w:rPr>
                <w:rFonts w:ascii="Calibri" w:hAnsi="Calibri"/>
                <w:spacing w:val="-4"/>
                <w:sz w:val="15"/>
              </w:rPr>
              <w:t>подв</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
              <w:jc w:val="center"/>
              <w:rPr>
                <w:rFonts w:ascii="Calibri" w:hAnsi="Calibri"/>
                <w:sz w:val="15"/>
              </w:rPr>
            </w:pPr>
            <w:r>
              <w:rPr>
                <w:rFonts w:ascii="Calibri" w:hAnsi="Calibri"/>
                <w:sz w:val="15"/>
              </w:rPr>
              <w:t>ед </w:t>
            </w:r>
            <w:r>
              <w:rPr>
                <w:rFonts w:ascii="Calibri" w:hAnsi="Calibri"/>
                <w:spacing w:val="-4"/>
                <w:sz w:val="15"/>
              </w:rPr>
              <w:t>подв</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8"/>
              <w:jc w:val="center"/>
              <w:rPr>
                <w:rFonts w:ascii="Calibri"/>
                <w:sz w:val="15"/>
              </w:rPr>
            </w:pPr>
            <w:r>
              <w:rPr>
                <w:rFonts w:ascii="Calibri"/>
                <w:sz w:val="15"/>
              </w:rPr>
              <w:t>-</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7"/>
              <w:jc w:val="center"/>
              <w:rPr>
                <w:rFonts w:ascii="Calibri"/>
                <w:sz w:val="15"/>
              </w:rPr>
            </w:pPr>
            <w:r>
              <w:rPr>
                <w:rFonts w:ascii="Calibri"/>
                <w:sz w:val="15"/>
              </w:rPr>
              <w:t>-</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5"/>
              <w:jc w:val="center"/>
              <w:rPr>
                <w:rFonts w:ascii="Calibri"/>
                <w:sz w:val="15"/>
              </w:rPr>
            </w:pPr>
            <w:r>
              <w:rPr>
                <w:rFonts w:ascii="Calibri"/>
                <w:sz w:val="15"/>
              </w:rPr>
              <w:t>-</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3"/>
              <w:jc w:val="center"/>
              <w:rPr>
                <w:rFonts w:ascii="Calibri"/>
                <w:sz w:val="15"/>
              </w:rPr>
            </w:pPr>
            <w:r>
              <w:rPr>
                <w:rFonts w:ascii="Calibri"/>
                <w:sz w:val="15"/>
              </w:rPr>
              <w:t>-</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z w:val="15"/>
              </w:rPr>
              <w:t>-</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6</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25,0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Астенотератозооспермия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23</w:t>
            </w:r>
          </w:p>
        </w:tc>
        <w:tc>
          <w:tcPr>
            <w:tcW w:w="451" w:type="dxa"/>
            <w:tcBorders>
              <w:top w:val="single" w:sz="6" w:space="0" w:color="DADCDD"/>
              <w:left w:val="nil"/>
              <w:bottom w:val="single" w:sz="6" w:space="0" w:color="DADCDD"/>
            </w:tcBorders>
          </w:tcPr>
          <w:p>
            <w:pPr>
              <w:pStyle w:val="TableParagraph"/>
              <w:spacing w:line="162" w:lineRule="exact" w:before="8"/>
              <w:ind w:left="33" w:right="2"/>
              <w:jc w:val="center"/>
              <w:rPr>
                <w:rFonts w:ascii="Calibri"/>
                <w:sz w:val="15"/>
              </w:rPr>
            </w:pPr>
            <w:r>
              <w:rPr>
                <w:rFonts w:ascii="Calibri"/>
                <w:spacing w:val="-5"/>
                <w:sz w:val="15"/>
              </w:rPr>
              <w:t>2,4</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35,3</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2"/>
                <w:sz w:val="15"/>
              </w:rPr>
              <w:t>126,6</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51,2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5"/>
                <w:sz w:val="15"/>
              </w:rPr>
              <w:t>19</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32,3</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48,8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0,5</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4</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3</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17,4</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4,3</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4"/>
                <w:sz w:val="15"/>
              </w:rPr>
              <w:t>13,0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Астенозооспермия,</w:t>
            </w:r>
            <w:r>
              <w:rPr>
                <w:rFonts w:ascii="Calibri" w:hAnsi="Calibri"/>
                <w:spacing w:val="20"/>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52"/>
              <w:jc w:val="right"/>
              <w:rPr>
                <w:rFonts w:ascii="Calibri"/>
                <w:sz w:val="15"/>
              </w:rPr>
            </w:pPr>
            <w:r>
              <w:rPr>
                <w:rFonts w:ascii="Calibri"/>
                <w:spacing w:val="-5"/>
                <w:sz w:val="15"/>
              </w:rPr>
              <w:t>17</w:t>
            </w:r>
          </w:p>
        </w:tc>
        <w:tc>
          <w:tcPr>
            <w:tcW w:w="451" w:type="dxa"/>
            <w:tcBorders>
              <w:top w:val="single" w:sz="6" w:space="0" w:color="DADCDD"/>
              <w:left w:val="nil"/>
              <w:bottom w:val="single" w:sz="6" w:space="0" w:color="DADCDD"/>
            </w:tcBorders>
          </w:tcPr>
          <w:p>
            <w:pPr>
              <w:pStyle w:val="TableParagraph"/>
              <w:spacing w:line="162" w:lineRule="exact" w:before="8"/>
              <w:ind w:left="33" w:right="2"/>
              <w:jc w:val="center"/>
              <w:rPr>
                <w:rFonts w:ascii="Calibri"/>
                <w:sz w:val="15"/>
              </w:rPr>
            </w:pPr>
            <w:r>
              <w:rPr>
                <w:rFonts w:ascii="Calibri"/>
                <w:spacing w:val="-5"/>
                <w:sz w:val="15"/>
              </w:rPr>
              <w:t>1,8</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66,6</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2"/>
                <w:sz w:val="15"/>
              </w:rPr>
              <w:t>240,6</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55,6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23,8</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31,8</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44,4</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2,3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5</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2</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29,4</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5,9</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4"/>
                <w:sz w:val="15"/>
              </w:rPr>
              <w:t>11,8</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42" w:lineRule="exact" w:before="27"/>
              <w:ind w:left="23"/>
              <w:rPr>
                <w:rFonts w:ascii="Calibri" w:hAnsi="Calibri"/>
                <w:sz w:val="13"/>
              </w:rPr>
            </w:pPr>
            <w:r>
              <w:rPr>
                <w:rFonts w:ascii="Calibri" w:hAnsi="Calibri"/>
                <w:spacing w:val="2"/>
                <w:sz w:val="13"/>
              </w:rPr>
              <w:t>Олигоастенотератозооспермия,</w:t>
            </w:r>
            <w:r>
              <w:rPr>
                <w:rFonts w:ascii="Calibri" w:hAnsi="Calibri"/>
                <w:spacing w:val="7"/>
                <w:sz w:val="13"/>
              </w:rPr>
              <w:t> </w:t>
            </w:r>
            <w:r>
              <w:rPr>
                <w:rFonts w:ascii="Calibri" w:hAnsi="Calibri"/>
                <w:spacing w:val="-2"/>
                <w:sz w:val="13"/>
              </w:rPr>
              <w:t>лейкоцитоспермия</w:t>
            </w:r>
          </w:p>
        </w:tc>
        <w:tc>
          <w:tcPr>
            <w:tcW w:w="471" w:type="dxa"/>
            <w:tcBorders>
              <w:top w:val="nil"/>
              <w:left w:val="nil"/>
              <w:bottom w:val="nil"/>
              <w:right w:val="nil"/>
            </w:tcBorders>
          </w:tcPr>
          <w:p>
            <w:pPr>
              <w:pStyle w:val="TableParagraph"/>
              <w:spacing w:line="161" w:lineRule="exact" w:before="8"/>
              <w:ind w:right="186"/>
              <w:jc w:val="right"/>
              <w:rPr>
                <w:rFonts w:ascii="Calibri"/>
                <w:sz w:val="15"/>
              </w:rPr>
            </w:pPr>
            <w:r>
              <w:rPr>
                <w:rFonts w:ascii="Calibri"/>
                <w:spacing w:val="-10"/>
                <w:sz w:val="15"/>
              </w:rPr>
              <w:t>9</w:t>
            </w:r>
          </w:p>
        </w:tc>
        <w:tc>
          <w:tcPr>
            <w:tcW w:w="451" w:type="dxa"/>
            <w:tcBorders>
              <w:top w:val="single" w:sz="6" w:space="0" w:color="DADCDD"/>
              <w:left w:val="nil"/>
              <w:bottom w:val="single" w:sz="6" w:space="0" w:color="DADCDD"/>
            </w:tcBorders>
          </w:tcPr>
          <w:p>
            <w:pPr>
              <w:pStyle w:val="TableParagraph"/>
              <w:spacing w:line="161" w:lineRule="exact" w:before="8"/>
              <w:ind w:left="33" w:right="1"/>
              <w:jc w:val="center"/>
              <w:rPr>
                <w:rFonts w:ascii="Calibri"/>
                <w:sz w:val="15"/>
              </w:rPr>
            </w:pPr>
            <w:r>
              <w:rPr>
                <w:rFonts w:ascii="Calibri"/>
                <w:spacing w:val="-5"/>
                <w:sz w:val="15"/>
              </w:rPr>
              <w:t>0,9</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5,1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2"/>
              <w:jc w:val="center"/>
              <w:rPr>
                <w:rFonts w:ascii="Calibri"/>
                <w:sz w:val="15"/>
              </w:rPr>
            </w:pPr>
            <w:r>
              <w:rPr>
                <w:rFonts w:ascii="Calibri"/>
                <w:spacing w:val="-4"/>
                <w:sz w:val="15"/>
              </w:rPr>
              <w:t>10,8</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0"/>
              <w:jc w:val="center"/>
              <w:rPr>
                <w:rFonts w:ascii="Calibri"/>
                <w:sz w:val="15"/>
              </w:rPr>
            </w:pPr>
            <w:r>
              <w:rPr>
                <w:rFonts w:ascii="Calibri"/>
                <w:spacing w:val="-4"/>
                <w:sz w:val="15"/>
              </w:rPr>
              <w:t>52,6</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
              <w:jc w:val="center"/>
              <w:rPr>
                <w:rFonts w:ascii="Calibri"/>
                <w:sz w:val="15"/>
              </w:rPr>
            </w:pPr>
            <w:r>
              <w:rPr>
                <w:rFonts w:ascii="Calibri"/>
                <w:spacing w:val="-4"/>
                <w:sz w:val="15"/>
              </w:rPr>
              <w:t>45,3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7"/>
              <w:jc w:val="center"/>
              <w:rPr>
                <w:rFonts w:ascii="Calibri"/>
                <w:sz w:val="15"/>
              </w:rPr>
            </w:pPr>
            <w:r>
              <w:rPr>
                <w:rFonts w:ascii="Calibri"/>
                <w:spacing w:val="-4"/>
                <w:sz w:val="15"/>
              </w:rPr>
              <w:t>15,8</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6"/>
              <w:jc w:val="center"/>
              <w:rPr>
                <w:rFonts w:ascii="Calibri"/>
                <w:sz w:val="15"/>
              </w:rPr>
            </w:pPr>
            <w:r>
              <w:rPr>
                <w:rFonts w:ascii="Calibri"/>
                <w:spacing w:val="-4"/>
                <w:sz w:val="15"/>
              </w:rPr>
              <w:t>29,6</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4"/>
                <w:sz w:val="15"/>
              </w:rPr>
              <w:t>54,7</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3,4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4</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3"/>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4"/>
              <w:jc w:val="right"/>
              <w:rPr>
                <w:rFonts w:ascii="Calibri"/>
                <w:sz w:val="15"/>
              </w:rPr>
            </w:pPr>
            <w:r>
              <w:rPr>
                <w:rFonts w:ascii="Calibri"/>
                <w:spacing w:val="-4"/>
                <w:sz w:val="15"/>
              </w:rPr>
              <w:t>44,4</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9"/>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Олигоспермия,</w:t>
            </w:r>
            <w:r>
              <w:rPr>
                <w:rFonts w:ascii="Calibri" w:hAnsi="Calibri"/>
                <w:spacing w:val="14"/>
                <w:sz w:val="15"/>
              </w:rPr>
              <w:t> </w:t>
            </w:r>
            <w:r>
              <w:rPr>
                <w:rFonts w:ascii="Calibri" w:hAnsi="Calibri"/>
                <w:spacing w:val="-2"/>
                <w:sz w:val="15"/>
              </w:rPr>
              <w:t>астенозооспермия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9</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0,9</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1,1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2"/>
              <w:jc w:val="center"/>
              <w:rPr>
                <w:rFonts w:ascii="Calibri"/>
                <w:sz w:val="15"/>
              </w:rPr>
            </w:pPr>
            <w:r>
              <w:rPr>
                <w:rFonts w:ascii="Calibri"/>
                <w:spacing w:val="-4"/>
                <w:sz w:val="15"/>
              </w:rPr>
              <w:t>49,6</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57,3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55,2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20,9</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34,3</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44,8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4,6</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5</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55,6</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11,1</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Астенотератозооспермия,</w:t>
            </w:r>
            <w:r>
              <w:rPr>
                <w:rFonts w:ascii="Calibri" w:hAnsi="Calibri"/>
                <w:spacing w:val="35"/>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7</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0,7</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2,1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2"/>
              <w:jc w:val="center"/>
              <w:rPr>
                <w:rFonts w:ascii="Calibri"/>
                <w:sz w:val="15"/>
              </w:rPr>
            </w:pPr>
            <w:r>
              <w:rPr>
                <w:rFonts w:ascii="Calibri"/>
                <w:spacing w:val="-4"/>
                <w:sz w:val="15"/>
              </w:rPr>
              <w:t>34,9</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5"/>
                <w:sz w:val="15"/>
              </w:rPr>
              <w:t>90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44,9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17,3</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27,6</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55,1</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2,9</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2,4</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14,3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4"/>
                <w:sz w:val="15"/>
              </w:rPr>
              <w:t>14,3</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14,3</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42" w:lineRule="exact" w:before="27"/>
              <w:ind w:left="23"/>
              <w:rPr>
                <w:rFonts w:ascii="Calibri" w:hAnsi="Calibri"/>
                <w:sz w:val="13"/>
              </w:rPr>
            </w:pPr>
            <w:r>
              <w:rPr>
                <w:rFonts w:ascii="Calibri" w:hAnsi="Calibri"/>
                <w:spacing w:val="2"/>
                <w:sz w:val="13"/>
              </w:rPr>
              <w:t>Олигоспермия, астенозооспермия, </w:t>
            </w:r>
            <w:r>
              <w:rPr>
                <w:rFonts w:ascii="Calibri" w:hAnsi="Calibri"/>
                <w:spacing w:val="-2"/>
                <w:sz w:val="13"/>
              </w:rPr>
              <w:t>лейкоцитоспермия</w:t>
            </w:r>
          </w:p>
        </w:tc>
        <w:tc>
          <w:tcPr>
            <w:tcW w:w="471" w:type="dxa"/>
            <w:tcBorders>
              <w:top w:val="nil"/>
              <w:left w:val="nil"/>
              <w:bottom w:val="nil"/>
              <w:right w:val="nil"/>
            </w:tcBorders>
          </w:tcPr>
          <w:p>
            <w:pPr>
              <w:pStyle w:val="TableParagraph"/>
              <w:spacing w:line="161" w:lineRule="exact" w:before="8"/>
              <w:ind w:right="186"/>
              <w:jc w:val="right"/>
              <w:rPr>
                <w:rFonts w:ascii="Calibri"/>
                <w:sz w:val="15"/>
              </w:rPr>
            </w:pPr>
            <w:r>
              <w:rPr>
                <w:rFonts w:ascii="Calibri"/>
                <w:spacing w:val="-10"/>
                <w:sz w:val="15"/>
              </w:rPr>
              <w:t>6</w:t>
            </w:r>
          </w:p>
        </w:tc>
        <w:tc>
          <w:tcPr>
            <w:tcW w:w="451" w:type="dxa"/>
            <w:tcBorders>
              <w:top w:val="single" w:sz="6" w:space="0" w:color="DADCDD"/>
              <w:left w:val="nil"/>
              <w:bottom w:val="single" w:sz="6" w:space="0" w:color="DADCDD"/>
            </w:tcBorders>
          </w:tcPr>
          <w:p>
            <w:pPr>
              <w:pStyle w:val="TableParagraph"/>
              <w:spacing w:line="161" w:lineRule="exact" w:before="8"/>
              <w:ind w:left="33"/>
              <w:jc w:val="center"/>
              <w:rPr>
                <w:rFonts w:ascii="Calibri"/>
                <w:sz w:val="15"/>
              </w:rPr>
            </w:pPr>
            <w:r>
              <w:rPr>
                <w:rFonts w:ascii="Calibri"/>
                <w:spacing w:val="-5"/>
                <w:sz w:val="15"/>
              </w:rPr>
              <w:t>0,6</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1,3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2"/>
              <w:jc w:val="center"/>
              <w:rPr>
                <w:rFonts w:ascii="Calibri"/>
                <w:sz w:val="15"/>
              </w:rPr>
            </w:pPr>
            <w:r>
              <w:rPr>
                <w:rFonts w:ascii="Calibri"/>
                <w:spacing w:val="-4"/>
                <w:sz w:val="15"/>
              </w:rPr>
              <w:t>67,7</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5"/>
                <w:sz w:val="15"/>
              </w:rPr>
              <w:t>80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
              <w:jc w:val="center"/>
              <w:rPr>
                <w:rFonts w:ascii="Calibri"/>
                <w:sz w:val="15"/>
              </w:rPr>
            </w:pPr>
            <w:r>
              <w:rPr>
                <w:rFonts w:ascii="Calibri"/>
                <w:spacing w:val="-4"/>
                <w:sz w:val="15"/>
              </w:rPr>
              <w:t>45,2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7"/>
              <w:jc w:val="center"/>
              <w:rPr>
                <w:rFonts w:ascii="Calibri"/>
                <w:sz w:val="15"/>
              </w:rPr>
            </w:pPr>
            <w:r>
              <w:rPr>
                <w:rFonts w:ascii="Calibri"/>
                <w:spacing w:val="-4"/>
                <w:sz w:val="15"/>
              </w:rPr>
              <w:t>23,7</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6"/>
              <w:jc w:val="center"/>
              <w:rPr>
                <w:rFonts w:ascii="Calibri"/>
                <w:sz w:val="15"/>
              </w:rPr>
            </w:pPr>
            <w:r>
              <w:rPr>
                <w:rFonts w:ascii="Calibri"/>
                <w:spacing w:val="-4"/>
                <w:sz w:val="15"/>
              </w:rPr>
              <w:t>21,5</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4"/>
                <w:sz w:val="15"/>
              </w:rPr>
              <w:t>54,8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0" w:right="19"/>
              <w:jc w:val="center"/>
              <w:rPr>
                <w:rFonts w:ascii="Calibri"/>
                <w:sz w:val="15"/>
              </w:rPr>
            </w:pPr>
            <w:r>
              <w:rPr>
                <w:rFonts w:ascii="Calibri"/>
                <w:spacing w:val="-5"/>
                <w:sz w:val="15"/>
              </w:rPr>
              <w:t>5,3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2,5</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4</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3"/>
              <w:rPr>
                <w:rFonts w:ascii="Calibri"/>
                <w:sz w:val="15"/>
              </w:rPr>
            </w:pPr>
            <w:r>
              <w:rPr>
                <w:rFonts w:ascii="Calibri"/>
                <w:spacing w:val="-10"/>
                <w:sz w:val="15"/>
              </w:rPr>
              <w:t>2</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4"/>
              <w:jc w:val="right"/>
              <w:rPr>
                <w:rFonts w:ascii="Calibri"/>
                <w:sz w:val="15"/>
              </w:rPr>
            </w:pPr>
            <w:r>
              <w:rPr>
                <w:rFonts w:ascii="Calibri"/>
                <w:spacing w:val="-4"/>
                <w:sz w:val="15"/>
              </w:rPr>
              <w:t>66,7</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4"/>
                <w:sz w:val="15"/>
              </w:rPr>
              <w:t>16,7</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9"/>
              <w:jc w:val="right"/>
              <w:rPr>
                <w:rFonts w:ascii="Calibri"/>
                <w:sz w:val="15"/>
              </w:rPr>
            </w:pPr>
            <w:r>
              <w:rPr>
                <w:rFonts w:ascii="Calibri"/>
                <w:spacing w:val="-4"/>
                <w:sz w:val="15"/>
              </w:rPr>
              <w:t>33,3</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Олигоспермия,</w:t>
            </w:r>
            <w:r>
              <w:rPr>
                <w:rFonts w:ascii="Calibri" w:hAnsi="Calibri"/>
                <w:spacing w:val="15"/>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5</w:t>
            </w:r>
          </w:p>
        </w:tc>
        <w:tc>
          <w:tcPr>
            <w:tcW w:w="451" w:type="dxa"/>
            <w:tcBorders>
              <w:top w:val="single" w:sz="6" w:space="0" w:color="DADCDD"/>
              <w:left w:val="nil"/>
              <w:bottom w:val="single" w:sz="6" w:space="0" w:color="DADCDD"/>
            </w:tcBorders>
          </w:tcPr>
          <w:p>
            <w:pPr>
              <w:pStyle w:val="TableParagraph"/>
              <w:spacing w:line="162" w:lineRule="exact" w:before="8"/>
              <w:ind w:left="33"/>
              <w:jc w:val="center"/>
              <w:rPr>
                <w:rFonts w:ascii="Calibri"/>
                <w:sz w:val="15"/>
              </w:rPr>
            </w:pPr>
            <w:r>
              <w:rPr>
                <w:rFonts w:ascii="Calibri"/>
                <w:spacing w:val="-5"/>
                <w:sz w:val="15"/>
              </w:rPr>
              <w:t>0,5</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0,8</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jc w:val="center"/>
              <w:rPr>
                <w:rFonts w:ascii="Calibri"/>
                <w:sz w:val="15"/>
              </w:rPr>
            </w:pPr>
            <w:r>
              <w:rPr>
                <w:rFonts w:ascii="Calibri"/>
                <w:spacing w:val="-2"/>
                <w:sz w:val="15"/>
              </w:rPr>
              <w:t>153,8</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2"/>
                <w:sz w:val="15"/>
              </w:rPr>
              <w:t>116,8</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72,6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45,2</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27,4</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27,4</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9</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2,5</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2</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20,0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4"/>
                <w:sz w:val="15"/>
              </w:rPr>
              <w:t>20,0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40,0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Олигоспермия,</w:t>
            </w:r>
            <w:r>
              <w:rPr>
                <w:rFonts w:ascii="Calibri" w:hAnsi="Calibri"/>
                <w:spacing w:val="15"/>
                <w:sz w:val="15"/>
              </w:rPr>
              <w:t> </w:t>
            </w:r>
            <w:r>
              <w:rPr>
                <w:rFonts w:ascii="Calibri" w:hAnsi="Calibri"/>
                <w:spacing w:val="-2"/>
                <w:sz w:val="15"/>
              </w:rPr>
              <w:t>олигозооспермия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5</w:t>
            </w:r>
          </w:p>
        </w:tc>
        <w:tc>
          <w:tcPr>
            <w:tcW w:w="451" w:type="dxa"/>
            <w:tcBorders>
              <w:top w:val="single" w:sz="6" w:space="0" w:color="DADCDD"/>
              <w:left w:val="nil"/>
              <w:bottom w:val="single" w:sz="6" w:space="0" w:color="DADCDD"/>
            </w:tcBorders>
          </w:tcPr>
          <w:p>
            <w:pPr>
              <w:pStyle w:val="TableParagraph"/>
              <w:spacing w:line="162" w:lineRule="exact" w:before="8"/>
              <w:ind w:left="33"/>
              <w:jc w:val="center"/>
              <w:rPr>
                <w:rFonts w:ascii="Calibri"/>
                <w:sz w:val="15"/>
              </w:rPr>
            </w:pPr>
            <w:r>
              <w:rPr>
                <w:rFonts w:ascii="Calibri"/>
                <w:spacing w:val="-5"/>
                <w:sz w:val="15"/>
              </w:rPr>
              <w:t>0,5</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0,9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jc w:val="center"/>
              <w:rPr>
                <w:rFonts w:ascii="Calibri"/>
                <w:sz w:val="15"/>
              </w:rPr>
            </w:pPr>
            <w:r>
              <w:rPr>
                <w:rFonts w:ascii="Calibri"/>
                <w:spacing w:val="-5"/>
                <w:sz w:val="15"/>
              </w:rPr>
              <w:t>4,8</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5"/>
                <w:sz w:val="15"/>
              </w:rPr>
              <w:t>5,5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57,6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35,4</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22,2</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42,4</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4,6</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0,6</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1</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20,0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20,0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145"/>
              <w:jc w:val="center"/>
              <w:rPr>
                <w:rFonts w:ascii="Calibri"/>
                <w:sz w:val="15"/>
              </w:rPr>
            </w:pPr>
            <w:r>
              <w:rPr>
                <w:rFonts w:ascii="Calibri"/>
                <w:spacing w:val="-4"/>
                <w:sz w:val="15"/>
              </w:rPr>
              <w:t>20,0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Олигоспермия,</w:t>
            </w:r>
            <w:r>
              <w:rPr>
                <w:rFonts w:ascii="Calibri" w:hAnsi="Calibri"/>
                <w:spacing w:val="14"/>
                <w:sz w:val="15"/>
              </w:rPr>
              <w:t> </w:t>
            </w:r>
            <w:r>
              <w:rPr>
                <w:rFonts w:ascii="Calibri" w:hAnsi="Calibri"/>
                <w:spacing w:val="-2"/>
                <w:sz w:val="15"/>
              </w:rPr>
              <w:t>олигоастенозооспермия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4</w:t>
            </w:r>
          </w:p>
        </w:tc>
        <w:tc>
          <w:tcPr>
            <w:tcW w:w="451" w:type="dxa"/>
            <w:tcBorders>
              <w:top w:val="single" w:sz="6" w:space="0" w:color="DADCDD"/>
              <w:left w:val="nil"/>
              <w:bottom w:val="single" w:sz="6" w:space="0" w:color="DADCDD"/>
            </w:tcBorders>
          </w:tcPr>
          <w:p>
            <w:pPr>
              <w:pStyle w:val="TableParagraph"/>
              <w:spacing w:line="162" w:lineRule="exact" w:before="8"/>
              <w:ind w:left="33"/>
              <w:jc w:val="center"/>
              <w:rPr>
                <w:rFonts w:ascii="Calibri"/>
                <w:sz w:val="15"/>
              </w:rPr>
            </w:pPr>
            <w:r>
              <w:rPr>
                <w:rFonts w:ascii="Calibri"/>
                <w:spacing w:val="-5"/>
                <w:sz w:val="15"/>
              </w:rPr>
              <w:t>0,4</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1,1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jc w:val="center"/>
              <w:rPr>
                <w:rFonts w:ascii="Calibri"/>
                <w:sz w:val="15"/>
              </w:rPr>
            </w:pPr>
            <w:r>
              <w:rPr>
                <w:rFonts w:ascii="Calibri"/>
                <w:spacing w:val="-5"/>
                <w:sz w:val="15"/>
              </w:rPr>
              <w:t>9,1</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5"/>
                <w:sz w:val="15"/>
              </w:rPr>
              <w:t>9,7</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5"/>
                <w:sz w:val="15"/>
              </w:rPr>
              <w:t>51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2"/>
              <w:jc w:val="center"/>
              <w:rPr>
                <w:rFonts w:ascii="Calibri"/>
                <w:sz w:val="15"/>
              </w:rPr>
            </w:pPr>
            <w:r>
              <w:rPr>
                <w:rFonts w:ascii="Calibri"/>
                <w:spacing w:val="-5"/>
                <w:sz w:val="15"/>
              </w:rPr>
              <w:t>24</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5"/>
                <w:sz w:val="15"/>
              </w:rPr>
              <w:t>27</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8"/>
              <w:jc w:val="center"/>
              <w:rPr>
                <w:rFonts w:ascii="Calibri"/>
                <w:sz w:val="15"/>
              </w:rPr>
            </w:pPr>
            <w:r>
              <w:rPr>
                <w:rFonts w:ascii="Calibri"/>
                <w:spacing w:val="-5"/>
                <w:sz w:val="15"/>
              </w:rPr>
              <w:t>49</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4,5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0,1</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2</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50,0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Астенозооспермия,</w:t>
            </w:r>
            <w:r>
              <w:rPr>
                <w:rFonts w:ascii="Calibri" w:hAnsi="Calibri"/>
                <w:spacing w:val="20"/>
                <w:sz w:val="15"/>
              </w:rPr>
              <w:t> </w:t>
            </w:r>
            <w:r>
              <w:rPr>
                <w:rFonts w:ascii="Calibri" w:hAnsi="Calibri"/>
                <w:spacing w:val="-2"/>
                <w:sz w:val="15"/>
              </w:rPr>
              <w:t>эритроцитоспермия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4</w:t>
            </w:r>
          </w:p>
        </w:tc>
        <w:tc>
          <w:tcPr>
            <w:tcW w:w="451" w:type="dxa"/>
            <w:tcBorders>
              <w:top w:val="single" w:sz="6" w:space="0" w:color="DADCDD"/>
              <w:left w:val="nil"/>
              <w:bottom w:val="single" w:sz="6" w:space="0" w:color="DADCDD"/>
            </w:tcBorders>
          </w:tcPr>
          <w:p>
            <w:pPr>
              <w:pStyle w:val="TableParagraph"/>
              <w:spacing w:line="162" w:lineRule="exact" w:before="8"/>
              <w:ind w:left="33"/>
              <w:jc w:val="center"/>
              <w:rPr>
                <w:rFonts w:ascii="Calibri"/>
                <w:sz w:val="15"/>
              </w:rPr>
            </w:pPr>
            <w:r>
              <w:rPr>
                <w:rFonts w:ascii="Calibri"/>
                <w:spacing w:val="-5"/>
                <w:sz w:val="15"/>
              </w:rPr>
              <w:t>0,4</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jc w:val="center"/>
              <w:rPr>
                <w:rFonts w:ascii="Calibri"/>
                <w:sz w:val="15"/>
              </w:rPr>
            </w:pPr>
            <w:r>
              <w:rPr>
                <w:rFonts w:ascii="Calibri"/>
                <w:spacing w:val="-10"/>
                <w:sz w:val="15"/>
              </w:rPr>
              <w:t>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jc w:val="center"/>
              <w:rPr>
                <w:rFonts w:ascii="Calibri"/>
                <w:sz w:val="15"/>
              </w:rPr>
            </w:pPr>
            <w:r>
              <w:rPr>
                <w:rFonts w:ascii="Calibri"/>
                <w:spacing w:val="-2"/>
                <w:sz w:val="15"/>
              </w:rPr>
              <w:t>104,8</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2"/>
                <w:sz w:val="15"/>
              </w:rPr>
              <w:t>282,3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60,3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8"/>
              <w:jc w:val="center"/>
              <w:rPr>
                <w:rFonts w:ascii="Calibri"/>
                <w:sz w:val="15"/>
              </w:rPr>
            </w:pPr>
            <w:r>
              <w:rPr>
                <w:rFonts w:ascii="Calibri"/>
                <w:spacing w:val="-4"/>
                <w:sz w:val="15"/>
              </w:rPr>
              <w:t>25,5</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34,8</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39,8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6,5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0,3</w:t>
            </w:r>
          </w:p>
        </w:tc>
        <w:tc>
          <w:tcPr>
            <w:tcW w:w="503" w:type="dxa"/>
            <w:tcBorders>
              <w:top w:val="single" w:sz="6" w:space="0" w:color="DADCDD"/>
              <w:left w:val="single" w:sz="6" w:space="0" w:color="DADCDD"/>
              <w:bottom w:val="single" w:sz="6" w:space="0" w:color="DADCDD"/>
            </w:tcBorders>
          </w:tcPr>
          <w:p>
            <w:pPr>
              <w:pStyle w:val="TableParagraph"/>
              <w:spacing w:line="162" w:lineRule="exact" w:before="8"/>
              <w:ind w:left="30"/>
              <w:jc w:val="center"/>
              <w:rPr>
                <w:rFonts w:ascii="Calibri"/>
                <w:sz w:val="15"/>
              </w:rPr>
            </w:pPr>
            <w:r>
              <w:rPr>
                <w:rFonts w:ascii="Calibri"/>
                <w:spacing w:val="-5"/>
                <w:sz w:val="15"/>
              </w:rPr>
              <w:t>++</w:t>
            </w: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25,0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3"/>
              <w:rPr>
                <w:rFonts w:ascii="Calibri" w:hAnsi="Calibri"/>
                <w:sz w:val="15"/>
              </w:rPr>
            </w:pPr>
            <w:r>
              <w:rPr>
                <w:rFonts w:ascii="Calibri" w:hAnsi="Calibri"/>
                <w:sz w:val="15"/>
              </w:rPr>
              <w:t>Олигоастенозооспермия,</w:t>
            </w:r>
            <w:r>
              <w:rPr>
                <w:rFonts w:ascii="Calibri" w:hAnsi="Calibri"/>
                <w:spacing w:val="23"/>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4</w:t>
            </w:r>
          </w:p>
        </w:tc>
        <w:tc>
          <w:tcPr>
            <w:tcW w:w="451" w:type="dxa"/>
            <w:tcBorders>
              <w:top w:val="single" w:sz="6" w:space="0" w:color="DADCDD"/>
              <w:left w:val="nil"/>
              <w:bottom w:val="single" w:sz="6" w:space="0" w:color="DADCDD"/>
            </w:tcBorders>
          </w:tcPr>
          <w:p>
            <w:pPr>
              <w:pStyle w:val="TableParagraph"/>
              <w:spacing w:line="162" w:lineRule="exact" w:before="8"/>
              <w:ind w:left="33"/>
              <w:jc w:val="center"/>
              <w:rPr>
                <w:rFonts w:ascii="Calibri"/>
                <w:sz w:val="15"/>
              </w:rPr>
            </w:pPr>
            <w:r>
              <w:rPr>
                <w:rFonts w:ascii="Calibri"/>
                <w:spacing w:val="-5"/>
                <w:sz w:val="15"/>
              </w:rPr>
              <w:t>0,4</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jc w:val="center"/>
              <w:rPr>
                <w:rFonts w:ascii="Calibri"/>
                <w:sz w:val="15"/>
              </w:rPr>
            </w:pPr>
            <w:r>
              <w:rPr>
                <w:rFonts w:ascii="Calibri"/>
                <w:spacing w:val="-10"/>
                <w:sz w:val="15"/>
              </w:rPr>
              <w:t>6</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jc w:val="center"/>
              <w:rPr>
                <w:rFonts w:ascii="Calibri"/>
                <w:sz w:val="15"/>
              </w:rPr>
            </w:pPr>
            <w:r>
              <w:rPr>
                <w:rFonts w:ascii="Calibri"/>
                <w:spacing w:val="-5"/>
                <w:sz w:val="15"/>
              </w:rPr>
              <w:t>8,9</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pacing w:val="-4"/>
                <w:sz w:val="15"/>
              </w:rPr>
              <w:t>48,8</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43,3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8"/>
              <w:jc w:val="center"/>
              <w:rPr>
                <w:rFonts w:ascii="Calibri"/>
                <w:sz w:val="15"/>
              </w:rPr>
            </w:pPr>
            <w:r>
              <w:rPr>
                <w:rFonts w:ascii="Calibri"/>
                <w:spacing w:val="-4"/>
                <w:sz w:val="15"/>
              </w:rPr>
              <w:t>25,8</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4"/>
                <w:sz w:val="15"/>
              </w:rPr>
              <w:t>17,5</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4"/>
              <w:jc w:val="center"/>
              <w:rPr>
                <w:rFonts w:ascii="Calibri"/>
                <w:sz w:val="15"/>
              </w:rPr>
            </w:pPr>
            <w:r>
              <w:rPr>
                <w:rFonts w:ascii="Calibri"/>
                <w:spacing w:val="-4"/>
                <w:sz w:val="15"/>
              </w:rPr>
              <w:t>56,8</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19"/>
              <w:jc w:val="center"/>
              <w:rPr>
                <w:rFonts w:ascii="Calibri"/>
                <w:sz w:val="15"/>
              </w:rPr>
            </w:pPr>
            <w:r>
              <w:rPr>
                <w:rFonts w:ascii="Calibri"/>
                <w:spacing w:val="-5"/>
                <w:sz w:val="15"/>
              </w:rPr>
              <w:t>4,5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4" w:right="15"/>
              <w:jc w:val="center"/>
              <w:rPr>
                <w:rFonts w:ascii="Calibri"/>
                <w:sz w:val="15"/>
              </w:rPr>
            </w:pPr>
            <w:r>
              <w:rPr>
                <w:rFonts w:ascii="Calibri"/>
                <w:spacing w:val="-10"/>
                <w:sz w:val="15"/>
              </w:rPr>
              <w:t>2</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2</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1</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3"/>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2" w:right="17"/>
              <w:jc w:val="center"/>
              <w:rPr>
                <w:rFonts w:ascii="Calibri"/>
                <w:sz w:val="15"/>
              </w:rPr>
            </w:pPr>
            <w:r>
              <w:rPr>
                <w:rFonts w:ascii="Calibri"/>
                <w:spacing w:val="-10"/>
                <w:sz w:val="15"/>
              </w:rPr>
              <w:t>1</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4"/>
              <w:jc w:val="right"/>
              <w:rPr>
                <w:rFonts w:ascii="Calibri"/>
                <w:sz w:val="15"/>
              </w:rPr>
            </w:pPr>
            <w:r>
              <w:rPr>
                <w:rFonts w:ascii="Calibri"/>
                <w:spacing w:val="-4"/>
                <w:sz w:val="15"/>
              </w:rPr>
              <w:t>50,0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4"/>
                <w:sz w:val="15"/>
              </w:rPr>
              <w:t>25,0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25,0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145"/>
              <w:jc w:val="center"/>
              <w:rPr>
                <w:rFonts w:ascii="Calibri"/>
                <w:sz w:val="15"/>
              </w:rPr>
            </w:pPr>
            <w:r>
              <w:rPr>
                <w:rFonts w:ascii="Calibri"/>
                <w:spacing w:val="-4"/>
                <w:sz w:val="15"/>
              </w:rPr>
              <w:t>25,0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42" w:lineRule="exact" w:before="27"/>
              <w:ind w:left="23"/>
              <w:rPr>
                <w:rFonts w:ascii="Calibri" w:hAnsi="Calibri"/>
                <w:sz w:val="13"/>
              </w:rPr>
            </w:pPr>
            <w:r>
              <w:rPr>
                <w:rFonts w:ascii="Calibri" w:hAnsi="Calibri"/>
                <w:sz w:val="13"/>
              </w:rPr>
              <w:t>Астенотератозооспермия,</w:t>
            </w:r>
            <w:r>
              <w:rPr>
                <w:rFonts w:ascii="Calibri" w:hAnsi="Calibri"/>
                <w:spacing w:val="24"/>
                <w:sz w:val="13"/>
              </w:rPr>
              <w:t> </w:t>
            </w:r>
            <w:r>
              <w:rPr>
                <w:rFonts w:ascii="Calibri" w:hAnsi="Calibri"/>
                <w:sz w:val="13"/>
              </w:rPr>
              <w:t>лейкоцитоспермия,</w:t>
            </w:r>
            <w:r>
              <w:rPr>
                <w:rFonts w:ascii="Calibri" w:hAnsi="Calibri"/>
                <w:spacing w:val="24"/>
                <w:sz w:val="13"/>
              </w:rPr>
              <w:t> </w:t>
            </w:r>
            <w:r>
              <w:rPr>
                <w:rFonts w:ascii="Calibri" w:hAnsi="Calibri"/>
                <w:spacing w:val="-2"/>
                <w:sz w:val="13"/>
              </w:rPr>
              <w:t>эритроц</w:t>
            </w:r>
          </w:p>
        </w:tc>
        <w:tc>
          <w:tcPr>
            <w:tcW w:w="471" w:type="dxa"/>
            <w:tcBorders>
              <w:top w:val="nil"/>
              <w:left w:val="nil"/>
              <w:bottom w:val="nil"/>
              <w:right w:val="nil"/>
            </w:tcBorders>
          </w:tcPr>
          <w:p>
            <w:pPr>
              <w:pStyle w:val="TableParagraph"/>
              <w:spacing w:line="161" w:lineRule="exact" w:before="8"/>
              <w:ind w:right="186"/>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1"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2,9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2"/>
              <w:jc w:val="center"/>
              <w:rPr>
                <w:rFonts w:ascii="Calibri"/>
                <w:sz w:val="15"/>
              </w:rPr>
            </w:pPr>
            <w:r>
              <w:rPr>
                <w:rFonts w:ascii="Calibri"/>
                <w:spacing w:val="-4"/>
                <w:sz w:val="15"/>
              </w:rPr>
              <w:t>76,7</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0"/>
              <w:jc w:val="center"/>
              <w:rPr>
                <w:rFonts w:ascii="Calibri"/>
                <w:sz w:val="15"/>
              </w:rPr>
            </w:pPr>
            <w:r>
              <w:rPr>
                <w:rFonts w:ascii="Calibri"/>
                <w:spacing w:val="-2"/>
                <w:sz w:val="15"/>
              </w:rPr>
              <w:t>192,3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
              <w:jc w:val="center"/>
              <w:rPr>
                <w:rFonts w:ascii="Calibri"/>
                <w:sz w:val="15"/>
              </w:rPr>
            </w:pPr>
            <w:r>
              <w:rPr>
                <w:rFonts w:ascii="Calibri"/>
                <w:spacing w:val="-5"/>
                <w:sz w:val="15"/>
              </w:rPr>
              <w:t>49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5"/>
                <w:sz w:val="15"/>
              </w:rPr>
              <w:t>25</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0"/>
              <w:jc w:val="center"/>
              <w:rPr>
                <w:rFonts w:ascii="Calibri"/>
                <w:sz w:val="15"/>
              </w:rPr>
            </w:pPr>
            <w:r>
              <w:rPr>
                <w:rFonts w:ascii="Calibri"/>
                <w:spacing w:val="-5"/>
                <w:sz w:val="15"/>
              </w:rPr>
              <w:t>24</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8"/>
              <w:jc w:val="center"/>
              <w:rPr>
                <w:rFonts w:ascii="Calibri"/>
                <w:sz w:val="15"/>
              </w:rPr>
            </w:pPr>
            <w:r>
              <w:rPr>
                <w:rFonts w:ascii="Calibri"/>
                <w:spacing w:val="-5"/>
                <w:sz w:val="15"/>
              </w:rPr>
              <w:t>51</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2</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5" w:right="15"/>
              <w:jc w:val="center"/>
              <w:rPr>
                <w:rFonts w:ascii="Calibri"/>
                <w:sz w:val="15"/>
              </w:rPr>
            </w:pPr>
            <w:r>
              <w:rPr>
                <w:rFonts w:ascii="Calibri"/>
                <w:spacing w:val="-10"/>
                <w:sz w:val="15"/>
              </w:rPr>
              <w:t>2</w:t>
            </w:r>
          </w:p>
        </w:tc>
        <w:tc>
          <w:tcPr>
            <w:tcW w:w="503" w:type="dxa"/>
            <w:tcBorders>
              <w:top w:val="single" w:sz="6" w:space="0" w:color="DADCDD"/>
              <w:left w:val="single" w:sz="6" w:space="0" w:color="DADCDD"/>
              <w:bottom w:val="single" w:sz="6" w:space="0" w:color="DADCDD"/>
            </w:tcBorders>
          </w:tcPr>
          <w:p>
            <w:pPr>
              <w:pStyle w:val="TableParagraph"/>
              <w:spacing w:line="161" w:lineRule="exact" w:before="8"/>
              <w:ind w:left="30" w:right="11"/>
              <w:jc w:val="center"/>
              <w:rPr>
                <w:rFonts w:ascii="Calibri"/>
                <w:sz w:val="15"/>
              </w:rPr>
            </w:pPr>
            <w:r>
              <w:rPr>
                <w:rFonts w:ascii="Calibri"/>
                <w:spacing w:val="-5"/>
                <w:sz w:val="15"/>
              </w:rPr>
              <w:t>+++</w:t>
            </w: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5"/>
              <w:jc w:val="right"/>
              <w:rPr>
                <w:rFonts w:ascii="Calibri"/>
                <w:sz w:val="15"/>
              </w:rPr>
            </w:pPr>
            <w:r>
              <w:rPr>
                <w:rFonts w:ascii="Calibri"/>
                <w:spacing w:val="-4"/>
                <w:sz w:val="15"/>
              </w:rPr>
              <w:t>33,3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1" w:lineRule="exact" w:before="8"/>
              <w:ind w:left="22"/>
              <w:rPr>
                <w:rFonts w:ascii="Calibri" w:hAnsi="Calibri"/>
                <w:sz w:val="15"/>
              </w:rPr>
            </w:pPr>
            <w:r>
              <w:rPr>
                <w:rFonts w:ascii="Calibri" w:hAnsi="Calibri"/>
                <w:sz w:val="15"/>
              </w:rPr>
              <w:t>Криптозооспермия,</w:t>
            </w:r>
            <w:r>
              <w:rPr>
                <w:rFonts w:ascii="Calibri" w:hAnsi="Calibri"/>
                <w:spacing w:val="17"/>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1" w:lineRule="exact" w:before="8"/>
              <w:ind w:right="186"/>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1"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3,1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3"/>
              <w:jc w:val="center"/>
              <w:rPr>
                <w:rFonts w:ascii="Calibri" w:hAnsi="Calibri"/>
                <w:sz w:val="15"/>
              </w:rPr>
            </w:pPr>
            <w:r>
              <w:rPr>
                <w:rFonts w:ascii="Calibri" w:hAnsi="Calibri"/>
                <w:sz w:val="15"/>
              </w:rPr>
              <w:t>ед </w:t>
            </w:r>
            <w:r>
              <w:rPr>
                <w:rFonts w:ascii="Calibri" w:hAnsi="Calibri"/>
                <w:spacing w:val="-4"/>
                <w:sz w:val="15"/>
              </w:rPr>
              <w:t>подв</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
              <w:jc w:val="center"/>
              <w:rPr>
                <w:rFonts w:ascii="Calibri" w:hAnsi="Calibri"/>
                <w:sz w:val="15"/>
              </w:rPr>
            </w:pPr>
            <w:r>
              <w:rPr>
                <w:rFonts w:ascii="Calibri" w:hAnsi="Calibri"/>
                <w:sz w:val="15"/>
              </w:rPr>
              <w:t>ед </w:t>
            </w:r>
            <w:r>
              <w:rPr>
                <w:rFonts w:ascii="Calibri" w:hAnsi="Calibri"/>
                <w:spacing w:val="-4"/>
                <w:sz w:val="15"/>
              </w:rPr>
              <w:t>подв</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8"/>
              <w:jc w:val="center"/>
              <w:rPr>
                <w:rFonts w:ascii="Calibri"/>
                <w:sz w:val="15"/>
              </w:rPr>
            </w:pPr>
            <w:r>
              <w:rPr>
                <w:rFonts w:ascii="Calibri"/>
                <w:sz w:val="15"/>
              </w:rPr>
              <w:t>-</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37"/>
              <w:jc w:val="center"/>
              <w:rPr>
                <w:rFonts w:ascii="Calibri"/>
                <w:sz w:val="15"/>
              </w:rPr>
            </w:pPr>
            <w:r>
              <w:rPr>
                <w:rFonts w:ascii="Calibri"/>
                <w:sz w:val="15"/>
              </w:rPr>
              <w:t>-</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36"/>
              <w:jc w:val="center"/>
              <w:rPr>
                <w:rFonts w:ascii="Calibri"/>
                <w:sz w:val="15"/>
              </w:rPr>
            </w:pPr>
            <w:r>
              <w:rPr>
                <w:rFonts w:ascii="Calibri"/>
                <w:sz w:val="15"/>
              </w:rPr>
              <w:t>-</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34"/>
              <w:jc w:val="center"/>
              <w:rPr>
                <w:rFonts w:ascii="Calibri"/>
                <w:sz w:val="15"/>
              </w:rPr>
            </w:pPr>
            <w:r>
              <w:rPr>
                <w:rFonts w:ascii="Calibri"/>
                <w:sz w:val="15"/>
              </w:rPr>
              <w:t>-</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1"/>
              <w:jc w:val="center"/>
              <w:rPr>
                <w:rFonts w:ascii="Calibri"/>
                <w:sz w:val="15"/>
              </w:rPr>
            </w:pPr>
            <w:r>
              <w:rPr>
                <w:rFonts w:ascii="Calibri"/>
                <w:sz w:val="15"/>
              </w:rPr>
              <w:t>-</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5,6</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Олигоспермия,</w:t>
            </w:r>
            <w:r>
              <w:rPr>
                <w:rFonts w:ascii="Calibri" w:hAnsi="Calibri"/>
                <w:spacing w:val="15"/>
                <w:sz w:val="15"/>
              </w:rPr>
              <w:t> </w:t>
            </w:r>
            <w:r>
              <w:rPr>
                <w:rFonts w:ascii="Calibri" w:hAnsi="Calibri"/>
                <w:spacing w:val="-2"/>
                <w:sz w:val="15"/>
              </w:rPr>
              <w:t>азооспермия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0,5</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0</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10"/>
                <w:sz w:val="15"/>
              </w:rPr>
              <w:t>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10"/>
                <w:sz w:val="15"/>
              </w:rPr>
              <w:t>0</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10"/>
                <w:sz w:val="15"/>
              </w:rPr>
              <w:t>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10"/>
                <w:sz w:val="15"/>
              </w:rPr>
              <w:t>0</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10"/>
                <w:sz w:val="15"/>
              </w:rPr>
              <w:t>0</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0</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0,2</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3</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2"/>
                <w:sz w:val="15"/>
              </w:rPr>
              <w:t>100,0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Олиготератозооспермия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
              <w:jc w:val="center"/>
              <w:rPr>
                <w:rFonts w:ascii="Calibri"/>
                <w:sz w:val="15"/>
              </w:rPr>
            </w:pPr>
            <w:r>
              <w:rPr>
                <w:rFonts w:ascii="Calibri"/>
                <w:spacing w:val="-10"/>
                <w:sz w:val="15"/>
              </w:rPr>
              <w:t>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pacing w:val="-5"/>
                <w:sz w:val="15"/>
              </w:rPr>
              <w:t>4,7</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18,3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65,7</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36,3</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29,3</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34,3</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33,3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Тератозооспермия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2,7</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97,7</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2"/>
                <w:sz w:val="15"/>
              </w:rPr>
              <w:t>248,3</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64,3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37,3</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5"/>
                <w:sz w:val="15"/>
              </w:rPr>
              <w:t>27</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35,7</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1,7</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0,2</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33,3</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pacing w:val="-2"/>
                <w:sz w:val="15"/>
              </w:rPr>
              <w:t>Эритроцитоспермия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3</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0,3</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3,3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89,3</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2"/>
                <w:sz w:val="15"/>
              </w:rPr>
              <w:t>294,7</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4"/>
                <w:sz w:val="15"/>
              </w:rPr>
              <w:t>72,3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47,7</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4"/>
                <w:sz w:val="15"/>
              </w:rPr>
              <w:t>24,7</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27,7</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4"/>
                <w:sz w:val="15"/>
              </w:rPr>
              <w:t>12,3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0,7</w:t>
            </w:r>
          </w:p>
        </w:tc>
        <w:tc>
          <w:tcPr>
            <w:tcW w:w="503" w:type="dxa"/>
            <w:tcBorders>
              <w:top w:val="single" w:sz="6" w:space="0" w:color="DADCDD"/>
              <w:left w:val="single" w:sz="6" w:space="0" w:color="DADCDD"/>
              <w:bottom w:val="single" w:sz="6" w:space="0" w:color="DADCDD"/>
            </w:tcBorders>
          </w:tcPr>
          <w:p>
            <w:pPr>
              <w:pStyle w:val="TableParagraph"/>
              <w:spacing w:line="162" w:lineRule="exact" w:before="8"/>
              <w:ind w:right="4"/>
              <w:jc w:val="center"/>
              <w:rPr>
                <w:rFonts w:ascii="Calibri" w:hAnsi="Calibri"/>
                <w:sz w:val="15"/>
              </w:rPr>
            </w:pPr>
            <w:r>
              <w:rPr>
                <w:rFonts w:ascii="Calibri" w:hAnsi="Calibri"/>
                <w:spacing w:val="-2"/>
                <w:sz w:val="15"/>
              </w:rPr>
              <w:t>разное</w:t>
            </w: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2</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4"/>
                <w:sz w:val="15"/>
              </w:rPr>
              <w:t>66,7</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Олигозооспермия,</w:t>
            </w:r>
            <w:r>
              <w:rPr>
                <w:rFonts w:ascii="Calibri" w:hAnsi="Calibri"/>
                <w:spacing w:val="15"/>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2</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0,2</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6,3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pacing w:val="-5"/>
                <w:sz w:val="15"/>
              </w:rPr>
              <w:t>9,5</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58,5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
              <w:jc w:val="center"/>
              <w:rPr>
                <w:rFonts w:ascii="Calibri"/>
                <w:sz w:val="15"/>
              </w:rPr>
            </w:pPr>
            <w:r>
              <w:rPr>
                <w:rFonts w:ascii="Calibri"/>
                <w:spacing w:val="-5"/>
                <w:sz w:val="15"/>
              </w:rPr>
              <w:t>74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5"/>
                <w:sz w:val="15"/>
              </w:rPr>
              <w:t>40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5"/>
                <w:sz w:val="15"/>
              </w:rPr>
              <w:t>34</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5"/>
                <w:sz w:val="15"/>
              </w:rPr>
              <w:t>26</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right="20"/>
              <w:jc w:val="center"/>
              <w:rPr>
                <w:rFonts w:ascii="Calibri"/>
                <w:sz w:val="15"/>
              </w:rPr>
            </w:pPr>
            <w:r>
              <w:rPr>
                <w:rFonts w:ascii="Calibri"/>
                <w:spacing w:val="-5"/>
                <w:sz w:val="15"/>
              </w:rPr>
              <w:t>4,5</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1,9</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4"/>
                <w:sz w:val="15"/>
              </w:rPr>
              <w:t>50,0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Олигоспермия,</w:t>
            </w:r>
            <w:r>
              <w:rPr>
                <w:rFonts w:ascii="Calibri" w:hAnsi="Calibri"/>
                <w:spacing w:val="15"/>
                <w:sz w:val="15"/>
              </w:rPr>
              <w:t> </w:t>
            </w:r>
            <w:r>
              <w:rPr>
                <w:rFonts w:ascii="Calibri" w:hAnsi="Calibri"/>
                <w:spacing w:val="-2"/>
                <w:sz w:val="15"/>
              </w:rPr>
              <w:t>криптозооспермия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2</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0,2</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
              <w:jc w:val="center"/>
              <w:rPr>
                <w:rFonts w:ascii="Calibri"/>
                <w:sz w:val="15"/>
              </w:rPr>
            </w:pPr>
            <w:r>
              <w:rPr>
                <w:rFonts w:ascii="Calibri"/>
                <w:spacing w:val="-10"/>
                <w:sz w:val="15"/>
              </w:rPr>
              <w:t>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3"/>
              <w:jc w:val="center"/>
              <w:rPr>
                <w:rFonts w:ascii="Calibri" w:hAnsi="Calibri"/>
                <w:sz w:val="15"/>
              </w:rPr>
            </w:pPr>
            <w:r>
              <w:rPr>
                <w:rFonts w:ascii="Calibri" w:hAnsi="Calibri"/>
                <w:sz w:val="15"/>
              </w:rPr>
              <w:t>ед </w:t>
            </w:r>
            <w:r>
              <w:rPr>
                <w:rFonts w:ascii="Calibri" w:hAnsi="Calibri"/>
                <w:spacing w:val="-4"/>
                <w:sz w:val="15"/>
              </w:rPr>
              <w:t>подв</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
              <w:jc w:val="center"/>
              <w:rPr>
                <w:rFonts w:ascii="Calibri" w:hAnsi="Calibri"/>
                <w:sz w:val="15"/>
              </w:rPr>
            </w:pPr>
            <w:r>
              <w:rPr>
                <w:rFonts w:ascii="Calibri" w:hAnsi="Calibri"/>
                <w:sz w:val="15"/>
              </w:rPr>
              <w:t>ед </w:t>
            </w:r>
            <w:r>
              <w:rPr>
                <w:rFonts w:ascii="Calibri" w:hAnsi="Calibri"/>
                <w:spacing w:val="-4"/>
                <w:sz w:val="15"/>
              </w:rPr>
              <w:t>подв</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8"/>
              <w:jc w:val="center"/>
              <w:rPr>
                <w:rFonts w:ascii="Calibri"/>
                <w:sz w:val="15"/>
              </w:rPr>
            </w:pPr>
            <w:r>
              <w:rPr>
                <w:rFonts w:ascii="Calibri"/>
                <w:sz w:val="15"/>
              </w:rPr>
              <w:t>-</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7"/>
              <w:jc w:val="center"/>
              <w:rPr>
                <w:rFonts w:ascii="Calibri"/>
                <w:sz w:val="15"/>
              </w:rPr>
            </w:pPr>
            <w:r>
              <w:rPr>
                <w:rFonts w:ascii="Calibri"/>
                <w:sz w:val="15"/>
              </w:rPr>
              <w:t>-</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6"/>
              <w:jc w:val="center"/>
              <w:rPr>
                <w:rFonts w:ascii="Calibri"/>
                <w:sz w:val="15"/>
              </w:rPr>
            </w:pPr>
            <w:r>
              <w:rPr>
                <w:rFonts w:ascii="Calibri"/>
                <w:sz w:val="15"/>
              </w:rPr>
              <w:t>-</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4"/>
              <w:jc w:val="center"/>
              <w:rPr>
                <w:rFonts w:ascii="Calibri"/>
                <w:sz w:val="15"/>
              </w:rPr>
            </w:pPr>
            <w:r>
              <w:rPr>
                <w:rFonts w:ascii="Calibri"/>
                <w:sz w:val="15"/>
              </w:rPr>
              <w:t>-</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1"/>
              <w:jc w:val="center"/>
              <w:rPr>
                <w:rFonts w:ascii="Calibri"/>
                <w:sz w:val="15"/>
              </w:rPr>
            </w:pPr>
            <w:r>
              <w:rPr>
                <w:rFonts w:ascii="Calibri"/>
                <w:sz w:val="15"/>
              </w:rPr>
              <w:t>-</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0,2</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50,0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Олиготератозооспермия,</w:t>
            </w:r>
            <w:r>
              <w:rPr>
                <w:rFonts w:ascii="Calibri" w:hAnsi="Calibri"/>
                <w:spacing w:val="30"/>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2</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0,2</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
              <w:jc w:val="center"/>
              <w:rPr>
                <w:rFonts w:ascii="Calibri"/>
                <w:sz w:val="15"/>
              </w:rPr>
            </w:pPr>
            <w:r>
              <w:rPr>
                <w:rFonts w:ascii="Calibri"/>
                <w:spacing w:val="-10"/>
                <w:sz w:val="15"/>
              </w:rPr>
              <w:t>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12,5</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5"/>
                <w:sz w:val="15"/>
              </w:rPr>
              <w:t>50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63,5</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35,5</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5"/>
                <w:sz w:val="15"/>
              </w:rPr>
              <w:t>28</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36,5</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2,8</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4"/>
                <w:sz w:val="15"/>
              </w:rPr>
              <w:t>50,0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Олигоспермия,</w:t>
            </w:r>
            <w:r>
              <w:rPr>
                <w:rFonts w:ascii="Calibri" w:hAnsi="Calibri"/>
                <w:spacing w:val="14"/>
                <w:sz w:val="15"/>
              </w:rPr>
              <w:t> </w:t>
            </w:r>
            <w:r>
              <w:rPr>
                <w:rFonts w:ascii="Calibri" w:hAnsi="Calibri"/>
                <w:spacing w:val="-2"/>
                <w:sz w:val="15"/>
              </w:rPr>
              <w:t>астенотератозооспермия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2</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0,2</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
              <w:jc w:val="center"/>
              <w:rPr>
                <w:rFonts w:ascii="Calibri"/>
                <w:sz w:val="15"/>
              </w:rPr>
            </w:pPr>
            <w:r>
              <w:rPr>
                <w:rFonts w:ascii="Calibri"/>
                <w:spacing w:val="-10"/>
                <w:sz w:val="15"/>
              </w:rPr>
              <w:t>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4"/>
                <w:sz w:val="15"/>
              </w:rPr>
              <w:t>50,5</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0"/>
              <w:jc w:val="center"/>
              <w:rPr>
                <w:rFonts w:ascii="Calibri"/>
                <w:sz w:val="15"/>
              </w:rPr>
            </w:pPr>
            <w:r>
              <w:rPr>
                <w:rFonts w:ascii="Calibri"/>
                <w:spacing w:val="-4"/>
                <w:sz w:val="15"/>
              </w:rPr>
              <w:t>61,5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4"/>
                <w:sz w:val="15"/>
              </w:rPr>
              <w:t>34,5</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4"/>
                <w:sz w:val="15"/>
              </w:rPr>
              <w:t>14,5</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5"/>
                <w:sz w:val="15"/>
              </w:rPr>
              <w:t>20</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4"/>
                <w:sz w:val="15"/>
              </w:rPr>
              <w:t>65,5</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3" w:right="15"/>
              <w:jc w:val="center"/>
              <w:rPr>
                <w:rFonts w:ascii="Calibri"/>
                <w:sz w:val="15"/>
              </w:rPr>
            </w:pPr>
            <w:r>
              <w:rPr>
                <w:rFonts w:ascii="Calibri"/>
                <w:spacing w:val="-5"/>
                <w:sz w:val="15"/>
              </w:rPr>
              <w:t>0,5</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1</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145"/>
              <w:jc w:val="center"/>
              <w:rPr>
                <w:rFonts w:ascii="Calibri"/>
                <w:sz w:val="15"/>
              </w:rPr>
            </w:pPr>
            <w:r>
              <w:rPr>
                <w:rFonts w:ascii="Calibri"/>
                <w:spacing w:val="-4"/>
                <w:sz w:val="15"/>
              </w:rPr>
              <w:t>50,0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Олигоспермия,</w:t>
            </w:r>
            <w:r>
              <w:rPr>
                <w:rFonts w:ascii="Calibri" w:hAnsi="Calibri"/>
                <w:spacing w:val="14"/>
                <w:sz w:val="15"/>
              </w:rPr>
              <w:t> </w:t>
            </w:r>
            <w:r>
              <w:rPr>
                <w:rFonts w:ascii="Calibri" w:hAnsi="Calibri"/>
                <w:spacing w:val="-2"/>
                <w:sz w:val="15"/>
              </w:rPr>
              <w:t>олигоастенотератозооспермия</w:t>
            </w:r>
          </w:p>
        </w:tc>
        <w:tc>
          <w:tcPr>
            <w:tcW w:w="471" w:type="dxa"/>
            <w:tcBorders>
              <w:top w:val="nil"/>
              <w:left w:val="nil"/>
              <w:bottom w:val="nil"/>
              <w:right w:val="nil"/>
            </w:tcBorders>
          </w:tcPr>
          <w:p>
            <w:pPr>
              <w:pStyle w:val="TableParagraph"/>
              <w:spacing w:line="162" w:lineRule="exact" w:before="8"/>
              <w:ind w:right="186"/>
              <w:jc w:val="right"/>
              <w:rPr>
                <w:rFonts w:ascii="Calibri"/>
                <w:sz w:val="15"/>
              </w:rPr>
            </w:pPr>
            <w:r>
              <w:rPr>
                <w:rFonts w:ascii="Calibri"/>
                <w:spacing w:val="-10"/>
                <w:sz w:val="15"/>
              </w:rPr>
              <w:t>1</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0,1</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1"/>
              <w:jc w:val="center"/>
              <w:rPr>
                <w:rFonts w:ascii="Calibri"/>
                <w:sz w:val="15"/>
              </w:rPr>
            </w:pPr>
            <w:r>
              <w:rPr>
                <w:rFonts w:ascii="Calibri"/>
                <w:spacing w:val="-5"/>
                <w:sz w:val="15"/>
              </w:rPr>
              <w:t>1,2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9</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5"/>
                <w:sz w:val="15"/>
              </w:rPr>
              <w:t>11</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
              <w:jc w:val="center"/>
              <w:rPr>
                <w:rFonts w:ascii="Calibri"/>
                <w:sz w:val="15"/>
              </w:rPr>
            </w:pPr>
            <w:r>
              <w:rPr>
                <w:rFonts w:ascii="Calibri"/>
                <w:spacing w:val="-5"/>
                <w:sz w:val="15"/>
              </w:rPr>
              <w:t>11</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5"/>
                <w:sz w:val="15"/>
              </w:rPr>
              <w:t>10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10"/>
                <w:sz w:val="15"/>
              </w:rPr>
              <w:t>1</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5"/>
                <w:sz w:val="15"/>
              </w:rPr>
              <w:t>89</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5" w:right="15"/>
              <w:jc w:val="center"/>
              <w:rPr>
                <w:rFonts w:ascii="Calibri"/>
                <w:sz w:val="15"/>
              </w:rPr>
            </w:pPr>
            <w:r>
              <w:rPr>
                <w:rFonts w:ascii="Calibri"/>
                <w:spacing w:val="-10"/>
                <w:sz w:val="15"/>
              </w:rPr>
              <w:t>1</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Азооспермия,</w:t>
            </w:r>
            <w:r>
              <w:rPr>
                <w:rFonts w:ascii="Calibri" w:hAnsi="Calibri"/>
                <w:spacing w:val="13"/>
                <w:sz w:val="15"/>
              </w:rPr>
              <w:t> </w:t>
            </w:r>
            <w:r>
              <w:rPr>
                <w:rFonts w:ascii="Calibri" w:hAnsi="Calibri"/>
                <w:spacing w:val="-2"/>
                <w:sz w:val="15"/>
              </w:rPr>
              <w:t>лейкоцитоспермия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1</w:t>
            </w:r>
          </w:p>
        </w:tc>
        <w:tc>
          <w:tcPr>
            <w:tcW w:w="451" w:type="dxa"/>
            <w:tcBorders>
              <w:top w:val="single" w:sz="6" w:space="0" w:color="DADCDD"/>
              <w:left w:val="nil"/>
              <w:bottom w:val="single" w:sz="6" w:space="0" w:color="DADCDD"/>
            </w:tcBorders>
          </w:tcPr>
          <w:p>
            <w:pPr>
              <w:pStyle w:val="TableParagraph"/>
              <w:spacing w:line="162" w:lineRule="exact" w:before="8"/>
              <w:ind w:left="33" w:right="1"/>
              <w:jc w:val="center"/>
              <w:rPr>
                <w:rFonts w:ascii="Calibri"/>
                <w:sz w:val="15"/>
              </w:rPr>
            </w:pPr>
            <w:r>
              <w:rPr>
                <w:rFonts w:ascii="Calibri"/>
                <w:spacing w:val="-5"/>
                <w:sz w:val="15"/>
              </w:rPr>
              <w:t>0,1</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
              <w:jc w:val="center"/>
              <w:rPr>
                <w:rFonts w:ascii="Calibri"/>
                <w:sz w:val="15"/>
              </w:rPr>
            </w:pPr>
            <w:r>
              <w:rPr>
                <w:rFonts w:ascii="Calibri"/>
                <w:spacing w:val="-10"/>
                <w:sz w:val="15"/>
              </w:rPr>
              <w:t>4</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1"/>
              <w:jc w:val="center"/>
              <w:rPr>
                <w:rFonts w:ascii="Calibri"/>
                <w:sz w:val="15"/>
              </w:rPr>
            </w:pPr>
            <w:r>
              <w:rPr>
                <w:rFonts w:ascii="Calibri"/>
                <w:spacing w:val="-10"/>
                <w:sz w:val="15"/>
              </w:rPr>
              <w:t>0</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
              <w:jc w:val="center"/>
              <w:rPr>
                <w:rFonts w:ascii="Calibri"/>
                <w:sz w:val="15"/>
              </w:rPr>
            </w:pPr>
            <w:r>
              <w:rPr>
                <w:rFonts w:ascii="Calibri"/>
                <w:spacing w:val="-10"/>
                <w:sz w:val="15"/>
              </w:rPr>
              <w:t>0</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8"/>
              <w:jc w:val="center"/>
              <w:rPr>
                <w:rFonts w:ascii="Calibri"/>
                <w:sz w:val="15"/>
              </w:rPr>
            </w:pPr>
            <w:r>
              <w:rPr>
                <w:rFonts w:ascii="Calibri"/>
                <w:spacing w:val="-10"/>
                <w:sz w:val="15"/>
              </w:rPr>
              <w:t>0</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10"/>
                <w:sz w:val="15"/>
              </w:rPr>
              <w:t>0</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5"/>
              <w:jc w:val="center"/>
              <w:rPr>
                <w:rFonts w:ascii="Calibri"/>
                <w:sz w:val="15"/>
              </w:rPr>
            </w:pPr>
            <w:r>
              <w:rPr>
                <w:rFonts w:ascii="Calibri"/>
                <w:spacing w:val="-10"/>
                <w:sz w:val="15"/>
              </w:rPr>
              <w:t>0</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3"/>
              <w:jc w:val="center"/>
              <w:rPr>
                <w:rFonts w:ascii="Calibri"/>
                <w:sz w:val="15"/>
              </w:rPr>
            </w:pPr>
            <w:r>
              <w:rPr>
                <w:rFonts w:ascii="Calibri"/>
                <w:spacing w:val="-10"/>
                <w:sz w:val="15"/>
              </w:rPr>
              <w:t>0</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0</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5" w:right="15"/>
              <w:jc w:val="center"/>
              <w:rPr>
                <w:rFonts w:ascii="Calibri"/>
                <w:sz w:val="15"/>
              </w:rPr>
            </w:pPr>
            <w:r>
              <w:rPr>
                <w:rFonts w:ascii="Calibri"/>
                <w:spacing w:val="-10"/>
                <w:sz w:val="15"/>
              </w:rPr>
              <w:t>3</w:t>
            </w:r>
          </w:p>
        </w:tc>
        <w:tc>
          <w:tcPr>
            <w:tcW w:w="503" w:type="dxa"/>
            <w:tcBorders>
              <w:top w:val="single" w:sz="6" w:space="0" w:color="DADCDD"/>
              <w:left w:val="single" w:sz="6" w:space="0" w:color="DADCDD"/>
              <w:bottom w:val="single" w:sz="6" w:space="0" w:color="DADCDD"/>
            </w:tcBorders>
          </w:tcPr>
          <w:p>
            <w:pPr>
              <w:pStyle w:val="TableParagraph"/>
              <w:rPr>
                <w:sz w:val="12"/>
              </w:rPr>
            </w:pP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9"/>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8"/>
              <w:ind w:left="22"/>
              <w:rPr>
                <w:rFonts w:ascii="Calibri" w:hAnsi="Calibri"/>
                <w:sz w:val="15"/>
              </w:rPr>
            </w:pPr>
            <w:r>
              <w:rPr>
                <w:rFonts w:ascii="Calibri" w:hAnsi="Calibri"/>
                <w:sz w:val="15"/>
              </w:rPr>
              <w:t>Астенотератозооспермия,</w:t>
            </w:r>
            <w:r>
              <w:rPr>
                <w:rFonts w:ascii="Calibri" w:hAnsi="Calibri"/>
                <w:spacing w:val="37"/>
                <w:sz w:val="15"/>
              </w:rPr>
              <w:t> </w:t>
            </w:r>
            <w:r>
              <w:rPr>
                <w:rFonts w:ascii="Calibri" w:hAnsi="Calibri"/>
                <w:spacing w:val="-2"/>
                <w:sz w:val="15"/>
              </w:rPr>
              <w:t>эритроцитоспермия</w:t>
            </w:r>
          </w:p>
        </w:tc>
        <w:tc>
          <w:tcPr>
            <w:tcW w:w="471" w:type="dxa"/>
            <w:tcBorders>
              <w:top w:val="nil"/>
              <w:left w:val="nil"/>
              <w:bottom w:val="nil"/>
              <w:right w:val="nil"/>
            </w:tcBorders>
          </w:tcPr>
          <w:p>
            <w:pPr>
              <w:pStyle w:val="TableParagraph"/>
              <w:spacing w:line="162" w:lineRule="exact" w:before="8"/>
              <w:ind w:right="187"/>
              <w:jc w:val="right"/>
              <w:rPr>
                <w:rFonts w:ascii="Calibri"/>
                <w:sz w:val="15"/>
              </w:rPr>
            </w:pPr>
            <w:r>
              <w:rPr>
                <w:rFonts w:ascii="Calibri"/>
                <w:spacing w:val="-10"/>
                <w:sz w:val="15"/>
              </w:rPr>
              <w:t>1</w:t>
            </w:r>
          </w:p>
        </w:tc>
        <w:tc>
          <w:tcPr>
            <w:tcW w:w="451" w:type="dxa"/>
            <w:tcBorders>
              <w:top w:val="single" w:sz="6" w:space="0" w:color="DADCDD"/>
              <w:left w:val="nil"/>
              <w:bottom w:val="single" w:sz="6" w:space="0" w:color="DADCDD"/>
            </w:tcBorders>
          </w:tcPr>
          <w:p>
            <w:pPr>
              <w:pStyle w:val="TableParagraph"/>
              <w:spacing w:line="162" w:lineRule="exact" w:before="8"/>
              <w:ind w:left="33" w:right="2"/>
              <w:jc w:val="center"/>
              <w:rPr>
                <w:rFonts w:ascii="Calibri"/>
                <w:sz w:val="15"/>
              </w:rPr>
            </w:pPr>
            <w:r>
              <w:rPr>
                <w:rFonts w:ascii="Calibri"/>
                <w:spacing w:val="-5"/>
                <w:sz w:val="15"/>
              </w:rPr>
              <w:t>0,1</w:t>
            </w:r>
          </w:p>
        </w:tc>
        <w:tc>
          <w:tcPr>
            <w:tcW w:w="523" w:type="dxa"/>
            <w:tcBorders>
              <w:top w:val="single" w:sz="6" w:space="0" w:color="DADCDD"/>
              <w:bottom w:val="single" w:sz="6" w:space="0" w:color="DADCDD"/>
              <w:right w:val="single" w:sz="6" w:space="0" w:color="DADCDD"/>
            </w:tcBorders>
          </w:tcPr>
          <w:p>
            <w:pPr>
              <w:pStyle w:val="TableParagraph"/>
              <w:spacing w:line="162" w:lineRule="exact" w:before="8"/>
              <w:ind w:left="24" w:right="12"/>
              <w:jc w:val="center"/>
              <w:rPr>
                <w:rFonts w:ascii="Calibri"/>
                <w:sz w:val="15"/>
              </w:rPr>
            </w:pPr>
            <w:r>
              <w:rPr>
                <w:rFonts w:ascii="Calibri"/>
                <w:spacing w:val="-5"/>
                <w:sz w:val="15"/>
              </w:rPr>
              <w:t>9,3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5"/>
              <w:jc w:val="center"/>
              <w:rPr>
                <w:rFonts w:ascii="Calibri"/>
                <w:sz w:val="15"/>
              </w:rPr>
            </w:pPr>
            <w:r>
              <w:rPr>
                <w:rFonts w:ascii="Calibri"/>
                <w:spacing w:val="-5"/>
                <w:sz w:val="15"/>
              </w:rPr>
              <w:t>78</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3"/>
              <w:jc w:val="center"/>
              <w:rPr>
                <w:rFonts w:ascii="Calibri"/>
                <w:sz w:val="15"/>
              </w:rPr>
            </w:pPr>
            <w:r>
              <w:rPr>
                <w:rFonts w:ascii="Calibri"/>
                <w:spacing w:val="-5"/>
                <w:sz w:val="15"/>
              </w:rPr>
              <w:t>725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
              <w:jc w:val="center"/>
              <w:rPr>
                <w:rFonts w:ascii="Calibri"/>
                <w:sz w:val="15"/>
              </w:rPr>
            </w:pPr>
            <w:r>
              <w:rPr>
                <w:rFonts w:ascii="Calibri"/>
                <w:spacing w:val="-5"/>
                <w:sz w:val="15"/>
              </w:rPr>
              <w:t>23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6"/>
              <w:jc w:val="center"/>
              <w:rPr>
                <w:rFonts w:ascii="Calibri"/>
                <w:sz w:val="15"/>
              </w:rPr>
            </w:pPr>
            <w:r>
              <w:rPr>
                <w:rFonts w:ascii="Calibri"/>
                <w:spacing w:val="-10"/>
                <w:sz w:val="15"/>
              </w:rPr>
              <w:t>9</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9"/>
              <w:jc w:val="center"/>
              <w:rPr>
                <w:rFonts w:ascii="Calibri"/>
                <w:sz w:val="15"/>
              </w:rPr>
            </w:pPr>
            <w:r>
              <w:rPr>
                <w:rFonts w:ascii="Calibri"/>
                <w:spacing w:val="-5"/>
                <w:sz w:val="15"/>
              </w:rPr>
              <w:t>14</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7"/>
              <w:jc w:val="center"/>
              <w:rPr>
                <w:rFonts w:ascii="Calibri"/>
                <w:sz w:val="15"/>
              </w:rPr>
            </w:pPr>
            <w:r>
              <w:rPr>
                <w:rFonts w:ascii="Calibri"/>
                <w:spacing w:val="-5"/>
                <w:sz w:val="15"/>
              </w:rPr>
              <w:t>77</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0"/>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2"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spacing w:line="162" w:lineRule="exact" w:before="8"/>
              <w:ind w:left="32" w:right="9"/>
              <w:jc w:val="center"/>
              <w:rPr>
                <w:rFonts w:ascii="Calibri"/>
                <w:sz w:val="15"/>
              </w:rPr>
            </w:pPr>
            <w:r>
              <w:rPr>
                <w:rFonts w:ascii="Calibri"/>
                <w:spacing w:val="-10"/>
                <w:sz w:val="15"/>
              </w:rPr>
              <w:t>+</w:t>
            </w:r>
          </w:p>
        </w:tc>
        <w:tc>
          <w:tcPr>
            <w:tcW w:w="585" w:type="dxa"/>
            <w:tcBorders>
              <w:top w:val="single" w:sz="6" w:space="0" w:color="DADCDD"/>
              <w:bottom w:val="single" w:sz="6" w:space="0" w:color="DADCDD"/>
              <w:right w:val="single" w:sz="6" w:space="0" w:color="DADCDD"/>
            </w:tcBorders>
          </w:tcPr>
          <w:p>
            <w:pPr>
              <w:pStyle w:val="TableParagraph"/>
              <w:spacing w:line="162" w:lineRule="exact" w:before="8"/>
              <w:ind w:left="246"/>
              <w:rPr>
                <w:rFonts w:ascii="Calibri"/>
                <w:sz w:val="15"/>
              </w:rPr>
            </w:pPr>
            <w:r>
              <w:rPr>
                <w:rFonts w:ascii="Calibri"/>
                <w:spacing w:val="-10"/>
                <w:sz w:val="15"/>
              </w:rPr>
              <w:t>1</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left="192"/>
              <w:rPr>
                <w:rFonts w:ascii="Calibri"/>
                <w:sz w:val="15"/>
              </w:rPr>
            </w:pPr>
            <w:r>
              <w:rPr>
                <w:rFonts w:ascii="Calibri"/>
                <w:spacing w:val="-10"/>
                <w:sz w:val="15"/>
              </w:rPr>
              <w:t>1</w:t>
            </w:r>
          </w:p>
        </w:tc>
        <w:tc>
          <w:tcPr>
            <w:tcW w:w="473" w:type="dxa"/>
            <w:tcBorders>
              <w:top w:val="single" w:sz="6" w:space="0" w:color="DADCDD"/>
              <w:left w:val="single" w:sz="6" w:space="0" w:color="DADCDD"/>
              <w:bottom w:val="single" w:sz="6" w:space="0" w:color="DADCDD"/>
            </w:tcBorders>
          </w:tcPr>
          <w:p>
            <w:pPr>
              <w:pStyle w:val="TableParagraph"/>
              <w:spacing w:line="162" w:lineRule="exact" w:before="8"/>
              <w:ind w:left="1"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8"/>
              <w:ind w:right="25"/>
              <w:jc w:val="right"/>
              <w:rPr>
                <w:rFonts w:ascii="Calibri"/>
                <w:sz w:val="15"/>
              </w:rPr>
            </w:pPr>
            <w:r>
              <w:rPr>
                <w:rFonts w:ascii="Calibri"/>
                <w:spacing w:val="-2"/>
                <w:sz w:val="15"/>
              </w:rPr>
              <w:t>100,0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28"/>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8"/>
              <w:ind w:right="30"/>
              <w:jc w:val="right"/>
              <w:rPr>
                <w:rFonts w:ascii="Calibri"/>
                <w:sz w:val="15"/>
              </w:rPr>
            </w:pPr>
            <w:r>
              <w:rPr>
                <w:rFonts w:ascii="Calibri"/>
                <w:spacing w:val="-2"/>
                <w:sz w:val="15"/>
              </w:rPr>
              <w:t>100,0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8"/>
              <w:ind w:left="217" w:right="2"/>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62" w:lineRule="exact" w:before="7"/>
              <w:ind w:left="22"/>
              <w:rPr>
                <w:rFonts w:ascii="Calibri" w:hAnsi="Calibri"/>
                <w:sz w:val="15"/>
              </w:rPr>
            </w:pPr>
            <w:r>
              <w:rPr>
                <w:rFonts w:ascii="Calibri" w:hAnsi="Calibri"/>
                <w:sz w:val="15"/>
              </w:rPr>
              <w:t>Лейкоцитоспермия,</w:t>
            </w:r>
            <w:r>
              <w:rPr>
                <w:rFonts w:ascii="Calibri" w:hAnsi="Calibri"/>
                <w:spacing w:val="20"/>
                <w:sz w:val="15"/>
              </w:rPr>
              <w:t> </w:t>
            </w:r>
            <w:r>
              <w:rPr>
                <w:rFonts w:ascii="Calibri" w:hAnsi="Calibri"/>
                <w:spacing w:val="-2"/>
                <w:sz w:val="15"/>
              </w:rPr>
              <w:t>эритроцитоспермия</w:t>
            </w:r>
          </w:p>
        </w:tc>
        <w:tc>
          <w:tcPr>
            <w:tcW w:w="471" w:type="dxa"/>
            <w:tcBorders>
              <w:top w:val="nil"/>
              <w:left w:val="nil"/>
              <w:bottom w:val="nil"/>
              <w:right w:val="nil"/>
            </w:tcBorders>
          </w:tcPr>
          <w:p>
            <w:pPr>
              <w:pStyle w:val="TableParagraph"/>
              <w:spacing w:line="162" w:lineRule="exact" w:before="7"/>
              <w:ind w:right="187"/>
              <w:jc w:val="right"/>
              <w:rPr>
                <w:rFonts w:ascii="Calibri"/>
                <w:sz w:val="15"/>
              </w:rPr>
            </w:pPr>
            <w:r>
              <w:rPr>
                <w:rFonts w:ascii="Calibri"/>
                <w:spacing w:val="-10"/>
                <w:sz w:val="15"/>
              </w:rPr>
              <w:t>1</w:t>
            </w:r>
          </w:p>
        </w:tc>
        <w:tc>
          <w:tcPr>
            <w:tcW w:w="451" w:type="dxa"/>
            <w:tcBorders>
              <w:top w:val="single" w:sz="6" w:space="0" w:color="DADCDD"/>
              <w:left w:val="nil"/>
              <w:bottom w:val="single" w:sz="6" w:space="0" w:color="DADCDD"/>
            </w:tcBorders>
          </w:tcPr>
          <w:p>
            <w:pPr>
              <w:pStyle w:val="TableParagraph"/>
              <w:spacing w:line="162" w:lineRule="exact" w:before="7"/>
              <w:ind w:left="33" w:right="2"/>
              <w:jc w:val="center"/>
              <w:rPr>
                <w:rFonts w:ascii="Calibri"/>
                <w:sz w:val="15"/>
              </w:rPr>
            </w:pPr>
            <w:r>
              <w:rPr>
                <w:rFonts w:ascii="Calibri"/>
                <w:spacing w:val="-5"/>
                <w:sz w:val="15"/>
              </w:rPr>
              <w:t>0,1</w:t>
            </w:r>
          </w:p>
        </w:tc>
        <w:tc>
          <w:tcPr>
            <w:tcW w:w="523" w:type="dxa"/>
            <w:tcBorders>
              <w:top w:val="single" w:sz="6" w:space="0" w:color="DADCDD"/>
              <w:bottom w:val="single" w:sz="6" w:space="0" w:color="DADCDD"/>
              <w:right w:val="single" w:sz="6" w:space="0" w:color="DADCDD"/>
            </w:tcBorders>
          </w:tcPr>
          <w:p>
            <w:pPr>
              <w:pStyle w:val="TableParagraph"/>
              <w:spacing w:line="162" w:lineRule="exact" w:before="7"/>
              <w:ind w:left="24" w:right="12"/>
              <w:jc w:val="center"/>
              <w:rPr>
                <w:rFonts w:ascii="Calibri"/>
                <w:sz w:val="15"/>
              </w:rPr>
            </w:pPr>
            <w:r>
              <w:rPr>
                <w:rFonts w:ascii="Calibri"/>
                <w:spacing w:val="-5"/>
                <w:sz w:val="15"/>
              </w:rPr>
              <w:t>2,8</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4"/>
              <w:jc w:val="center"/>
              <w:rPr>
                <w:rFonts w:ascii="Calibri"/>
                <w:sz w:val="15"/>
              </w:rPr>
            </w:pPr>
            <w:r>
              <w:rPr>
                <w:rFonts w:ascii="Calibri"/>
                <w:spacing w:val="-5"/>
                <w:sz w:val="15"/>
              </w:rPr>
              <w:t>59</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3"/>
              <w:jc w:val="center"/>
              <w:rPr>
                <w:rFonts w:ascii="Calibri"/>
                <w:sz w:val="15"/>
              </w:rPr>
            </w:pPr>
            <w:r>
              <w:rPr>
                <w:rFonts w:ascii="Calibri"/>
                <w:spacing w:val="-5"/>
                <w:sz w:val="15"/>
              </w:rPr>
              <w:t>165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
              <w:jc w:val="center"/>
              <w:rPr>
                <w:rFonts w:ascii="Calibri"/>
                <w:sz w:val="15"/>
              </w:rPr>
            </w:pPr>
            <w:r>
              <w:rPr>
                <w:rFonts w:ascii="Calibri"/>
                <w:spacing w:val="-5"/>
                <w:sz w:val="15"/>
              </w:rPr>
              <w:t>69</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0"/>
              <w:jc w:val="center"/>
              <w:rPr>
                <w:rFonts w:ascii="Calibri"/>
                <w:sz w:val="15"/>
              </w:rPr>
            </w:pPr>
            <w:r>
              <w:rPr>
                <w:rFonts w:ascii="Calibri"/>
                <w:spacing w:val="-5"/>
                <w:sz w:val="15"/>
              </w:rPr>
              <w:t>33</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8"/>
              <w:jc w:val="center"/>
              <w:rPr>
                <w:rFonts w:ascii="Calibri"/>
                <w:sz w:val="15"/>
              </w:rPr>
            </w:pPr>
            <w:r>
              <w:rPr>
                <w:rFonts w:ascii="Calibri"/>
                <w:spacing w:val="-5"/>
                <w:sz w:val="15"/>
              </w:rPr>
              <w:t>36</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6"/>
              <w:jc w:val="center"/>
              <w:rPr>
                <w:rFonts w:ascii="Calibri"/>
                <w:sz w:val="15"/>
              </w:rPr>
            </w:pPr>
            <w:r>
              <w:rPr>
                <w:rFonts w:ascii="Calibri"/>
                <w:spacing w:val="-5"/>
                <w:sz w:val="15"/>
              </w:rPr>
              <w:t>31</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0"/>
              <w:jc w:val="center"/>
              <w:rPr>
                <w:rFonts w:ascii="Calibri"/>
                <w:sz w:val="15"/>
              </w:rPr>
            </w:pPr>
            <w:r>
              <w:rPr>
                <w:rFonts w:ascii="Calibri"/>
                <w:spacing w:val="-10"/>
                <w:sz w:val="15"/>
              </w:rPr>
              <w:t>7</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4" w:right="15"/>
              <w:jc w:val="center"/>
              <w:rPr>
                <w:rFonts w:ascii="Calibri"/>
                <w:sz w:val="15"/>
              </w:rPr>
            </w:pPr>
            <w:r>
              <w:rPr>
                <w:rFonts w:ascii="Calibri"/>
                <w:spacing w:val="-10"/>
                <w:sz w:val="15"/>
              </w:rPr>
              <w:t>3</w:t>
            </w:r>
          </w:p>
        </w:tc>
        <w:tc>
          <w:tcPr>
            <w:tcW w:w="503" w:type="dxa"/>
            <w:tcBorders>
              <w:top w:val="single" w:sz="6" w:space="0" w:color="DADCDD"/>
              <w:left w:val="single" w:sz="6" w:space="0" w:color="DADCDD"/>
              <w:bottom w:val="single" w:sz="6" w:space="0" w:color="DADCDD"/>
            </w:tcBorders>
          </w:tcPr>
          <w:p>
            <w:pPr>
              <w:pStyle w:val="TableParagraph"/>
              <w:spacing w:line="162" w:lineRule="exact" w:before="7"/>
              <w:ind w:left="28"/>
              <w:jc w:val="center"/>
              <w:rPr>
                <w:rFonts w:ascii="Calibri"/>
                <w:sz w:val="15"/>
              </w:rPr>
            </w:pPr>
            <w:r>
              <w:rPr>
                <w:rFonts w:ascii="Calibri"/>
                <w:spacing w:val="-5"/>
                <w:sz w:val="15"/>
              </w:rPr>
              <w:t>++</w:t>
            </w:r>
          </w:p>
        </w:tc>
        <w:tc>
          <w:tcPr>
            <w:tcW w:w="585" w:type="dxa"/>
            <w:tcBorders>
              <w:top w:val="single" w:sz="6" w:space="0" w:color="DADCDD"/>
              <w:bottom w:val="single" w:sz="6" w:space="0" w:color="DADCDD"/>
              <w:right w:val="single" w:sz="6" w:space="0" w:color="DADCDD"/>
            </w:tcBorders>
          </w:tcPr>
          <w:p>
            <w:pPr>
              <w:pStyle w:val="TableParagraph"/>
              <w:spacing w:line="162" w:lineRule="exact" w:before="7"/>
              <w:ind w:left="246"/>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255"/>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left="192"/>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2" w:lineRule="exact" w:before="7"/>
              <w:ind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2" w:lineRule="exact" w:before="7"/>
              <w:ind w:right="25"/>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right="28"/>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2" w:lineRule="exact" w:before="7"/>
              <w:ind w:right="30"/>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2" w:lineRule="exact" w:before="7"/>
              <w:ind w:left="217" w:right="2"/>
              <w:jc w:val="center"/>
              <w:rPr>
                <w:rFonts w:ascii="Calibri"/>
                <w:sz w:val="15"/>
              </w:rPr>
            </w:pPr>
            <w:r>
              <w:rPr>
                <w:rFonts w:ascii="Calibri"/>
                <w:spacing w:val="-5"/>
                <w:sz w:val="15"/>
              </w:rPr>
              <w:t>0,0</w:t>
            </w:r>
          </w:p>
        </w:tc>
      </w:tr>
      <w:tr>
        <w:trPr>
          <w:trHeight w:val="189" w:hRule="atLeast"/>
        </w:trPr>
        <w:tc>
          <w:tcPr>
            <w:tcW w:w="3215" w:type="dxa"/>
            <w:tcBorders>
              <w:top w:val="single" w:sz="6" w:space="0" w:color="DADCDD"/>
              <w:left w:val="single" w:sz="6" w:space="0" w:color="DADCDD"/>
              <w:bottom w:val="single" w:sz="6" w:space="0" w:color="DADCDD"/>
              <w:right w:val="nil"/>
            </w:tcBorders>
          </w:tcPr>
          <w:p>
            <w:pPr>
              <w:pStyle w:val="TableParagraph"/>
              <w:spacing w:line="142" w:lineRule="exact" w:before="27"/>
              <w:ind w:left="23"/>
              <w:rPr>
                <w:rFonts w:ascii="Calibri" w:hAnsi="Calibri"/>
                <w:sz w:val="13"/>
              </w:rPr>
            </w:pPr>
            <w:r>
              <w:rPr>
                <w:rFonts w:ascii="Calibri" w:hAnsi="Calibri"/>
                <w:spacing w:val="2"/>
                <w:sz w:val="13"/>
              </w:rPr>
              <w:t>Олигоастенотератозооспермия,</w:t>
            </w:r>
            <w:r>
              <w:rPr>
                <w:rFonts w:ascii="Calibri" w:hAnsi="Calibri"/>
                <w:spacing w:val="7"/>
                <w:sz w:val="13"/>
              </w:rPr>
              <w:t> </w:t>
            </w:r>
            <w:r>
              <w:rPr>
                <w:rFonts w:ascii="Calibri" w:hAnsi="Calibri"/>
                <w:spacing w:val="-2"/>
                <w:sz w:val="13"/>
              </w:rPr>
              <w:t>эритроцитоспермия</w:t>
            </w:r>
          </w:p>
        </w:tc>
        <w:tc>
          <w:tcPr>
            <w:tcW w:w="471" w:type="dxa"/>
            <w:tcBorders>
              <w:top w:val="nil"/>
              <w:left w:val="nil"/>
              <w:bottom w:val="nil"/>
              <w:right w:val="nil"/>
            </w:tcBorders>
          </w:tcPr>
          <w:p>
            <w:pPr>
              <w:pStyle w:val="TableParagraph"/>
              <w:spacing w:line="161" w:lineRule="exact" w:before="8"/>
              <w:ind w:right="186"/>
              <w:jc w:val="right"/>
              <w:rPr>
                <w:rFonts w:ascii="Calibri"/>
                <w:sz w:val="15"/>
              </w:rPr>
            </w:pPr>
            <w:r>
              <w:rPr>
                <w:rFonts w:ascii="Calibri"/>
                <w:spacing w:val="-10"/>
                <w:sz w:val="15"/>
              </w:rPr>
              <w:t>1</w:t>
            </w:r>
          </w:p>
        </w:tc>
        <w:tc>
          <w:tcPr>
            <w:tcW w:w="451" w:type="dxa"/>
            <w:tcBorders>
              <w:top w:val="single" w:sz="6" w:space="0" w:color="DADCDD"/>
              <w:left w:val="nil"/>
              <w:bottom w:val="single" w:sz="6" w:space="0" w:color="DADCDD"/>
            </w:tcBorders>
          </w:tcPr>
          <w:p>
            <w:pPr>
              <w:pStyle w:val="TableParagraph"/>
              <w:spacing w:line="161" w:lineRule="exact" w:before="8"/>
              <w:ind w:left="33" w:right="1"/>
              <w:jc w:val="center"/>
              <w:rPr>
                <w:rFonts w:ascii="Calibri"/>
                <w:sz w:val="15"/>
              </w:rPr>
            </w:pPr>
            <w:r>
              <w:rPr>
                <w:rFonts w:ascii="Calibri"/>
                <w:spacing w:val="-5"/>
                <w:sz w:val="15"/>
              </w:rPr>
              <w:t>0,1</w:t>
            </w:r>
          </w:p>
        </w:tc>
        <w:tc>
          <w:tcPr>
            <w:tcW w:w="523" w:type="dxa"/>
            <w:tcBorders>
              <w:top w:val="single" w:sz="6" w:space="0" w:color="DADCDD"/>
              <w:bottom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4,2</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6</w:t>
            </w:r>
          </w:p>
        </w:tc>
        <w:tc>
          <w:tcPr>
            <w:tcW w:w="748"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5"/>
                <w:sz w:val="15"/>
              </w:rPr>
              <w:t>25</w:t>
            </w:r>
          </w:p>
        </w:tc>
        <w:tc>
          <w:tcPr>
            <w:tcW w:w="707"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
              <w:jc w:val="center"/>
              <w:rPr>
                <w:rFonts w:ascii="Calibri"/>
                <w:sz w:val="15"/>
              </w:rPr>
            </w:pPr>
            <w:r>
              <w:rPr>
                <w:rFonts w:ascii="Calibri"/>
                <w:spacing w:val="-5"/>
                <w:sz w:val="15"/>
              </w:rPr>
              <w:t>33</w:t>
            </w:r>
          </w:p>
        </w:tc>
        <w:tc>
          <w:tcPr>
            <w:tcW w:w="65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5"/>
                <w:sz w:val="15"/>
              </w:rPr>
              <w:t>17</w:t>
            </w:r>
          </w:p>
        </w:tc>
        <w:tc>
          <w:tcPr>
            <w:tcW w:w="6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0"/>
              <w:jc w:val="center"/>
              <w:rPr>
                <w:rFonts w:ascii="Calibri"/>
                <w:sz w:val="15"/>
              </w:rPr>
            </w:pPr>
            <w:r>
              <w:rPr>
                <w:rFonts w:ascii="Calibri"/>
                <w:spacing w:val="-5"/>
                <w:sz w:val="15"/>
              </w:rPr>
              <w:t>16</w:t>
            </w:r>
          </w:p>
        </w:tc>
        <w:tc>
          <w:tcPr>
            <w:tcW w:w="59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8"/>
              <w:jc w:val="center"/>
              <w:rPr>
                <w:rFonts w:ascii="Calibri"/>
                <w:sz w:val="15"/>
              </w:rPr>
            </w:pPr>
            <w:r>
              <w:rPr>
                <w:rFonts w:ascii="Calibri"/>
                <w:spacing w:val="-5"/>
                <w:sz w:val="15"/>
              </w:rPr>
              <w:t>67</w:t>
            </w:r>
          </w:p>
        </w:tc>
        <w:tc>
          <w:tcPr>
            <w:tcW w:w="62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3</w:t>
            </w:r>
          </w:p>
        </w:tc>
        <w:tc>
          <w:tcPr>
            <w:tcW w:w="534"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0,4</w:t>
            </w:r>
          </w:p>
        </w:tc>
        <w:tc>
          <w:tcPr>
            <w:tcW w:w="503" w:type="dxa"/>
            <w:tcBorders>
              <w:top w:val="single" w:sz="6" w:space="0" w:color="DADCDD"/>
              <w:left w:val="single" w:sz="6" w:space="0" w:color="DADCDD"/>
              <w:bottom w:val="single" w:sz="6" w:space="0" w:color="DADCDD"/>
            </w:tcBorders>
          </w:tcPr>
          <w:p>
            <w:pPr>
              <w:pStyle w:val="TableParagraph"/>
              <w:spacing w:line="161" w:lineRule="exact" w:before="8"/>
              <w:ind w:left="24"/>
              <w:jc w:val="center"/>
              <w:rPr>
                <w:rFonts w:ascii="Calibri"/>
                <w:sz w:val="15"/>
              </w:rPr>
            </w:pPr>
            <w:r>
              <w:rPr>
                <w:rFonts w:ascii="Calibri"/>
                <w:spacing w:val="-10"/>
                <w:sz w:val="15"/>
              </w:rPr>
              <w:t>+</w:t>
            </w:r>
          </w:p>
        </w:tc>
        <w:tc>
          <w:tcPr>
            <w:tcW w:w="585" w:type="dxa"/>
            <w:tcBorders>
              <w:top w:val="single" w:sz="6" w:space="0" w:color="DADCDD"/>
              <w:bottom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0</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193"/>
              <w:rPr>
                <w:rFonts w:ascii="Calibri"/>
                <w:sz w:val="15"/>
              </w:rPr>
            </w:pPr>
            <w:r>
              <w:rPr>
                <w:rFonts w:ascii="Calibri"/>
                <w:spacing w:val="-10"/>
                <w:sz w:val="15"/>
              </w:rPr>
              <w:t>0</w:t>
            </w:r>
          </w:p>
        </w:tc>
        <w:tc>
          <w:tcPr>
            <w:tcW w:w="473" w:type="dxa"/>
            <w:tcBorders>
              <w:top w:val="single" w:sz="6" w:space="0" w:color="DADCDD"/>
              <w:left w:val="single" w:sz="6" w:space="0" w:color="DADCDD"/>
              <w:bottom w:val="single" w:sz="6" w:space="0" w:color="DADCDD"/>
            </w:tcBorders>
          </w:tcPr>
          <w:p>
            <w:pPr>
              <w:pStyle w:val="TableParagraph"/>
              <w:spacing w:line="161" w:lineRule="exact" w:before="8"/>
              <w:ind w:left="2" w:right="17"/>
              <w:jc w:val="center"/>
              <w:rPr>
                <w:rFonts w:ascii="Calibri"/>
                <w:sz w:val="15"/>
              </w:rPr>
            </w:pPr>
            <w:r>
              <w:rPr>
                <w:rFonts w:ascii="Calibri"/>
                <w:spacing w:val="-10"/>
                <w:sz w:val="15"/>
              </w:rPr>
              <w:t>0</w:t>
            </w:r>
          </w:p>
        </w:tc>
        <w:tc>
          <w:tcPr>
            <w:tcW w:w="596" w:type="dxa"/>
            <w:tcBorders>
              <w:top w:val="single" w:sz="6" w:space="0" w:color="DADCDD"/>
              <w:bottom w:val="single" w:sz="6" w:space="0" w:color="DADCDD"/>
              <w:right w:val="single" w:sz="6" w:space="0" w:color="DADCDD"/>
            </w:tcBorders>
          </w:tcPr>
          <w:p>
            <w:pPr>
              <w:pStyle w:val="TableParagraph"/>
              <w:spacing w:line="161" w:lineRule="exact" w:before="8"/>
              <w:ind w:right="26"/>
              <w:jc w:val="right"/>
              <w:rPr>
                <w:rFonts w:ascii="Calibri"/>
                <w:sz w:val="15"/>
              </w:rPr>
            </w:pPr>
            <w:r>
              <w:rPr>
                <w:rFonts w:ascii="Calibri"/>
                <w:spacing w:val="-5"/>
                <w:sz w:val="15"/>
              </w:rPr>
              <w:t>0,0</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9"/>
              <w:jc w:val="right"/>
              <w:rPr>
                <w:rFonts w:ascii="Calibri"/>
                <w:sz w:val="15"/>
              </w:rPr>
            </w:pPr>
            <w:r>
              <w:rPr>
                <w:rFonts w:ascii="Calibri"/>
                <w:spacing w:val="-5"/>
                <w:sz w:val="15"/>
              </w:rPr>
              <w:t>0,0</w:t>
            </w:r>
          </w:p>
        </w:tc>
        <w:tc>
          <w:tcPr>
            <w:tcW w:w="494" w:type="dxa"/>
            <w:tcBorders>
              <w:top w:val="single" w:sz="6" w:space="0" w:color="DADCDD"/>
              <w:left w:val="single" w:sz="6" w:space="0" w:color="DADCDD"/>
              <w:bottom w:val="single" w:sz="6" w:space="0" w:color="DADCDD"/>
              <w:right w:val="single" w:sz="4" w:space="0" w:color="DADCDD"/>
            </w:tcBorders>
          </w:tcPr>
          <w:p>
            <w:pPr>
              <w:pStyle w:val="TableParagraph"/>
              <w:spacing w:line="161" w:lineRule="exact" w:before="8"/>
              <w:ind w:left="217"/>
              <w:jc w:val="center"/>
              <w:rPr>
                <w:rFonts w:ascii="Calibri"/>
                <w:sz w:val="15"/>
              </w:rPr>
            </w:pPr>
            <w:r>
              <w:rPr>
                <w:rFonts w:ascii="Calibri"/>
                <w:spacing w:val="-5"/>
                <w:sz w:val="15"/>
              </w:rPr>
              <w:t>0,0</w:t>
            </w:r>
          </w:p>
        </w:tc>
      </w:tr>
      <w:tr>
        <w:trPr>
          <w:trHeight w:val="189" w:hRule="atLeast"/>
        </w:trPr>
        <w:tc>
          <w:tcPr>
            <w:tcW w:w="3686" w:type="dxa"/>
            <w:gridSpan w:val="2"/>
            <w:tcBorders>
              <w:top w:val="nil"/>
              <w:left w:val="single" w:sz="6" w:space="0" w:color="DADCDD"/>
              <w:right w:val="nil"/>
            </w:tcBorders>
          </w:tcPr>
          <w:p>
            <w:pPr>
              <w:pStyle w:val="TableParagraph"/>
              <w:tabs>
                <w:tab w:pos="3411" w:val="left" w:leader="none"/>
              </w:tabs>
              <w:spacing w:line="161" w:lineRule="exact" w:before="8"/>
              <w:ind w:left="23"/>
              <w:rPr>
                <w:rFonts w:ascii="Calibri" w:hAnsi="Calibri"/>
                <w:sz w:val="15"/>
              </w:rPr>
            </w:pPr>
            <w:r>
              <w:rPr>
                <w:rFonts w:ascii="Calibri" w:hAnsi="Calibri"/>
                <w:spacing w:val="2"/>
                <w:sz w:val="13"/>
              </w:rPr>
              <w:t>Олигоспермия,</w:t>
            </w:r>
            <w:r>
              <w:rPr>
                <w:rFonts w:ascii="Calibri" w:hAnsi="Calibri"/>
                <w:spacing w:val="3"/>
                <w:sz w:val="13"/>
              </w:rPr>
              <w:t> </w:t>
            </w:r>
            <w:r>
              <w:rPr>
                <w:rFonts w:ascii="Calibri" w:hAnsi="Calibri"/>
                <w:spacing w:val="2"/>
                <w:sz w:val="13"/>
              </w:rPr>
              <w:t>олигоастенотератозооспермия,</w:t>
            </w:r>
            <w:r>
              <w:rPr>
                <w:rFonts w:ascii="Calibri" w:hAnsi="Calibri"/>
                <w:spacing w:val="3"/>
                <w:sz w:val="13"/>
              </w:rPr>
              <w:t> </w:t>
            </w:r>
            <w:r>
              <w:rPr>
                <w:rFonts w:ascii="Calibri" w:hAnsi="Calibri"/>
                <w:spacing w:val="-2"/>
                <w:sz w:val="13"/>
              </w:rPr>
              <w:t>лейкоц</w:t>
            </w:r>
            <w:r>
              <w:rPr>
                <w:rFonts w:ascii="Calibri" w:hAnsi="Calibri"/>
                <w:sz w:val="13"/>
              </w:rPr>
              <w:tab/>
            </w:r>
            <w:r>
              <w:rPr>
                <w:rFonts w:ascii="Calibri" w:hAnsi="Calibri"/>
                <w:spacing w:val="-10"/>
                <w:sz w:val="15"/>
              </w:rPr>
              <w:t>1</w:t>
            </w:r>
          </w:p>
        </w:tc>
        <w:tc>
          <w:tcPr>
            <w:tcW w:w="451" w:type="dxa"/>
            <w:tcBorders>
              <w:top w:val="single" w:sz="6" w:space="0" w:color="DADCDD"/>
              <w:left w:val="nil"/>
            </w:tcBorders>
          </w:tcPr>
          <w:p>
            <w:pPr>
              <w:pStyle w:val="TableParagraph"/>
              <w:spacing w:line="161" w:lineRule="exact" w:before="8"/>
              <w:ind w:left="33" w:right="1"/>
              <w:jc w:val="center"/>
              <w:rPr>
                <w:rFonts w:ascii="Calibri"/>
                <w:sz w:val="15"/>
              </w:rPr>
            </w:pPr>
            <w:r>
              <w:rPr>
                <w:rFonts w:ascii="Calibri"/>
                <w:spacing w:val="-5"/>
                <w:sz w:val="15"/>
              </w:rPr>
              <w:t>0,1</w:t>
            </w:r>
          </w:p>
        </w:tc>
        <w:tc>
          <w:tcPr>
            <w:tcW w:w="523" w:type="dxa"/>
            <w:tcBorders>
              <w:top w:val="single" w:sz="6" w:space="0" w:color="DADCDD"/>
              <w:right w:val="single" w:sz="6" w:space="0" w:color="DADCDD"/>
            </w:tcBorders>
          </w:tcPr>
          <w:p>
            <w:pPr>
              <w:pStyle w:val="TableParagraph"/>
              <w:spacing w:line="161" w:lineRule="exact" w:before="8"/>
              <w:ind w:left="24" w:right="11"/>
              <w:jc w:val="center"/>
              <w:rPr>
                <w:rFonts w:ascii="Calibri"/>
                <w:sz w:val="15"/>
              </w:rPr>
            </w:pPr>
            <w:r>
              <w:rPr>
                <w:rFonts w:ascii="Calibri"/>
                <w:spacing w:val="-5"/>
                <w:sz w:val="15"/>
              </w:rPr>
              <w:t>0,9</w:t>
            </w:r>
          </w:p>
        </w:tc>
        <w:tc>
          <w:tcPr>
            <w:tcW w:w="656" w:type="dxa"/>
            <w:tcBorders>
              <w:top w:val="single" w:sz="6" w:space="0" w:color="DADCDD"/>
              <w:left w:val="single" w:sz="6" w:space="0" w:color="DADCDD"/>
              <w:right w:val="single" w:sz="6" w:space="0" w:color="DADCDD"/>
            </w:tcBorders>
          </w:tcPr>
          <w:p>
            <w:pPr>
              <w:pStyle w:val="TableParagraph"/>
              <w:spacing w:line="161" w:lineRule="exact" w:before="8"/>
              <w:ind w:left="15"/>
              <w:jc w:val="center"/>
              <w:rPr>
                <w:rFonts w:ascii="Calibri"/>
                <w:sz w:val="15"/>
              </w:rPr>
            </w:pPr>
            <w:r>
              <w:rPr>
                <w:rFonts w:ascii="Calibri"/>
                <w:spacing w:val="-5"/>
                <w:sz w:val="15"/>
              </w:rPr>
              <w:t>12</w:t>
            </w:r>
          </w:p>
        </w:tc>
        <w:tc>
          <w:tcPr>
            <w:tcW w:w="748" w:type="dxa"/>
            <w:tcBorders>
              <w:top w:val="single" w:sz="6" w:space="0" w:color="DADCDD"/>
              <w:left w:val="single" w:sz="6" w:space="0" w:color="DADCDD"/>
              <w:right w:val="single" w:sz="6" w:space="0" w:color="DADCDD"/>
            </w:tcBorders>
          </w:tcPr>
          <w:p>
            <w:pPr>
              <w:pStyle w:val="TableParagraph"/>
              <w:spacing w:line="161" w:lineRule="exact" w:before="8"/>
              <w:ind w:left="4"/>
              <w:jc w:val="center"/>
              <w:rPr>
                <w:rFonts w:ascii="Calibri"/>
                <w:sz w:val="15"/>
              </w:rPr>
            </w:pPr>
            <w:r>
              <w:rPr>
                <w:rFonts w:ascii="Calibri"/>
                <w:spacing w:val="-5"/>
                <w:sz w:val="15"/>
              </w:rPr>
              <w:t>11</w:t>
            </w:r>
          </w:p>
        </w:tc>
        <w:tc>
          <w:tcPr>
            <w:tcW w:w="707" w:type="dxa"/>
            <w:tcBorders>
              <w:top w:val="single" w:sz="6" w:space="0" w:color="DADCDD"/>
              <w:left w:val="single" w:sz="6" w:space="0" w:color="DADCDD"/>
              <w:right w:val="single" w:sz="6" w:space="0" w:color="DADCDD"/>
            </w:tcBorders>
          </w:tcPr>
          <w:p>
            <w:pPr>
              <w:pStyle w:val="TableParagraph"/>
              <w:spacing w:line="161" w:lineRule="exact" w:before="8"/>
              <w:ind w:left="19"/>
              <w:jc w:val="center"/>
              <w:rPr>
                <w:rFonts w:ascii="Calibri"/>
                <w:sz w:val="15"/>
              </w:rPr>
            </w:pPr>
            <w:r>
              <w:rPr>
                <w:rFonts w:ascii="Calibri"/>
                <w:spacing w:val="-10"/>
                <w:sz w:val="15"/>
              </w:rPr>
              <w:t>8</w:t>
            </w:r>
          </w:p>
        </w:tc>
        <w:tc>
          <w:tcPr>
            <w:tcW w:w="656" w:type="dxa"/>
            <w:tcBorders>
              <w:top w:val="single" w:sz="6" w:space="0" w:color="DADCDD"/>
              <w:left w:val="single" w:sz="6" w:space="0" w:color="DADCDD"/>
              <w:right w:val="single" w:sz="6" w:space="0" w:color="DADCDD"/>
            </w:tcBorders>
          </w:tcPr>
          <w:p>
            <w:pPr>
              <w:pStyle w:val="TableParagraph"/>
              <w:spacing w:line="161" w:lineRule="exact" w:before="8"/>
              <w:ind w:left="7"/>
              <w:jc w:val="center"/>
              <w:rPr>
                <w:rFonts w:ascii="Calibri"/>
                <w:sz w:val="15"/>
              </w:rPr>
            </w:pPr>
            <w:r>
              <w:rPr>
                <w:rFonts w:ascii="Calibri"/>
                <w:spacing w:val="-10"/>
                <w:sz w:val="15"/>
              </w:rPr>
              <w:t>4</w:t>
            </w:r>
          </w:p>
        </w:tc>
        <w:tc>
          <w:tcPr>
            <w:tcW w:w="615" w:type="dxa"/>
            <w:tcBorders>
              <w:top w:val="single" w:sz="6" w:space="0" w:color="DADCDD"/>
              <w:left w:val="single" w:sz="6" w:space="0" w:color="DADCDD"/>
              <w:right w:val="single" w:sz="6" w:space="0" w:color="DADCDD"/>
            </w:tcBorders>
          </w:tcPr>
          <w:p>
            <w:pPr>
              <w:pStyle w:val="TableParagraph"/>
              <w:spacing w:line="161" w:lineRule="exact" w:before="8"/>
              <w:ind w:left="5"/>
              <w:jc w:val="center"/>
              <w:rPr>
                <w:rFonts w:ascii="Calibri"/>
                <w:sz w:val="15"/>
              </w:rPr>
            </w:pPr>
            <w:r>
              <w:rPr>
                <w:rFonts w:ascii="Calibri"/>
                <w:spacing w:val="-10"/>
                <w:sz w:val="15"/>
              </w:rPr>
              <w:t>4</w:t>
            </w:r>
          </w:p>
        </w:tc>
        <w:tc>
          <w:tcPr>
            <w:tcW w:w="595" w:type="dxa"/>
            <w:tcBorders>
              <w:top w:val="single" w:sz="6" w:space="0" w:color="DADCDD"/>
              <w:left w:val="single" w:sz="6" w:space="0" w:color="DADCDD"/>
              <w:right w:val="single" w:sz="6" w:space="0" w:color="DADCDD"/>
            </w:tcBorders>
          </w:tcPr>
          <w:p>
            <w:pPr>
              <w:pStyle w:val="TableParagraph"/>
              <w:spacing w:line="161" w:lineRule="exact" w:before="8"/>
              <w:ind w:left="8"/>
              <w:jc w:val="center"/>
              <w:rPr>
                <w:rFonts w:ascii="Calibri"/>
                <w:sz w:val="15"/>
              </w:rPr>
            </w:pPr>
            <w:r>
              <w:rPr>
                <w:rFonts w:ascii="Calibri"/>
                <w:spacing w:val="-5"/>
                <w:sz w:val="15"/>
              </w:rPr>
              <w:t>92</w:t>
            </w:r>
          </w:p>
        </w:tc>
        <w:tc>
          <w:tcPr>
            <w:tcW w:w="626" w:type="dxa"/>
            <w:tcBorders>
              <w:top w:val="single" w:sz="6" w:space="0" w:color="DADCDD"/>
              <w:left w:val="single" w:sz="6" w:space="0" w:color="DADCDD"/>
              <w:right w:val="single" w:sz="6" w:space="0" w:color="DADCDD"/>
            </w:tcBorders>
          </w:tcPr>
          <w:p>
            <w:pPr>
              <w:pStyle w:val="TableParagraph"/>
              <w:spacing w:line="161" w:lineRule="exact" w:before="8"/>
              <w:ind w:left="11"/>
              <w:jc w:val="center"/>
              <w:rPr>
                <w:rFonts w:ascii="Calibri"/>
                <w:sz w:val="15"/>
              </w:rPr>
            </w:pPr>
            <w:r>
              <w:rPr>
                <w:rFonts w:ascii="Calibri"/>
                <w:spacing w:val="-10"/>
                <w:sz w:val="15"/>
              </w:rPr>
              <w:t>2</w:t>
            </w:r>
          </w:p>
        </w:tc>
        <w:tc>
          <w:tcPr>
            <w:tcW w:w="534" w:type="dxa"/>
            <w:tcBorders>
              <w:top w:val="single" w:sz="6" w:space="0" w:color="DADCDD"/>
              <w:left w:val="single" w:sz="6" w:space="0" w:color="DADCDD"/>
              <w:right w:val="single" w:sz="6" w:space="0" w:color="DADCDD"/>
            </w:tcBorders>
          </w:tcPr>
          <w:p>
            <w:pPr>
              <w:pStyle w:val="TableParagraph"/>
              <w:spacing w:line="161" w:lineRule="exact" w:before="8"/>
              <w:ind w:left="23" w:right="15"/>
              <w:jc w:val="center"/>
              <w:rPr>
                <w:rFonts w:ascii="Calibri"/>
                <w:sz w:val="15"/>
              </w:rPr>
            </w:pPr>
            <w:r>
              <w:rPr>
                <w:rFonts w:ascii="Calibri"/>
                <w:spacing w:val="-5"/>
                <w:sz w:val="15"/>
              </w:rPr>
              <w:t>1,7</w:t>
            </w:r>
          </w:p>
        </w:tc>
        <w:tc>
          <w:tcPr>
            <w:tcW w:w="503" w:type="dxa"/>
            <w:tcBorders>
              <w:top w:val="single" w:sz="6" w:space="0" w:color="DADCDD"/>
              <w:left w:val="single" w:sz="6" w:space="0" w:color="DADCDD"/>
            </w:tcBorders>
          </w:tcPr>
          <w:p>
            <w:pPr>
              <w:pStyle w:val="TableParagraph"/>
              <w:rPr>
                <w:sz w:val="12"/>
              </w:rPr>
            </w:pPr>
          </w:p>
        </w:tc>
        <w:tc>
          <w:tcPr>
            <w:tcW w:w="585" w:type="dxa"/>
            <w:tcBorders>
              <w:top w:val="single" w:sz="6" w:space="0" w:color="DADCDD"/>
              <w:right w:val="single" w:sz="6" w:space="0" w:color="DADCDD"/>
            </w:tcBorders>
          </w:tcPr>
          <w:p>
            <w:pPr>
              <w:pStyle w:val="TableParagraph"/>
              <w:spacing w:line="161" w:lineRule="exact" w:before="8"/>
              <w:ind w:left="247"/>
              <w:rPr>
                <w:rFonts w:ascii="Calibri"/>
                <w:sz w:val="15"/>
              </w:rPr>
            </w:pPr>
            <w:r>
              <w:rPr>
                <w:rFonts w:ascii="Calibri"/>
                <w:spacing w:val="-10"/>
                <w:sz w:val="15"/>
              </w:rPr>
              <w:t>1</w:t>
            </w:r>
          </w:p>
        </w:tc>
        <w:tc>
          <w:tcPr>
            <w:tcW w:w="616" w:type="dxa"/>
            <w:tcBorders>
              <w:top w:val="single" w:sz="6" w:space="0" w:color="DADCDD"/>
              <w:left w:val="single" w:sz="6" w:space="0" w:color="DADCDD"/>
              <w:right w:val="single" w:sz="6" w:space="0" w:color="DADCDD"/>
            </w:tcBorders>
          </w:tcPr>
          <w:p>
            <w:pPr>
              <w:pStyle w:val="TableParagraph"/>
              <w:spacing w:line="161" w:lineRule="exact" w:before="8"/>
              <w:ind w:left="256"/>
              <w:rPr>
                <w:rFonts w:ascii="Calibri"/>
                <w:sz w:val="15"/>
              </w:rPr>
            </w:pPr>
            <w:r>
              <w:rPr>
                <w:rFonts w:ascii="Calibri"/>
                <w:spacing w:val="-10"/>
                <w:sz w:val="15"/>
              </w:rPr>
              <w:t>0</w:t>
            </w:r>
          </w:p>
        </w:tc>
        <w:tc>
          <w:tcPr>
            <w:tcW w:w="493" w:type="dxa"/>
            <w:tcBorders>
              <w:top w:val="single" w:sz="6" w:space="0" w:color="DADCDD"/>
              <w:left w:val="single" w:sz="6" w:space="0" w:color="DADCDD"/>
              <w:right w:val="single" w:sz="6" w:space="0" w:color="DADCDD"/>
            </w:tcBorders>
          </w:tcPr>
          <w:p>
            <w:pPr>
              <w:pStyle w:val="TableParagraph"/>
              <w:spacing w:line="161" w:lineRule="exact" w:before="8"/>
              <w:ind w:left="193"/>
              <w:rPr>
                <w:rFonts w:ascii="Calibri"/>
                <w:sz w:val="15"/>
              </w:rPr>
            </w:pPr>
            <w:r>
              <w:rPr>
                <w:rFonts w:ascii="Calibri"/>
                <w:spacing w:val="-10"/>
                <w:sz w:val="15"/>
              </w:rPr>
              <w:t>0</w:t>
            </w:r>
          </w:p>
        </w:tc>
        <w:tc>
          <w:tcPr>
            <w:tcW w:w="473" w:type="dxa"/>
            <w:tcBorders>
              <w:top w:val="single" w:sz="6" w:space="0" w:color="DADCDD"/>
              <w:left w:val="single" w:sz="6" w:space="0" w:color="DADCDD"/>
            </w:tcBorders>
          </w:tcPr>
          <w:p>
            <w:pPr>
              <w:pStyle w:val="TableParagraph"/>
              <w:spacing w:line="161" w:lineRule="exact" w:before="8"/>
              <w:ind w:left="2" w:right="17"/>
              <w:jc w:val="center"/>
              <w:rPr>
                <w:rFonts w:ascii="Calibri"/>
                <w:sz w:val="15"/>
              </w:rPr>
            </w:pPr>
            <w:r>
              <w:rPr>
                <w:rFonts w:ascii="Calibri"/>
                <w:spacing w:val="-10"/>
                <w:sz w:val="15"/>
              </w:rPr>
              <w:t>0</w:t>
            </w:r>
          </w:p>
        </w:tc>
        <w:tc>
          <w:tcPr>
            <w:tcW w:w="596" w:type="dxa"/>
            <w:tcBorders>
              <w:top w:val="single" w:sz="6" w:space="0" w:color="DADCDD"/>
              <w:right w:val="single" w:sz="6" w:space="0" w:color="DADCDD"/>
            </w:tcBorders>
          </w:tcPr>
          <w:p>
            <w:pPr>
              <w:pStyle w:val="TableParagraph"/>
              <w:spacing w:line="161" w:lineRule="exact" w:before="8"/>
              <w:ind w:right="24"/>
              <w:jc w:val="right"/>
              <w:rPr>
                <w:rFonts w:ascii="Calibri"/>
                <w:sz w:val="15"/>
              </w:rPr>
            </w:pPr>
            <w:r>
              <w:rPr>
                <w:rFonts w:ascii="Calibri"/>
                <w:spacing w:val="-2"/>
                <w:sz w:val="15"/>
              </w:rPr>
              <w:t>100,0</w:t>
            </w:r>
          </w:p>
        </w:tc>
        <w:tc>
          <w:tcPr>
            <w:tcW w:w="586" w:type="dxa"/>
            <w:tcBorders>
              <w:top w:val="single" w:sz="6" w:space="0" w:color="DADCDD"/>
              <w:left w:val="single" w:sz="6" w:space="0" w:color="DADCDD"/>
              <w:right w:val="single" w:sz="6" w:space="0" w:color="DADCDD"/>
            </w:tcBorders>
          </w:tcPr>
          <w:p>
            <w:pPr>
              <w:pStyle w:val="TableParagraph"/>
              <w:spacing w:line="161" w:lineRule="exact" w:before="8"/>
              <w:ind w:right="27"/>
              <w:jc w:val="right"/>
              <w:rPr>
                <w:rFonts w:ascii="Calibri"/>
                <w:sz w:val="15"/>
              </w:rPr>
            </w:pPr>
            <w:r>
              <w:rPr>
                <w:rFonts w:ascii="Calibri"/>
                <w:spacing w:val="-5"/>
                <w:sz w:val="15"/>
              </w:rPr>
              <w:t>0,0</w:t>
            </w:r>
          </w:p>
        </w:tc>
        <w:tc>
          <w:tcPr>
            <w:tcW w:w="463" w:type="dxa"/>
            <w:tcBorders>
              <w:top w:val="single" w:sz="6" w:space="0" w:color="DADCDD"/>
              <w:left w:val="single" w:sz="6" w:space="0" w:color="DADCDD"/>
              <w:right w:val="single" w:sz="6" w:space="0" w:color="DADCDD"/>
            </w:tcBorders>
          </w:tcPr>
          <w:p>
            <w:pPr>
              <w:pStyle w:val="TableParagraph"/>
              <w:spacing w:line="161" w:lineRule="exact" w:before="8"/>
              <w:ind w:right="31"/>
              <w:jc w:val="right"/>
              <w:rPr>
                <w:rFonts w:ascii="Calibri"/>
                <w:sz w:val="15"/>
              </w:rPr>
            </w:pPr>
            <w:r>
              <w:rPr>
                <w:rFonts w:ascii="Calibri"/>
                <w:spacing w:val="-5"/>
                <w:sz w:val="15"/>
              </w:rPr>
              <w:t>0,0</w:t>
            </w:r>
          </w:p>
        </w:tc>
        <w:tc>
          <w:tcPr>
            <w:tcW w:w="494" w:type="dxa"/>
            <w:tcBorders>
              <w:top w:val="single" w:sz="6" w:space="0" w:color="DADCDD"/>
              <w:left w:val="single" w:sz="6" w:space="0" w:color="DADCDD"/>
              <w:right w:val="single" w:sz="4" w:space="0" w:color="DADCDD"/>
            </w:tcBorders>
          </w:tcPr>
          <w:p>
            <w:pPr>
              <w:pStyle w:val="TableParagraph"/>
              <w:spacing w:line="161" w:lineRule="exact" w:before="8"/>
              <w:ind w:left="217" w:right="1"/>
              <w:jc w:val="center"/>
              <w:rPr>
                <w:rFonts w:ascii="Calibri"/>
                <w:sz w:val="15"/>
              </w:rPr>
            </w:pPr>
            <w:r>
              <w:rPr>
                <w:rFonts w:ascii="Calibri"/>
                <w:spacing w:val="-5"/>
                <w:sz w:val="15"/>
              </w:rPr>
              <w:t>0,0</w:t>
            </w:r>
          </w:p>
        </w:tc>
      </w:tr>
      <w:tr>
        <w:trPr>
          <w:trHeight w:val="189" w:hRule="atLeast"/>
        </w:trPr>
        <w:tc>
          <w:tcPr>
            <w:tcW w:w="3215" w:type="dxa"/>
            <w:tcBorders>
              <w:left w:val="single" w:sz="6" w:space="0" w:color="DADCDD"/>
              <w:bottom w:val="single" w:sz="6" w:space="0" w:color="DADCDD"/>
              <w:right w:val="single" w:sz="6" w:space="0" w:color="DADCDD"/>
            </w:tcBorders>
          </w:tcPr>
          <w:p>
            <w:pPr>
              <w:pStyle w:val="TableParagraph"/>
              <w:rPr>
                <w:sz w:val="12"/>
              </w:rPr>
            </w:pPr>
          </w:p>
        </w:tc>
        <w:tc>
          <w:tcPr>
            <w:tcW w:w="471" w:type="dxa"/>
            <w:tcBorders>
              <w:left w:val="single" w:sz="6" w:space="0" w:color="DADCDD"/>
              <w:bottom w:val="single" w:sz="6" w:space="0" w:color="DADCDD"/>
              <w:right w:val="single" w:sz="6" w:space="0" w:color="DADCDD"/>
            </w:tcBorders>
          </w:tcPr>
          <w:p>
            <w:pPr>
              <w:pStyle w:val="TableParagraph"/>
              <w:rPr>
                <w:sz w:val="12"/>
              </w:rPr>
            </w:pPr>
          </w:p>
        </w:tc>
        <w:tc>
          <w:tcPr>
            <w:tcW w:w="451" w:type="dxa"/>
            <w:tcBorders>
              <w:left w:val="single" w:sz="6" w:space="0" w:color="DADCDD"/>
              <w:bottom w:val="single" w:sz="6" w:space="0" w:color="DADCDD"/>
              <w:right w:val="single" w:sz="6" w:space="0" w:color="DADCDD"/>
            </w:tcBorders>
          </w:tcPr>
          <w:p>
            <w:pPr>
              <w:pStyle w:val="TableParagraph"/>
              <w:rPr>
                <w:sz w:val="12"/>
              </w:rPr>
            </w:pPr>
          </w:p>
        </w:tc>
        <w:tc>
          <w:tcPr>
            <w:tcW w:w="523" w:type="dxa"/>
            <w:tcBorders>
              <w:left w:val="single" w:sz="6" w:space="0" w:color="DADCDD"/>
              <w:bottom w:val="single" w:sz="6" w:space="0" w:color="DADCDD"/>
              <w:right w:val="single" w:sz="6" w:space="0" w:color="DADCDD"/>
            </w:tcBorders>
          </w:tcPr>
          <w:p>
            <w:pPr>
              <w:pStyle w:val="TableParagraph"/>
              <w:rPr>
                <w:sz w:val="12"/>
              </w:rPr>
            </w:pPr>
          </w:p>
        </w:tc>
        <w:tc>
          <w:tcPr>
            <w:tcW w:w="656" w:type="dxa"/>
            <w:tcBorders>
              <w:left w:val="single" w:sz="6" w:space="0" w:color="DADCDD"/>
              <w:bottom w:val="single" w:sz="6" w:space="0" w:color="DADCDD"/>
              <w:right w:val="single" w:sz="6" w:space="0" w:color="DADCDD"/>
            </w:tcBorders>
          </w:tcPr>
          <w:p>
            <w:pPr>
              <w:pStyle w:val="TableParagraph"/>
              <w:rPr>
                <w:sz w:val="12"/>
              </w:rPr>
            </w:pPr>
          </w:p>
        </w:tc>
        <w:tc>
          <w:tcPr>
            <w:tcW w:w="748" w:type="dxa"/>
            <w:tcBorders>
              <w:left w:val="single" w:sz="6" w:space="0" w:color="DADCDD"/>
              <w:bottom w:val="single" w:sz="6" w:space="0" w:color="DADCDD"/>
              <w:right w:val="single" w:sz="6" w:space="0" w:color="DADCDD"/>
            </w:tcBorders>
          </w:tcPr>
          <w:p>
            <w:pPr>
              <w:pStyle w:val="TableParagraph"/>
              <w:rPr>
                <w:sz w:val="12"/>
              </w:rPr>
            </w:pPr>
          </w:p>
        </w:tc>
        <w:tc>
          <w:tcPr>
            <w:tcW w:w="707" w:type="dxa"/>
            <w:tcBorders>
              <w:left w:val="single" w:sz="6" w:space="0" w:color="DADCDD"/>
              <w:bottom w:val="single" w:sz="6" w:space="0" w:color="DADCDD"/>
              <w:right w:val="single" w:sz="6" w:space="0" w:color="DADCDD"/>
            </w:tcBorders>
          </w:tcPr>
          <w:p>
            <w:pPr>
              <w:pStyle w:val="TableParagraph"/>
              <w:rPr>
                <w:sz w:val="12"/>
              </w:rPr>
            </w:pPr>
          </w:p>
        </w:tc>
        <w:tc>
          <w:tcPr>
            <w:tcW w:w="656" w:type="dxa"/>
            <w:tcBorders>
              <w:left w:val="single" w:sz="6" w:space="0" w:color="DADCDD"/>
              <w:bottom w:val="single" w:sz="6" w:space="0" w:color="DADCDD"/>
              <w:right w:val="single" w:sz="6" w:space="0" w:color="DADCDD"/>
            </w:tcBorders>
          </w:tcPr>
          <w:p>
            <w:pPr>
              <w:pStyle w:val="TableParagraph"/>
              <w:rPr>
                <w:sz w:val="12"/>
              </w:rPr>
            </w:pPr>
          </w:p>
        </w:tc>
        <w:tc>
          <w:tcPr>
            <w:tcW w:w="615" w:type="dxa"/>
            <w:tcBorders>
              <w:left w:val="single" w:sz="6" w:space="0" w:color="DADCDD"/>
              <w:bottom w:val="single" w:sz="6" w:space="0" w:color="DADCDD"/>
              <w:right w:val="single" w:sz="6" w:space="0" w:color="DADCDD"/>
            </w:tcBorders>
          </w:tcPr>
          <w:p>
            <w:pPr>
              <w:pStyle w:val="TableParagraph"/>
              <w:rPr>
                <w:sz w:val="12"/>
              </w:rPr>
            </w:pPr>
          </w:p>
        </w:tc>
        <w:tc>
          <w:tcPr>
            <w:tcW w:w="595" w:type="dxa"/>
            <w:tcBorders>
              <w:left w:val="single" w:sz="6" w:space="0" w:color="DADCDD"/>
              <w:bottom w:val="single" w:sz="6" w:space="0" w:color="DADCDD"/>
              <w:right w:val="single" w:sz="6" w:space="0" w:color="DADCDD"/>
            </w:tcBorders>
          </w:tcPr>
          <w:p>
            <w:pPr>
              <w:pStyle w:val="TableParagraph"/>
              <w:rPr>
                <w:sz w:val="12"/>
              </w:rPr>
            </w:pPr>
          </w:p>
        </w:tc>
        <w:tc>
          <w:tcPr>
            <w:tcW w:w="626" w:type="dxa"/>
            <w:tcBorders>
              <w:left w:val="single" w:sz="6" w:space="0" w:color="DADCDD"/>
              <w:bottom w:val="single" w:sz="6" w:space="0" w:color="DADCDD"/>
              <w:right w:val="single" w:sz="6" w:space="0" w:color="DADCDD"/>
            </w:tcBorders>
          </w:tcPr>
          <w:p>
            <w:pPr>
              <w:pStyle w:val="TableParagraph"/>
              <w:rPr>
                <w:sz w:val="12"/>
              </w:rPr>
            </w:pPr>
          </w:p>
        </w:tc>
        <w:tc>
          <w:tcPr>
            <w:tcW w:w="534" w:type="dxa"/>
            <w:tcBorders>
              <w:left w:val="single" w:sz="6" w:space="0" w:color="DADCDD"/>
              <w:bottom w:val="single" w:sz="6" w:space="0" w:color="DADCDD"/>
              <w:right w:val="single" w:sz="6" w:space="0" w:color="DADCDD"/>
            </w:tcBorders>
          </w:tcPr>
          <w:p>
            <w:pPr>
              <w:pStyle w:val="TableParagraph"/>
              <w:rPr>
                <w:sz w:val="12"/>
              </w:rPr>
            </w:pPr>
          </w:p>
        </w:tc>
        <w:tc>
          <w:tcPr>
            <w:tcW w:w="503" w:type="dxa"/>
            <w:tcBorders>
              <w:left w:val="single" w:sz="6" w:space="0" w:color="DADCDD"/>
              <w:bottom w:val="single" w:sz="6" w:space="0" w:color="DADCDD"/>
              <w:right w:val="single" w:sz="6" w:space="0" w:color="DADCDD"/>
            </w:tcBorders>
          </w:tcPr>
          <w:p>
            <w:pPr>
              <w:pStyle w:val="TableParagraph"/>
              <w:rPr>
                <w:sz w:val="12"/>
              </w:rPr>
            </w:pPr>
          </w:p>
        </w:tc>
        <w:tc>
          <w:tcPr>
            <w:tcW w:w="585" w:type="dxa"/>
            <w:tcBorders>
              <w:left w:val="single" w:sz="6" w:space="0" w:color="DADCDD"/>
              <w:bottom w:val="single" w:sz="6" w:space="0" w:color="DADCDD"/>
              <w:right w:val="single" w:sz="6" w:space="0" w:color="DADCDD"/>
            </w:tcBorders>
          </w:tcPr>
          <w:p>
            <w:pPr>
              <w:pStyle w:val="TableParagraph"/>
              <w:rPr>
                <w:sz w:val="12"/>
              </w:rPr>
            </w:pPr>
          </w:p>
        </w:tc>
        <w:tc>
          <w:tcPr>
            <w:tcW w:w="616" w:type="dxa"/>
            <w:tcBorders>
              <w:left w:val="single" w:sz="6" w:space="0" w:color="DADCDD"/>
              <w:bottom w:val="single" w:sz="6" w:space="0" w:color="DADCDD"/>
              <w:right w:val="single" w:sz="6" w:space="0" w:color="DADCDD"/>
            </w:tcBorders>
          </w:tcPr>
          <w:p>
            <w:pPr>
              <w:pStyle w:val="TableParagraph"/>
              <w:rPr>
                <w:sz w:val="12"/>
              </w:rPr>
            </w:pPr>
          </w:p>
        </w:tc>
        <w:tc>
          <w:tcPr>
            <w:tcW w:w="493" w:type="dxa"/>
            <w:tcBorders>
              <w:left w:val="single" w:sz="6" w:space="0" w:color="DADCDD"/>
              <w:bottom w:val="single" w:sz="6" w:space="0" w:color="DADCDD"/>
              <w:right w:val="single" w:sz="6" w:space="0" w:color="DADCDD"/>
            </w:tcBorders>
          </w:tcPr>
          <w:p>
            <w:pPr>
              <w:pStyle w:val="TableParagraph"/>
              <w:rPr>
                <w:sz w:val="12"/>
              </w:rPr>
            </w:pPr>
          </w:p>
        </w:tc>
        <w:tc>
          <w:tcPr>
            <w:tcW w:w="473" w:type="dxa"/>
            <w:tcBorders>
              <w:left w:val="single" w:sz="6" w:space="0" w:color="DADCDD"/>
              <w:bottom w:val="single" w:sz="6" w:space="0" w:color="DADCDD"/>
              <w:right w:val="single" w:sz="6" w:space="0" w:color="DADCDD"/>
            </w:tcBorders>
          </w:tcPr>
          <w:p>
            <w:pPr>
              <w:pStyle w:val="TableParagraph"/>
              <w:rPr>
                <w:sz w:val="12"/>
              </w:rPr>
            </w:pPr>
          </w:p>
        </w:tc>
        <w:tc>
          <w:tcPr>
            <w:tcW w:w="596" w:type="dxa"/>
            <w:tcBorders>
              <w:left w:val="single" w:sz="6" w:space="0" w:color="DADCDD"/>
              <w:bottom w:val="single" w:sz="6" w:space="0" w:color="DADCDD"/>
              <w:right w:val="single" w:sz="6" w:space="0" w:color="DADCDD"/>
            </w:tcBorders>
          </w:tcPr>
          <w:p>
            <w:pPr>
              <w:pStyle w:val="TableParagraph"/>
              <w:rPr>
                <w:sz w:val="12"/>
              </w:rPr>
            </w:pPr>
          </w:p>
        </w:tc>
        <w:tc>
          <w:tcPr>
            <w:tcW w:w="586" w:type="dxa"/>
            <w:tcBorders>
              <w:left w:val="single" w:sz="6" w:space="0" w:color="DADCDD"/>
              <w:bottom w:val="single" w:sz="6" w:space="0" w:color="DADCDD"/>
              <w:right w:val="single" w:sz="6" w:space="0" w:color="DADCDD"/>
            </w:tcBorders>
          </w:tcPr>
          <w:p>
            <w:pPr>
              <w:pStyle w:val="TableParagraph"/>
              <w:rPr>
                <w:sz w:val="12"/>
              </w:rPr>
            </w:pPr>
          </w:p>
        </w:tc>
        <w:tc>
          <w:tcPr>
            <w:tcW w:w="463" w:type="dxa"/>
            <w:tcBorders>
              <w:left w:val="single" w:sz="6" w:space="0" w:color="DADCDD"/>
              <w:bottom w:val="single" w:sz="6" w:space="0" w:color="DADCDD"/>
              <w:right w:val="single" w:sz="6" w:space="0" w:color="DADCDD"/>
            </w:tcBorders>
          </w:tcPr>
          <w:p>
            <w:pPr>
              <w:pStyle w:val="TableParagraph"/>
              <w:rPr>
                <w:sz w:val="12"/>
              </w:rPr>
            </w:pPr>
          </w:p>
        </w:tc>
        <w:tc>
          <w:tcPr>
            <w:tcW w:w="494" w:type="dxa"/>
            <w:tcBorders>
              <w:left w:val="single" w:sz="6" w:space="0" w:color="DADCDD"/>
              <w:bottom w:val="single" w:sz="6" w:space="0" w:color="DADCDD"/>
              <w:right w:val="single" w:sz="4" w:space="0" w:color="DADCDD"/>
            </w:tcBorders>
          </w:tcPr>
          <w:p>
            <w:pPr>
              <w:pStyle w:val="TableParagraph"/>
              <w:rPr>
                <w:sz w:val="12"/>
              </w:rPr>
            </w:pPr>
          </w:p>
        </w:tc>
      </w:tr>
      <w:tr>
        <w:trPr>
          <w:trHeight w:val="189" w:hRule="atLeast"/>
        </w:trPr>
        <w:tc>
          <w:tcPr>
            <w:tcW w:w="321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9"/>
              <w:jc w:val="right"/>
              <w:rPr>
                <w:rFonts w:ascii="Calibri" w:hAnsi="Calibri"/>
                <w:sz w:val="15"/>
              </w:rPr>
            </w:pPr>
            <w:r>
              <w:rPr>
                <w:rFonts w:ascii="Calibri" w:hAnsi="Calibri"/>
                <w:spacing w:val="-2"/>
                <w:sz w:val="15"/>
              </w:rPr>
              <w:t>сумма</w:t>
            </w:r>
          </w:p>
        </w:tc>
        <w:tc>
          <w:tcPr>
            <w:tcW w:w="471"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113"/>
              <w:jc w:val="right"/>
              <w:rPr>
                <w:rFonts w:ascii="Calibri"/>
                <w:sz w:val="15"/>
              </w:rPr>
            </w:pPr>
            <w:r>
              <w:rPr>
                <w:rFonts w:ascii="Calibri"/>
                <w:spacing w:val="-5"/>
                <w:sz w:val="15"/>
              </w:rPr>
              <w:t>957</w:t>
            </w:r>
          </w:p>
        </w:tc>
        <w:tc>
          <w:tcPr>
            <w:tcW w:w="451"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86"/>
              <w:jc w:val="center"/>
              <w:rPr>
                <w:rFonts w:ascii="Calibri"/>
                <w:sz w:val="15"/>
              </w:rPr>
            </w:pPr>
            <w:r>
              <w:rPr>
                <w:rFonts w:ascii="Calibri"/>
                <w:spacing w:val="-2"/>
                <w:sz w:val="15"/>
              </w:rPr>
              <w:t>100,0</w:t>
            </w:r>
          </w:p>
        </w:tc>
        <w:tc>
          <w:tcPr>
            <w:tcW w:w="52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5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748"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707"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5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15"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95"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2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34"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0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8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3"/>
              <w:jc w:val="right"/>
              <w:rPr>
                <w:rFonts w:ascii="Calibri"/>
                <w:sz w:val="15"/>
              </w:rPr>
            </w:pPr>
            <w:r>
              <w:rPr>
                <w:rFonts w:ascii="Calibri"/>
                <w:spacing w:val="-5"/>
                <w:sz w:val="15"/>
              </w:rPr>
              <w:t>187</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5"/>
              <w:jc w:val="right"/>
              <w:rPr>
                <w:rFonts w:ascii="Calibri"/>
                <w:sz w:val="15"/>
              </w:rPr>
            </w:pPr>
            <w:r>
              <w:rPr>
                <w:rFonts w:ascii="Calibri"/>
                <w:spacing w:val="-5"/>
                <w:sz w:val="15"/>
              </w:rPr>
              <w:t>35</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8"/>
              <w:jc w:val="right"/>
              <w:rPr>
                <w:rFonts w:ascii="Calibri"/>
                <w:sz w:val="15"/>
              </w:rPr>
            </w:pPr>
            <w:r>
              <w:rPr>
                <w:rFonts w:ascii="Calibri"/>
                <w:spacing w:val="-5"/>
                <w:sz w:val="15"/>
              </w:rPr>
              <w:t>100</w:t>
            </w:r>
          </w:p>
        </w:tc>
        <w:tc>
          <w:tcPr>
            <w:tcW w:w="47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9"/>
              <w:jc w:val="right"/>
              <w:rPr>
                <w:rFonts w:ascii="Calibri"/>
                <w:sz w:val="15"/>
              </w:rPr>
            </w:pPr>
            <w:r>
              <w:rPr>
                <w:rFonts w:ascii="Calibri"/>
                <w:spacing w:val="-5"/>
                <w:sz w:val="15"/>
              </w:rPr>
              <w:t>27</w:t>
            </w:r>
          </w:p>
        </w:tc>
        <w:tc>
          <w:tcPr>
            <w:tcW w:w="59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rPr>
                <w:rFonts w:ascii="Calibri" w:hAnsi="Calibri"/>
                <w:sz w:val="15"/>
              </w:rPr>
            </w:pPr>
            <w:r>
              <w:rPr>
                <w:rFonts w:ascii="Calibri" w:hAnsi="Calibri"/>
                <w:spacing w:val="-5"/>
                <w:sz w:val="15"/>
              </w:rPr>
              <w:t>чел</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6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94" w:type="dxa"/>
            <w:tcBorders>
              <w:top w:val="single" w:sz="6" w:space="0" w:color="DADCDD"/>
              <w:left w:val="single" w:sz="6" w:space="0" w:color="DADCDD"/>
              <w:bottom w:val="single" w:sz="6" w:space="0" w:color="DADCDD"/>
              <w:right w:val="single" w:sz="4" w:space="0" w:color="DADCDD"/>
            </w:tcBorders>
          </w:tcPr>
          <w:p>
            <w:pPr>
              <w:pStyle w:val="TableParagraph"/>
              <w:rPr>
                <w:sz w:val="12"/>
              </w:rPr>
            </w:pPr>
          </w:p>
        </w:tc>
      </w:tr>
      <w:tr>
        <w:trPr>
          <w:trHeight w:val="189" w:hRule="atLeast"/>
        </w:trPr>
        <w:tc>
          <w:tcPr>
            <w:tcW w:w="3215"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71"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51"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2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5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748"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707"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5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15"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95"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62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34"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0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585"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17"/>
              <w:jc w:val="right"/>
              <w:rPr>
                <w:rFonts w:ascii="Calibri"/>
                <w:sz w:val="15"/>
              </w:rPr>
            </w:pPr>
            <w:r>
              <w:rPr>
                <w:rFonts w:ascii="Calibri"/>
                <w:spacing w:val="-4"/>
                <w:sz w:val="15"/>
              </w:rPr>
              <w:t>19,5</w:t>
            </w:r>
          </w:p>
        </w:tc>
        <w:tc>
          <w:tcPr>
            <w:tcW w:w="61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19"/>
              <w:jc w:val="right"/>
              <w:rPr>
                <w:rFonts w:ascii="Calibri"/>
                <w:sz w:val="15"/>
              </w:rPr>
            </w:pPr>
            <w:r>
              <w:rPr>
                <w:rFonts w:ascii="Calibri"/>
                <w:spacing w:val="-5"/>
                <w:sz w:val="15"/>
              </w:rPr>
              <w:t>3,7</w:t>
            </w:r>
          </w:p>
        </w:tc>
        <w:tc>
          <w:tcPr>
            <w:tcW w:w="49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0"/>
              <w:jc w:val="right"/>
              <w:rPr>
                <w:rFonts w:ascii="Calibri"/>
                <w:sz w:val="15"/>
              </w:rPr>
            </w:pPr>
            <w:r>
              <w:rPr>
                <w:rFonts w:ascii="Calibri"/>
                <w:spacing w:val="-4"/>
                <w:sz w:val="15"/>
              </w:rPr>
              <w:t>10,4</w:t>
            </w:r>
          </w:p>
        </w:tc>
        <w:tc>
          <w:tcPr>
            <w:tcW w:w="473"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right="23"/>
              <w:jc w:val="right"/>
              <w:rPr>
                <w:rFonts w:ascii="Calibri"/>
                <w:sz w:val="15"/>
              </w:rPr>
            </w:pPr>
            <w:r>
              <w:rPr>
                <w:rFonts w:ascii="Calibri"/>
                <w:spacing w:val="-5"/>
                <w:sz w:val="15"/>
              </w:rPr>
              <w:t>2,8</w:t>
            </w:r>
          </w:p>
        </w:tc>
        <w:tc>
          <w:tcPr>
            <w:tcW w:w="596" w:type="dxa"/>
            <w:tcBorders>
              <w:top w:val="single" w:sz="6" w:space="0" w:color="DADCDD"/>
              <w:left w:val="single" w:sz="6" w:space="0" w:color="DADCDD"/>
              <w:bottom w:val="single" w:sz="6" w:space="0" w:color="DADCDD"/>
              <w:right w:val="single" w:sz="6" w:space="0" w:color="DADCDD"/>
            </w:tcBorders>
          </w:tcPr>
          <w:p>
            <w:pPr>
              <w:pStyle w:val="TableParagraph"/>
              <w:spacing w:line="161" w:lineRule="exact" w:before="8"/>
              <w:ind w:left="4"/>
              <w:rPr>
                <w:rFonts w:ascii="Calibri"/>
                <w:sz w:val="15"/>
              </w:rPr>
            </w:pPr>
            <w:r>
              <w:rPr>
                <w:rFonts w:ascii="Calibri"/>
                <w:spacing w:val="-10"/>
                <w:sz w:val="15"/>
              </w:rPr>
              <w:t>%</w:t>
            </w:r>
          </w:p>
        </w:tc>
        <w:tc>
          <w:tcPr>
            <w:tcW w:w="586"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63" w:type="dxa"/>
            <w:tcBorders>
              <w:top w:val="single" w:sz="6" w:space="0" w:color="DADCDD"/>
              <w:left w:val="single" w:sz="6" w:space="0" w:color="DADCDD"/>
              <w:bottom w:val="single" w:sz="6" w:space="0" w:color="DADCDD"/>
              <w:right w:val="single" w:sz="6" w:space="0" w:color="DADCDD"/>
            </w:tcBorders>
          </w:tcPr>
          <w:p>
            <w:pPr>
              <w:pStyle w:val="TableParagraph"/>
              <w:rPr>
                <w:sz w:val="12"/>
              </w:rPr>
            </w:pPr>
          </w:p>
        </w:tc>
        <w:tc>
          <w:tcPr>
            <w:tcW w:w="494" w:type="dxa"/>
            <w:tcBorders>
              <w:top w:val="single" w:sz="6" w:space="0" w:color="DADCDD"/>
              <w:left w:val="single" w:sz="6" w:space="0" w:color="DADCDD"/>
              <w:bottom w:val="single" w:sz="6" w:space="0" w:color="DADCDD"/>
              <w:right w:val="single" w:sz="4" w:space="0" w:color="DADCDD"/>
            </w:tcBorders>
          </w:tcPr>
          <w:p>
            <w:pPr>
              <w:pStyle w:val="TableParagraph"/>
              <w:rPr>
                <w:sz w:val="12"/>
              </w:rPr>
            </w:pPr>
          </w:p>
        </w:tc>
      </w:tr>
    </w:tbl>
    <w:p>
      <w:pPr>
        <w:pStyle w:val="TableParagraph"/>
        <w:spacing w:after="0"/>
        <w:rPr>
          <w:sz w:val="12"/>
        </w:rPr>
        <w:sectPr>
          <w:footerReference w:type="default" r:id="rId88"/>
          <w:pgSz w:w="16840" w:h="11910" w:orient="landscape"/>
          <w:pgMar w:header="0" w:footer="1002" w:top="780" w:bottom="1200" w:left="1559" w:right="566"/>
        </w:sectPr>
      </w:pPr>
    </w:p>
    <w:p>
      <w:pPr>
        <w:spacing w:before="73"/>
        <w:ind w:left="0" w:right="421" w:firstLine="0"/>
        <w:jc w:val="center"/>
        <w:rPr>
          <w:b/>
          <w:sz w:val="24"/>
        </w:rPr>
      </w:pPr>
      <w:r>
        <w:rPr>
          <w:b/>
          <w:sz w:val="24"/>
        </w:rPr>
        <w:t>ПРИЛОЖЕНИЕ</w:t>
      </w:r>
      <w:r>
        <w:rPr>
          <w:b/>
          <w:spacing w:val="-2"/>
          <w:sz w:val="24"/>
        </w:rPr>
        <w:t> </w:t>
      </w:r>
      <w:r>
        <w:rPr>
          <w:b/>
          <w:spacing w:val="-10"/>
          <w:sz w:val="24"/>
        </w:rPr>
        <w:t>В</w:t>
      </w:r>
    </w:p>
    <w:p>
      <w:pPr>
        <w:pStyle w:val="BodyText"/>
        <w:spacing w:before="38"/>
        <w:jc w:val="left"/>
        <w:rPr>
          <w:b/>
          <w:sz w:val="24"/>
        </w:rPr>
      </w:pPr>
    </w:p>
    <w:p>
      <w:pPr>
        <w:spacing w:before="1"/>
        <w:ind w:left="0" w:right="421" w:firstLine="0"/>
        <w:jc w:val="center"/>
        <w:rPr>
          <w:b/>
          <w:sz w:val="24"/>
        </w:rPr>
      </w:pPr>
      <w:r>
        <w:rPr>
          <w:b/>
          <w:sz w:val="24"/>
        </w:rPr>
        <w:t>Категории</w:t>
      </w:r>
      <w:r>
        <w:rPr>
          <w:b/>
          <w:spacing w:val="-6"/>
          <w:sz w:val="24"/>
        </w:rPr>
        <w:t> </w:t>
      </w:r>
      <w:r>
        <w:rPr>
          <w:b/>
          <w:sz w:val="24"/>
        </w:rPr>
        <w:t>подвижности</w:t>
      </w:r>
      <w:r>
        <w:rPr>
          <w:b/>
          <w:spacing w:val="-3"/>
          <w:sz w:val="24"/>
        </w:rPr>
        <w:t> </w:t>
      </w:r>
      <w:r>
        <w:rPr>
          <w:b/>
          <w:sz w:val="24"/>
        </w:rPr>
        <w:t>сперматозоидов</w:t>
      </w:r>
      <w:r>
        <w:rPr>
          <w:b/>
          <w:spacing w:val="-4"/>
          <w:sz w:val="24"/>
        </w:rPr>
        <w:t> </w:t>
      </w:r>
      <w:r>
        <w:rPr>
          <w:b/>
          <w:sz w:val="24"/>
        </w:rPr>
        <w:t>в</w:t>
      </w:r>
      <w:r>
        <w:rPr>
          <w:b/>
          <w:spacing w:val="-4"/>
          <w:sz w:val="24"/>
        </w:rPr>
        <w:t> </w:t>
      </w:r>
      <w:r>
        <w:rPr>
          <w:b/>
          <w:sz w:val="24"/>
        </w:rPr>
        <w:t>эякуляте</w:t>
      </w:r>
      <w:r>
        <w:rPr>
          <w:b/>
          <w:spacing w:val="-5"/>
          <w:sz w:val="24"/>
        </w:rPr>
        <w:t> </w:t>
      </w:r>
      <w:r>
        <w:rPr>
          <w:b/>
          <w:sz w:val="24"/>
        </w:rPr>
        <w:t>после</w:t>
      </w:r>
      <w:r>
        <w:rPr>
          <w:b/>
          <w:spacing w:val="-4"/>
          <w:sz w:val="24"/>
        </w:rPr>
        <w:t> </w:t>
      </w:r>
      <w:r>
        <w:rPr>
          <w:b/>
          <w:sz w:val="24"/>
        </w:rPr>
        <w:t>воздействия</w:t>
      </w:r>
      <w:r>
        <w:rPr>
          <w:b/>
          <w:spacing w:val="-4"/>
          <w:sz w:val="24"/>
        </w:rPr>
        <w:t> </w:t>
      </w:r>
      <w:r>
        <w:rPr>
          <w:b/>
          <w:spacing w:val="-5"/>
          <w:sz w:val="24"/>
        </w:rPr>
        <w:t>ЭМИ</w:t>
      </w:r>
    </w:p>
    <w:p>
      <w:pPr>
        <w:pStyle w:val="BodyText"/>
        <w:spacing w:before="4"/>
        <w:jc w:val="left"/>
        <w:rPr>
          <w:b/>
          <w:sz w:val="24"/>
        </w:rPr>
      </w:pPr>
    </w:p>
    <w:p>
      <w:pPr>
        <w:spacing w:before="1"/>
        <w:ind w:left="144" w:right="0" w:firstLine="0"/>
        <w:jc w:val="left"/>
        <w:rPr>
          <w:sz w:val="24"/>
        </w:rPr>
      </w:pPr>
      <w:r>
        <w:rPr>
          <w:sz w:val="24"/>
        </w:rPr>
        <w:t>Таблица</w:t>
      </w:r>
      <w:r>
        <w:rPr>
          <w:spacing w:val="-1"/>
          <w:sz w:val="24"/>
        </w:rPr>
        <w:t> </w:t>
      </w:r>
      <w:r>
        <w:rPr>
          <w:spacing w:val="-10"/>
          <w:sz w:val="24"/>
        </w:rPr>
        <w:t>Б</w:t>
      </w:r>
    </w:p>
    <w:p>
      <w:pPr>
        <w:pStyle w:val="BodyText"/>
        <w:spacing w:before="1"/>
        <w:jc w:val="left"/>
        <w:rPr>
          <w:sz w:val="6"/>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0"/>
        <w:gridCol w:w="1660"/>
        <w:gridCol w:w="1419"/>
        <w:gridCol w:w="1841"/>
        <w:gridCol w:w="1419"/>
        <w:gridCol w:w="1702"/>
        <w:gridCol w:w="2268"/>
      </w:tblGrid>
      <w:tr>
        <w:trPr>
          <w:trHeight w:val="345" w:hRule="atLeast"/>
        </w:trPr>
        <w:tc>
          <w:tcPr>
            <w:tcW w:w="460" w:type="dxa"/>
            <w:vMerge w:val="restart"/>
          </w:tcPr>
          <w:p>
            <w:pPr>
              <w:pStyle w:val="TableParagraph"/>
              <w:ind w:left="107"/>
              <w:rPr>
                <w:b/>
                <w:sz w:val="20"/>
              </w:rPr>
            </w:pPr>
            <w:r>
              <w:rPr>
                <w:b/>
                <w:spacing w:val="-10"/>
                <w:sz w:val="20"/>
              </w:rPr>
              <w:t>№</w:t>
            </w:r>
          </w:p>
        </w:tc>
        <w:tc>
          <w:tcPr>
            <w:tcW w:w="4920" w:type="dxa"/>
            <w:gridSpan w:val="3"/>
          </w:tcPr>
          <w:p>
            <w:pPr>
              <w:pStyle w:val="TableParagraph"/>
              <w:ind w:left="814"/>
              <w:rPr>
                <w:b/>
                <w:sz w:val="20"/>
              </w:rPr>
            </w:pPr>
            <w:r>
              <w:rPr>
                <w:b/>
                <w:sz w:val="20"/>
              </w:rPr>
              <w:t>Красный</w:t>
            </w:r>
            <w:r>
              <w:rPr>
                <w:b/>
                <w:spacing w:val="-5"/>
                <w:sz w:val="20"/>
              </w:rPr>
              <w:t> </w:t>
            </w:r>
            <w:r>
              <w:rPr>
                <w:b/>
                <w:sz w:val="20"/>
              </w:rPr>
              <w:t>светодиод,</w:t>
            </w:r>
            <w:r>
              <w:rPr>
                <w:b/>
                <w:spacing w:val="-4"/>
                <w:sz w:val="20"/>
              </w:rPr>
              <w:t> </w:t>
            </w:r>
            <w:r>
              <w:rPr>
                <w:b/>
                <w:sz w:val="20"/>
              </w:rPr>
              <w:t>630</w:t>
            </w:r>
            <w:r>
              <w:rPr>
                <w:b/>
                <w:spacing w:val="-6"/>
                <w:sz w:val="20"/>
              </w:rPr>
              <w:t> </w:t>
            </w:r>
            <w:r>
              <w:rPr>
                <w:b/>
                <w:sz w:val="20"/>
              </w:rPr>
              <w:t>нм,</w:t>
            </w:r>
            <w:r>
              <w:rPr>
                <w:b/>
                <w:spacing w:val="-3"/>
                <w:sz w:val="20"/>
              </w:rPr>
              <w:t> </w:t>
            </w:r>
            <w:r>
              <w:rPr>
                <w:b/>
                <w:sz w:val="20"/>
              </w:rPr>
              <w:t>t=5</w:t>
            </w:r>
            <w:r>
              <w:rPr>
                <w:b/>
                <w:spacing w:val="-4"/>
                <w:sz w:val="20"/>
              </w:rPr>
              <w:t> </w:t>
            </w:r>
            <w:r>
              <w:rPr>
                <w:b/>
                <w:spacing w:val="-5"/>
                <w:sz w:val="20"/>
              </w:rPr>
              <w:t>мин</w:t>
            </w:r>
          </w:p>
        </w:tc>
        <w:tc>
          <w:tcPr>
            <w:tcW w:w="5389" w:type="dxa"/>
            <w:gridSpan w:val="3"/>
          </w:tcPr>
          <w:p>
            <w:pPr>
              <w:pStyle w:val="TableParagraph"/>
              <w:ind w:left="1481"/>
              <w:rPr>
                <w:b/>
                <w:sz w:val="20"/>
              </w:rPr>
            </w:pPr>
            <w:r>
              <w:rPr>
                <w:b/>
                <w:sz w:val="20"/>
              </w:rPr>
              <w:t>Контроль</w:t>
            </w:r>
            <w:r>
              <w:rPr>
                <w:b/>
                <w:spacing w:val="-9"/>
                <w:sz w:val="20"/>
              </w:rPr>
              <w:t> </w:t>
            </w:r>
            <w:r>
              <w:rPr>
                <w:b/>
                <w:sz w:val="20"/>
              </w:rPr>
              <w:t>(темная</w:t>
            </w:r>
            <w:r>
              <w:rPr>
                <w:b/>
                <w:spacing w:val="-6"/>
                <w:sz w:val="20"/>
              </w:rPr>
              <w:t> </w:t>
            </w:r>
            <w:r>
              <w:rPr>
                <w:b/>
                <w:spacing w:val="-2"/>
                <w:sz w:val="20"/>
              </w:rPr>
              <w:t>камера)</w:t>
            </w:r>
          </w:p>
        </w:tc>
      </w:tr>
      <w:tr>
        <w:trPr>
          <w:trHeight w:val="299" w:hRule="atLeast"/>
        </w:trPr>
        <w:tc>
          <w:tcPr>
            <w:tcW w:w="460" w:type="dxa"/>
            <w:vMerge/>
            <w:tcBorders>
              <w:top w:val="nil"/>
            </w:tcBorders>
          </w:tcPr>
          <w:p>
            <w:pPr>
              <w:rPr>
                <w:sz w:val="2"/>
                <w:szCs w:val="2"/>
              </w:rPr>
            </w:pPr>
          </w:p>
        </w:tc>
        <w:tc>
          <w:tcPr>
            <w:tcW w:w="1660" w:type="dxa"/>
          </w:tcPr>
          <w:p>
            <w:pPr>
              <w:pStyle w:val="TableParagraph"/>
              <w:ind w:left="543"/>
              <w:rPr>
                <w:b/>
                <w:sz w:val="20"/>
              </w:rPr>
            </w:pPr>
            <w:r>
              <w:rPr>
                <w:b/>
                <w:sz w:val="20"/>
              </w:rPr>
              <w:t>PR,</w:t>
            </w:r>
            <w:r>
              <w:rPr>
                <w:b/>
                <w:spacing w:val="-3"/>
                <w:sz w:val="20"/>
              </w:rPr>
              <w:t> </w:t>
            </w:r>
            <w:r>
              <w:rPr>
                <w:b/>
                <w:spacing w:val="-10"/>
                <w:sz w:val="20"/>
              </w:rPr>
              <w:t>%</w:t>
            </w:r>
          </w:p>
        </w:tc>
        <w:tc>
          <w:tcPr>
            <w:tcW w:w="1419" w:type="dxa"/>
          </w:tcPr>
          <w:p>
            <w:pPr>
              <w:pStyle w:val="TableParagraph"/>
              <w:ind w:left="423"/>
              <w:rPr>
                <w:b/>
                <w:sz w:val="20"/>
              </w:rPr>
            </w:pPr>
            <w:r>
              <w:rPr>
                <w:b/>
                <w:sz w:val="20"/>
              </w:rPr>
              <w:t>NP,</w:t>
            </w:r>
            <w:r>
              <w:rPr>
                <w:b/>
                <w:spacing w:val="-3"/>
                <w:sz w:val="20"/>
              </w:rPr>
              <w:t> </w:t>
            </w:r>
            <w:r>
              <w:rPr>
                <w:b/>
                <w:spacing w:val="-10"/>
                <w:sz w:val="20"/>
              </w:rPr>
              <w:t>%</w:t>
            </w:r>
          </w:p>
        </w:tc>
        <w:tc>
          <w:tcPr>
            <w:tcW w:w="1841" w:type="dxa"/>
          </w:tcPr>
          <w:p>
            <w:pPr>
              <w:pStyle w:val="TableParagraph"/>
              <w:ind w:left="6" w:right="5"/>
              <w:jc w:val="center"/>
              <w:rPr>
                <w:b/>
                <w:sz w:val="20"/>
              </w:rPr>
            </w:pPr>
            <w:r>
              <w:rPr>
                <w:b/>
                <w:sz w:val="20"/>
              </w:rPr>
              <w:t>IM,</w:t>
            </w:r>
            <w:r>
              <w:rPr>
                <w:b/>
                <w:spacing w:val="-5"/>
                <w:sz w:val="20"/>
              </w:rPr>
              <w:t> </w:t>
            </w:r>
            <w:r>
              <w:rPr>
                <w:b/>
                <w:spacing w:val="-10"/>
                <w:sz w:val="20"/>
              </w:rPr>
              <w:t>%</w:t>
            </w:r>
          </w:p>
        </w:tc>
        <w:tc>
          <w:tcPr>
            <w:tcW w:w="1419" w:type="dxa"/>
          </w:tcPr>
          <w:p>
            <w:pPr>
              <w:pStyle w:val="TableParagraph"/>
              <w:ind w:left="423"/>
              <w:rPr>
                <w:b/>
                <w:sz w:val="20"/>
              </w:rPr>
            </w:pPr>
            <w:r>
              <w:rPr>
                <w:b/>
                <w:sz w:val="20"/>
              </w:rPr>
              <w:t>PR,</w:t>
            </w:r>
            <w:r>
              <w:rPr>
                <w:b/>
                <w:spacing w:val="-3"/>
                <w:sz w:val="20"/>
              </w:rPr>
              <w:t> </w:t>
            </w:r>
            <w:r>
              <w:rPr>
                <w:b/>
                <w:spacing w:val="-10"/>
                <w:sz w:val="20"/>
              </w:rPr>
              <w:t>%</w:t>
            </w:r>
          </w:p>
        </w:tc>
        <w:tc>
          <w:tcPr>
            <w:tcW w:w="1702" w:type="dxa"/>
          </w:tcPr>
          <w:p>
            <w:pPr>
              <w:pStyle w:val="TableParagraph"/>
              <w:ind w:left="564"/>
              <w:rPr>
                <w:b/>
                <w:sz w:val="20"/>
              </w:rPr>
            </w:pPr>
            <w:r>
              <w:rPr>
                <w:b/>
                <w:sz w:val="20"/>
              </w:rPr>
              <w:t>NP,</w:t>
            </w:r>
            <w:r>
              <w:rPr>
                <w:b/>
                <w:spacing w:val="-3"/>
                <w:sz w:val="20"/>
              </w:rPr>
              <w:t> </w:t>
            </w:r>
            <w:r>
              <w:rPr>
                <w:b/>
                <w:spacing w:val="-10"/>
                <w:sz w:val="20"/>
              </w:rPr>
              <w:t>%</w:t>
            </w:r>
          </w:p>
        </w:tc>
        <w:tc>
          <w:tcPr>
            <w:tcW w:w="2268" w:type="dxa"/>
          </w:tcPr>
          <w:p>
            <w:pPr>
              <w:pStyle w:val="TableParagraph"/>
              <w:ind w:right="3"/>
              <w:jc w:val="center"/>
              <w:rPr>
                <w:b/>
                <w:sz w:val="20"/>
              </w:rPr>
            </w:pPr>
            <w:r>
              <w:rPr>
                <w:b/>
                <w:sz w:val="20"/>
              </w:rPr>
              <w:t>IM,</w:t>
            </w:r>
            <w:r>
              <w:rPr>
                <w:b/>
                <w:spacing w:val="-5"/>
                <w:sz w:val="20"/>
              </w:rPr>
              <w:t> </w:t>
            </w:r>
            <w:r>
              <w:rPr>
                <w:b/>
                <w:spacing w:val="-10"/>
                <w:sz w:val="20"/>
              </w:rPr>
              <w:t>%</w:t>
            </w:r>
          </w:p>
        </w:tc>
      </w:tr>
      <w:tr>
        <w:trPr>
          <w:trHeight w:val="299" w:hRule="atLeast"/>
        </w:trPr>
        <w:tc>
          <w:tcPr>
            <w:tcW w:w="460" w:type="dxa"/>
          </w:tcPr>
          <w:p>
            <w:pPr>
              <w:pStyle w:val="TableParagraph"/>
              <w:ind w:right="132"/>
              <w:jc w:val="center"/>
              <w:rPr>
                <w:sz w:val="20"/>
              </w:rPr>
            </w:pPr>
            <w:r>
              <w:rPr>
                <w:spacing w:val="-10"/>
                <w:sz w:val="20"/>
              </w:rPr>
              <w:t>1</w:t>
            </w:r>
          </w:p>
        </w:tc>
        <w:tc>
          <w:tcPr>
            <w:tcW w:w="1660" w:type="dxa"/>
          </w:tcPr>
          <w:p>
            <w:pPr>
              <w:pStyle w:val="TableParagraph"/>
              <w:ind w:left="4"/>
              <w:jc w:val="center"/>
              <w:rPr>
                <w:sz w:val="20"/>
              </w:rPr>
            </w:pPr>
            <w:r>
              <w:rPr>
                <w:spacing w:val="-2"/>
                <w:sz w:val="20"/>
              </w:rPr>
              <w:t>47.03</w:t>
            </w:r>
          </w:p>
        </w:tc>
        <w:tc>
          <w:tcPr>
            <w:tcW w:w="1419" w:type="dxa"/>
          </w:tcPr>
          <w:p>
            <w:pPr>
              <w:pStyle w:val="TableParagraph"/>
              <w:ind w:left="7"/>
              <w:jc w:val="center"/>
              <w:rPr>
                <w:sz w:val="20"/>
              </w:rPr>
            </w:pPr>
            <w:r>
              <w:rPr>
                <w:spacing w:val="-4"/>
                <w:sz w:val="20"/>
              </w:rPr>
              <w:t>5.45</w:t>
            </w:r>
          </w:p>
        </w:tc>
        <w:tc>
          <w:tcPr>
            <w:tcW w:w="1841" w:type="dxa"/>
          </w:tcPr>
          <w:p>
            <w:pPr>
              <w:pStyle w:val="TableParagraph"/>
              <w:ind w:left="6"/>
              <w:jc w:val="center"/>
              <w:rPr>
                <w:sz w:val="20"/>
              </w:rPr>
            </w:pPr>
            <w:r>
              <w:rPr>
                <w:spacing w:val="-2"/>
                <w:sz w:val="20"/>
              </w:rPr>
              <w:t>47.52</w:t>
            </w:r>
          </w:p>
        </w:tc>
        <w:tc>
          <w:tcPr>
            <w:tcW w:w="1419" w:type="dxa"/>
          </w:tcPr>
          <w:p>
            <w:pPr>
              <w:pStyle w:val="TableParagraph"/>
              <w:ind w:left="7" w:right="2"/>
              <w:jc w:val="center"/>
              <w:rPr>
                <w:sz w:val="20"/>
              </w:rPr>
            </w:pPr>
            <w:r>
              <w:rPr>
                <w:spacing w:val="-2"/>
                <w:sz w:val="20"/>
              </w:rPr>
              <w:t>30.68</w:t>
            </w:r>
          </w:p>
        </w:tc>
        <w:tc>
          <w:tcPr>
            <w:tcW w:w="1702" w:type="dxa"/>
          </w:tcPr>
          <w:p>
            <w:pPr>
              <w:pStyle w:val="TableParagraph"/>
              <w:ind w:left="4"/>
              <w:jc w:val="center"/>
              <w:rPr>
                <w:sz w:val="20"/>
              </w:rPr>
            </w:pPr>
            <w:r>
              <w:rPr>
                <w:spacing w:val="-4"/>
                <w:sz w:val="20"/>
              </w:rPr>
              <w:t>2.48</w:t>
            </w:r>
          </w:p>
        </w:tc>
        <w:tc>
          <w:tcPr>
            <w:tcW w:w="2268" w:type="dxa"/>
          </w:tcPr>
          <w:p>
            <w:pPr>
              <w:pStyle w:val="TableParagraph"/>
              <w:ind w:left="3" w:right="3"/>
              <w:jc w:val="center"/>
              <w:rPr>
                <w:sz w:val="20"/>
              </w:rPr>
            </w:pPr>
            <w:r>
              <w:rPr>
                <w:spacing w:val="-2"/>
                <w:sz w:val="20"/>
              </w:rPr>
              <w:t>66.84</w:t>
            </w:r>
          </w:p>
        </w:tc>
      </w:tr>
      <w:tr>
        <w:trPr>
          <w:trHeight w:val="299" w:hRule="atLeast"/>
        </w:trPr>
        <w:tc>
          <w:tcPr>
            <w:tcW w:w="460" w:type="dxa"/>
          </w:tcPr>
          <w:p>
            <w:pPr>
              <w:pStyle w:val="TableParagraph"/>
              <w:ind w:right="132"/>
              <w:jc w:val="center"/>
              <w:rPr>
                <w:sz w:val="20"/>
              </w:rPr>
            </w:pPr>
            <w:r>
              <w:rPr>
                <w:spacing w:val="-10"/>
                <w:sz w:val="20"/>
              </w:rPr>
              <w:t>2</w:t>
            </w:r>
          </w:p>
        </w:tc>
        <w:tc>
          <w:tcPr>
            <w:tcW w:w="1660" w:type="dxa"/>
          </w:tcPr>
          <w:p>
            <w:pPr>
              <w:pStyle w:val="TableParagraph"/>
              <w:ind w:left="4"/>
              <w:jc w:val="center"/>
              <w:rPr>
                <w:sz w:val="20"/>
              </w:rPr>
            </w:pPr>
            <w:r>
              <w:rPr>
                <w:spacing w:val="-2"/>
                <w:sz w:val="20"/>
              </w:rPr>
              <w:t>23.35</w:t>
            </w:r>
          </w:p>
        </w:tc>
        <w:tc>
          <w:tcPr>
            <w:tcW w:w="1419" w:type="dxa"/>
          </w:tcPr>
          <w:p>
            <w:pPr>
              <w:pStyle w:val="TableParagraph"/>
              <w:ind w:left="7"/>
              <w:jc w:val="center"/>
              <w:rPr>
                <w:sz w:val="20"/>
              </w:rPr>
            </w:pPr>
            <w:r>
              <w:rPr>
                <w:spacing w:val="-2"/>
                <w:sz w:val="20"/>
              </w:rPr>
              <w:t>24.38</w:t>
            </w:r>
          </w:p>
        </w:tc>
        <w:tc>
          <w:tcPr>
            <w:tcW w:w="1841" w:type="dxa"/>
          </w:tcPr>
          <w:p>
            <w:pPr>
              <w:pStyle w:val="TableParagraph"/>
              <w:ind w:left="6"/>
              <w:jc w:val="center"/>
              <w:rPr>
                <w:sz w:val="20"/>
              </w:rPr>
            </w:pPr>
            <w:r>
              <w:rPr>
                <w:spacing w:val="-2"/>
                <w:sz w:val="20"/>
              </w:rPr>
              <w:t>52.27</w:t>
            </w:r>
          </w:p>
        </w:tc>
        <w:tc>
          <w:tcPr>
            <w:tcW w:w="1419" w:type="dxa"/>
          </w:tcPr>
          <w:p>
            <w:pPr>
              <w:pStyle w:val="TableParagraph"/>
              <w:ind w:left="7" w:right="2"/>
              <w:jc w:val="center"/>
              <w:rPr>
                <w:sz w:val="20"/>
              </w:rPr>
            </w:pPr>
            <w:r>
              <w:rPr>
                <w:spacing w:val="-2"/>
                <w:sz w:val="20"/>
              </w:rPr>
              <w:t>20.45</w:t>
            </w:r>
          </w:p>
        </w:tc>
        <w:tc>
          <w:tcPr>
            <w:tcW w:w="1702" w:type="dxa"/>
          </w:tcPr>
          <w:p>
            <w:pPr>
              <w:pStyle w:val="TableParagraph"/>
              <w:ind w:left="4"/>
              <w:jc w:val="center"/>
              <w:rPr>
                <w:sz w:val="20"/>
              </w:rPr>
            </w:pPr>
            <w:r>
              <w:rPr>
                <w:spacing w:val="-2"/>
                <w:sz w:val="20"/>
              </w:rPr>
              <w:t>10.24</w:t>
            </w:r>
          </w:p>
        </w:tc>
        <w:tc>
          <w:tcPr>
            <w:tcW w:w="2268" w:type="dxa"/>
          </w:tcPr>
          <w:p>
            <w:pPr>
              <w:pStyle w:val="TableParagraph"/>
              <w:ind w:left="3" w:right="3"/>
              <w:jc w:val="center"/>
              <w:rPr>
                <w:sz w:val="20"/>
              </w:rPr>
            </w:pPr>
            <w:r>
              <w:rPr>
                <w:spacing w:val="-2"/>
                <w:sz w:val="20"/>
              </w:rPr>
              <w:t>69.31</w:t>
            </w:r>
          </w:p>
        </w:tc>
      </w:tr>
      <w:tr>
        <w:trPr>
          <w:trHeight w:val="299" w:hRule="atLeast"/>
        </w:trPr>
        <w:tc>
          <w:tcPr>
            <w:tcW w:w="460" w:type="dxa"/>
          </w:tcPr>
          <w:p>
            <w:pPr>
              <w:pStyle w:val="TableParagraph"/>
              <w:ind w:right="132"/>
              <w:jc w:val="center"/>
              <w:rPr>
                <w:sz w:val="20"/>
              </w:rPr>
            </w:pPr>
            <w:r>
              <w:rPr>
                <w:spacing w:val="-10"/>
                <w:sz w:val="20"/>
              </w:rPr>
              <w:t>3</w:t>
            </w:r>
          </w:p>
        </w:tc>
        <w:tc>
          <w:tcPr>
            <w:tcW w:w="1660" w:type="dxa"/>
          </w:tcPr>
          <w:p>
            <w:pPr>
              <w:pStyle w:val="TableParagraph"/>
              <w:ind w:left="4"/>
              <w:jc w:val="center"/>
              <w:rPr>
                <w:sz w:val="20"/>
              </w:rPr>
            </w:pPr>
            <w:r>
              <w:rPr>
                <w:spacing w:val="-4"/>
                <w:sz w:val="20"/>
              </w:rPr>
              <w:t>2.96</w:t>
            </w:r>
          </w:p>
        </w:tc>
        <w:tc>
          <w:tcPr>
            <w:tcW w:w="1419" w:type="dxa"/>
          </w:tcPr>
          <w:p>
            <w:pPr>
              <w:pStyle w:val="TableParagraph"/>
              <w:ind w:left="7" w:right="1"/>
              <w:jc w:val="center"/>
              <w:rPr>
                <w:sz w:val="20"/>
              </w:rPr>
            </w:pPr>
            <w:r>
              <w:rPr>
                <w:spacing w:val="-4"/>
                <w:sz w:val="20"/>
              </w:rPr>
              <w:t>0.00</w:t>
            </w:r>
          </w:p>
        </w:tc>
        <w:tc>
          <w:tcPr>
            <w:tcW w:w="1841" w:type="dxa"/>
          </w:tcPr>
          <w:p>
            <w:pPr>
              <w:pStyle w:val="TableParagraph"/>
              <w:ind w:left="6"/>
              <w:jc w:val="center"/>
              <w:rPr>
                <w:sz w:val="20"/>
              </w:rPr>
            </w:pPr>
            <w:r>
              <w:rPr>
                <w:spacing w:val="-2"/>
                <w:sz w:val="20"/>
              </w:rPr>
              <w:t>97.04</w:t>
            </w:r>
          </w:p>
        </w:tc>
        <w:tc>
          <w:tcPr>
            <w:tcW w:w="1419" w:type="dxa"/>
          </w:tcPr>
          <w:p>
            <w:pPr>
              <w:pStyle w:val="TableParagraph"/>
              <w:ind w:left="7" w:right="2"/>
              <w:jc w:val="center"/>
              <w:rPr>
                <w:sz w:val="20"/>
              </w:rPr>
            </w:pPr>
            <w:r>
              <w:rPr>
                <w:spacing w:val="-4"/>
                <w:sz w:val="20"/>
              </w:rPr>
              <w:t>0.98</w:t>
            </w:r>
          </w:p>
        </w:tc>
        <w:tc>
          <w:tcPr>
            <w:tcW w:w="1702" w:type="dxa"/>
          </w:tcPr>
          <w:p>
            <w:pPr>
              <w:pStyle w:val="TableParagraph"/>
              <w:ind w:left="4" w:right="1"/>
              <w:jc w:val="center"/>
              <w:rPr>
                <w:sz w:val="20"/>
              </w:rPr>
            </w:pPr>
            <w:r>
              <w:rPr>
                <w:spacing w:val="-4"/>
                <w:sz w:val="20"/>
              </w:rPr>
              <w:t>0.00</w:t>
            </w:r>
          </w:p>
        </w:tc>
        <w:tc>
          <w:tcPr>
            <w:tcW w:w="2268" w:type="dxa"/>
          </w:tcPr>
          <w:p>
            <w:pPr>
              <w:pStyle w:val="TableParagraph"/>
              <w:ind w:left="3" w:right="3"/>
              <w:jc w:val="center"/>
              <w:rPr>
                <w:sz w:val="20"/>
              </w:rPr>
            </w:pPr>
            <w:r>
              <w:rPr>
                <w:spacing w:val="-2"/>
                <w:sz w:val="20"/>
              </w:rPr>
              <w:t>99.02</w:t>
            </w:r>
          </w:p>
        </w:tc>
      </w:tr>
      <w:tr>
        <w:trPr>
          <w:trHeight w:val="302" w:hRule="atLeast"/>
        </w:trPr>
        <w:tc>
          <w:tcPr>
            <w:tcW w:w="460" w:type="dxa"/>
          </w:tcPr>
          <w:p>
            <w:pPr>
              <w:pStyle w:val="TableParagraph"/>
              <w:spacing w:before="2"/>
              <w:ind w:right="132"/>
              <w:jc w:val="center"/>
              <w:rPr>
                <w:sz w:val="20"/>
              </w:rPr>
            </w:pPr>
            <w:r>
              <w:rPr>
                <w:spacing w:val="-10"/>
                <w:sz w:val="20"/>
              </w:rPr>
              <w:t>4</w:t>
            </w:r>
          </w:p>
        </w:tc>
        <w:tc>
          <w:tcPr>
            <w:tcW w:w="1660" w:type="dxa"/>
          </w:tcPr>
          <w:p>
            <w:pPr>
              <w:pStyle w:val="TableParagraph"/>
              <w:spacing w:before="2"/>
              <w:ind w:left="4"/>
              <w:jc w:val="center"/>
              <w:rPr>
                <w:sz w:val="20"/>
              </w:rPr>
            </w:pPr>
            <w:r>
              <w:rPr>
                <w:spacing w:val="-4"/>
                <w:sz w:val="20"/>
              </w:rPr>
              <w:t>0.02</w:t>
            </w:r>
          </w:p>
        </w:tc>
        <w:tc>
          <w:tcPr>
            <w:tcW w:w="1419" w:type="dxa"/>
          </w:tcPr>
          <w:p>
            <w:pPr>
              <w:pStyle w:val="TableParagraph"/>
              <w:spacing w:before="2"/>
              <w:ind w:left="7"/>
              <w:jc w:val="center"/>
              <w:rPr>
                <w:sz w:val="20"/>
              </w:rPr>
            </w:pPr>
            <w:r>
              <w:rPr>
                <w:spacing w:val="-4"/>
                <w:sz w:val="20"/>
              </w:rPr>
              <w:t>0.26</w:t>
            </w:r>
          </w:p>
        </w:tc>
        <w:tc>
          <w:tcPr>
            <w:tcW w:w="1841" w:type="dxa"/>
          </w:tcPr>
          <w:p>
            <w:pPr>
              <w:pStyle w:val="TableParagraph"/>
              <w:spacing w:before="2"/>
              <w:ind w:left="6"/>
              <w:jc w:val="center"/>
              <w:rPr>
                <w:sz w:val="20"/>
              </w:rPr>
            </w:pPr>
            <w:r>
              <w:rPr>
                <w:spacing w:val="-2"/>
                <w:sz w:val="20"/>
              </w:rPr>
              <w:t>99.72</w:t>
            </w:r>
          </w:p>
        </w:tc>
        <w:tc>
          <w:tcPr>
            <w:tcW w:w="1419" w:type="dxa"/>
          </w:tcPr>
          <w:p>
            <w:pPr>
              <w:pStyle w:val="TableParagraph"/>
              <w:spacing w:before="2"/>
              <w:ind w:left="7" w:right="3"/>
              <w:jc w:val="center"/>
              <w:rPr>
                <w:sz w:val="20"/>
              </w:rPr>
            </w:pPr>
            <w:r>
              <w:rPr>
                <w:spacing w:val="-4"/>
                <w:sz w:val="20"/>
              </w:rPr>
              <w:t>1.00</w:t>
            </w:r>
          </w:p>
        </w:tc>
        <w:tc>
          <w:tcPr>
            <w:tcW w:w="1702" w:type="dxa"/>
          </w:tcPr>
          <w:p>
            <w:pPr>
              <w:pStyle w:val="TableParagraph"/>
              <w:spacing w:before="2"/>
              <w:ind w:left="4"/>
              <w:jc w:val="center"/>
              <w:rPr>
                <w:sz w:val="20"/>
              </w:rPr>
            </w:pPr>
            <w:r>
              <w:rPr>
                <w:spacing w:val="-4"/>
                <w:sz w:val="20"/>
              </w:rPr>
              <w:t>0.66</w:t>
            </w:r>
          </w:p>
        </w:tc>
        <w:tc>
          <w:tcPr>
            <w:tcW w:w="2268" w:type="dxa"/>
          </w:tcPr>
          <w:p>
            <w:pPr>
              <w:pStyle w:val="TableParagraph"/>
              <w:spacing w:before="2"/>
              <w:ind w:left="3" w:right="3"/>
              <w:jc w:val="center"/>
              <w:rPr>
                <w:sz w:val="20"/>
              </w:rPr>
            </w:pPr>
            <w:r>
              <w:rPr>
                <w:spacing w:val="-2"/>
                <w:sz w:val="20"/>
              </w:rPr>
              <w:t>98.34</w:t>
            </w:r>
          </w:p>
        </w:tc>
      </w:tr>
      <w:tr>
        <w:trPr>
          <w:trHeight w:val="299" w:hRule="atLeast"/>
        </w:trPr>
        <w:tc>
          <w:tcPr>
            <w:tcW w:w="460" w:type="dxa"/>
          </w:tcPr>
          <w:p>
            <w:pPr>
              <w:pStyle w:val="TableParagraph"/>
              <w:ind w:right="132"/>
              <w:jc w:val="center"/>
              <w:rPr>
                <w:sz w:val="20"/>
              </w:rPr>
            </w:pPr>
            <w:r>
              <w:rPr>
                <w:spacing w:val="-10"/>
                <w:sz w:val="20"/>
              </w:rPr>
              <w:t>5</w:t>
            </w:r>
          </w:p>
        </w:tc>
        <w:tc>
          <w:tcPr>
            <w:tcW w:w="1660" w:type="dxa"/>
          </w:tcPr>
          <w:p>
            <w:pPr>
              <w:pStyle w:val="TableParagraph"/>
              <w:ind w:left="4"/>
              <w:jc w:val="center"/>
              <w:rPr>
                <w:sz w:val="20"/>
              </w:rPr>
            </w:pPr>
            <w:r>
              <w:rPr>
                <w:spacing w:val="-4"/>
                <w:sz w:val="20"/>
              </w:rPr>
              <w:t>0.79</w:t>
            </w:r>
          </w:p>
        </w:tc>
        <w:tc>
          <w:tcPr>
            <w:tcW w:w="1419" w:type="dxa"/>
          </w:tcPr>
          <w:p>
            <w:pPr>
              <w:pStyle w:val="TableParagraph"/>
              <w:ind w:left="7"/>
              <w:jc w:val="center"/>
              <w:rPr>
                <w:sz w:val="20"/>
              </w:rPr>
            </w:pPr>
            <w:r>
              <w:rPr>
                <w:spacing w:val="-4"/>
                <w:sz w:val="20"/>
              </w:rPr>
              <w:t>0.17</w:t>
            </w:r>
          </w:p>
        </w:tc>
        <w:tc>
          <w:tcPr>
            <w:tcW w:w="1841" w:type="dxa"/>
          </w:tcPr>
          <w:p>
            <w:pPr>
              <w:pStyle w:val="TableParagraph"/>
              <w:ind w:left="6"/>
              <w:jc w:val="center"/>
              <w:rPr>
                <w:sz w:val="20"/>
              </w:rPr>
            </w:pPr>
            <w:r>
              <w:rPr>
                <w:spacing w:val="-2"/>
                <w:sz w:val="20"/>
              </w:rPr>
              <w:t>99.04</w:t>
            </w:r>
          </w:p>
        </w:tc>
        <w:tc>
          <w:tcPr>
            <w:tcW w:w="1419" w:type="dxa"/>
          </w:tcPr>
          <w:p>
            <w:pPr>
              <w:pStyle w:val="TableParagraph"/>
              <w:ind w:left="7" w:right="2"/>
              <w:jc w:val="center"/>
              <w:rPr>
                <w:sz w:val="20"/>
              </w:rPr>
            </w:pPr>
            <w:r>
              <w:rPr>
                <w:spacing w:val="-4"/>
                <w:sz w:val="20"/>
              </w:rPr>
              <w:t>1.11</w:t>
            </w:r>
          </w:p>
        </w:tc>
        <w:tc>
          <w:tcPr>
            <w:tcW w:w="1702" w:type="dxa"/>
          </w:tcPr>
          <w:p>
            <w:pPr>
              <w:pStyle w:val="TableParagraph"/>
              <w:ind w:left="4"/>
              <w:jc w:val="center"/>
              <w:rPr>
                <w:sz w:val="20"/>
              </w:rPr>
            </w:pPr>
            <w:r>
              <w:rPr>
                <w:spacing w:val="-4"/>
                <w:sz w:val="20"/>
              </w:rPr>
              <w:t>0.93</w:t>
            </w:r>
          </w:p>
        </w:tc>
        <w:tc>
          <w:tcPr>
            <w:tcW w:w="2268" w:type="dxa"/>
          </w:tcPr>
          <w:p>
            <w:pPr>
              <w:pStyle w:val="TableParagraph"/>
              <w:ind w:left="3" w:right="3"/>
              <w:jc w:val="center"/>
              <w:rPr>
                <w:sz w:val="20"/>
              </w:rPr>
            </w:pPr>
            <w:r>
              <w:rPr>
                <w:spacing w:val="-2"/>
                <w:sz w:val="20"/>
              </w:rPr>
              <w:t>97.96</w:t>
            </w:r>
          </w:p>
        </w:tc>
      </w:tr>
      <w:tr>
        <w:trPr>
          <w:trHeight w:val="299" w:hRule="atLeast"/>
        </w:trPr>
        <w:tc>
          <w:tcPr>
            <w:tcW w:w="460" w:type="dxa"/>
          </w:tcPr>
          <w:p>
            <w:pPr>
              <w:pStyle w:val="TableParagraph"/>
              <w:ind w:right="132"/>
              <w:jc w:val="center"/>
              <w:rPr>
                <w:sz w:val="20"/>
              </w:rPr>
            </w:pPr>
            <w:r>
              <w:rPr>
                <w:spacing w:val="-10"/>
                <w:sz w:val="20"/>
              </w:rPr>
              <w:t>6</w:t>
            </w:r>
          </w:p>
        </w:tc>
        <w:tc>
          <w:tcPr>
            <w:tcW w:w="1660" w:type="dxa"/>
          </w:tcPr>
          <w:p>
            <w:pPr>
              <w:pStyle w:val="TableParagraph"/>
              <w:ind w:left="4" w:right="1"/>
              <w:jc w:val="center"/>
              <w:rPr>
                <w:sz w:val="20"/>
              </w:rPr>
            </w:pPr>
            <w:r>
              <w:rPr>
                <w:spacing w:val="-2"/>
                <w:sz w:val="20"/>
              </w:rPr>
              <w:t>21.60</w:t>
            </w:r>
          </w:p>
        </w:tc>
        <w:tc>
          <w:tcPr>
            <w:tcW w:w="1419" w:type="dxa"/>
          </w:tcPr>
          <w:p>
            <w:pPr>
              <w:pStyle w:val="TableParagraph"/>
              <w:ind w:left="7"/>
              <w:jc w:val="center"/>
              <w:rPr>
                <w:sz w:val="20"/>
              </w:rPr>
            </w:pPr>
            <w:r>
              <w:rPr>
                <w:spacing w:val="-2"/>
                <w:sz w:val="20"/>
              </w:rPr>
              <w:t>12.22</w:t>
            </w:r>
          </w:p>
        </w:tc>
        <w:tc>
          <w:tcPr>
            <w:tcW w:w="1841" w:type="dxa"/>
          </w:tcPr>
          <w:p>
            <w:pPr>
              <w:pStyle w:val="TableParagraph"/>
              <w:ind w:left="6"/>
              <w:jc w:val="center"/>
              <w:rPr>
                <w:sz w:val="20"/>
              </w:rPr>
            </w:pPr>
            <w:r>
              <w:rPr>
                <w:spacing w:val="-2"/>
                <w:sz w:val="20"/>
              </w:rPr>
              <w:t>66.18</w:t>
            </w:r>
          </w:p>
        </w:tc>
        <w:tc>
          <w:tcPr>
            <w:tcW w:w="1419" w:type="dxa"/>
          </w:tcPr>
          <w:p>
            <w:pPr>
              <w:pStyle w:val="TableParagraph"/>
              <w:ind w:left="7" w:right="2"/>
              <w:jc w:val="center"/>
              <w:rPr>
                <w:sz w:val="20"/>
              </w:rPr>
            </w:pPr>
            <w:r>
              <w:rPr>
                <w:spacing w:val="-2"/>
                <w:sz w:val="20"/>
              </w:rPr>
              <w:t>20.69</w:t>
            </w:r>
          </w:p>
        </w:tc>
        <w:tc>
          <w:tcPr>
            <w:tcW w:w="1702" w:type="dxa"/>
          </w:tcPr>
          <w:p>
            <w:pPr>
              <w:pStyle w:val="TableParagraph"/>
              <w:ind w:left="4"/>
              <w:jc w:val="center"/>
              <w:rPr>
                <w:sz w:val="20"/>
              </w:rPr>
            </w:pPr>
            <w:r>
              <w:rPr>
                <w:spacing w:val="-4"/>
                <w:sz w:val="20"/>
              </w:rPr>
              <w:t>4.11</w:t>
            </w:r>
          </w:p>
        </w:tc>
        <w:tc>
          <w:tcPr>
            <w:tcW w:w="2268" w:type="dxa"/>
          </w:tcPr>
          <w:p>
            <w:pPr>
              <w:pStyle w:val="TableParagraph"/>
              <w:ind w:left="2" w:right="3"/>
              <w:jc w:val="center"/>
              <w:rPr>
                <w:sz w:val="20"/>
              </w:rPr>
            </w:pPr>
            <w:r>
              <w:rPr>
                <w:spacing w:val="-2"/>
                <w:sz w:val="20"/>
              </w:rPr>
              <w:t>75.20</w:t>
            </w:r>
          </w:p>
        </w:tc>
      </w:tr>
      <w:tr>
        <w:trPr>
          <w:trHeight w:val="299" w:hRule="atLeast"/>
        </w:trPr>
        <w:tc>
          <w:tcPr>
            <w:tcW w:w="460" w:type="dxa"/>
          </w:tcPr>
          <w:p>
            <w:pPr>
              <w:pStyle w:val="TableParagraph"/>
              <w:ind w:right="132"/>
              <w:jc w:val="center"/>
              <w:rPr>
                <w:sz w:val="20"/>
              </w:rPr>
            </w:pPr>
            <w:r>
              <w:rPr>
                <w:spacing w:val="-10"/>
                <w:sz w:val="20"/>
              </w:rPr>
              <w:t>7</w:t>
            </w:r>
          </w:p>
        </w:tc>
        <w:tc>
          <w:tcPr>
            <w:tcW w:w="1660" w:type="dxa"/>
          </w:tcPr>
          <w:p>
            <w:pPr>
              <w:pStyle w:val="TableParagraph"/>
              <w:ind w:left="4"/>
              <w:jc w:val="center"/>
              <w:rPr>
                <w:sz w:val="20"/>
              </w:rPr>
            </w:pPr>
            <w:r>
              <w:rPr>
                <w:spacing w:val="-2"/>
                <w:sz w:val="20"/>
              </w:rPr>
              <w:t>20.47</w:t>
            </w:r>
          </w:p>
        </w:tc>
        <w:tc>
          <w:tcPr>
            <w:tcW w:w="1419" w:type="dxa"/>
          </w:tcPr>
          <w:p>
            <w:pPr>
              <w:pStyle w:val="TableParagraph"/>
              <w:ind w:left="7"/>
              <w:jc w:val="center"/>
              <w:rPr>
                <w:sz w:val="20"/>
              </w:rPr>
            </w:pPr>
            <w:r>
              <w:rPr>
                <w:spacing w:val="-4"/>
                <w:sz w:val="20"/>
              </w:rPr>
              <w:t>5.82</w:t>
            </w:r>
          </w:p>
        </w:tc>
        <w:tc>
          <w:tcPr>
            <w:tcW w:w="1841" w:type="dxa"/>
          </w:tcPr>
          <w:p>
            <w:pPr>
              <w:pStyle w:val="TableParagraph"/>
              <w:ind w:left="6"/>
              <w:jc w:val="center"/>
              <w:rPr>
                <w:sz w:val="20"/>
              </w:rPr>
            </w:pPr>
            <w:r>
              <w:rPr>
                <w:spacing w:val="-2"/>
                <w:sz w:val="20"/>
              </w:rPr>
              <w:t>73.71</w:t>
            </w:r>
          </w:p>
        </w:tc>
        <w:tc>
          <w:tcPr>
            <w:tcW w:w="1419" w:type="dxa"/>
          </w:tcPr>
          <w:p>
            <w:pPr>
              <w:pStyle w:val="TableParagraph"/>
              <w:ind w:left="7" w:right="2"/>
              <w:jc w:val="center"/>
              <w:rPr>
                <w:sz w:val="20"/>
              </w:rPr>
            </w:pPr>
            <w:r>
              <w:rPr>
                <w:spacing w:val="-2"/>
                <w:sz w:val="20"/>
              </w:rPr>
              <w:t>20.05</w:t>
            </w:r>
          </w:p>
        </w:tc>
        <w:tc>
          <w:tcPr>
            <w:tcW w:w="1702" w:type="dxa"/>
          </w:tcPr>
          <w:p>
            <w:pPr>
              <w:pStyle w:val="TableParagraph"/>
              <w:ind w:left="4"/>
              <w:jc w:val="center"/>
              <w:rPr>
                <w:sz w:val="20"/>
              </w:rPr>
            </w:pPr>
            <w:r>
              <w:rPr>
                <w:spacing w:val="-4"/>
                <w:sz w:val="20"/>
              </w:rPr>
              <w:t>2.61</w:t>
            </w:r>
          </w:p>
        </w:tc>
        <w:tc>
          <w:tcPr>
            <w:tcW w:w="2268" w:type="dxa"/>
          </w:tcPr>
          <w:p>
            <w:pPr>
              <w:pStyle w:val="TableParagraph"/>
              <w:ind w:left="3" w:right="3"/>
              <w:jc w:val="center"/>
              <w:rPr>
                <w:sz w:val="20"/>
              </w:rPr>
            </w:pPr>
            <w:r>
              <w:rPr>
                <w:spacing w:val="-2"/>
                <w:sz w:val="20"/>
              </w:rPr>
              <w:t>77.34</w:t>
            </w:r>
          </w:p>
        </w:tc>
      </w:tr>
      <w:tr>
        <w:trPr>
          <w:trHeight w:val="299" w:hRule="atLeast"/>
        </w:trPr>
        <w:tc>
          <w:tcPr>
            <w:tcW w:w="460" w:type="dxa"/>
          </w:tcPr>
          <w:p>
            <w:pPr>
              <w:pStyle w:val="TableParagraph"/>
              <w:ind w:right="132"/>
              <w:jc w:val="center"/>
              <w:rPr>
                <w:sz w:val="20"/>
              </w:rPr>
            </w:pPr>
            <w:r>
              <w:rPr>
                <w:spacing w:val="-10"/>
                <w:sz w:val="20"/>
              </w:rPr>
              <w:t>8</w:t>
            </w:r>
          </w:p>
        </w:tc>
        <w:tc>
          <w:tcPr>
            <w:tcW w:w="1660" w:type="dxa"/>
          </w:tcPr>
          <w:p>
            <w:pPr>
              <w:pStyle w:val="TableParagraph"/>
              <w:ind w:left="4"/>
              <w:jc w:val="center"/>
              <w:rPr>
                <w:sz w:val="20"/>
              </w:rPr>
            </w:pPr>
            <w:r>
              <w:rPr>
                <w:spacing w:val="-4"/>
                <w:sz w:val="20"/>
              </w:rPr>
              <w:t>0.21</w:t>
            </w:r>
          </w:p>
        </w:tc>
        <w:tc>
          <w:tcPr>
            <w:tcW w:w="1419" w:type="dxa"/>
          </w:tcPr>
          <w:p>
            <w:pPr>
              <w:pStyle w:val="TableParagraph"/>
              <w:ind w:left="7"/>
              <w:jc w:val="center"/>
              <w:rPr>
                <w:sz w:val="20"/>
              </w:rPr>
            </w:pPr>
            <w:r>
              <w:rPr>
                <w:spacing w:val="-4"/>
                <w:sz w:val="20"/>
              </w:rPr>
              <w:t>2.05</w:t>
            </w:r>
          </w:p>
        </w:tc>
        <w:tc>
          <w:tcPr>
            <w:tcW w:w="1841" w:type="dxa"/>
          </w:tcPr>
          <w:p>
            <w:pPr>
              <w:pStyle w:val="TableParagraph"/>
              <w:ind w:left="6"/>
              <w:jc w:val="center"/>
              <w:rPr>
                <w:sz w:val="20"/>
              </w:rPr>
            </w:pPr>
            <w:r>
              <w:rPr>
                <w:spacing w:val="-2"/>
                <w:sz w:val="20"/>
              </w:rPr>
              <w:t>97.74</w:t>
            </w:r>
          </w:p>
        </w:tc>
        <w:tc>
          <w:tcPr>
            <w:tcW w:w="1419" w:type="dxa"/>
          </w:tcPr>
          <w:p>
            <w:pPr>
              <w:pStyle w:val="TableParagraph"/>
              <w:ind w:left="7" w:right="3"/>
              <w:jc w:val="center"/>
              <w:rPr>
                <w:sz w:val="20"/>
              </w:rPr>
            </w:pPr>
            <w:r>
              <w:rPr>
                <w:spacing w:val="-4"/>
                <w:sz w:val="20"/>
              </w:rPr>
              <w:t>0.20</w:t>
            </w:r>
          </w:p>
        </w:tc>
        <w:tc>
          <w:tcPr>
            <w:tcW w:w="1702" w:type="dxa"/>
          </w:tcPr>
          <w:p>
            <w:pPr>
              <w:pStyle w:val="TableParagraph"/>
              <w:ind w:left="4"/>
              <w:jc w:val="center"/>
              <w:rPr>
                <w:sz w:val="20"/>
              </w:rPr>
            </w:pPr>
            <w:r>
              <w:rPr>
                <w:spacing w:val="-4"/>
                <w:sz w:val="20"/>
              </w:rPr>
              <w:t>1.17</w:t>
            </w:r>
          </w:p>
        </w:tc>
        <w:tc>
          <w:tcPr>
            <w:tcW w:w="2268" w:type="dxa"/>
          </w:tcPr>
          <w:p>
            <w:pPr>
              <w:pStyle w:val="TableParagraph"/>
              <w:ind w:left="3" w:right="3"/>
              <w:jc w:val="center"/>
              <w:rPr>
                <w:sz w:val="20"/>
              </w:rPr>
            </w:pPr>
            <w:r>
              <w:rPr>
                <w:spacing w:val="-2"/>
                <w:sz w:val="20"/>
              </w:rPr>
              <w:t>98.63</w:t>
            </w:r>
          </w:p>
        </w:tc>
      </w:tr>
      <w:tr>
        <w:trPr>
          <w:trHeight w:val="299" w:hRule="atLeast"/>
        </w:trPr>
        <w:tc>
          <w:tcPr>
            <w:tcW w:w="460" w:type="dxa"/>
          </w:tcPr>
          <w:p>
            <w:pPr>
              <w:pStyle w:val="TableParagraph"/>
              <w:ind w:right="132"/>
              <w:jc w:val="center"/>
              <w:rPr>
                <w:sz w:val="20"/>
              </w:rPr>
            </w:pPr>
            <w:r>
              <w:rPr>
                <w:spacing w:val="-10"/>
                <w:sz w:val="20"/>
              </w:rPr>
              <w:t>9</w:t>
            </w:r>
          </w:p>
        </w:tc>
        <w:tc>
          <w:tcPr>
            <w:tcW w:w="1660" w:type="dxa"/>
          </w:tcPr>
          <w:p>
            <w:pPr>
              <w:pStyle w:val="TableParagraph"/>
              <w:ind w:left="4"/>
              <w:jc w:val="center"/>
              <w:rPr>
                <w:sz w:val="20"/>
              </w:rPr>
            </w:pPr>
            <w:r>
              <w:rPr>
                <w:spacing w:val="-2"/>
                <w:sz w:val="20"/>
              </w:rPr>
              <w:t>22.47</w:t>
            </w:r>
          </w:p>
        </w:tc>
        <w:tc>
          <w:tcPr>
            <w:tcW w:w="1419" w:type="dxa"/>
          </w:tcPr>
          <w:p>
            <w:pPr>
              <w:pStyle w:val="TableParagraph"/>
              <w:ind w:left="7"/>
              <w:jc w:val="center"/>
              <w:rPr>
                <w:sz w:val="20"/>
              </w:rPr>
            </w:pPr>
            <w:r>
              <w:rPr>
                <w:spacing w:val="-2"/>
                <w:sz w:val="20"/>
              </w:rPr>
              <w:t>39.65</w:t>
            </w:r>
          </w:p>
        </w:tc>
        <w:tc>
          <w:tcPr>
            <w:tcW w:w="1841" w:type="dxa"/>
          </w:tcPr>
          <w:p>
            <w:pPr>
              <w:pStyle w:val="TableParagraph"/>
              <w:ind w:left="6"/>
              <w:jc w:val="center"/>
              <w:rPr>
                <w:sz w:val="20"/>
              </w:rPr>
            </w:pPr>
            <w:r>
              <w:rPr>
                <w:spacing w:val="-2"/>
                <w:sz w:val="20"/>
              </w:rPr>
              <w:t>37.88</w:t>
            </w:r>
          </w:p>
        </w:tc>
        <w:tc>
          <w:tcPr>
            <w:tcW w:w="1419" w:type="dxa"/>
          </w:tcPr>
          <w:p>
            <w:pPr>
              <w:pStyle w:val="TableParagraph"/>
              <w:ind w:left="7" w:right="2"/>
              <w:jc w:val="center"/>
              <w:rPr>
                <w:sz w:val="20"/>
              </w:rPr>
            </w:pPr>
            <w:r>
              <w:rPr>
                <w:spacing w:val="-2"/>
                <w:sz w:val="20"/>
              </w:rPr>
              <w:t>16.05</w:t>
            </w:r>
          </w:p>
        </w:tc>
        <w:tc>
          <w:tcPr>
            <w:tcW w:w="1702" w:type="dxa"/>
          </w:tcPr>
          <w:p>
            <w:pPr>
              <w:pStyle w:val="TableParagraph"/>
              <w:ind w:left="4"/>
              <w:jc w:val="center"/>
              <w:rPr>
                <w:sz w:val="20"/>
              </w:rPr>
            </w:pPr>
            <w:r>
              <w:rPr>
                <w:spacing w:val="-2"/>
                <w:sz w:val="20"/>
              </w:rPr>
              <w:t>38.47</w:t>
            </w:r>
          </w:p>
        </w:tc>
        <w:tc>
          <w:tcPr>
            <w:tcW w:w="2268" w:type="dxa"/>
          </w:tcPr>
          <w:p>
            <w:pPr>
              <w:pStyle w:val="TableParagraph"/>
              <w:ind w:left="3" w:right="3"/>
              <w:jc w:val="center"/>
              <w:rPr>
                <w:sz w:val="20"/>
              </w:rPr>
            </w:pPr>
            <w:r>
              <w:rPr>
                <w:spacing w:val="-2"/>
                <w:sz w:val="20"/>
              </w:rPr>
              <w:t>45.48</w:t>
            </w:r>
          </w:p>
        </w:tc>
      </w:tr>
      <w:tr>
        <w:trPr>
          <w:trHeight w:val="302" w:hRule="atLeast"/>
        </w:trPr>
        <w:tc>
          <w:tcPr>
            <w:tcW w:w="460" w:type="dxa"/>
          </w:tcPr>
          <w:p>
            <w:pPr>
              <w:pStyle w:val="TableParagraph"/>
              <w:spacing w:before="2"/>
              <w:ind w:right="30"/>
              <w:jc w:val="center"/>
              <w:rPr>
                <w:sz w:val="20"/>
              </w:rPr>
            </w:pPr>
            <w:r>
              <w:rPr>
                <w:spacing w:val="-5"/>
                <w:sz w:val="20"/>
              </w:rPr>
              <w:t>10</w:t>
            </w:r>
          </w:p>
        </w:tc>
        <w:tc>
          <w:tcPr>
            <w:tcW w:w="1660" w:type="dxa"/>
          </w:tcPr>
          <w:p>
            <w:pPr>
              <w:pStyle w:val="TableParagraph"/>
              <w:spacing w:before="2"/>
              <w:ind w:left="4"/>
              <w:jc w:val="center"/>
              <w:rPr>
                <w:sz w:val="20"/>
              </w:rPr>
            </w:pPr>
            <w:r>
              <w:rPr>
                <w:spacing w:val="-4"/>
                <w:sz w:val="20"/>
              </w:rPr>
              <w:t>9.64</w:t>
            </w:r>
          </w:p>
        </w:tc>
        <w:tc>
          <w:tcPr>
            <w:tcW w:w="1419" w:type="dxa"/>
          </w:tcPr>
          <w:p>
            <w:pPr>
              <w:pStyle w:val="TableParagraph"/>
              <w:spacing w:before="2"/>
              <w:ind w:left="7"/>
              <w:jc w:val="center"/>
              <w:rPr>
                <w:sz w:val="20"/>
              </w:rPr>
            </w:pPr>
            <w:r>
              <w:rPr>
                <w:spacing w:val="-2"/>
                <w:sz w:val="20"/>
              </w:rPr>
              <w:t>31.77</w:t>
            </w:r>
          </w:p>
        </w:tc>
        <w:tc>
          <w:tcPr>
            <w:tcW w:w="1841" w:type="dxa"/>
          </w:tcPr>
          <w:p>
            <w:pPr>
              <w:pStyle w:val="TableParagraph"/>
              <w:spacing w:before="2"/>
              <w:ind w:left="6"/>
              <w:jc w:val="center"/>
              <w:rPr>
                <w:sz w:val="20"/>
              </w:rPr>
            </w:pPr>
            <w:r>
              <w:rPr>
                <w:spacing w:val="-2"/>
                <w:sz w:val="20"/>
              </w:rPr>
              <w:t>58.59</w:t>
            </w:r>
          </w:p>
        </w:tc>
        <w:tc>
          <w:tcPr>
            <w:tcW w:w="1419" w:type="dxa"/>
          </w:tcPr>
          <w:p>
            <w:pPr>
              <w:pStyle w:val="TableParagraph"/>
              <w:spacing w:before="2"/>
              <w:ind w:left="7" w:right="2"/>
              <w:jc w:val="center"/>
              <w:rPr>
                <w:sz w:val="20"/>
              </w:rPr>
            </w:pPr>
            <w:r>
              <w:rPr>
                <w:spacing w:val="-2"/>
                <w:sz w:val="20"/>
              </w:rPr>
              <w:t>10.77</w:t>
            </w:r>
          </w:p>
        </w:tc>
        <w:tc>
          <w:tcPr>
            <w:tcW w:w="1702" w:type="dxa"/>
          </w:tcPr>
          <w:p>
            <w:pPr>
              <w:pStyle w:val="TableParagraph"/>
              <w:spacing w:before="2"/>
              <w:ind w:left="4"/>
              <w:jc w:val="center"/>
              <w:rPr>
                <w:sz w:val="20"/>
              </w:rPr>
            </w:pPr>
            <w:r>
              <w:rPr>
                <w:spacing w:val="-2"/>
                <w:sz w:val="20"/>
              </w:rPr>
              <w:t>47.97</w:t>
            </w:r>
          </w:p>
        </w:tc>
        <w:tc>
          <w:tcPr>
            <w:tcW w:w="2268" w:type="dxa"/>
          </w:tcPr>
          <w:p>
            <w:pPr>
              <w:pStyle w:val="TableParagraph"/>
              <w:spacing w:before="2"/>
              <w:ind w:left="3" w:right="3"/>
              <w:jc w:val="center"/>
              <w:rPr>
                <w:sz w:val="20"/>
              </w:rPr>
            </w:pPr>
            <w:r>
              <w:rPr>
                <w:spacing w:val="-2"/>
                <w:sz w:val="20"/>
              </w:rPr>
              <w:t>41.26</w:t>
            </w:r>
          </w:p>
        </w:tc>
      </w:tr>
      <w:tr>
        <w:trPr>
          <w:trHeight w:val="299" w:hRule="atLeast"/>
        </w:trPr>
        <w:tc>
          <w:tcPr>
            <w:tcW w:w="460" w:type="dxa"/>
          </w:tcPr>
          <w:p>
            <w:pPr>
              <w:pStyle w:val="TableParagraph"/>
              <w:ind w:right="30"/>
              <w:jc w:val="center"/>
              <w:rPr>
                <w:sz w:val="20"/>
              </w:rPr>
            </w:pPr>
            <w:r>
              <w:rPr>
                <w:spacing w:val="-5"/>
                <w:sz w:val="20"/>
              </w:rPr>
              <w:t>11</w:t>
            </w:r>
          </w:p>
        </w:tc>
        <w:tc>
          <w:tcPr>
            <w:tcW w:w="1660" w:type="dxa"/>
          </w:tcPr>
          <w:p>
            <w:pPr>
              <w:pStyle w:val="TableParagraph"/>
              <w:ind w:left="4"/>
              <w:jc w:val="center"/>
              <w:rPr>
                <w:sz w:val="20"/>
              </w:rPr>
            </w:pPr>
            <w:r>
              <w:rPr>
                <w:spacing w:val="-4"/>
                <w:sz w:val="20"/>
              </w:rPr>
              <w:t>9.32</w:t>
            </w:r>
          </w:p>
        </w:tc>
        <w:tc>
          <w:tcPr>
            <w:tcW w:w="1419" w:type="dxa"/>
          </w:tcPr>
          <w:p>
            <w:pPr>
              <w:pStyle w:val="TableParagraph"/>
              <w:ind w:left="7"/>
              <w:jc w:val="center"/>
              <w:rPr>
                <w:sz w:val="20"/>
              </w:rPr>
            </w:pPr>
            <w:r>
              <w:rPr>
                <w:spacing w:val="-4"/>
                <w:sz w:val="20"/>
              </w:rPr>
              <w:t>7.15</w:t>
            </w:r>
          </w:p>
        </w:tc>
        <w:tc>
          <w:tcPr>
            <w:tcW w:w="1841" w:type="dxa"/>
          </w:tcPr>
          <w:p>
            <w:pPr>
              <w:pStyle w:val="TableParagraph"/>
              <w:ind w:left="6"/>
              <w:jc w:val="center"/>
              <w:rPr>
                <w:sz w:val="20"/>
              </w:rPr>
            </w:pPr>
            <w:r>
              <w:rPr>
                <w:spacing w:val="-2"/>
                <w:sz w:val="20"/>
              </w:rPr>
              <w:t>83.53</w:t>
            </w:r>
          </w:p>
        </w:tc>
        <w:tc>
          <w:tcPr>
            <w:tcW w:w="1419" w:type="dxa"/>
          </w:tcPr>
          <w:p>
            <w:pPr>
              <w:pStyle w:val="TableParagraph"/>
              <w:ind w:left="7" w:right="2"/>
              <w:jc w:val="center"/>
              <w:rPr>
                <w:sz w:val="20"/>
              </w:rPr>
            </w:pPr>
            <w:r>
              <w:rPr>
                <w:spacing w:val="-4"/>
                <w:sz w:val="20"/>
              </w:rPr>
              <w:t>9.09</w:t>
            </w:r>
          </w:p>
        </w:tc>
        <w:tc>
          <w:tcPr>
            <w:tcW w:w="1702" w:type="dxa"/>
          </w:tcPr>
          <w:p>
            <w:pPr>
              <w:pStyle w:val="TableParagraph"/>
              <w:ind w:left="4"/>
              <w:jc w:val="center"/>
              <w:rPr>
                <w:sz w:val="20"/>
              </w:rPr>
            </w:pPr>
            <w:r>
              <w:rPr>
                <w:spacing w:val="-4"/>
                <w:sz w:val="20"/>
              </w:rPr>
              <w:t>0.51</w:t>
            </w:r>
          </w:p>
        </w:tc>
        <w:tc>
          <w:tcPr>
            <w:tcW w:w="2268" w:type="dxa"/>
          </w:tcPr>
          <w:p>
            <w:pPr>
              <w:pStyle w:val="TableParagraph"/>
              <w:ind w:left="2" w:right="3"/>
              <w:jc w:val="center"/>
              <w:rPr>
                <w:sz w:val="20"/>
              </w:rPr>
            </w:pPr>
            <w:r>
              <w:rPr>
                <w:spacing w:val="-2"/>
                <w:sz w:val="20"/>
              </w:rPr>
              <w:t>90.40</w:t>
            </w:r>
          </w:p>
        </w:tc>
      </w:tr>
      <w:tr>
        <w:trPr>
          <w:trHeight w:val="299" w:hRule="atLeast"/>
        </w:trPr>
        <w:tc>
          <w:tcPr>
            <w:tcW w:w="460" w:type="dxa"/>
          </w:tcPr>
          <w:p>
            <w:pPr>
              <w:pStyle w:val="TableParagraph"/>
              <w:ind w:right="30"/>
              <w:jc w:val="center"/>
              <w:rPr>
                <w:sz w:val="20"/>
              </w:rPr>
            </w:pPr>
            <w:r>
              <w:rPr>
                <w:spacing w:val="-5"/>
                <w:sz w:val="20"/>
              </w:rPr>
              <w:t>12</w:t>
            </w:r>
          </w:p>
        </w:tc>
        <w:tc>
          <w:tcPr>
            <w:tcW w:w="1660" w:type="dxa"/>
          </w:tcPr>
          <w:p>
            <w:pPr>
              <w:pStyle w:val="TableParagraph"/>
              <w:ind w:left="4"/>
              <w:jc w:val="center"/>
              <w:rPr>
                <w:sz w:val="20"/>
              </w:rPr>
            </w:pPr>
            <w:r>
              <w:rPr>
                <w:spacing w:val="-4"/>
                <w:sz w:val="20"/>
              </w:rPr>
              <w:t>0.52</w:t>
            </w:r>
          </w:p>
        </w:tc>
        <w:tc>
          <w:tcPr>
            <w:tcW w:w="1419" w:type="dxa"/>
          </w:tcPr>
          <w:p>
            <w:pPr>
              <w:pStyle w:val="TableParagraph"/>
              <w:ind w:left="7"/>
              <w:jc w:val="center"/>
              <w:rPr>
                <w:sz w:val="20"/>
              </w:rPr>
            </w:pPr>
            <w:r>
              <w:rPr>
                <w:spacing w:val="-2"/>
                <w:sz w:val="20"/>
              </w:rPr>
              <w:t>13.17</w:t>
            </w:r>
          </w:p>
        </w:tc>
        <w:tc>
          <w:tcPr>
            <w:tcW w:w="1841" w:type="dxa"/>
          </w:tcPr>
          <w:p>
            <w:pPr>
              <w:pStyle w:val="TableParagraph"/>
              <w:ind w:left="6"/>
              <w:jc w:val="center"/>
              <w:rPr>
                <w:sz w:val="20"/>
              </w:rPr>
            </w:pPr>
            <w:r>
              <w:rPr>
                <w:spacing w:val="-2"/>
                <w:sz w:val="20"/>
              </w:rPr>
              <w:t>86.31</w:t>
            </w:r>
          </w:p>
        </w:tc>
        <w:tc>
          <w:tcPr>
            <w:tcW w:w="1419" w:type="dxa"/>
          </w:tcPr>
          <w:p>
            <w:pPr>
              <w:pStyle w:val="TableParagraph"/>
              <w:ind w:left="7" w:right="2"/>
              <w:jc w:val="center"/>
              <w:rPr>
                <w:sz w:val="20"/>
              </w:rPr>
            </w:pPr>
            <w:r>
              <w:rPr>
                <w:spacing w:val="-4"/>
                <w:sz w:val="20"/>
              </w:rPr>
              <w:t>0.44</w:t>
            </w:r>
          </w:p>
        </w:tc>
        <w:tc>
          <w:tcPr>
            <w:tcW w:w="1702" w:type="dxa"/>
          </w:tcPr>
          <w:p>
            <w:pPr>
              <w:pStyle w:val="TableParagraph"/>
              <w:ind w:left="4"/>
              <w:jc w:val="center"/>
              <w:rPr>
                <w:sz w:val="20"/>
              </w:rPr>
            </w:pPr>
            <w:r>
              <w:rPr>
                <w:spacing w:val="-4"/>
                <w:sz w:val="20"/>
              </w:rPr>
              <w:t>9.54</w:t>
            </w:r>
          </w:p>
        </w:tc>
        <w:tc>
          <w:tcPr>
            <w:tcW w:w="2268" w:type="dxa"/>
          </w:tcPr>
          <w:p>
            <w:pPr>
              <w:pStyle w:val="TableParagraph"/>
              <w:ind w:left="3" w:right="3"/>
              <w:jc w:val="center"/>
              <w:rPr>
                <w:sz w:val="20"/>
              </w:rPr>
            </w:pPr>
            <w:r>
              <w:rPr>
                <w:spacing w:val="-2"/>
                <w:sz w:val="20"/>
              </w:rPr>
              <w:t>90.02</w:t>
            </w:r>
          </w:p>
        </w:tc>
      </w:tr>
      <w:tr>
        <w:trPr>
          <w:trHeight w:val="299" w:hRule="atLeast"/>
        </w:trPr>
        <w:tc>
          <w:tcPr>
            <w:tcW w:w="460" w:type="dxa"/>
          </w:tcPr>
          <w:p>
            <w:pPr>
              <w:pStyle w:val="TableParagraph"/>
              <w:ind w:right="30"/>
              <w:jc w:val="center"/>
              <w:rPr>
                <w:sz w:val="20"/>
              </w:rPr>
            </w:pPr>
            <w:r>
              <w:rPr>
                <w:spacing w:val="-5"/>
                <w:sz w:val="20"/>
              </w:rPr>
              <w:t>13</w:t>
            </w:r>
          </w:p>
        </w:tc>
        <w:tc>
          <w:tcPr>
            <w:tcW w:w="1660" w:type="dxa"/>
          </w:tcPr>
          <w:p>
            <w:pPr>
              <w:pStyle w:val="TableParagraph"/>
              <w:ind w:left="4"/>
              <w:jc w:val="center"/>
              <w:rPr>
                <w:sz w:val="20"/>
              </w:rPr>
            </w:pPr>
            <w:r>
              <w:rPr>
                <w:spacing w:val="-4"/>
                <w:sz w:val="20"/>
              </w:rPr>
              <w:t>0.96</w:t>
            </w:r>
          </w:p>
        </w:tc>
        <w:tc>
          <w:tcPr>
            <w:tcW w:w="1419" w:type="dxa"/>
          </w:tcPr>
          <w:p>
            <w:pPr>
              <w:pStyle w:val="TableParagraph"/>
              <w:ind w:left="7"/>
              <w:jc w:val="center"/>
              <w:rPr>
                <w:sz w:val="20"/>
              </w:rPr>
            </w:pPr>
            <w:r>
              <w:rPr>
                <w:spacing w:val="-4"/>
                <w:sz w:val="20"/>
              </w:rPr>
              <w:t>2.03</w:t>
            </w:r>
          </w:p>
        </w:tc>
        <w:tc>
          <w:tcPr>
            <w:tcW w:w="1841" w:type="dxa"/>
          </w:tcPr>
          <w:p>
            <w:pPr>
              <w:pStyle w:val="TableParagraph"/>
              <w:ind w:left="6"/>
              <w:jc w:val="center"/>
              <w:rPr>
                <w:sz w:val="20"/>
              </w:rPr>
            </w:pPr>
            <w:r>
              <w:rPr>
                <w:spacing w:val="-2"/>
                <w:sz w:val="20"/>
              </w:rPr>
              <w:t>97.01</w:t>
            </w:r>
          </w:p>
        </w:tc>
        <w:tc>
          <w:tcPr>
            <w:tcW w:w="1419" w:type="dxa"/>
          </w:tcPr>
          <w:p>
            <w:pPr>
              <w:pStyle w:val="TableParagraph"/>
              <w:ind w:left="7" w:right="2"/>
              <w:jc w:val="center"/>
              <w:rPr>
                <w:sz w:val="20"/>
              </w:rPr>
            </w:pPr>
            <w:r>
              <w:rPr>
                <w:spacing w:val="-4"/>
                <w:sz w:val="20"/>
              </w:rPr>
              <w:t>0.89</w:t>
            </w:r>
          </w:p>
        </w:tc>
        <w:tc>
          <w:tcPr>
            <w:tcW w:w="1702" w:type="dxa"/>
          </w:tcPr>
          <w:p>
            <w:pPr>
              <w:pStyle w:val="TableParagraph"/>
              <w:ind w:left="4"/>
              <w:jc w:val="center"/>
              <w:rPr>
                <w:sz w:val="20"/>
              </w:rPr>
            </w:pPr>
            <w:r>
              <w:rPr>
                <w:spacing w:val="-4"/>
                <w:sz w:val="20"/>
              </w:rPr>
              <w:t>8.11</w:t>
            </w:r>
          </w:p>
        </w:tc>
        <w:tc>
          <w:tcPr>
            <w:tcW w:w="2268" w:type="dxa"/>
          </w:tcPr>
          <w:p>
            <w:pPr>
              <w:pStyle w:val="TableParagraph"/>
              <w:ind w:left="2" w:right="3"/>
              <w:jc w:val="center"/>
              <w:rPr>
                <w:sz w:val="20"/>
              </w:rPr>
            </w:pPr>
            <w:r>
              <w:rPr>
                <w:spacing w:val="-2"/>
                <w:sz w:val="20"/>
              </w:rPr>
              <w:t>91.00</w:t>
            </w:r>
          </w:p>
        </w:tc>
      </w:tr>
      <w:tr>
        <w:trPr>
          <w:trHeight w:val="299" w:hRule="atLeast"/>
        </w:trPr>
        <w:tc>
          <w:tcPr>
            <w:tcW w:w="460" w:type="dxa"/>
          </w:tcPr>
          <w:p>
            <w:pPr>
              <w:pStyle w:val="TableParagraph"/>
              <w:ind w:right="30"/>
              <w:jc w:val="center"/>
              <w:rPr>
                <w:sz w:val="20"/>
              </w:rPr>
            </w:pPr>
            <w:r>
              <w:rPr>
                <w:spacing w:val="-5"/>
                <w:sz w:val="20"/>
              </w:rPr>
              <w:t>14</w:t>
            </w:r>
          </w:p>
        </w:tc>
        <w:tc>
          <w:tcPr>
            <w:tcW w:w="1660" w:type="dxa"/>
          </w:tcPr>
          <w:p>
            <w:pPr>
              <w:pStyle w:val="TableParagraph"/>
              <w:ind w:left="4"/>
              <w:jc w:val="center"/>
              <w:rPr>
                <w:sz w:val="20"/>
              </w:rPr>
            </w:pPr>
            <w:r>
              <w:rPr>
                <w:spacing w:val="-2"/>
                <w:sz w:val="20"/>
              </w:rPr>
              <w:t>17.82</w:t>
            </w:r>
          </w:p>
        </w:tc>
        <w:tc>
          <w:tcPr>
            <w:tcW w:w="1419" w:type="dxa"/>
          </w:tcPr>
          <w:p>
            <w:pPr>
              <w:pStyle w:val="TableParagraph"/>
              <w:ind w:left="7" w:right="1"/>
              <w:jc w:val="center"/>
              <w:rPr>
                <w:sz w:val="20"/>
              </w:rPr>
            </w:pPr>
            <w:r>
              <w:rPr>
                <w:spacing w:val="-4"/>
                <w:sz w:val="20"/>
              </w:rPr>
              <w:t>0.00</w:t>
            </w:r>
          </w:p>
        </w:tc>
        <w:tc>
          <w:tcPr>
            <w:tcW w:w="1841" w:type="dxa"/>
          </w:tcPr>
          <w:p>
            <w:pPr>
              <w:pStyle w:val="TableParagraph"/>
              <w:ind w:left="6"/>
              <w:jc w:val="center"/>
              <w:rPr>
                <w:sz w:val="20"/>
              </w:rPr>
            </w:pPr>
            <w:r>
              <w:rPr>
                <w:spacing w:val="-2"/>
                <w:sz w:val="20"/>
              </w:rPr>
              <w:t>82.18</w:t>
            </w:r>
          </w:p>
        </w:tc>
        <w:tc>
          <w:tcPr>
            <w:tcW w:w="1419" w:type="dxa"/>
          </w:tcPr>
          <w:p>
            <w:pPr>
              <w:pStyle w:val="TableParagraph"/>
              <w:ind w:left="7" w:right="2"/>
              <w:jc w:val="center"/>
              <w:rPr>
                <w:sz w:val="20"/>
              </w:rPr>
            </w:pPr>
            <w:r>
              <w:rPr>
                <w:spacing w:val="-2"/>
                <w:sz w:val="20"/>
              </w:rPr>
              <w:t>21.86</w:t>
            </w:r>
          </w:p>
        </w:tc>
        <w:tc>
          <w:tcPr>
            <w:tcW w:w="1702" w:type="dxa"/>
          </w:tcPr>
          <w:p>
            <w:pPr>
              <w:pStyle w:val="TableParagraph"/>
              <w:ind w:left="4" w:right="1"/>
              <w:jc w:val="center"/>
              <w:rPr>
                <w:sz w:val="20"/>
              </w:rPr>
            </w:pPr>
            <w:r>
              <w:rPr>
                <w:spacing w:val="-4"/>
                <w:sz w:val="20"/>
              </w:rPr>
              <w:t>0.00</w:t>
            </w:r>
          </w:p>
        </w:tc>
        <w:tc>
          <w:tcPr>
            <w:tcW w:w="2268" w:type="dxa"/>
          </w:tcPr>
          <w:p>
            <w:pPr>
              <w:pStyle w:val="TableParagraph"/>
              <w:ind w:left="3" w:right="3"/>
              <w:jc w:val="center"/>
              <w:rPr>
                <w:sz w:val="20"/>
              </w:rPr>
            </w:pPr>
            <w:r>
              <w:rPr>
                <w:spacing w:val="-2"/>
                <w:sz w:val="20"/>
              </w:rPr>
              <w:t>78.14</w:t>
            </w:r>
          </w:p>
        </w:tc>
      </w:tr>
      <w:tr>
        <w:trPr>
          <w:trHeight w:val="299" w:hRule="atLeast"/>
        </w:trPr>
        <w:tc>
          <w:tcPr>
            <w:tcW w:w="460" w:type="dxa"/>
          </w:tcPr>
          <w:p>
            <w:pPr>
              <w:pStyle w:val="TableParagraph"/>
              <w:ind w:right="30"/>
              <w:jc w:val="center"/>
              <w:rPr>
                <w:sz w:val="20"/>
              </w:rPr>
            </w:pPr>
            <w:r>
              <w:rPr>
                <w:spacing w:val="-5"/>
                <w:sz w:val="20"/>
              </w:rPr>
              <w:t>15</w:t>
            </w:r>
          </w:p>
        </w:tc>
        <w:tc>
          <w:tcPr>
            <w:tcW w:w="1660" w:type="dxa"/>
          </w:tcPr>
          <w:p>
            <w:pPr>
              <w:pStyle w:val="TableParagraph"/>
              <w:ind w:left="4" w:right="1"/>
              <w:jc w:val="center"/>
              <w:rPr>
                <w:sz w:val="20"/>
              </w:rPr>
            </w:pPr>
            <w:r>
              <w:rPr>
                <w:spacing w:val="-2"/>
                <w:sz w:val="20"/>
              </w:rPr>
              <w:t>27.60</w:t>
            </w:r>
          </w:p>
        </w:tc>
        <w:tc>
          <w:tcPr>
            <w:tcW w:w="1419" w:type="dxa"/>
          </w:tcPr>
          <w:p>
            <w:pPr>
              <w:pStyle w:val="TableParagraph"/>
              <w:ind w:left="7"/>
              <w:jc w:val="center"/>
              <w:rPr>
                <w:sz w:val="20"/>
              </w:rPr>
            </w:pPr>
            <w:r>
              <w:rPr>
                <w:spacing w:val="-2"/>
                <w:sz w:val="20"/>
              </w:rPr>
              <w:t>15.75</w:t>
            </w:r>
          </w:p>
        </w:tc>
        <w:tc>
          <w:tcPr>
            <w:tcW w:w="1841" w:type="dxa"/>
          </w:tcPr>
          <w:p>
            <w:pPr>
              <w:pStyle w:val="TableParagraph"/>
              <w:ind w:left="6"/>
              <w:jc w:val="center"/>
              <w:rPr>
                <w:sz w:val="20"/>
              </w:rPr>
            </w:pPr>
            <w:r>
              <w:rPr>
                <w:spacing w:val="-2"/>
                <w:sz w:val="20"/>
              </w:rPr>
              <w:t>56.65</w:t>
            </w:r>
          </w:p>
        </w:tc>
        <w:tc>
          <w:tcPr>
            <w:tcW w:w="1419" w:type="dxa"/>
          </w:tcPr>
          <w:p>
            <w:pPr>
              <w:pStyle w:val="TableParagraph"/>
              <w:ind w:left="7" w:right="2"/>
              <w:jc w:val="center"/>
              <w:rPr>
                <w:sz w:val="20"/>
              </w:rPr>
            </w:pPr>
            <w:r>
              <w:rPr>
                <w:spacing w:val="-2"/>
                <w:sz w:val="20"/>
              </w:rPr>
              <w:t>27.04</w:t>
            </w:r>
          </w:p>
        </w:tc>
        <w:tc>
          <w:tcPr>
            <w:tcW w:w="1702" w:type="dxa"/>
          </w:tcPr>
          <w:p>
            <w:pPr>
              <w:pStyle w:val="TableParagraph"/>
              <w:ind w:left="4"/>
              <w:jc w:val="center"/>
              <w:rPr>
                <w:sz w:val="20"/>
              </w:rPr>
            </w:pPr>
            <w:r>
              <w:rPr>
                <w:spacing w:val="-2"/>
                <w:sz w:val="20"/>
              </w:rPr>
              <w:t>12.89</w:t>
            </w:r>
          </w:p>
        </w:tc>
        <w:tc>
          <w:tcPr>
            <w:tcW w:w="2268" w:type="dxa"/>
          </w:tcPr>
          <w:p>
            <w:pPr>
              <w:pStyle w:val="TableParagraph"/>
              <w:ind w:left="3" w:right="3"/>
              <w:jc w:val="center"/>
              <w:rPr>
                <w:sz w:val="20"/>
              </w:rPr>
            </w:pPr>
            <w:r>
              <w:rPr>
                <w:spacing w:val="-2"/>
                <w:sz w:val="20"/>
              </w:rPr>
              <w:t>60.07</w:t>
            </w:r>
          </w:p>
        </w:tc>
      </w:tr>
      <w:tr>
        <w:trPr>
          <w:trHeight w:val="239" w:hRule="atLeast"/>
        </w:trPr>
        <w:tc>
          <w:tcPr>
            <w:tcW w:w="460" w:type="dxa"/>
            <w:vMerge w:val="restart"/>
          </w:tcPr>
          <w:p>
            <w:pPr>
              <w:pStyle w:val="TableParagraph"/>
              <w:rPr>
                <w:sz w:val="20"/>
              </w:rPr>
            </w:pPr>
          </w:p>
        </w:tc>
        <w:tc>
          <w:tcPr>
            <w:tcW w:w="1660" w:type="dxa"/>
            <w:tcBorders>
              <w:bottom w:val="nil"/>
            </w:tcBorders>
          </w:tcPr>
          <w:p>
            <w:pPr>
              <w:pStyle w:val="TableParagraph"/>
              <w:spacing w:line="217" w:lineRule="exact" w:before="2"/>
              <w:ind w:left="552"/>
              <w:rPr>
                <w:sz w:val="20"/>
              </w:rPr>
            </w:pPr>
            <w:r>
              <w:rPr>
                <w:spacing w:val="-2"/>
                <w:sz w:val="20"/>
              </w:rPr>
              <w:t>204.76</w:t>
            </w:r>
          </w:p>
        </w:tc>
        <w:tc>
          <w:tcPr>
            <w:tcW w:w="1419" w:type="dxa"/>
            <w:tcBorders>
              <w:bottom w:val="nil"/>
            </w:tcBorders>
          </w:tcPr>
          <w:p>
            <w:pPr>
              <w:pStyle w:val="TableParagraph"/>
              <w:spacing w:line="217" w:lineRule="exact" w:before="2"/>
              <w:ind w:left="433"/>
              <w:rPr>
                <w:sz w:val="20"/>
              </w:rPr>
            </w:pPr>
            <w:r>
              <w:rPr>
                <w:spacing w:val="-2"/>
                <w:sz w:val="20"/>
              </w:rPr>
              <w:t>159.87</w:t>
            </w:r>
          </w:p>
        </w:tc>
        <w:tc>
          <w:tcPr>
            <w:tcW w:w="1841" w:type="dxa"/>
            <w:tcBorders>
              <w:bottom w:val="nil"/>
            </w:tcBorders>
          </w:tcPr>
          <w:p>
            <w:pPr>
              <w:pStyle w:val="TableParagraph"/>
              <w:spacing w:line="217" w:lineRule="exact" w:before="2"/>
              <w:ind w:left="591"/>
              <w:rPr>
                <w:sz w:val="20"/>
              </w:rPr>
            </w:pPr>
            <w:r>
              <w:rPr>
                <w:spacing w:val="-2"/>
                <w:sz w:val="20"/>
              </w:rPr>
              <w:t>1135.37</w:t>
            </w:r>
          </w:p>
        </w:tc>
        <w:tc>
          <w:tcPr>
            <w:tcW w:w="1419" w:type="dxa"/>
            <w:tcBorders>
              <w:bottom w:val="nil"/>
            </w:tcBorders>
          </w:tcPr>
          <w:p>
            <w:pPr>
              <w:pStyle w:val="TableParagraph"/>
              <w:spacing w:line="217" w:lineRule="exact" w:before="2"/>
              <w:ind w:left="7" w:right="3"/>
              <w:jc w:val="center"/>
              <w:rPr>
                <w:sz w:val="20"/>
              </w:rPr>
            </w:pPr>
            <w:r>
              <w:rPr>
                <w:spacing w:val="-2"/>
                <w:sz w:val="20"/>
              </w:rPr>
              <w:t>181.3</w:t>
            </w:r>
          </w:p>
        </w:tc>
        <w:tc>
          <w:tcPr>
            <w:tcW w:w="1702" w:type="dxa"/>
            <w:tcBorders>
              <w:bottom w:val="nil"/>
            </w:tcBorders>
          </w:tcPr>
          <w:p>
            <w:pPr>
              <w:pStyle w:val="TableParagraph"/>
              <w:spacing w:line="217" w:lineRule="exact" w:before="2"/>
              <w:ind w:left="4"/>
              <w:jc w:val="center"/>
              <w:rPr>
                <w:sz w:val="20"/>
              </w:rPr>
            </w:pPr>
            <w:r>
              <w:rPr>
                <w:spacing w:val="-2"/>
                <w:sz w:val="20"/>
              </w:rPr>
              <w:t>139.69</w:t>
            </w:r>
          </w:p>
        </w:tc>
        <w:tc>
          <w:tcPr>
            <w:tcW w:w="2268" w:type="dxa"/>
            <w:tcBorders>
              <w:bottom w:val="nil"/>
            </w:tcBorders>
          </w:tcPr>
          <w:p>
            <w:pPr>
              <w:pStyle w:val="TableParagraph"/>
              <w:spacing w:line="217" w:lineRule="exact" w:before="2"/>
              <w:ind w:right="799"/>
              <w:jc w:val="right"/>
              <w:rPr>
                <w:sz w:val="20"/>
              </w:rPr>
            </w:pPr>
            <w:r>
              <w:rPr>
                <w:spacing w:val="-2"/>
                <w:sz w:val="20"/>
              </w:rPr>
              <w:t>1179.01</w:t>
            </w:r>
          </w:p>
        </w:tc>
      </w:tr>
      <w:tr>
        <w:trPr>
          <w:trHeight w:val="234" w:hRule="atLeast"/>
        </w:trPr>
        <w:tc>
          <w:tcPr>
            <w:tcW w:w="460" w:type="dxa"/>
            <w:vMerge/>
            <w:tcBorders>
              <w:top w:val="nil"/>
            </w:tcBorders>
          </w:tcPr>
          <w:p>
            <w:pPr>
              <w:rPr>
                <w:sz w:val="2"/>
                <w:szCs w:val="2"/>
              </w:rPr>
            </w:pPr>
          </w:p>
        </w:tc>
        <w:tc>
          <w:tcPr>
            <w:tcW w:w="1660" w:type="dxa"/>
            <w:tcBorders>
              <w:top w:val="nil"/>
              <w:bottom w:val="nil"/>
            </w:tcBorders>
          </w:tcPr>
          <w:p>
            <w:pPr>
              <w:pStyle w:val="TableParagraph"/>
              <w:spacing w:line="215" w:lineRule="exact"/>
              <w:ind w:left="197"/>
              <w:rPr>
                <w:sz w:val="20"/>
              </w:rPr>
            </w:pPr>
            <w:r>
              <w:rPr>
                <w:sz w:val="20"/>
              </w:rPr>
              <w:t>Среднее</w:t>
            </w:r>
            <w:r>
              <w:rPr>
                <w:spacing w:val="-10"/>
                <w:sz w:val="20"/>
              </w:rPr>
              <w:t> </w:t>
            </w:r>
            <w:r>
              <w:rPr>
                <w:spacing w:val="-2"/>
                <w:sz w:val="20"/>
              </w:rPr>
              <w:t>13.65,</w:t>
            </w:r>
          </w:p>
        </w:tc>
        <w:tc>
          <w:tcPr>
            <w:tcW w:w="1419" w:type="dxa"/>
            <w:tcBorders>
              <w:top w:val="nil"/>
              <w:bottom w:val="nil"/>
            </w:tcBorders>
          </w:tcPr>
          <w:p>
            <w:pPr>
              <w:pStyle w:val="TableParagraph"/>
              <w:spacing w:line="215" w:lineRule="exact"/>
              <w:ind w:right="347"/>
              <w:jc w:val="right"/>
              <w:rPr>
                <w:sz w:val="20"/>
              </w:rPr>
            </w:pPr>
            <w:r>
              <w:rPr>
                <w:spacing w:val="-2"/>
                <w:sz w:val="20"/>
              </w:rPr>
              <w:t>Среднее</w:t>
            </w:r>
          </w:p>
        </w:tc>
        <w:tc>
          <w:tcPr>
            <w:tcW w:w="1841" w:type="dxa"/>
            <w:tcBorders>
              <w:top w:val="nil"/>
              <w:bottom w:val="nil"/>
            </w:tcBorders>
          </w:tcPr>
          <w:p>
            <w:pPr>
              <w:pStyle w:val="TableParagraph"/>
              <w:spacing w:line="215" w:lineRule="exact"/>
              <w:ind w:left="312"/>
              <w:rPr>
                <w:sz w:val="20"/>
              </w:rPr>
            </w:pPr>
            <w:r>
              <w:rPr>
                <w:sz w:val="20"/>
              </w:rPr>
              <w:t>Среднее</w:t>
            </w:r>
            <w:r>
              <w:rPr>
                <w:spacing w:val="-10"/>
                <w:sz w:val="20"/>
              </w:rPr>
              <w:t> </w:t>
            </w:r>
            <w:r>
              <w:rPr>
                <w:spacing w:val="-2"/>
                <w:sz w:val="20"/>
              </w:rPr>
              <w:t>75.69</w:t>
            </w:r>
          </w:p>
        </w:tc>
        <w:tc>
          <w:tcPr>
            <w:tcW w:w="1419" w:type="dxa"/>
            <w:tcBorders>
              <w:top w:val="nil"/>
              <w:bottom w:val="nil"/>
            </w:tcBorders>
          </w:tcPr>
          <w:p>
            <w:pPr>
              <w:pStyle w:val="TableParagraph"/>
              <w:spacing w:line="215" w:lineRule="exact"/>
              <w:ind w:right="347"/>
              <w:jc w:val="right"/>
              <w:rPr>
                <w:sz w:val="20"/>
              </w:rPr>
            </w:pPr>
            <w:r>
              <w:rPr>
                <w:spacing w:val="-2"/>
                <w:sz w:val="20"/>
              </w:rPr>
              <w:t>Среднее</w:t>
            </w:r>
          </w:p>
        </w:tc>
        <w:tc>
          <w:tcPr>
            <w:tcW w:w="1702" w:type="dxa"/>
            <w:tcBorders>
              <w:top w:val="nil"/>
              <w:bottom w:val="nil"/>
            </w:tcBorders>
          </w:tcPr>
          <w:p>
            <w:pPr>
              <w:pStyle w:val="TableParagraph"/>
              <w:spacing w:line="215" w:lineRule="exact"/>
              <w:ind w:right="489"/>
              <w:jc w:val="right"/>
              <w:rPr>
                <w:sz w:val="20"/>
              </w:rPr>
            </w:pPr>
            <w:r>
              <w:rPr>
                <w:spacing w:val="-2"/>
                <w:sz w:val="20"/>
              </w:rPr>
              <w:t>Среднее</w:t>
            </w:r>
          </w:p>
        </w:tc>
        <w:tc>
          <w:tcPr>
            <w:tcW w:w="2268" w:type="dxa"/>
            <w:tcBorders>
              <w:top w:val="nil"/>
              <w:bottom w:val="nil"/>
            </w:tcBorders>
          </w:tcPr>
          <w:p>
            <w:pPr>
              <w:pStyle w:val="TableParagraph"/>
              <w:spacing w:line="215" w:lineRule="exact"/>
              <w:ind w:right="775"/>
              <w:jc w:val="right"/>
              <w:rPr>
                <w:sz w:val="20"/>
              </w:rPr>
            </w:pPr>
            <w:r>
              <w:rPr>
                <w:spacing w:val="-2"/>
                <w:sz w:val="20"/>
              </w:rPr>
              <w:t>Среднее</w:t>
            </w:r>
          </w:p>
        </w:tc>
      </w:tr>
      <w:tr>
        <w:trPr>
          <w:trHeight w:val="234" w:hRule="atLeast"/>
        </w:trPr>
        <w:tc>
          <w:tcPr>
            <w:tcW w:w="460" w:type="dxa"/>
            <w:vMerge/>
            <w:tcBorders>
              <w:top w:val="nil"/>
            </w:tcBorders>
          </w:tcPr>
          <w:p>
            <w:pPr>
              <w:rPr>
                <w:sz w:val="2"/>
                <w:szCs w:val="2"/>
              </w:rPr>
            </w:pPr>
          </w:p>
        </w:tc>
        <w:tc>
          <w:tcPr>
            <w:tcW w:w="1660" w:type="dxa"/>
            <w:tcBorders>
              <w:top w:val="nil"/>
              <w:bottom w:val="nil"/>
            </w:tcBorders>
          </w:tcPr>
          <w:p>
            <w:pPr>
              <w:pStyle w:val="TableParagraph"/>
              <w:spacing w:line="215" w:lineRule="exact"/>
              <w:ind w:left="478"/>
              <w:rPr>
                <w:sz w:val="20"/>
              </w:rPr>
            </w:pPr>
            <w:r>
              <w:rPr>
                <w:spacing w:val="-2"/>
                <w:sz w:val="20"/>
              </w:rPr>
              <w:t>SE=3.11</w:t>
            </w:r>
          </w:p>
        </w:tc>
        <w:tc>
          <w:tcPr>
            <w:tcW w:w="1419" w:type="dxa"/>
            <w:tcBorders>
              <w:top w:val="nil"/>
              <w:bottom w:val="nil"/>
            </w:tcBorders>
          </w:tcPr>
          <w:p>
            <w:pPr>
              <w:pStyle w:val="TableParagraph"/>
              <w:spacing w:line="215" w:lineRule="exact"/>
              <w:ind w:left="7"/>
              <w:jc w:val="center"/>
              <w:rPr>
                <w:sz w:val="20"/>
              </w:rPr>
            </w:pPr>
            <w:r>
              <w:rPr>
                <w:spacing w:val="-2"/>
                <w:sz w:val="20"/>
              </w:rPr>
              <w:t>10.66</w:t>
            </w:r>
          </w:p>
        </w:tc>
        <w:tc>
          <w:tcPr>
            <w:tcW w:w="1841" w:type="dxa"/>
            <w:tcBorders>
              <w:top w:val="nil"/>
              <w:bottom w:val="nil"/>
            </w:tcBorders>
          </w:tcPr>
          <w:p>
            <w:pPr>
              <w:pStyle w:val="TableParagraph"/>
              <w:rPr>
                <w:sz w:val="16"/>
              </w:rPr>
            </w:pPr>
          </w:p>
        </w:tc>
        <w:tc>
          <w:tcPr>
            <w:tcW w:w="1419" w:type="dxa"/>
            <w:tcBorders>
              <w:top w:val="nil"/>
              <w:bottom w:val="nil"/>
            </w:tcBorders>
          </w:tcPr>
          <w:p>
            <w:pPr>
              <w:pStyle w:val="TableParagraph"/>
              <w:spacing w:line="215" w:lineRule="exact"/>
              <w:ind w:left="7" w:right="2"/>
              <w:jc w:val="center"/>
              <w:rPr>
                <w:sz w:val="20"/>
              </w:rPr>
            </w:pPr>
            <w:r>
              <w:rPr>
                <w:spacing w:val="-2"/>
                <w:sz w:val="20"/>
              </w:rPr>
              <w:t>12.09</w:t>
            </w:r>
          </w:p>
        </w:tc>
        <w:tc>
          <w:tcPr>
            <w:tcW w:w="1702" w:type="dxa"/>
            <w:tcBorders>
              <w:top w:val="nil"/>
              <w:bottom w:val="nil"/>
            </w:tcBorders>
          </w:tcPr>
          <w:p>
            <w:pPr>
              <w:pStyle w:val="TableParagraph"/>
              <w:spacing w:line="215" w:lineRule="exact"/>
              <w:ind w:left="4"/>
              <w:jc w:val="center"/>
              <w:rPr>
                <w:sz w:val="20"/>
              </w:rPr>
            </w:pPr>
            <w:r>
              <w:rPr>
                <w:spacing w:val="-4"/>
                <w:sz w:val="20"/>
              </w:rPr>
              <w:t>9.31</w:t>
            </w:r>
          </w:p>
        </w:tc>
        <w:tc>
          <w:tcPr>
            <w:tcW w:w="2268" w:type="dxa"/>
            <w:tcBorders>
              <w:top w:val="nil"/>
              <w:bottom w:val="nil"/>
            </w:tcBorders>
          </w:tcPr>
          <w:p>
            <w:pPr>
              <w:pStyle w:val="TableParagraph"/>
              <w:spacing w:line="215" w:lineRule="exact"/>
              <w:ind w:left="2" w:right="3"/>
              <w:jc w:val="center"/>
              <w:rPr>
                <w:sz w:val="20"/>
              </w:rPr>
            </w:pPr>
            <w:r>
              <w:rPr>
                <w:spacing w:val="-4"/>
                <w:sz w:val="20"/>
              </w:rPr>
              <w:t>78.6</w:t>
            </w:r>
          </w:p>
        </w:tc>
      </w:tr>
      <w:tr>
        <w:trPr>
          <w:trHeight w:val="537" w:hRule="atLeast"/>
        </w:trPr>
        <w:tc>
          <w:tcPr>
            <w:tcW w:w="460" w:type="dxa"/>
            <w:vMerge/>
            <w:tcBorders>
              <w:top w:val="nil"/>
            </w:tcBorders>
          </w:tcPr>
          <w:p>
            <w:pPr>
              <w:rPr>
                <w:sz w:val="2"/>
                <w:szCs w:val="2"/>
              </w:rPr>
            </w:pPr>
          </w:p>
        </w:tc>
        <w:tc>
          <w:tcPr>
            <w:tcW w:w="1660" w:type="dxa"/>
            <w:tcBorders>
              <w:top w:val="nil"/>
            </w:tcBorders>
          </w:tcPr>
          <w:p>
            <w:pPr>
              <w:pStyle w:val="TableParagraph"/>
              <w:rPr>
                <w:sz w:val="20"/>
              </w:rPr>
            </w:pPr>
          </w:p>
        </w:tc>
        <w:tc>
          <w:tcPr>
            <w:tcW w:w="1419" w:type="dxa"/>
            <w:tcBorders>
              <w:top w:val="nil"/>
            </w:tcBorders>
          </w:tcPr>
          <w:p>
            <w:pPr>
              <w:pStyle w:val="TableParagraph"/>
              <w:spacing w:line="228" w:lineRule="exact"/>
              <w:ind w:right="349"/>
              <w:jc w:val="right"/>
              <w:rPr>
                <w:sz w:val="20"/>
              </w:rPr>
            </w:pPr>
            <w:r>
              <w:rPr>
                <w:spacing w:val="-2"/>
                <w:sz w:val="20"/>
              </w:rPr>
              <w:t>SE=3.01</w:t>
            </w:r>
          </w:p>
        </w:tc>
        <w:tc>
          <w:tcPr>
            <w:tcW w:w="1841" w:type="dxa"/>
            <w:tcBorders>
              <w:top w:val="nil"/>
            </w:tcBorders>
          </w:tcPr>
          <w:p>
            <w:pPr>
              <w:pStyle w:val="TableParagraph"/>
              <w:spacing w:line="228" w:lineRule="exact"/>
              <w:ind w:left="569"/>
              <w:rPr>
                <w:sz w:val="20"/>
              </w:rPr>
            </w:pPr>
            <w:r>
              <w:rPr>
                <w:spacing w:val="-2"/>
                <w:sz w:val="20"/>
              </w:rPr>
              <w:t>SE=5,27</w:t>
            </w:r>
          </w:p>
        </w:tc>
        <w:tc>
          <w:tcPr>
            <w:tcW w:w="1419" w:type="dxa"/>
            <w:tcBorders>
              <w:top w:val="nil"/>
            </w:tcBorders>
          </w:tcPr>
          <w:p>
            <w:pPr>
              <w:pStyle w:val="TableParagraph"/>
              <w:spacing w:line="228" w:lineRule="exact"/>
              <w:ind w:right="350"/>
              <w:jc w:val="right"/>
              <w:rPr>
                <w:sz w:val="20"/>
              </w:rPr>
            </w:pPr>
            <w:r>
              <w:rPr>
                <w:spacing w:val="-2"/>
                <w:sz w:val="20"/>
              </w:rPr>
              <w:t>SE=2.62</w:t>
            </w:r>
          </w:p>
        </w:tc>
        <w:tc>
          <w:tcPr>
            <w:tcW w:w="1702" w:type="dxa"/>
            <w:tcBorders>
              <w:top w:val="nil"/>
            </w:tcBorders>
          </w:tcPr>
          <w:p>
            <w:pPr>
              <w:pStyle w:val="TableParagraph"/>
              <w:spacing w:line="228" w:lineRule="exact"/>
              <w:ind w:right="492"/>
              <w:jc w:val="right"/>
              <w:rPr>
                <w:sz w:val="20"/>
              </w:rPr>
            </w:pPr>
            <w:r>
              <w:rPr>
                <w:spacing w:val="-2"/>
                <w:sz w:val="20"/>
              </w:rPr>
              <w:t>SE=3.62</w:t>
            </w:r>
          </w:p>
        </w:tc>
        <w:tc>
          <w:tcPr>
            <w:tcW w:w="2268" w:type="dxa"/>
            <w:tcBorders>
              <w:top w:val="nil"/>
            </w:tcBorders>
          </w:tcPr>
          <w:p>
            <w:pPr>
              <w:pStyle w:val="TableParagraph"/>
              <w:spacing w:line="228" w:lineRule="exact"/>
              <w:ind w:right="778"/>
              <w:jc w:val="right"/>
              <w:rPr>
                <w:sz w:val="20"/>
              </w:rPr>
            </w:pPr>
            <w:r>
              <w:rPr>
                <w:spacing w:val="-2"/>
                <w:sz w:val="20"/>
              </w:rPr>
              <w:t>SE=4.75</w:t>
            </w:r>
          </w:p>
        </w:tc>
      </w:tr>
      <w:tr>
        <w:trPr>
          <w:trHeight w:val="417" w:hRule="atLeast"/>
        </w:trPr>
        <w:tc>
          <w:tcPr>
            <w:tcW w:w="460" w:type="dxa"/>
            <w:vMerge w:val="restart"/>
          </w:tcPr>
          <w:p>
            <w:pPr>
              <w:pStyle w:val="TableParagraph"/>
              <w:ind w:left="107"/>
              <w:rPr>
                <w:b/>
                <w:sz w:val="20"/>
              </w:rPr>
            </w:pPr>
            <w:r>
              <w:rPr>
                <w:b/>
                <w:spacing w:val="-10"/>
                <w:sz w:val="20"/>
              </w:rPr>
              <w:t>№</w:t>
            </w:r>
          </w:p>
        </w:tc>
        <w:tc>
          <w:tcPr>
            <w:tcW w:w="4920" w:type="dxa"/>
            <w:gridSpan w:val="3"/>
          </w:tcPr>
          <w:p>
            <w:pPr>
              <w:pStyle w:val="TableParagraph"/>
              <w:ind w:left="161"/>
              <w:rPr>
                <w:b/>
                <w:sz w:val="20"/>
              </w:rPr>
            </w:pPr>
            <w:r>
              <w:rPr>
                <w:b/>
                <w:sz w:val="20"/>
              </w:rPr>
              <w:t>Красный</w:t>
            </w:r>
            <w:r>
              <w:rPr>
                <w:b/>
                <w:spacing w:val="-5"/>
                <w:sz w:val="20"/>
              </w:rPr>
              <w:t> </w:t>
            </w:r>
            <w:r>
              <w:rPr>
                <w:b/>
                <w:sz w:val="20"/>
              </w:rPr>
              <w:t>светодиод</w:t>
            </w:r>
            <w:r>
              <w:rPr>
                <w:b/>
                <w:spacing w:val="-4"/>
                <w:sz w:val="20"/>
              </w:rPr>
              <w:t> </w:t>
            </w:r>
            <w:r>
              <w:rPr>
                <w:b/>
                <w:sz w:val="20"/>
              </w:rPr>
              <w:t>630</w:t>
            </w:r>
            <w:r>
              <w:rPr>
                <w:b/>
                <w:spacing w:val="-3"/>
                <w:sz w:val="20"/>
              </w:rPr>
              <w:t> </w:t>
            </w:r>
            <w:r>
              <w:rPr>
                <w:b/>
                <w:sz w:val="20"/>
              </w:rPr>
              <w:t>нм</w:t>
            </w:r>
            <w:r>
              <w:rPr>
                <w:b/>
                <w:spacing w:val="-5"/>
                <w:sz w:val="20"/>
              </w:rPr>
              <w:t> </w:t>
            </w:r>
            <w:r>
              <w:rPr>
                <w:b/>
                <w:sz w:val="20"/>
              </w:rPr>
              <w:t>+</w:t>
            </w:r>
            <w:r>
              <w:rPr>
                <w:b/>
                <w:spacing w:val="-5"/>
                <w:sz w:val="20"/>
              </w:rPr>
              <w:t> </w:t>
            </w:r>
            <w:r>
              <w:rPr>
                <w:b/>
                <w:sz w:val="20"/>
              </w:rPr>
              <w:t>651нм</w:t>
            </w:r>
            <w:r>
              <w:rPr>
                <w:b/>
                <w:spacing w:val="-3"/>
                <w:sz w:val="20"/>
              </w:rPr>
              <w:t> </w:t>
            </w:r>
            <w:r>
              <w:rPr>
                <w:b/>
                <w:sz w:val="20"/>
              </w:rPr>
              <w:t>лазер,</w:t>
            </w:r>
            <w:r>
              <w:rPr>
                <w:b/>
                <w:spacing w:val="-4"/>
                <w:sz w:val="20"/>
              </w:rPr>
              <w:t> </w:t>
            </w:r>
            <w:r>
              <w:rPr>
                <w:b/>
                <w:sz w:val="20"/>
              </w:rPr>
              <w:t>t=</w:t>
            </w:r>
            <w:r>
              <w:rPr>
                <w:b/>
                <w:spacing w:val="-5"/>
                <w:sz w:val="20"/>
              </w:rPr>
              <w:t> </w:t>
            </w:r>
            <w:r>
              <w:rPr>
                <w:b/>
                <w:sz w:val="20"/>
              </w:rPr>
              <w:t>5</w:t>
            </w:r>
            <w:r>
              <w:rPr>
                <w:b/>
                <w:spacing w:val="-3"/>
                <w:sz w:val="20"/>
              </w:rPr>
              <w:t> </w:t>
            </w:r>
            <w:r>
              <w:rPr>
                <w:b/>
                <w:spacing w:val="-5"/>
                <w:sz w:val="20"/>
              </w:rPr>
              <w:t>мин</w:t>
            </w:r>
          </w:p>
        </w:tc>
        <w:tc>
          <w:tcPr>
            <w:tcW w:w="5389" w:type="dxa"/>
            <w:gridSpan w:val="3"/>
          </w:tcPr>
          <w:p>
            <w:pPr>
              <w:pStyle w:val="TableParagraph"/>
              <w:ind w:left="1481"/>
              <w:rPr>
                <w:b/>
                <w:sz w:val="20"/>
              </w:rPr>
            </w:pPr>
            <w:r>
              <w:rPr>
                <w:b/>
                <w:sz w:val="20"/>
              </w:rPr>
              <w:t>Контроль</w:t>
            </w:r>
            <w:r>
              <w:rPr>
                <w:b/>
                <w:spacing w:val="-9"/>
                <w:sz w:val="20"/>
              </w:rPr>
              <w:t> </w:t>
            </w:r>
            <w:r>
              <w:rPr>
                <w:b/>
                <w:sz w:val="20"/>
              </w:rPr>
              <w:t>(темная</w:t>
            </w:r>
            <w:r>
              <w:rPr>
                <w:b/>
                <w:spacing w:val="-6"/>
                <w:sz w:val="20"/>
              </w:rPr>
              <w:t> </w:t>
            </w:r>
            <w:r>
              <w:rPr>
                <w:b/>
                <w:spacing w:val="-2"/>
                <w:sz w:val="20"/>
              </w:rPr>
              <w:t>камера)</w:t>
            </w:r>
          </w:p>
        </w:tc>
      </w:tr>
      <w:tr>
        <w:trPr>
          <w:trHeight w:val="299" w:hRule="atLeast"/>
        </w:trPr>
        <w:tc>
          <w:tcPr>
            <w:tcW w:w="460" w:type="dxa"/>
            <w:vMerge/>
            <w:tcBorders>
              <w:top w:val="nil"/>
            </w:tcBorders>
          </w:tcPr>
          <w:p>
            <w:pPr>
              <w:rPr>
                <w:sz w:val="2"/>
                <w:szCs w:val="2"/>
              </w:rPr>
            </w:pPr>
          </w:p>
        </w:tc>
        <w:tc>
          <w:tcPr>
            <w:tcW w:w="1660" w:type="dxa"/>
          </w:tcPr>
          <w:p>
            <w:pPr>
              <w:pStyle w:val="TableParagraph"/>
              <w:ind w:left="543"/>
              <w:rPr>
                <w:b/>
                <w:sz w:val="20"/>
              </w:rPr>
            </w:pPr>
            <w:r>
              <w:rPr>
                <w:b/>
                <w:sz w:val="20"/>
              </w:rPr>
              <w:t>PR,</w:t>
            </w:r>
            <w:r>
              <w:rPr>
                <w:b/>
                <w:spacing w:val="-3"/>
                <w:sz w:val="20"/>
              </w:rPr>
              <w:t> </w:t>
            </w:r>
            <w:r>
              <w:rPr>
                <w:b/>
                <w:spacing w:val="-10"/>
                <w:sz w:val="20"/>
              </w:rPr>
              <w:t>%</w:t>
            </w:r>
          </w:p>
        </w:tc>
        <w:tc>
          <w:tcPr>
            <w:tcW w:w="1419" w:type="dxa"/>
          </w:tcPr>
          <w:p>
            <w:pPr>
              <w:pStyle w:val="TableParagraph"/>
              <w:ind w:left="423"/>
              <w:rPr>
                <w:b/>
                <w:sz w:val="20"/>
              </w:rPr>
            </w:pPr>
            <w:r>
              <w:rPr>
                <w:b/>
                <w:sz w:val="20"/>
              </w:rPr>
              <w:t>NP,</w:t>
            </w:r>
            <w:r>
              <w:rPr>
                <w:b/>
                <w:spacing w:val="-3"/>
                <w:sz w:val="20"/>
              </w:rPr>
              <w:t> </w:t>
            </w:r>
            <w:r>
              <w:rPr>
                <w:b/>
                <w:spacing w:val="-10"/>
                <w:sz w:val="20"/>
              </w:rPr>
              <w:t>%</w:t>
            </w:r>
          </w:p>
        </w:tc>
        <w:tc>
          <w:tcPr>
            <w:tcW w:w="1841" w:type="dxa"/>
          </w:tcPr>
          <w:p>
            <w:pPr>
              <w:pStyle w:val="TableParagraph"/>
              <w:ind w:left="6" w:right="5"/>
              <w:jc w:val="center"/>
              <w:rPr>
                <w:b/>
                <w:sz w:val="20"/>
              </w:rPr>
            </w:pPr>
            <w:r>
              <w:rPr>
                <w:b/>
                <w:sz w:val="20"/>
              </w:rPr>
              <w:t>IM,</w:t>
            </w:r>
            <w:r>
              <w:rPr>
                <w:b/>
                <w:spacing w:val="-5"/>
                <w:sz w:val="20"/>
              </w:rPr>
              <w:t> </w:t>
            </w:r>
            <w:r>
              <w:rPr>
                <w:b/>
                <w:spacing w:val="-10"/>
                <w:sz w:val="20"/>
              </w:rPr>
              <w:t>%</w:t>
            </w:r>
          </w:p>
        </w:tc>
        <w:tc>
          <w:tcPr>
            <w:tcW w:w="1419" w:type="dxa"/>
          </w:tcPr>
          <w:p>
            <w:pPr>
              <w:pStyle w:val="TableParagraph"/>
              <w:ind w:left="423"/>
              <w:rPr>
                <w:b/>
                <w:sz w:val="20"/>
              </w:rPr>
            </w:pPr>
            <w:r>
              <w:rPr>
                <w:b/>
                <w:sz w:val="20"/>
              </w:rPr>
              <w:t>PR,</w:t>
            </w:r>
            <w:r>
              <w:rPr>
                <w:b/>
                <w:spacing w:val="-3"/>
                <w:sz w:val="20"/>
              </w:rPr>
              <w:t> </w:t>
            </w:r>
            <w:r>
              <w:rPr>
                <w:b/>
                <w:spacing w:val="-10"/>
                <w:sz w:val="20"/>
              </w:rPr>
              <w:t>%</w:t>
            </w:r>
          </w:p>
        </w:tc>
        <w:tc>
          <w:tcPr>
            <w:tcW w:w="1702" w:type="dxa"/>
          </w:tcPr>
          <w:p>
            <w:pPr>
              <w:pStyle w:val="TableParagraph"/>
              <w:ind w:left="564"/>
              <w:rPr>
                <w:b/>
                <w:sz w:val="20"/>
              </w:rPr>
            </w:pPr>
            <w:r>
              <w:rPr>
                <w:b/>
                <w:sz w:val="20"/>
              </w:rPr>
              <w:t>NP,</w:t>
            </w:r>
            <w:r>
              <w:rPr>
                <w:b/>
                <w:spacing w:val="-3"/>
                <w:sz w:val="20"/>
              </w:rPr>
              <w:t> </w:t>
            </w:r>
            <w:r>
              <w:rPr>
                <w:b/>
                <w:spacing w:val="-10"/>
                <w:sz w:val="20"/>
              </w:rPr>
              <w:t>%</w:t>
            </w:r>
          </w:p>
        </w:tc>
        <w:tc>
          <w:tcPr>
            <w:tcW w:w="2268" w:type="dxa"/>
          </w:tcPr>
          <w:p>
            <w:pPr>
              <w:pStyle w:val="TableParagraph"/>
              <w:ind w:right="3"/>
              <w:jc w:val="center"/>
              <w:rPr>
                <w:b/>
                <w:sz w:val="20"/>
              </w:rPr>
            </w:pPr>
            <w:r>
              <w:rPr>
                <w:b/>
                <w:sz w:val="20"/>
              </w:rPr>
              <w:t>IM,</w:t>
            </w:r>
            <w:r>
              <w:rPr>
                <w:b/>
                <w:spacing w:val="-5"/>
                <w:sz w:val="20"/>
              </w:rPr>
              <w:t> </w:t>
            </w:r>
            <w:r>
              <w:rPr>
                <w:b/>
                <w:spacing w:val="-10"/>
                <w:sz w:val="20"/>
              </w:rPr>
              <w:t>%</w:t>
            </w:r>
          </w:p>
        </w:tc>
      </w:tr>
      <w:tr>
        <w:trPr>
          <w:trHeight w:val="299" w:hRule="atLeast"/>
        </w:trPr>
        <w:tc>
          <w:tcPr>
            <w:tcW w:w="460" w:type="dxa"/>
          </w:tcPr>
          <w:p>
            <w:pPr>
              <w:pStyle w:val="TableParagraph"/>
              <w:ind w:right="132"/>
              <w:jc w:val="center"/>
              <w:rPr>
                <w:sz w:val="20"/>
              </w:rPr>
            </w:pPr>
            <w:r>
              <w:rPr>
                <w:spacing w:val="-10"/>
                <w:sz w:val="20"/>
              </w:rPr>
              <w:t>1</w:t>
            </w:r>
          </w:p>
        </w:tc>
        <w:tc>
          <w:tcPr>
            <w:tcW w:w="1660" w:type="dxa"/>
          </w:tcPr>
          <w:p>
            <w:pPr>
              <w:pStyle w:val="TableParagraph"/>
              <w:ind w:left="4"/>
              <w:jc w:val="center"/>
              <w:rPr>
                <w:sz w:val="20"/>
              </w:rPr>
            </w:pPr>
            <w:r>
              <w:rPr>
                <w:spacing w:val="-4"/>
                <w:sz w:val="20"/>
              </w:rPr>
              <w:t>2.34</w:t>
            </w:r>
          </w:p>
        </w:tc>
        <w:tc>
          <w:tcPr>
            <w:tcW w:w="1419" w:type="dxa"/>
          </w:tcPr>
          <w:p>
            <w:pPr>
              <w:pStyle w:val="TableParagraph"/>
              <w:ind w:left="7"/>
              <w:jc w:val="center"/>
              <w:rPr>
                <w:sz w:val="20"/>
              </w:rPr>
            </w:pPr>
            <w:r>
              <w:rPr>
                <w:spacing w:val="-4"/>
                <w:sz w:val="20"/>
              </w:rPr>
              <w:t>0.47</w:t>
            </w:r>
          </w:p>
        </w:tc>
        <w:tc>
          <w:tcPr>
            <w:tcW w:w="1841" w:type="dxa"/>
          </w:tcPr>
          <w:p>
            <w:pPr>
              <w:pStyle w:val="TableParagraph"/>
              <w:ind w:left="6"/>
              <w:jc w:val="center"/>
              <w:rPr>
                <w:sz w:val="20"/>
              </w:rPr>
            </w:pPr>
            <w:r>
              <w:rPr>
                <w:spacing w:val="-2"/>
                <w:sz w:val="20"/>
              </w:rPr>
              <w:t>97.20</w:t>
            </w:r>
          </w:p>
        </w:tc>
        <w:tc>
          <w:tcPr>
            <w:tcW w:w="1419" w:type="dxa"/>
          </w:tcPr>
          <w:p>
            <w:pPr>
              <w:pStyle w:val="TableParagraph"/>
              <w:ind w:left="7" w:right="3"/>
              <w:jc w:val="center"/>
              <w:rPr>
                <w:sz w:val="20"/>
              </w:rPr>
            </w:pPr>
            <w:r>
              <w:rPr>
                <w:spacing w:val="-4"/>
                <w:sz w:val="20"/>
              </w:rPr>
              <w:t>0.00</w:t>
            </w:r>
          </w:p>
        </w:tc>
        <w:tc>
          <w:tcPr>
            <w:tcW w:w="1702" w:type="dxa"/>
          </w:tcPr>
          <w:p>
            <w:pPr>
              <w:pStyle w:val="TableParagraph"/>
              <w:ind w:left="4" w:right="1"/>
              <w:jc w:val="center"/>
              <w:rPr>
                <w:sz w:val="20"/>
              </w:rPr>
            </w:pPr>
            <w:r>
              <w:rPr>
                <w:spacing w:val="-4"/>
                <w:sz w:val="20"/>
              </w:rPr>
              <w:t>0.00</w:t>
            </w:r>
          </w:p>
        </w:tc>
        <w:tc>
          <w:tcPr>
            <w:tcW w:w="2268" w:type="dxa"/>
          </w:tcPr>
          <w:p>
            <w:pPr>
              <w:pStyle w:val="TableParagraph"/>
              <w:ind w:left="3" w:right="3"/>
              <w:jc w:val="center"/>
              <w:rPr>
                <w:sz w:val="20"/>
              </w:rPr>
            </w:pPr>
            <w:r>
              <w:rPr>
                <w:spacing w:val="-4"/>
                <w:sz w:val="20"/>
              </w:rPr>
              <w:t>100,</w:t>
            </w:r>
          </w:p>
        </w:tc>
      </w:tr>
      <w:tr>
        <w:trPr>
          <w:trHeight w:val="299" w:hRule="atLeast"/>
        </w:trPr>
        <w:tc>
          <w:tcPr>
            <w:tcW w:w="460" w:type="dxa"/>
          </w:tcPr>
          <w:p>
            <w:pPr>
              <w:pStyle w:val="TableParagraph"/>
              <w:ind w:right="132"/>
              <w:jc w:val="center"/>
              <w:rPr>
                <w:sz w:val="20"/>
              </w:rPr>
            </w:pPr>
            <w:r>
              <w:rPr>
                <w:spacing w:val="-10"/>
                <w:sz w:val="20"/>
              </w:rPr>
              <w:t>2</w:t>
            </w:r>
          </w:p>
        </w:tc>
        <w:tc>
          <w:tcPr>
            <w:tcW w:w="1660" w:type="dxa"/>
          </w:tcPr>
          <w:p>
            <w:pPr>
              <w:pStyle w:val="TableParagraph"/>
              <w:ind w:left="4"/>
              <w:jc w:val="center"/>
              <w:rPr>
                <w:sz w:val="20"/>
              </w:rPr>
            </w:pPr>
            <w:r>
              <w:rPr>
                <w:spacing w:val="-4"/>
                <w:sz w:val="20"/>
              </w:rPr>
              <w:t>3.17</w:t>
            </w:r>
          </w:p>
        </w:tc>
        <w:tc>
          <w:tcPr>
            <w:tcW w:w="1419" w:type="dxa"/>
          </w:tcPr>
          <w:p>
            <w:pPr>
              <w:pStyle w:val="TableParagraph"/>
              <w:ind w:left="7"/>
              <w:jc w:val="center"/>
              <w:rPr>
                <w:sz w:val="20"/>
              </w:rPr>
            </w:pPr>
            <w:r>
              <w:rPr>
                <w:spacing w:val="-4"/>
                <w:sz w:val="20"/>
              </w:rPr>
              <w:t>3.16</w:t>
            </w:r>
          </w:p>
        </w:tc>
        <w:tc>
          <w:tcPr>
            <w:tcW w:w="1841" w:type="dxa"/>
          </w:tcPr>
          <w:p>
            <w:pPr>
              <w:pStyle w:val="TableParagraph"/>
              <w:ind w:left="6"/>
              <w:jc w:val="center"/>
              <w:rPr>
                <w:sz w:val="20"/>
              </w:rPr>
            </w:pPr>
            <w:r>
              <w:rPr>
                <w:spacing w:val="-2"/>
                <w:sz w:val="20"/>
              </w:rPr>
              <w:t>93.67</w:t>
            </w:r>
          </w:p>
        </w:tc>
        <w:tc>
          <w:tcPr>
            <w:tcW w:w="1419" w:type="dxa"/>
          </w:tcPr>
          <w:p>
            <w:pPr>
              <w:pStyle w:val="TableParagraph"/>
              <w:ind w:left="7" w:right="2"/>
              <w:jc w:val="center"/>
              <w:rPr>
                <w:sz w:val="20"/>
              </w:rPr>
            </w:pPr>
            <w:r>
              <w:rPr>
                <w:spacing w:val="-4"/>
                <w:sz w:val="20"/>
              </w:rPr>
              <w:t>1.19</w:t>
            </w:r>
          </w:p>
        </w:tc>
        <w:tc>
          <w:tcPr>
            <w:tcW w:w="1702" w:type="dxa"/>
          </w:tcPr>
          <w:p>
            <w:pPr>
              <w:pStyle w:val="TableParagraph"/>
              <w:ind w:left="4"/>
              <w:jc w:val="center"/>
              <w:rPr>
                <w:sz w:val="20"/>
              </w:rPr>
            </w:pPr>
            <w:r>
              <w:rPr>
                <w:spacing w:val="-4"/>
                <w:sz w:val="20"/>
              </w:rPr>
              <w:t>3.03</w:t>
            </w:r>
          </w:p>
        </w:tc>
        <w:tc>
          <w:tcPr>
            <w:tcW w:w="2268" w:type="dxa"/>
          </w:tcPr>
          <w:p>
            <w:pPr>
              <w:pStyle w:val="TableParagraph"/>
              <w:ind w:left="3" w:right="3"/>
              <w:jc w:val="center"/>
              <w:rPr>
                <w:sz w:val="20"/>
              </w:rPr>
            </w:pPr>
            <w:r>
              <w:rPr>
                <w:spacing w:val="-2"/>
                <w:sz w:val="20"/>
              </w:rPr>
              <w:t>95.78</w:t>
            </w:r>
          </w:p>
        </w:tc>
      </w:tr>
      <w:tr>
        <w:trPr>
          <w:trHeight w:val="299" w:hRule="atLeast"/>
        </w:trPr>
        <w:tc>
          <w:tcPr>
            <w:tcW w:w="460" w:type="dxa"/>
          </w:tcPr>
          <w:p>
            <w:pPr>
              <w:pStyle w:val="TableParagraph"/>
              <w:ind w:right="132"/>
              <w:jc w:val="center"/>
              <w:rPr>
                <w:sz w:val="20"/>
              </w:rPr>
            </w:pPr>
            <w:r>
              <w:rPr>
                <w:spacing w:val="-10"/>
                <w:sz w:val="20"/>
              </w:rPr>
              <w:t>3</w:t>
            </w:r>
          </w:p>
        </w:tc>
        <w:tc>
          <w:tcPr>
            <w:tcW w:w="1660" w:type="dxa"/>
          </w:tcPr>
          <w:p>
            <w:pPr>
              <w:pStyle w:val="TableParagraph"/>
              <w:ind w:left="4"/>
              <w:jc w:val="center"/>
              <w:rPr>
                <w:sz w:val="20"/>
              </w:rPr>
            </w:pPr>
            <w:r>
              <w:rPr>
                <w:spacing w:val="-4"/>
                <w:sz w:val="20"/>
              </w:rPr>
              <w:t>0.20</w:t>
            </w:r>
          </w:p>
        </w:tc>
        <w:tc>
          <w:tcPr>
            <w:tcW w:w="1419" w:type="dxa"/>
          </w:tcPr>
          <w:p>
            <w:pPr>
              <w:pStyle w:val="TableParagraph"/>
              <w:ind w:left="7"/>
              <w:jc w:val="center"/>
              <w:rPr>
                <w:sz w:val="20"/>
              </w:rPr>
            </w:pPr>
            <w:r>
              <w:rPr>
                <w:spacing w:val="-4"/>
                <w:sz w:val="20"/>
              </w:rPr>
              <w:t>0.00</w:t>
            </w:r>
          </w:p>
        </w:tc>
        <w:tc>
          <w:tcPr>
            <w:tcW w:w="1841" w:type="dxa"/>
          </w:tcPr>
          <w:p>
            <w:pPr>
              <w:pStyle w:val="TableParagraph"/>
              <w:ind w:left="6"/>
              <w:jc w:val="center"/>
              <w:rPr>
                <w:sz w:val="20"/>
              </w:rPr>
            </w:pPr>
            <w:r>
              <w:rPr>
                <w:spacing w:val="-2"/>
                <w:sz w:val="20"/>
              </w:rPr>
              <w:t>99.80</w:t>
            </w:r>
          </w:p>
        </w:tc>
        <w:tc>
          <w:tcPr>
            <w:tcW w:w="1419" w:type="dxa"/>
          </w:tcPr>
          <w:p>
            <w:pPr>
              <w:pStyle w:val="TableParagraph"/>
              <w:ind w:left="7" w:right="2"/>
              <w:jc w:val="center"/>
              <w:rPr>
                <w:sz w:val="20"/>
              </w:rPr>
            </w:pPr>
            <w:r>
              <w:rPr>
                <w:spacing w:val="-4"/>
                <w:sz w:val="20"/>
              </w:rPr>
              <w:t>0.41</w:t>
            </w:r>
          </w:p>
        </w:tc>
        <w:tc>
          <w:tcPr>
            <w:tcW w:w="1702" w:type="dxa"/>
          </w:tcPr>
          <w:p>
            <w:pPr>
              <w:pStyle w:val="TableParagraph"/>
              <w:ind w:left="4"/>
              <w:jc w:val="center"/>
              <w:rPr>
                <w:sz w:val="20"/>
              </w:rPr>
            </w:pPr>
            <w:r>
              <w:rPr>
                <w:spacing w:val="-4"/>
                <w:sz w:val="20"/>
              </w:rPr>
              <w:t>0.48</w:t>
            </w:r>
          </w:p>
        </w:tc>
        <w:tc>
          <w:tcPr>
            <w:tcW w:w="2268" w:type="dxa"/>
          </w:tcPr>
          <w:p>
            <w:pPr>
              <w:pStyle w:val="TableParagraph"/>
              <w:ind w:left="3" w:right="3"/>
              <w:jc w:val="center"/>
              <w:rPr>
                <w:sz w:val="20"/>
              </w:rPr>
            </w:pPr>
            <w:r>
              <w:rPr>
                <w:spacing w:val="-2"/>
                <w:sz w:val="20"/>
              </w:rPr>
              <w:t>99.11</w:t>
            </w:r>
          </w:p>
        </w:tc>
      </w:tr>
      <w:tr>
        <w:trPr>
          <w:trHeight w:val="301" w:hRule="atLeast"/>
        </w:trPr>
        <w:tc>
          <w:tcPr>
            <w:tcW w:w="460" w:type="dxa"/>
          </w:tcPr>
          <w:p>
            <w:pPr>
              <w:pStyle w:val="TableParagraph"/>
              <w:spacing w:before="2"/>
              <w:ind w:right="132"/>
              <w:jc w:val="center"/>
              <w:rPr>
                <w:sz w:val="20"/>
              </w:rPr>
            </w:pPr>
            <w:r>
              <w:rPr>
                <w:spacing w:val="-10"/>
                <w:sz w:val="20"/>
              </w:rPr>
              <w:t>4</w:t>
            </w:r>
          </w:p>
        </w:tc>
        <w:tc>
          <w:tcPr>
            <w:tcW w:w="1660" w:type="dxa"/>
          </w:tcPr>
          <w:p>
            <w:pPr>
              <w:pStyle w:val="TableParagraph"/>
              <w:spacing w:before="2"/>
              <w:ind w:left="4"/>
              <w:jc w:val="center"/>
              <w:rPr>
                <w:sz w:val="20"/>
              </w:rPr>
            </w:pPr>
            <w:r>
              <w:rPr>
                <w:spacing w:val="-4"/>
                <w:sz w:val="20"/>
              </w:rPr>
              <w:t>3.34</w:t>
            </w:r>
          </w:p>
        </w:tc>
        <w:tc>
          <w:tcPr>
            <w:tcW w:w="1419" w:type="dxa"/>
          </w:tcPr>
          <w:p>
            <w:pPr>
              <w:pStyle w:val="TableParagraph"/>
              <w:spacing w:before="2"/>
              <w:ind w:left="7"/>
              <w:jc w:val="center"/>
              <w:rPr>
                <w:sz w:val="20"/>
              </w:rPr>
            </w:pPr>
            <w:r>
              <w:rPr>
                <w:spacing w:val="-4"/>
                <w:sz w:val="20"/>
              </w:rPr>
              <w:t>6.72</w:t>
            </w:r>
          </w:p>
        </w:tc>
        <w:tc>
          <w:tcPr>
            <w:tcW w:w="1841" w:type="dxa"/>
          </w:tcPr>
          <w:p>
            <w:pPr>
              <w:pStyle w:val="TableParagraph"/>
              <w:spacing w:before="2"/>
              <w:ind w:left="6"/>
              <w:jc w:val="center"/>
              <w:rPr>
                <w:sz w:val="20"/>
              </w:rPr>
            </w:pPr>
            <w:r>
              <w:rPr>
                <w:spacing w:val="-2"/>
                <w:sz w:val="20"/>
              </w:rPr>
              <w:t>89.94</w:t>
            </w:r>
          </w:p>
        </w:tc>
        <w:tc>
          <w:tcPr>
            <w:tcW w:w="1419" w:type="dxa"/>
          </w:tcPr>
          <w:p>
            <w:pPr>
              <w:pStyle w:val="TableParagraph"/>
              <w:spacing w:before="2"/>
              <w:ind w:left="7" w:right="2"/>
              <w:jc w:val="center"/>
              <w:rPr>
                <w:sz w:val="20"/>
              </w:rPr>
            </w:pPr>
            <w:r>
              <w:rPr>
                <w:spacing w:val="-4"/>
                <w:sz w:val="20"/>
              </w:rPr>
              <w:t>3.07</w:t>
            </w:r>
          </w:p>
        </w:tc>
        <w:tc>
          <w:tcPr>
            <w:tcW w:w="1702" w:type="dxa"/>
          </w:tcPr>
          <w:p>
            <w:pPr>
              <w:pStyle w:val="TableParagraph"/>
              <w:spacing w:before="2"/>
              <w:ind w:left="4"/>
              <w:jc w:val="center"/>
              <w:rPr>
                <w:sz w:val="20"/>
              </w:rPr>
            </w:pPr>
            <w:r>
              <w:rPr>
                <w:spacing w:val="-4"/>
                <w:sz w:val="20"/>
              </w:rPr>
              <w:t>3.15</w:t>
            </w:r>
          </w:p>
        </w:tc>
        <w:tc>
          <w:tcPr>
            <w:tcW w:w="2268" w:type="dxa"/>
          </w:tcPr>
          <w:p>
            <w:pPr>
              <w:pStyle w:val="TableParagraph"/>
              <w:spacing w:before="2"/>
              <w:ind w:left="3" w:right="3"/>
              <w:jc w:val="center"/>
              <w:rPr>
                <w:sz w:val="20"/>
              </w:rPr>
            </w:pPr>
            <w:r>
              <w:rPr>
                <w:spacing w:val="-2"/>
                <w:sz w:val="20"/>
              </w:rPr>
              <w:t>93.78</w:t>
            </w:r>
          </w:p>
        </w:tc>
      </w:tr>
      <w:tr>
        <w:trPr>
          <w:trHeight w:val="299" w:hRule="atLeast"/>
        </w:trPr>
        <w:tc>
          <w:tcPr>
            <w:tcW w:w="460" w:type="dxa"/>
          </w:tcPr>
          <w:p>
            <w:pPr>
              <w:pStyle w:val="TableParagraph"/>
              <w:ind w:right="132"/>
              <w:jc w:val="center"/>
              <w:rPr>
                <w:sz w:val="20"/>
              </w:rPr>
            </w:pPr>
            <w:r>
              <w:rPr>
                <w:spacing w:val="-10"/>
                <w:sz w:val="20"/>
              </w:rPr>
              <w:t>5</w:t>
            </w:r>
          </w:p>
        </w:tc>
        <w:tc>
          <w:tcPr>
            <w:tcW w:w="1660" w:type="dxa"/>
          </w:tcPr>
          <w:p>
            <w:pPr>
              <w:pStyle w:val="TableParagraph"/>
              <w:ind w:left="4"/>
              <w:jc w:val="center"/>
              <w:rPr>
                <w:sz w:val="20"/>
              </w:rPr>
            </w:pPr>
            <w:r>
              <w:rPr>
                <w:spacing w:val="-4"/>
                <w:sz w:val="20"/>
              </w:rPr>
              <w:t>7.55</w:t>
            </w:r>
          </w:p>
        </w:tc>
        <w:tc>
          <w:tcPr>
            <w:tcW w:w="1419" w:type="dxa"/>
          </w:tcPr>
          <w:p>
            <w:pPr>
              <w:pStyle w:val="TableParagraph"/>
              <w:ind w:left="7"/>
              <w:jc w:val="center"/>
              <w:rPr>
                <w:sz w:val="20"/>
              </w:rPr>
            </w:pPr>
            <w:r>
              <w:rPr>
                <w:spacing w:val="-4"/>
                <w:sz w:val="20"/>
              </w:rPr>
              <w:t>2.89</w:t>
            </w:r>
          </w:p>
        </w:tc>
        <w:tc>
          <w:tcPr>
            <w:tcW w:w="1841" w:type="dxa"/>
          </w:tcPr>
          <w:p>
            <w:pPr>
              <w:pStyle w:val="TableParagraph"/>
              <w:ind w:left="6"/>
              <w:jc w:val="center"/>
              <w:rPr>
                <w:sz w:val="20"/>
              </w:rPr>
            </w:pPr>
            <w:r>
              <w:rPr>
                <w:spacing w:val="-2"/>
                <w:sz w:val="20"/>
              </w:rPr>
              <w:t>89.56</w:t>
            </w:r>
          </w:p>
        </w:tc>
        <w:tc>
          <w:tcPr>
            <w:tcW w:w="1419" w:type="dxa"/>
          </w:tcPr>
          <w:p>
            <w:pPr>
              <w:pStyle w:val="TableParagraph"/>
              <w:ind w:left="7" w:right="2"/>
              <w:jc w:val="center"/>
              <w:rPr>
                <w:sz w:val="20"/>
              </w:rPr>
            </w:pPr>
            <w:r>
              <w:rPr>
                <w:spacing w:val="-4"/>
                <w:sz w:val="20"/>
              </w:rPr>
              <w:t>6.29</w:t>
            </w:r>
          </w:p>
        </w:tc>
        <w:tc>
          <w:tcPr>
            <w:tcW w:w="1702" w:type="dxa"/>
          </w:tcPr>
          <w:p>
            <w:pPr>
              <w:pStyle w:val="TableParagraph"/>
              <w:ind w:left="4" w:right="1"/>
              <w:jc w:val="center"/>
              <w:rPr>
                <w:sz w:val="20"/>
              </w:rPr>
            </w:pPr>
            <w:r>
              <w:rPr>
                <w:spacing w:val="-4"/>
                <w:sz w:val="20"/>
              </w:rPr>
              <w:t>0.00</w:t>
            </w:r>
          </w:p>
        </w:tc>
        <w:tc>
          <w:tcPr>
            <w:tcW w:w="2268" w:type="dxa"/>
          </w:tcPr>
          <w:p>
            <w:pPr>
              <w:pStyle w:val="TableParagraph"/>
              <w:ind w:left="3" w:right="3"/>
              <w:jc w:val="center"/>
              <w:rPr>
                <w:sz w:val="20"/>
              </w:rPr>
            </w:pPr>
            <w:r>
              <w:rPr>
                <w:spacing w:val="-2"/>
                <w:sz w:val="20"/>
              </w:rPr>
              <w:t>93.71</w:t>
            </w:r>
          </w:p>
        </w:tc>
      </w:tr>
      <w:tr>
        <w:trPr>
          <w:trHeight w:val="299" w:hRule="atLeast"/>
        </w:trPr>
        <w:tc>
          <w:tcPr>
            <w:tcW w:w="460" w:type="dxa"/>
          </w:tcPr>
          <w:p>
            <w:pPr>
              <w:pStyle w:val="TableParagraph"/>
              <w:ind w:right="132"/>
              <w:jc w:val="center"/>
              <w:rPr>
                <w:sz w:val="20"/>
              </w:rPr>
            </w:pPr>
            <w:r>
              <w:rPr>
                <w:spacing w:val="-10"/>
                <w:sz w:val="20"/>
              </w:rPr>
              <w:t>6</w:t>
            </w:r>
          </w:p>
        </w:tc>
        <w:tc>
          <w:tcPr>
            <w:tcW w:w="1660" w:type="dxa"/>
          </w:tcPr>
          <w:p>
            <w:pPr>
              <w:pStyle w:val="TableParagraph"/>
              <w:ind w:left="4"/>
              <w:jc w:val="center"/>
              <w:rPr>
                <w:sz w:val="20"/>
              </w:rPr>
            </w:pPr>
            <w:r>
              <w:rPr>
                <w:spacing w:val="-4"/>
                <w:sz w:val="20"/>
              </w:rPr>
              <w:t>5.26</w:t>
            </w:r>
          </w:p>
        </w:tc>
        <w:tc>
          <w:tcPr>
            <w:tcW w:w="1419" w:type="dxa"/>
          </w:tcPr>
          <w:p>
            <w:pPr>
              <w:pStyle w:val="TableParagraph"/>
              <w:ind w:left="7"/>
              <w:jc w:val="center"/>
              <w:rPr>
                <w:sz w:val="20"/>
              </w:rPr>
            </w:pPr>
            <w:r>
              <w:rPr>
                <w:spacing w:val="-4"/>
                <w:sz w:val="20"/>
              </w:rPr>
              <w:t>4.96</w:t>
            </w:r>
          </w:p>
        </w:tc>
        <w:tc>
          <w:tcPr>
            <w:tcW w:w="1841" w:type="dxa"/>
          </w:tcPr>
          <w:p>
            <w:pPr>
              <w:pStyle w:val="TableParagraph"/>
              <w:ind w:left="6"/>
              <w:jc w:val="center"/>
              <w:rPr>
                <w:sz w:val="20"/>
              </w:rPr>
            </w:pPr>
            <w:r>
              <w:rPr>
                <w:spacing w:val="-2"/>
                <w:sz w:val="20"/>
              </w:rPr>
              <w:t>89.78</w:t>
            </w:r>
          </w:p>
        </w:tc>
        <w:tc>
          <w:tcPr>
            <w:tcW w:w="1419" w:type="dxa"/>
          </w:tcPr>
          <w:p>
            <w:pPr>
              <w:pStyle w:val="TableParagraph"/>
              <w:ind w:left="7" w:right="2"/>
              <w:jc w:val="center"/>
              <w:rPr>
                <w:sz w:val="20"/>
              </w:rPr>
            </w:pPr>
            <w:r>
              <w:rPr>
                <w:spacing w:val="-4"/>
                <w:sz w:val="20"/>
              </w:rPr>
              <w:t>5.00</w:t>
            </w:r>
          </w:p>
        </w:tc>
        <w:tc>
          <w:tcPr>
            <w:tcW w:w="1702" w:type="dxa"/>
          </w:tcPr>
          <w:p>
            <w:pPr>
              <w:pStyle w:val="TableParagraph"/>
              <w:ind w:left="4" w:right="1"/>
              <w:jc w:val="center"/>
              <w:rPr>
                <w:sz w:val="20"/>
              </w:rPr>
            </w:pPr>
            <w:r>
              <w:rPr>
                <w:spacing w:val="-4"/>
                <w:sz w:val="20"/>
              </w:rPr>
              <w:t>0.50</w:t>
            </w:r>
          </w:p>
        </w:tc>
        <w:tc>
          <w:tcPr>
            <w:tcW w:w="2268" w:type="dxa"/>
          </w:tcPr>
          <w:p>
            <w:pPr>
              <w:pStyle w:val="TableParagraph"/>
              <w:ind w:left="2" w:right="3"/>
              <w:jc w:val="center"/>
              <w:rPr>
                <w:sz w:val="20"/>
              </w:rPr>
            </w:pPr>
            <w:r>
              <w:rPr>
                <w:spacing w:val="-2"/>
                <w:sz w:val="20"/>
              </w:rPr>
              <w:t>94.50</w:t>
            </w:r>
          </w:p>
        </w:tc>
      </w:tr>
      <w:tr>
        <w:trPr>
          <w:trHeight w:val="299" w:hRule="atLeast"/>
        </w:trPr>
        <w:tc>
          <w:tcPr>
            <w:tcW w:w="460" w:type="dxa"/>
          </w:tcPr>
          <w:p>
            <w:pPr>
              <w:pStyle w:val="TableParagraph"/>
              <w:ind w:right="132"/>
              <w:jc w:val="center"/>
              <w:rPr>
                <w:sz w:val="20"/>
              </w:rPr>
            </w:pPr>
            <w:r>
              <w:rPr>
                <w:spacing w:val="-10"/>
                <w:sz w:val="20"/>
              </w:rPr>
              <w:t>7</w:t>
            </w:r>
          </w:p>
        </w:tc>
        <w:tc>
          <w:tcPr>
            <w:tcW w:w="1660" w:type="dxa"/>
          </w:tcPr>
          <w:p>
            <w:pPr>
              <w:pStyle w:val="TableParagraph"/>
              <w:ind w:left="4"/>
              <w:jc w:val="center"/>
              <w:rPr>
                <w:sz w:val="20"/>
              </w:rPr>
            </w:pPr>
            <w:r>
              <w:rPr>
                <w:spacing w:val="-4"/>
                <w:sz w:val="20"/>
              </w:rPr>
              <w:t>0.09</w:t>
            </w:r>
          </w:p>
        </w:tc>
        <w:tc>
          <w:tcPr>
            <w:tcW w:w="1419" w:type="dxa"/>
          </w:tcPr>
          <w:p>
            <w:pPr>
              <w:pStyle w:val="TableParagraph"/>
              <w:ind w:left="7"/>
              <w:jc w:val="center"/>
              <w:rPr>
                <w:sz w:val="20"/>
              </w:rPr>
            </w:pPr>
            <w:r>
              <w:rPr>
                <w:spacing w:val="-4"/>
                <w:sz w:val="20"/>
              </w:rPr>
              <w:t>0.00</w:t>
            </w:r>
          </w:p>
        </w:tc>
        <w:tc>
          <w:tcPr>
            <w:tcW w:w="1841" w:type="dxa"/>
          </w:tcPr>
          <w:p>
            <w:pPr>
              <w:pStyle w:val="TableParagraph"/>
              <w:ind w:left="6"/>
              <w:jc w:val="center"/>
              <w:rPr>
                <w:sz w:val="20"/>
              </w:rPr>
            </w:pPr>
            <w:r>
              <w:rPr>
                <w:spacing w:val="-2"/>
                <w:sz w:val="20"/>
              </w:rPr>
              <w:t>99.91</w:t>
            </w:r>
          </w:p>
        </w:tc>
        <w:tc>
          <w:tcPr>
            <w:tcW w:w="1419" w:type="dxa"/>
          </w:tcPr>
          <w:p>
            <w:pPr>
              <w:pStyle w:val="TableParagraph"/>
              <w:ind w:left="7" w:right="2"/>
              <w:jc w:val="center"/>
              <w:rPr>
                <w:sz w:val="20"/>
              </w:rPr>
            </w:pPr>
            <w:r>
              <w:rPr>
                <w:spacing w:val="-4"/>
                <w:sz w:val="20"/>
              </w:rPr>
              <w:t>0.12</w:t>
            </w:r>
          </w:p>
        </w:tc>
        <w:tc>
          <w:tcPr>
            <w:tcW w:w="1702" w:type="dxa"/>
          </w:tcPr>
          <w:p>
            <w:pPr>
              <w:pStyle w:val="TableParagraph"/>
              <w:ind w:left="4"/>
              <w:jc w:val="center"/>
              <w:rPr>
                <w:sz w:val="20"/>
              </w:rPr>
            </w:pPr>
            <w:r>
              <w:rPr>
                <w:spacing w:val="-4"/>
                <w:sz w:val="20"/>
              </w:rPr>
              <w:t>0.04</w:t>
            </w:r>
          </w:p>
        </w:tc>
        <w:tc>
          <w:tcPr>
            <w:tcW w:w="2268" w:type="dxa"/>
          </w:tcPr>
          <w:p>
            <w:pPr>
              <w:pStyle w:val="TableParagraph"/>
              <w:ind w:left="3" w:right="3"/>
              <w:jc w:val="center"/>
              <w:rPr>
                <w:sz w:val="20"/>
              </w:rPr>
            </w:pPr>
            <w:r>
              <w:rPr>
                <w:spacing w:val="-2"/>
                <w:sz w:val="20"/>
              </w:rPr>
              <w:t>99.84</w:t>
            </w:r>
          </w:p>
        </w:tc>
      </w:tr>
      <w:tr>
        <w:trPr>
          <w:trHeight w:val="299" w:hRule="atLeast"/>
        </w:trPr>
        <w:tc>
          <w:tcPr>
            <w:tcW w:w="460" w:type="dxa"/>
          </w:tcPr>
          <w:p>
            <w:pPr>
              <w:pStyle w:val="TableParagraph"/>
              <w:ind w:right="132"/>
              <w:jc w:val="center"/>
              <w:rPr>
                <w:sz w:val="20"/>
              </w:rPr>
            </w:pPr>
            <w:r>
              <w:rPr>
                <w:spacing w:val="-10"/>
                <w:sz w:val="20"/>
              </w:rPr>
              <w:t>8</w:t>
            </w:r>
          </w:p>
        </w:tc>
        <w:tc>
          <w:tcPr>
            <w:tcW w:w="1660" w:type="dxa"/>
          </w:tcPr>
          <w:p>
            <w:pPr>
              <w:pStyle w:val="TableParagraph"/>
              <w:ind w:left="4"/>
              <w:jc w:val="center"/>
              <w:rPr>
                <w:sz w:val="20"/>
              </w:rPr>
            </w:pPr>
            <w:r>
              <w:rPr>
                <w:spacing w:val="-4"/>
                <w:sz w:val="20"/>
              </w:rPr>
              <w:t>3.74</w:t>
            </w:r>
          </w:p>
        </w:tc>
        <w:tc>
          <w:tcPr>
            <w:tcW w:w="1419" w:type="dxa"/>
          </w:tcPr>
          <w:p>
            <w:pPr>
              <w:pStyle w:val="TableParagraph"/>
              <w:ind w:left="7"/>
              <w:jc w:val="center"/>
              <w:rPr>
                <w:sz w:val="20"/>
              </w:rPr>
            </w:pPr>
            <w:r>
              <w:rPr>
                <w:spacing w:val="-4"/>
                <w:sz w:val="20"/>
              </w:rPr>
              <w:t>3.34</w:t>
            </w:r>
          </w:p>
        </w:tc>
        <w:tc>
          <w:tcPr>
            <w:tcW w:w="1841" w:type="dxa"/>
          </w:tcPr>
          <w:p>
            <w:pPr>
              <w:pStyle w:val="TableParagraph"/>
              <w:ind w:left="6"/>
              <w:jc w:val="center"/>
              <w:rPr>
                <w:sz w:val="20"/>
              </w:rPr>
            </w:pPr>
            <w:r>
              <w:rPr>
                <w:spacing w:val="-2"/>
                <w:sz w:val="20"/>
              </w:rPr>
              <w:t>92.92</w:t>
            </w:r>
          </w:p>
        </w:tc>
        <w:tc>
          <w:tcPr>
            <w:tcW w:w="1419" w:type="dxa"/>
          </w:tcPr>
          <w:p>
            <w:pPr>
              <w:pStyle w:val="TableParagraph"/>
              <w:ind w:left="7" w:right="2"/>
              <w:jc w:val="center"/>
              <w:rPr>
                <w:sz w:val="20"/>
              </w:rPr>
            </w:pPr>
            <w:r>
              <w:rPr>
                <w:spacing w:val="-4"/>
                <w:sz w:val="20"/>
              </w:rPr>
              <w:t>3.64</w:t>
            </w:r>
          </w:p>
        </w:tc>
        <w:tc>
          <w:tcPr>
            <w:tcW w:w="1702" w:type="dxa"/>
          </w:tcPr>
          <w:p>
            <w:pPr>
              <w:pStyle w:val="TableParagraph"/>
              <w:ind w:left="4"/>
              <w:jc w:val="center"/>
              <w:rPr>
                <w:sz w:val="20"/>
              </w:rPr>
            </w:pPr>
            <w:r>
              <w:rPr>
                <w:spacing w:val="-4"/>
                <w:sz w:val="20"/>
              </w:rPr>
              <w:t>0.37</w:t>
            </w:r>
          </w:p>
        </w:tc>
        <w:tc>
          <w:tcPr>
            <w:tcW w:w="2268" w:type="dxa"/>
          </w:tcPr>
          <w:p>
            <w:pPr>
              <w:pStyle w:val="TableParagraph"/>
              <w:ind w:left="3" w:right="3"/>
              <w:jc w:val="center"/>
              <w:rPr>
                <w:sz w:val="20"/>
              </w:rPr>
            </w:pPr>
            <w:r>
              <w:rPr>
                <w:spacing w:val="-2"/>
                <w:sz w:val="20"/>
              </w:rPr>
              <w:t>95.99</w:t>
            </w:r>
          </w:p>
        </w:tc>
      </w:tr>
      <w:tr>
        <w:trPr>
          <w:trHeight w:val="299" w:hRule="atLeast"/>
        </w:trPr>
        <w:tc>
          <w:tcPr>
            <w:tcW w:w="460" w:type="dxa"/>
          </w:tcPr>
          <w:p>
            <w:pPr>
              <w:pStyle w:val="TableParagraph"/>
              <w:ind w:right="132"/>
              <w:jc w:val="center"/>
              <w:rPr>
                <w:sz w:val="20"/>
              </w:rPr>
            </w:pPr>
            <w:r>
              <w:rPr>
                <w:spacing w:val="-10"/>
                <w:sz w:val="20"/>
              </w:rPr>
              <w:t>9</w:t>
            </w:r>
          </w:p>
        </w:tc>
        <w:tc>
          <w:tcPr>
            <w:tcW w:w="1660" w:type="dxa"/>
          </w:tcPr>
          <w:p>
            <w:pPr>
              <w:pStyle w:val="TableParagraph"/>
              <w:ind w:left="4"/>
              <w:jc w:val="center"/>
              <w:rPr>
                <w:sz w:val="20"/>
              </w:rPr>
            </w:pPr>
            <w:r>
              <w:rPr>
                <w:spacing w:val="-4"/>
                <w:sz w:val="20"/>
              </w:rPr>
              <w:t>4.10</w:t>
            </w:r>
          </w:p>
        </w:tc>
        <w:tc>
          <w:tcPr>
            <w:tcW w:w="1419" w:type="dxa"/>
          </w:tcPr>
          <w:p>
            <w:pPr>
              <w:pStyle w:val="TableParagraph"/>
              <w:ind w:left="7"/>
              <w:jc w:val="center"/>
              <w:rPr>
                <w:sz w:val="20"/>
              </w:rPr>
            </w:pPr>
            <w:r>
              <w:rPr>
                <w:spacing w:val="-2"/>
                <w:sz w:val="20"/>
              </w:rPr>
              <w:t>14.38</w:t>
            </w:r>
          </w:p>
        </w:tc>
        <w:tc>
          <w:tcPr>
            <w:tcW w:w="1841" w:type="dxa"/>
          </w:tcPr>
          <w:p>
            <w:pPr>
              <w:pStyle w:val="TableParagraph"/>
              <w:ind w:left="6"/>
              <w:jc w:val="center"/>
              <w:rPr>
                <w:sz w:val="20"/>
              </w:rPr>
            </w:pPr>
            <w:r>
              <w:rPr>
                <w:spacing w:val="-2"/>
                <w:sz w:val="20"/>
              </w:rPr>
              <w:t>81.52</w:t>
            </w:r>
          </w:p>
        </w:tc>
        <w:tc>
          <w:tcPr>
            <w:tcW w:w="1419" w:type="dxa"/>
          </w:tcPr>
          <w:p>
            <w:pPr>
              <w:pStyle w:val="TableParagraph"/>
              <w:ind w:left="7" w:right="2"/>
              <w:jc w:val="center"/>
              <w:rPr>
                <w:sz w:val="20"/>
              </w:rPr>
            </w:pPr>
            <w:r>
              <w:rPr>
                <w:spacing w:val="-4"/>
                <w:sz w:val="20"/>
              </w:rPr>
              <w:t>4.01</w:t>
            </w:r>
          </w:p>
        </w:tc>
        <w:tc>
          <w:tcPr>
            <w:tcW w:w="1702" w:type="dxa"/>
          </w:tcPr>
          <w:p>
            <w:pPr>
              <w:pStyle w:val="TableParagraph"/>
              <w:ind w:left="4"/>
              <w:jc w:val="center"/>
              <w:rPr>
                <w:sz w:val="20"/>
              </w:rPr>
            </w:pPr>
            <w:r>
              <w:rPr>
                <w:spacing w:val="-4"/>
                <w:sz w:val="20"/>
              </w:rPr>
              <w:t>7.86</w:t>
            </w:r>
          </w:p>
        </w:tc>
        <w:tc>
          <w:tcPr>
            <w:tcW w:w="2268" w:type="dxa"/>
          </w:tcPr>
          <w:p>
            <w:pPr>
              <w:pStyle w:val="TableParagraph"/>
              <w:ind w:left="3" w:right="3"/>
              <w:jc w:val="center"/>
              <w:rPr>
                <w:sz w:val="20"/>
              </w:rPr>
            </w:pPr>
            <w:r>
              <w:rPr>
                <w:spacing w:val="-2"/>
                <w:sz w:val="20"/>
              </w:rPr>
              <w:t>88.13</w:t>
            </w:r>
          </w:p>
        </w:tc>
      </w:tr>
      <w:tr>
        <w:trPr>
          <w:trHeight w:val="302" w:hRule="atLeast"/>
        </w:trPr>
        <w:tc>
          <w:tcPr>
            <w:tcW w:w="460" w:type="dxa"/>
          </w:tcPr>
          <w:p>
            <w:pPr>
              <w:pStyle w:val="TableParagraph"/>
              <w:spacing w:before="2"/>
              <w:ind w:right="30"/>
              <w:jc w:val="center"/>
              <w:rPr>
                <w:sz w:val="20"/>
              </w:rPr>
            </w:pPr>
            <w:r>
              <w:rPr>
                <w:spacing w:val="-5"/>
                <w:sz w:val="20"/>
              </w:rPr>
              <w:t>10</w:t>
            </w:r>
          </w:p>
        </w:tc>
        <w:tc>
          <w:tcPr>
            <w:tcW w:w="1660" w:type="dxa"/>
          </w:tcPr>
          <w:p>
            <w:pPr>
              <w:pStyle w:val="TableParagraph"/>
              <w:spacing w:before="2"/>
              <w:ind w:left="4"/>
              <w:jc w:val="center"/>
              <w:rPr>
                <w:sz w:val="20"/>
              </w:rPr>
            </w:pPr>
            <w:r>
              <w:rPr>
                <w:spacing w:val="-4"/>
                <w:sz w:val="20"/>
              </w:rPr>
              <w:t>6.44</w:t>
            </w:r>
          </w:p>
        </w:tc>
        <w:tc>
          <w:tcPr>
            <w:tcW w:w="1419" w:type="dxa"/>
          </w:tcPr>
          <w:p>
            <w:pPr>
              <w:pStyle w:val="TableParagraph"/>
              <w:spacing w:before="2"/>
              <w:ind w:left="7"/>
              <w:jc w:val="center"/>
              <w:rPr>
                <w:sz w:val="20"/>
              </w:rPr>
            </w:pPr>
            <w:r>
              <w:rPr>
                <w:spacing w:val="-2"/>
                <w:sz w:val="20"/>
              </w:rPr>
              <w:t>10.04</w:t>
            </w:r>
          </w:p>
        </w:tc>
        <w:tc>
          <w:tcPr>
            <w:tcW w:w="1841" w:type="dxa"/>
          </w:tcPr>
          <w:p>
            <w:pPr>
              <w:pStyle w:val="TableParagraph"/>
              <w:spacing w:before="2"/>
              <w:ind w:left="6"/>
              <w:jc w:val="center"/>
              <w:rPr>
                <w:sz w:val="20"/>
              </w:rPr>
            </w:pPr>
            <w:r>
              <w:rPr>
                <w:spacing w:val="-2"/>
                <w:sz w:val="20"/>
              </w:rPr>
              <w:t>83.52</w:t>
            </w:r>
          </w:p>
        </w:tc>
        <w:tc>
          <w:tcPr>
            <w:tcW w:w="1419" w:type="dxa"/>
          </w:tcPr>
          <w:p>
            <w:pPr>
              <w:pStyle w:val="TableParagraph"/>
              <w:spacing w:before="2"/>
              <w:ind w:left="7" w:right="2"/>
              <w:jc w:val="center"/>
              <w:rPr>
                <w:sz w:val="20"/>
              </w:rPr>
            </w:pPr>
            <w:r>
              <w:rPr>
                <w:spacing w:val="-4"/>
                <w:sz w:val="20"/>
              </w:rPr>
              <w:t>0.77</w:t>
            </w:r>
          </w:p>
        </w:tc>
        <w:tc>
          <w:tcPr>
            <w:tcW w:w="1702" w:type="dxa"/>
          </w:tcPr>
          <w:p>
            <w:pPr>
              <w:pStyle w:val="TableParagraph"/>
              <w:spacing w:before="2"/>
              <w:ind w:left="4"/>
              <w:jc w:val="center"/>
              <w:rPr>
                <w:sz w:val="20"/>
              </w:rPr>
            </w:pPr>
            <w:r>
              <w:rPr>
                <w:spacing w:val="-4"/>
                <w:sz w:val="20"/>
              </w:rPr>
              <w:t>0.04</w:t>
            </w:r>
          </w:p>
        </w:tc>
        <w:tc>
          <w:tcPr>
            <w:tcW w:w="2268" w:type="dxa"/>
          </w:tcPr>
          <w:p>
            <w:pPr>
              <w:pStyle w:val="TableParagraph"/>
              <w:spacing w:before="2"/>
              <w:ind w:left="3" w:right="3"/>
              <w:jc w:val="center"/>
              <w:rPr>
                <w:sz w:val="20"/>
              </w:rPr>
            </w:pPr>
            <w:r>
              <w:rPr>
                <w:spacing w:val="-2"/>
                <w:sz w:val="20"/>
              </w:rPr>
              <w:t>99.19</w:t>
            </w:r>
          </w:p>
        </w:tc>
      </w:tr>
      <w:tr>
        <w:trPr>
          <w:trHeight w:val="299" w:hRule="atLeast"/>
        </w:trPr>
        <w:tc>
          <w:tcPr>
            <w:tcW w:w="460" w:type="dxa"/>
          </w:tcPr>
          <w:p>
            <w:pPr>
              <w:pStyle w:val="TableParagraph"/>
              <w:ind w:right="30"/>
              <w:jc w:val="center"/>
              <w:rPr>
                <w:sz w:val="20"/>
              </w:rPr>
            </w:pPr>
            <w:r>
              <w:rPr>
                <w:spacing w:val="-5"/>
                <w:sz w:val="20"/>
              </w:rPr>
              <w:t>11</w:t>
            </w:r>
          </w:p>
        </w:tc>
        <w:tc>
          <w:tcPr>
            <w:tcW w:w="1660" w:type="dxa"/>
          </w:tcPr>
          <w:p>
            <w:pPr>
              <w:pStyle w:val="TableParagraph"/>
              <w:ind w:left="4"/>
              <w:jc w:val="center"/>
              <w:rPr>
                <w:sz w:val="20"/>
              </w:rPr>
            </w:pPr>
            <w:r>
              <w:rPr>
                <w:spacing w:val="-4"/>
                <w:sz w:val="20"/>
              </w:rPr>
              <w:t>0.14</w:t>
            </w:r>
          </w:p>
        </w:tc>
        <w:tc>
          <w:tcPr>
            <w:tcW w:w="1419" w:type="dxa"/>
          </w:tcPr>
          <w:p>
            <w:pPr>
              <w:pStyle w:val="TableParagraph"/>
              <w:ind w:left="7"/>
              <w:jc w:val="center"/>
              <w:rPr>
                <w:sz w:val="20"/>
              </w:rPr>
            </w:pPr>
            <w:r>
              <w:rPr>
                <w:spacing w:val="-4"/>
                <w:sz w:val="20"/>
              </w:rPr>
              <w:t>2.41</w:t>
            </w:r>
          </w:p>
        </w:tc>
        <w:tc>
          <w:tcPr>
            <w:tcW w:w="1841" w:type="dxa"/>
          </w:tcPr>
          <w:p>
            <w:pPr>
              <w:pStyle w:val="TableParagraph"/>
              <w:ind w:left="6"/>
              <w:jc w:val="center"/>
              <w:rPr>
                <w:sz w:val="20"/>
              </w:rPr>
            </w:pPr>
            <w:r>
              <w:rPr>
                <w:spacing w:val="-2"/>
                <w:sz w:val="20"/>
              </w:rPr>
              <w:t>97.45</w:t>
            </w:r>
          </w:p>
        </w:tc>
        <w:tc>
          <w:tcPr>
            <w:tcW w:w="1419" w:type="dxa"/>
          </w:tcPr>
          <w:p>
            <w:pPr>
              <w:pStyle w:val="TableParagraph"/>
              <w:ind w:left="7" w:right="2"/>
              <w:jc w:val="center"/>
              <w:rPr>
                <w:sz w:val="20"/>
              </w:rPr>
            </w:pPr>
            <w:r>
              <w:rPr>
                <w:spacing w:val="-4"/>
                <w:sz w:val="20"/>
              </w:rPr>
              <w:t>0.13</w:t>
            </w:r>
          </w:p>
        </w:tc>
        <w:tc>
          <w:tcPr>
            <w:tcW w:w="1702" w:type="dxa"/>
          </w:tcPr>
          <w:p>
            <w:pPr>
              <w:pStyle w:val="TableParagraph"/>
              <w:ind w:left="4"/>
              <w:jc w:val="center"/>
              <w:rPr>
                <w:sz w:val="20"/>
              </w:rPr>
            </w:pPr>
            <w:r>
              <w:rPr>
                <w:spacing w:val="-4"/>
                <w:sz w:val="20"/>
              </w:rPr>
              <w:t>0.63</w:t>
            </w:r>
          </w:p>
        </w:tc>
        <w:tc>
          <w:tcPr>
            <w:tcW w:w="2268" w:type="dxa"/>
          </w:tcPr>
          <w:p>
            <w:pPr>
              <w:pStyle w:val="TableParagraph"/>
              <w:ind w:left="3" w:right="3"/>
              <w:jc w:val="center"/>
              <w:rPr>
                <w:sz w:val="20"/>
              </w:rPr>
            </w:pPr>
            <w:r>
              <w:rPr>
                <w:spacing w:val="-2"/>
                <w:sz w:val="20"/>
              </w:rPr>
              <w:t>99.24</w:t>
            </w:r>
          </w:p>
        </w:tc>
      </w:tr>
      <w:tr>
        <w:trPr>
          <w:trHeight w:val="299" w:hRule="atLeast"/>
        </w:trPr>
        <w:tc>
          <w:tcPr>
            <w:tcW w:w="460" w:type="dxa"/>
          </w:tcPr>
          <w:p>
            <w:pPr>
              <w:pStyle w:val="TableParagraph"/>
              <w:ind w:right="30"/>
              <w:jc w:val="center"/>
              <w:rPr>
                <w:sz w:val="20"/>
              </w:rPr>
            </w:pPr>
            <w:r>
              <w:rPr>
                <w:spacing w:val="-5"/>
                <w:sz w:val="20"/>
              </w:rPr>
              <w:t>12</w:t>
            </w:r>
          </w:p>
        </w:tc>
        <w:tc>
          <w:tcPr>
            <w:tcW w:w="1660" w:type="dxa"/>
          </w:tcPr>
          <w:p>
            <w:pPr>
              <w:pStyle w:val="TableParagraph"/>
              <w:ind w:left="4"/>
              <w:jc w:val="center"/>
              <w:rPr>
                <w:sz w:val="20"/>
              </w:rPr>
            </w:pPr>
            <w:r>
              <w:rPr>
                <w:spacing w:val="-4"/>
                <w:sz w:val="20"/>
              </w:rPr>
              <w:t>0.90</w:t>
            </w:r>
          </w:p>
        </w:tc>
        <w:tc>
          <w:tcPr>
            <w:tcW w:w="1419" w:type="dxa"/>
          </w:tcPr>
          <w:p>
            <w:pPr>
              <w:pStyle w:val="TableParagraph"/>
              <w:ind w:left="7"/>
              <w:jc w:val="center"/>
              <w:rPr>
                <w:sz w:val="20"/>
              </w:rPr>
            </w:pPr>
            <w:r>
              <w:rPr>
                <w:spacing w:val="-4"/>
                <w:sz w:val="20"/>
              </w:rPr>
              <w:t>0.00</w:t>
            </w:r>
          </w:p>
        </w:tc>
        <w:tc>
          <w:tcPr>
            <w:tcW w:w="1841" w:type="dxa"/>
          </w:tcPr>
          <w:p>
            <w:pPr>
              <w:pStyle w:val="TableParagraph"/>
              <w:ind w:left="6"/>
              <w:jc w:val="center"/>
              <w:rPr>
                <w:sz w:val="20"/>
              </w:rPr>
            </w:pPr>
            <w:r>
              <w:rPr>
                <w:spacing w:val="-2"/>
                <w:sz w:val="20"/>
              </w:rPr>
              <w:t>99.10</w:t>
            </w:r>
          </w:p>
        </w:tc>
        <w:tc>
          <w:tcPr>
            <w:tcW w:w="1419" w:type="dxa"/>
          </w:tcPr>
          <w:p>
            <w:pPr>
              <w:pStyle w:val="TableParagraph"/>
              <w:ind w:left="7" w:right="2"/>
              <w:jc w:val="center"/>
              <w:rPr>
                <w:sz w:val="20"/>
              </w:rPr>
            </w:pPr>
            <w:r>
              <w:rPr>
                <w:spacing w:val="-4"/>
                <w:sz w:val="20"/>
              </w:rPr>
              <w:t>4.39</w:t>
            </w:r>
          </w:p>
        </w:tc>
        <w:tc>
          <w:tcPr>
            <w:tcW w:w="1702" w:type="dxa"/>
          </w:tcPr>
          <w:p>
            <w:pPr>
              <w:pStyle w:val="TableParagraph"/>
              <w:ind w:left="4"/>
              <w:jc w:val="center"/>
              <w:rPr>
                <w:sz w:val="20"/>
              </w:rPr>
            </w:pPr>
            <w:r>
              <w:rPr>
                <w:spacing w:val="-4"/>
                <w:sz w:val="20"/>
              </w:rPr>
              <w:t>1.31</w:t>
            </w:r>
          </w:p>
        </w:tc>
        <w:tc>
          <w:tcPr>
            <w:tcW w:w="2268" w:type="dxa"/>
          </w:tcPr>
          <w:p>
            <w:pPr>
              <w:pStyle w:val="TableParagraph"/>
              <w:ind w:left="2" w:right="3"/>
              <w:jc w:val="center"/>
              <w:rPr>
                <w:sz w:val="20"/>
              </w:rPr>
            </w:pPr>
            <w:r>
              <w:rPr>
                <w:spacing w:val="-2"/>
                <w:sz w:val="20"/>
              </w:rPr>
              <w:t>94.30</w:t>
            </w:r>
          </w:p>
        </w:tc>
      </w:tr>
      <w:tr>
        <w:trPr>
          <w:trHeight w:val="299" w:hRule="atLeast"/>
        </w:trPr>
        <w:tc>
          <w:tcPr>
            <w:tcW w:w="460" w:type="dxa"/>
          </w:tcPr>
          <w:p>
            <w:pPr>
              <w:pStyle w:val="TableParagraph"/>
              <w:ind w:right="30"/>
              <w:jc w:val="center"/>
              <w:rPr>
                <w:sz w:val="20"/>
              </w:rPr>
            </w:pPr>
            <w:r>
              <w:rPr>
                <w:spacing w:val="-5"/>
                <w:sz w:val="20"/>
              </w:rPr>
              <w:t>13</w:t>
            </w:r>
          </w:p>
        </w:tc>
        <w:tc>
          <w:tcPr>
            <w:tcW w:w="1660" w:type="dxa"/>
          </w:tcPr>
          <w:p>
            <w:pPr>
              <w:pStyle w:val="TableParagraph"/>
              <w:ind w:left="4"/>
              <w:jc w:val="center"/>
              <w:rPr>
                <w:sz w:val="20"/>
              </w:rPr>
            </w:pPr>
            <w:r>
              <w:rPr>
                <w:spacing w:val="-4"/>
                <w:sz w:val="20"/>
              </w:rPr>
              <w:t>2.12</w:t>
            </w:r>
          </w:p>
        </w:tc>
        <w:tc>
          <w:tcPr>
            <w:tcW w:w="1419" w:type="dxa"/>
          </w:tcPr>
          <w:p>
            <w:pPr>
              <w:pStyle w:val="TableParagraph"/>
              <w:ind w:left="7"/>
              <w:jc w:val="center"/>
              <w:rPr>
                <w:sz w:val="20"/>
              </w:rPr>
            </w:pPr>
            <w:r>
              <w:rPr>
                <w:spacing w:val="-4"/>
                <w:sz w:val="20"/>
              </w:rPr>
              <w:t>4.37</w:t>
            </w:r>
          </w:p>
        </w:tc>
        <w:tc>
          <w:tcPr>
            <w:tcW w:w="1841" w:type="dxa"/>
          </w:tcPr>
          <w:p>
            <w:pPr>
              <w:pStyle w:val="TableParagraph"/>
              <w:ind w:left="6"/>
              <w:jc w:val="center"/>
              <w:rPr>
                <w:sz w:val="20"/>
              </w:rPr>
            </w:pPr>
            <w:r>
              <w:rPr>
                <w:spacing w:val="-2"/>
                <w:sz w:val="20"/>
              </w:rPr>
              <w:t>93.51</w:t>
            </w:r>
          </w:p>
        </w:tc>
        <w:tc>
          <w:tcPr>
            <w:tcW w:w="1419" w:type="dxa"/>
          </w:tcPr>
          <w:p>
            <w:pPr>
              <w:pStyle w:val="TableParagraph"/>
              <w:ind w:left="7" w:right="2"/>
              <w:jc w:val="center"/>
              <w:rPr>
                <w:sz w:val="20"/>
              </w:rPr>
            </w:pPr>
            <w:r>
              <w:rPr>
                <w:spacing w:val="-4"/>
                <w:sz w:val="20"/>
              </w:rPr>
              <w:t>2.08</w:t>
            </w:r>
          </w:p>
        </w:tc>
        <w:tc>
          <w:tcPr>
            <w:tcW w:w="1702" w:type="dxa"/>
          </w:tcPr>
          <w:p>
            <w:pPr>
              <w:pStyle w:val="TableParagraph"/>
              <w:ind w:left="4"/>
              <w:jc w:val="center"/>
              <w:rPr>
                <w:sz w:val="20"/>
              </w:rPr>
            </w:pPr>
            <w:r>
              <w:rPr>
                <w:spacing w:val="-4"/>
                <w:sz w:val="20"/>
              </w:rPr>
              <w:t>1.82</w:t>
            </w:r>
          </w:p>
        </w:tc>
        <w:tc>
          <w:tcPr>
            <w:tcW w:w="2268" w:type="dxa"/>
          </w:tcPr>
          <w:p>
            <w:pPr>
              <w:pStyle w:val="TableParagraph"/>
              <w:ind w:left="2" w:right="3"/>
              <w:jc w:val="center"/>
              <w:rPr>
                <w:sz w:val="20"/>
              </w:rPr>
            </w:pPr>
            <w:r>
              <w:rPr>
                <w:spacing w:val="-2"/>
                <w:sz w:val="20"/>
              </w:rPr>
              <w:t>96.10</w:t>
            </w:r>
          </w:p>
        </w:tc>
      </w:tr>
      <w:tr>
        <w:trPr>
          <w:trHeight w:val="299" w:hRule="atLeast"/>
        </w:trPr>
        <w:tc>
          <w:tcPr>
            <w:tcW w:w="460" w:type="dxa"/>
          </w:tcPr>
          <w:p>
            <w:pPr>
              <w:pStyle w:val="TableParagraph"/>
              <w:ind w:right="30"/>
              <w:jc w:val="center"/>
              <w:rPr>
                <w:sz w:val="20"/>
              </w:rPr>
            </w:pPr>
            <w:r>
              <w:rPr>
                <w:spacing w:val="-5"/>
                <w:sz w:val="20"/>
              </w:rPr>
              <w:t>14</w:t>
            </w:r>
          </w:p>
        </w:tc>
        <w:tc>
          <w:tcPr>
            <w:tcW w:w="1660" w:type="dxa"/>
          </w:tcPr>
          <w:p>
            <w:pPr>
              <w:pStyle w:val="TableParagraph"/>
              <w:ind w:left="4"/>
              <w:jc w:val="center"/>
              <w:rPr>
                <w:sz w:val="20"/>
              </w:rPr>
            </w:pPr>
            <w:r>
              <w:rPr>
                <w:spacing w:val="-4"/>
                <w:sz w:val="20"/>
              </w:rPr>
              <w:t>9.84</w:t>
            </w:r>
          </w:p>
        </w:tc>
        <w:tc>
          <w:tcPr>
            <w:tcW w:w="1419" w:type="dxa"/>
          </w:tcPr>
          <w:p>
            <w:pPr>
              <w:pStyle w:val="TableParagraph"/>
              <w:ind w:left="7"/>
              <w:jc w:val="center"/>
              <w:rPr>
                <w:sz w:val="20"/>
              </w:rPr>
            </w:pPr>
            <w:r>
              <w:rPr>
                <w:spacing w:val="-4"/>
                <w:sz w:val="20"/>
              </w:rPr>
              <w:t>5.53</w:t>
            </w:r>
          </w:p>
        </w:tc>
        <w:tc>
          <w:tcPr>
            <w:tcW w:w="1841" w:type="dxa"/>
          </w:tcPr>
          <w:p>
            <w:pPr>
              <w:pStyle w:val="TableParagraph"/>
              <w:ind w:left="6"/>
              <w:jc w:val="center"/>
              <w:rPr>
                <w:sz w:val="20"/>
              </w:rPr>
            </w:pPr>
            <w:r>
              <w:rPr>
                <w:spacing w:val="-2"/>
                <w:sz w:val="20"/>
              </w:rPr>
              <w:t>84.63</w:t>
            </w:r>
          </w:p>
        </w:tc>
        <w:tc>
          <w:tcPr>
            <w:tcW w:w="1419" w:type="dxa"/>
          </w:tcPr>
          <w:p>
            <w:pPr>
              <w:pStyle w:val="TableParagraph"/>
              <w:ind w:left="7" w:right="2"/>
              <w:jc w:val="center"/>
              <w:rPr>
                <w:sz w:val="20"/>
              </w:rPr>
            </w:pPr>
            <w:r>
              <w:rPr>
                <w:spacing w:val="-4"/>
                <w:sz w:val="20"/>
              </w:rPr>
              <w:t>9.68</w:t>
            </w:r>
          </w:p>
        </w:tc>
        <w:tc>
          <w:tcPr>
            <w:tcW w:w="1702" w:type="dxa"/>
          </w:tcPr>
          <w:p>
            <w:pPr>
              <w:pStyle w:val="TableParagraph"/>
              <w:ind w:left="4" w:right="1"/>
              <w:jc w:val="center"/>
              <w:rPr>
                <w:sz w:val="20"/>
              </w:rPr>
            </w:pPr>
            <w:r>
              <w:rPr>
                <w:spacing w:val="-4"/>
                <w:sz w:val="20"/>
              </w:rPr>
              <w:t>0.00</w:t>
            </w:r>
          </w:p>
        </w:tc>
        <w:tc>
          <w:tcPr>
            <w:tcW w:w="2268" w:type="dxa"/>
          </w:tcPr>
          <w:p>
            <w:pPr>
              <w:pStyle w:val="TableParagraph"/>
              <w:ind w:left="3" w:right="3"/>
              <w:jc w:val="center"/>
              <w:rPr>
                <w:sz w:val="20"/>
              </w:rPr>
            </w:pPr>
            <w:r>
              <w:rPr>
                <w:spacing w:val="-2"/>
                <w:sz w:val="20"/>
              </w:rPr>
              <w:t>90.32</w:t>
            </w:r>
          </w:p>
        </w:tc>
      </w:tr>
      <w:tr>
        <w:trPr>
          <w:trHeight w:val="299" w:hRule="atLeast"/>
        </w:trPr>
        <w:tc>
          <w:tcPr>
            <w:tcW w:w="460" w:type="dxa"/>
          </w:tcPr>
          <w:p>
            <w:pPr>
              <w:pStyle w:val="TableParagraph"/>
              <w:ind w:right="30"/>
              <w:jc w:val="center"/>
              <w:rPr>
                <w:sz w:val="20"/>
              </w:rPr>
            </w:pPr>
            <w:r>
              <w:rPr>
                <w:spacing w:val="-5"/>
                <w:sz w:val="20"/>
              </w:rPr>
              <w:t>15</w:t>
            </w:r>
          </w:p>
        </w:tc>
        <w:tc>
          <w:tcPr>
            <w:tcW w:w="1660" w:type="dxa"/>
          </w:tcPr>
          <w:p>
            <w:pPr>
              <w:pStyle w:val="TableParagraph"/>
              <w:ind w:left="4"/>
              <w:jc w:val="center"/>
              <w:rPr>
                <w:sz w:val="20"/>
              </w:rPr>
            </w:pPr>
            <w:r>
              <w:rPr>
                <w:spacing w:val="-4"/>
                <w:sz w:val="20"/>
              </w:rPr>
              <w:t>2.33</w:t>
            </w:r>
          </w:p>
        </w:tc>
        <w:tc>
          <w:tcPr>
            <w:tcW w:w="1419" w:type="dxa"/>
          </w:tcPr>
          <w:p>
            <w:pPr>
              <w:pStyle w:val="TableParagraph"/>
              <w:ind w:left="7"/>
              <w:jc w:val="center"/>
              <w:rPr>
                <w:sz w:val="20"/>
              </w:rPr>
            </w:pPr>
            <w:r>
              <w:rPr>
                <w:spacing w:val="-4"/>
                <w:sz w:val="20"/>
              </w:rPr>
              <w:t>0.00</w:t>
            </w:r>
          </w:p>
        </w:tc>
        <w:tc>
          <w:tcPr>
            <w:tcW w:w="1841" w:type="dxa"/>
          </w:tcPr>
          <w:p>
            <w:pPr>
              <w:pStyle w:val="TableParagraph"/>
              <w:ind w:left="6"/>
              <w:jc w:val="center"/>
              <w:rPr>
                <w:sz w:val="20"/>
              </w:rPr>
            </w:pPr>
            <w:r>
              <w:rPr>
                <w:spacing w:val="-2"/>
                <w:sz w:val="20"/>
              </w:rPr>
              <w:t>97.67</w:t>
            </w:r>
          </w:p>
        </w:tc>
        <w:tc>
          <w:tcPr>
            <w:tcW w:w="1419" w:type="dxa"/>
          </w:tcPr>
          <w:p>
            <w:pPr>
              <w:pStyle w:val="TableParagraph"/>
              <w:ind w:left="7" w:right="2"/>
              <w:jc w:val="center"/>
              <w:rPr>
                <w:sz w:val="20"/>
              </w:rPr>
            </w:pPr>
            <w:r>
              <w:rPr>
                <w:spacing w:val="-4"/>
                <w:sz w:val="20"/>
              </w:rPr>
              <w:t>2.41</w:t>
            </w:r>
          </w:p>
        </w:tc>
        <w:tc>
          <w:tcPr>
            <w:tcW w:w="1702" w:type="dxa"/>
          </w:tcPr>
          <w:p>
            <w:pPr>
              <w:pStyle w:val="TableParagraph"/>
              <w:ind w:left="4"/>
              <w:jc w:val="center"/>
              <w:rPr>
                <w:sz w:val="20"/>
              </w:rPr>
            </w:pPr>
            <w:r>
              <w:rPr>
                <w:spacing w:val="-4"/>
                <w:sz w:val="20"/>
              </w:rPr>
              <w:t>0.04</w:t>
            </w:r>
          </w:p>
        </w:tc>
        <w:tc>
          <w:tcPr>
            <w:tcW w:w="2268" w:type="dxa"/>
          </w:tcPr>
          <w:p>
            <w:pPr>
              <w:pStyle w:val="TableParagraph"/>
              <w:ind w:left="3" w:right="3"/>
              <w:jc w:val="center"/>
              <w:rPr>
                <w:sz w:val="20"/>
              </w:rPr>
            </w:pPr>
            <w:r>
              <w:rPr>
                <w:spacing w:val="-2"/>
                <w:sz w:val="20"/>
              </w:rPr>
              <w:t>97.55</w:t>
            </w:r>
          </w:p>
        </w:tc>
      </w:tr>
      <w:tr>
        <w:trPr>
          <w:trHeight w:val="239" w:hRule="atLeast"/>
        </w:trPr>
        <w:tc>
          <w:tcPr>
            <w:tcW w:w="460" w:type="dxa"/>
            <w:vMerge w:val="restart"/>
          </w:tcPr>
          <w:p>
            <w:pPr>
              <w:pStyle w:val="TableParagraph"/>
              <w:rPr>
                <w:sz w:val="20"/>
              </w:rPr>
            </w:pPr>
          </w:p>
        </w:tc>
        <w:tc>
          <w:tcPr>
            <w:tcW w:w="1660" w:type="dxa"/>
            <w:tcBorders>
              <w:bottom w:val="nil"/>
            </w:tcBorders>
          </w:tcPr>
          <w:p>
            <w:pPr>
              <w:pStyle w:val="TableParagraph"/>
              <w:spacing w:line="217" w:lineRule="exact" w:before="2"/>
              <w:ind w:left="103"/>
              <w:rPr>
                <w:sz w:val="20"/>
              </w:rPr>
            </w:pPr>
            <w:r>
              <w:rPr>
                <w:spacing w:val="-2"/>
                <w:sz w:val="20"/>
              </w:rPr>
              <w:t>51.56</w:t>
            </w:r>
          </w:p>
        </w:tc>
        <w:tc>
          <w:tcPr>
            <w:tcW w:w="1419" w:type="dxa"/>
            <w:tcBorders>
              <w:bottom w:val="nil"/>
            </w:tcBorders>
          </w:tcPr>
          <w:p>
            <w:pPr>
              <w:pStyle w:val="TableParagraph"/>
              <w:spacing w:line="217" w:lineRule="exact" w:before="2"/>
              <w:ind w:left="107"/>
              <w:rPr>
                <w:sz w:val="20"/>
              </w:rPr>
            </w:pPr>
            <w:r>
              <w:rPr>
                <w:spacing w:val="-2"/>
                <w:sz w:val="20"/>
              </w:rPr>
              <w:t>58.27</w:t>
            </w:r>
          </w:p>
        </w:tc>
        <w:tc>
          <w:tcPr>
            <w:tcW w:w="1841" w:type="dxa"/>
            <w:tcBorders>
              <w:bottom w:val="nil"/>
            </w:tcBorders>
          </w:tcPr>
          <w:p>
            <w:pPr>
              <w:pStyle w:val="TableParagraph"/>
              <w:spacing w:line="217" w:lineRule="exact" w:before="2"/>
              <w:ind w:left="104"/>
              <w:rPr>
                <w:sz w:val="20"/>
              </w:rPr>
            </w:pPr>
            <w:r>
              <w:rPr>
                <w:spacing w:val="-2"/>
                <w:sz w:val="20"/>
              </w:rPr>
              <w:t>1390.18</w:t>
            </w:r>
          </w:p>
        </w:tc>
        <w:tc>
          <w:tcPr>
            <w:tcW w:w="1419" w:type="dxa"/>
            <w:tcBorders>
              <w:bottom w:val="nil"/>
            </w:tcBorders>
          </w:tcPr>
          <w:p>
            <w:pPr>
              <w:pStyle w:val="TableParagraph"/>
              <w:spacing w:line="217" w:lineRule="exact" w:before="2"/>
              <w:ind w:left="106"/>
              <w:rPr>
                <w:sz w:val="20"/>
              </w:rPr>
            </w:pPr>
            <w:r>
              <w:rPr>
                <w:spacing w:val="-2"/>
                <w:sz w:val="20"/>
              </w:rPr>
              <w:t>43.19</w:t>
            </w:r>
          </w:p>
        </w:tc>
        <w:tc>
          <w:tcPr>
            <w:tcW w:w="1702" w:type="dxa"/>
            <w:tcBorders>
              <w:bottom w:val="nil"/>
            </w:tcBorders>
          </w:tcPr>
          <w:p>
            <w:pPr>
              <w:pStyle w:val="TableParagraph"/>
              <w:spacing w:line="217" w:lineRule="exact" w:before="2"/>
              <w:ind w:left="105"/>
              <w:rPr>
                <w:sz w:val="20"/>
              </w:rPr>
            </w:pPr>
            <w:r>
              <w:rPr>
                <w:spacing w:val="-2"/>
                <w:sz w:val="20"/>
              </w:rPr>
              <w:t>19.27</w:t>
            </w:r>
          </w:p>
        </w:tc>
        <w:tc>
          <w:tcPr>
            <w:tcW w:w="2268" w:type="dxa"/>
            <w:tcBorders>
              <w:bottom w:val="nil"/>
            </w:tcBorders>
          </w:tcPr>
          <w:p>
            <w:pPr>
              <w:pStyle w:val="TableParagraph"/>
              <w:spacing w:line="217" w:lineRule="exact" w:before="2"/>
              <w:ind w:left="102"/>
              <w:rPr>
                <w:sz w:val="20"/>
              </w:rPr>
            </w:pPr>
            <w:r>
              <w:rPr>
                <w:spacing w:val="-2"/>
                <w:sz w:val="20"/>
              </w:rPr>
              <w:t>1437.54</w:t>
            </w:r>
          </w:p>
        </w:tc>
      </w:tr>
      <w:tr>
        <w:trPr>
          <w:trHeight w:val="234" w:hRule="atLeast"/>
        </w:trPr>
        <w:tc>
          <w:tcPr>
            <w:tcW w:w="460" w:type="dxa"/>
            <w:vMerge/>
            <w:tcBorders>
              <w:top w:val="nil"/>
            </w:tcBorders>
          </w:tcPr>
          <w:p>
            <w:pPr>
              <w:rPr>
                <w:sz w:val="2"/>
                <w:szCs w:val="2"/>
              </w:rPr>
            </w:pPr>
          </w:p>
        </w:tc>
        <w:tc>
          <w:tcPr>
            <w:tcW w:w="1660" w:type="dxa"/>
            <w:tcBorders>
              <w:top w:val="nil"/>
              <w:bottom w:val="nil"/>
            </w:tcBorders>
          </w:tcPr>
          <w:p>
            <w:pPr>
              <w:pStyle w:val="TableParagraph"/>
              <w:spacing w:line="215" w:lineRule="exact"/>
              <w:ind w:left="103"/>
              <w:rPr>
                <w:sz w:val="20"/>
              </w:rPr>
            </w:pPr>
            <w:r>
              <w:rPr>
                <w:sz w:val="20"/>
              </w:rPr>
              <w:t>Сред</w:t>
            </w:r>
            <w:r>
              <w:rPr>
                <w:spacing w:val="-6"/>
                <w:sz w:val="20"/>
              </w:rPr>
              <w:t> </w:t>
            </w:r>
            <w:r>
              <w:rPr>
                <w:spacing w:val="-4"/>
                <w:sz w:val="20"/>
              </w:rPr>
              <w:t>3.44</w:t>
            </w:r>
          </w:p>
        </w:tc>
        <w:tc>
          <w:tcPr>
            <w:tcW w:w="1419" w:type="dxa"/>
            <w:tcBorders>
              <w:top w:val="nil"/>
              <w:bottom w:val="nil"/>
            </w:tcBorders>
          </w:tcPr>
          <w:p>
            <w:pPr>
              <w:pStyle w:val="TableParagraph"/>
              <w:spacing w:line="215" w:lineRule="exact"/>
              <w:ind w:left="107"/>
              <w:rPr>
                <w:sz w:val="20"/>
              </w:rPr>
            </w:pPr>
            <w:r>
              <w:rPr>
                <w:spacing w:val="-4"/>
                <w:sz w:val="20"/>
              </w:rPr>
              <w:t>3.88</w:t>
            </w:r>
          </w:p>
        </w:tc>
        <w:tc>
          <w:tcPr>
            <w:tcW w:w="1841" w:type="dxa"/>
            <w:tcBorders>
              <w:top w:val="nil"/>
              <w:bottom w:val="nil"/>
            </w:tcBorders>
          </w:tcPr>
          <w:p>
            <w:pPr>
              <w:pStyle w:val="TableParagraph"/>
              <w:spacing w:line="215" w:lineRule="exact"/>
              <w:ind w:left="104"/>
              <w:rPr>
                <w:sz w:val="20"/>
              </w:rPr>
            </w:pPr>
            <w:r>
              <w:rPr>
                <w:spacing w:val="-2"/>
                <w:sz w:val="20"/>
              </w:rPr>
              <w:t>92.68</w:t>
            </w:r>
          </w:p>
        </w:tc>
        <w:tc>
          <w:tcPr>
            <w:tcW w:w="1419" w:type="dxa"/>
            <w:tcBorders>
              <w:top w:val="nil"/>
              <w:bottom w:val="nil"/>
            </w:tcBorders>
          </w:tcPr>
          <w:p>
            <w:pPr>
              <w:pStyle w:val="TableParagraph"/>
              <w:spacing w:line="215" w:lineRule="exact"/>
              <w:ind w:left="106"/>
              <w:rPr>
                <w:sz w:val="20"/>
              </w:rPr>
            </w:pPr>
            <w:r>
              <w:rPr>
                <w:spacing w:val="-4"/>
                <w:sz w:val="20"/>
              </w:rPr>
              <w:t>2.88</w:t>
            </w:r>
          </w:p>
        </w:tc>
        <w:tc>
          <w:tcPr>
            <w:tcW w:w="1702" w:type="dxa"/>
            <w:tcBorders>
              <w:top w:val="nil"/>
              <w:bottom w:val="nil"/>
            </w:tcBorders>
          </w:tcPr>
          <w:p>
            <w:pPr>
              <w:pStyle w:val="TableParagraph"/>
              <w:spacing w:line="215" w:lineRule="exact"/>
              <w:ind w:left="105"/>
              <w:rPr>
                <w:sz w:val="20"/>
              </w:rPr>
            </w:pPr>
            <w:r>
              <w:rPr>
                <w:spacing w:val="-4"/>
                <w:sz w:val="20"/>
              </w:rPr>
              <w:t>1.28</w:t>
            </w:r>
          </w:p>
        </w:tc>
        <w:tc>
          <w:tcPr>
            <w:tcW w:w="2268" w:type="dxa"/>
            <w:tcBorders>
              <w:top w:val="nil"/>
              <w:bottom w:val="nil"/>
            </w:tcBorders>
          </w:tcPr>
          <w:p>
            <w:pPr>
              <w:pStyle w:val="TableParagraph"/>
              <w:spacing w:line="215" w:lineRule="exact"/>
              <w:ind w:left="102"/>
              <w:rPr>
                <w:sz w:val="20"/>
              </w:rPr>
            </w:pPr>
            <w:r>
              <w:rPr>
                <w:spacing w:val="-2"/>
                <w:sz w:val="20"/>
              </w:rPr>
              <w:t>95.84</w:t>
            </w:r>
          </w:p>
        </w:tc>
      </w:tr>
      <w:tr>
        <w:trPr>
          <w:trHeight w:val="352" w:hRule="atLeast"/>
        </w:trPr>
        <w:tc>
          <w:tcPr>
            <w:tcW w:w="460" w:type="dxa"/>
            <w:vMerge/>
            <w:tcBorders>
              <w:top w:val="nil"/>
            </w:tcBorders>
          </w:tcPr>
          <w:p>
            <w:pPr>
              <w:rPr>
                <w:sz w:val="2"/>
                <w:szCs w:val="2"/>
              </w:rPr>
            </w:pPr>
          </w:p>
        </w:tc>
        <w:tc>
          <w:tcPr>
            <w:tcW w:w="1660" w:type="dxa"/>
            <w:tcBorders>
              <w:top w:val="nil"/>
            </w:tcBorders>
          </w:tcPr>
          <w:p>
            <w:pPr>
              <w:pStyle w:val="TableParagraph"/>
              <w:spacing w:line="228" w:lineRule="exact"/>
              <w:ind w:left="103"/>
              <w:rPr>
                <w:sz w:val="20"/>
              </w:rPr>
            </w:pPr>
            <w:r>
              <w:rPr>
                <w:spacing w:val="-2"/>
                <w:sz w:val="20"/>
              </w:rPr>
              <w:t>SE=0.71</w:t>
            </w:r>
          </w:p>
        </w:tc>
        <w:tc>
          <w:tcPr>
            <w:tcW w:w="1419" w:type="dxa"/>
            <w:tcBorders>
              <w:top w:val="nil"/>
            </w:tcBorders>
          </w:tcPr>
          <w:p>
            <w:pPr>
              <w:pStyle w:val="TableParagraph"/>
              <w:spacing w:line="228" w:lineRule="exact"/>
              <w:ind w:left="107"/>
              <w:rPr>
                <w:sz w:val="20"/>
              </w:rPr>
            </w:pPr>
            <w:r>
              <w:rPr>
                <w:spacing w:val="-2"/>
                <w:sz w:val="20"/>
              </w:rPr>
              <w:t>SE=1.02</w:t>
            </w:r>
          </w:p>
        </w:tc>
        <w:tc>
          <w:tcPr>
            <w:tcW w:w="1841" w:type="dxa"/>
            <w:tcBorders>
              <w:top w:val="nil"/>
            </w:tcBorders>
          </w:tcPr>
          <w:p>
            <w:pPr>
              <w:pStyle w:val="TableParagraph"/>
              <w:spacing w:line="228" w:lineRule="exact"/>
              <w:ind w:left="104"/>
              <w:rPr>
                <w:sz w:val="20"/>
              </w:rPr>
            </w:pPr>
            <w:r>
              <w:rPr>
                <w:spacing w:val="-2"/>
                <w:sz w:val="20"/>
              </w:rPr>
              <w:t>SE=1.51</w:t>
            </w:r>
          </w:p>
        </w:tc>
        <w:tc>
          <w:tcPr>
            <w:tcW w:w="1419" w:type="dxa"/>
            <w:tcBorders>
              <w:top w:val="nil"/>
            </w:tcBorders>
          </w:tcPr>
          <w:p>
            <w:pPr>
              <w:pStyle w:val="TableParagraph"/>
              <w:spacing w:line="228" w:lineRule="exact"/>
              <w:ind w:left="106"/>
              <w:rPr>
                <w:sz w:val="20"/>
              </w:rPr>
            </w:pPr>
            <w:r>
              <w:rPr>
                <w:spacing w:val="-2"/>
                <w:sz w:val="20"/>
              </w:rPr>
              <w:t>SE=0.68</w:t>
            </w:r>
          </w:p>
        </w:tc>
        <w:tc>
          <w:tcPr>
            <w:tcW w:w="1702" w:type="dxa"/>
            <w:tcBorders>
              <w:top w:val="nil"/>
            </w:tcBorders>
          </w:tcPr>
          <w:p>
            <w:pPr>
              <w:pStyle w:val="TableParagraph"/>
              <w:spacing w:line="228" w:lineRule="exact"/>
              <w:ind w:left="105"/>
              <w:rPr>
                <w:sz w:val="20"/>
              </w:rPr>
            </w:pPr>
            <w:r>
              <w:rPr>
                <w:spacing w:val="-2"/>
                <w:sz w:val="20"/>
              </w:rPr>
              <w:t>SE=0.53</w:t>
            </w:r>
          </w:p>
        </w:tc>
        <w:tc>
          <w:tcPr>
            <w:tcW w:w="2268" w:type="dxa"/>
            <w:tcBorders>
              <w:top w:val="nil"/>
            </w:tcBorders>
          </w:tcPr>
          <w:p>
            <w:pPr>
              <w:pStyle w:val="TableParagraph"/>
              <w:spacing w:line="228" w:lineRule="exact"/>
              <w:ind w:left="102"/>
              <w:rPr>
                <w:sz w:val="20"/>
              </w:rPr>
            </w:pPr>
            <w:r>
              <w:rPr>
                <w:spacing w:val="-2"/>
                <w:sz w:val="20"/>
              </w:rPr>
              <w:t>SE=0.88</w:t>
            </w:r>
          </w:p>
        </w:tc>
      </w:tr>
    </w:tbl>
    <w:p>
      <w:pPr>
        <w:pStyle w:val="TableParagraph"/>
        <w:spacing w:after="0" w:line="228" w:lineRule="exact"/>
        <w:rPr>
          <w:sz w:val="20"/>
        </w:rPr>
        <w:sectPr>
          <w:footerReference w:type="default" r:id="rId90"/>
          <w:pgSz w:w="11910" w:h="16840"/>
          <w:pgMar w:header="0" w:footer="1002" w:top="1040" w:bottom="1200" w:left="708" w:right="283"/>
          <w:pgNumType w:start="116"/>
        </w:sectPr>
      </w:pPr>
    </w:p>
    <w:p>
      <w:pPr>
        <w:spacing w:before="68"/>
        <w:ind w:left="852" w:right="0" w:firstLine="0"/>
        <w:jc w:val="left"/>
        <w:rPr>
          <w:sz w:val="24"/>
        </w:rPr>
      </w:pPr>
      <w:r>
        <w:rPr>
          <w:sz w:val="24"/>
        </w:rPr>
        <w:t>Продолжение</w:t>
      </w:r>
      <w:r>
        <w:rPr>
          <w:spacing w:val="-1"/>
          <w:sz w:val="24"/>
        </w:rPr>
        <w:t> </w:t>
      </w:r>
      <w:r>
        <w:rPr>
          <w:sz w:val="24"/>
        </w:rPr>
        <w:t>таблицы</w:t>
      </w:r>
      <w:r>
        <w:rPr>
          <w:spacing w:val="-3"/>
          <w:sz w:val="24"/>
        </w:rPr>
        <w:t> </w:t>
      </w:r>
      <w:r>
        <w:rPr>
          <w:spacing w:val="-10"/>
          <w:sz w:val="24"/>
        </w:rPr>
        <w:t>Б</w:t>
      </w:r>
    </w:p>
    <w:p>
      <w:pPr>
        <w:pStyle w:val="BodyText"/>
        <w:spacing w:before="34" w:after="1"/>
        <w:jc w:val="left"/>
        <w:rPr>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3"/>
        <w:gridCol w:w="1861"/>
        <w:gridCol w:w="1579"/>
        <w:gridCol w:w="1579"/>
        <w:gridCol w:w="1579"/>
        <w:gridCol w:w="1867"/>
        <w:gridCol w:w="1658"/>
      </w:tblGrid>
      <w:tr>
        <w:trPr>
          <w:trHeight w:val="736" w:hRule="atLeast"/>
        </w:trPr>
        <w:tc>
          <w:tcPr>
            <w:tcW w:w="623" w:type="dxa"/>
            <w:vMerge w:val="restart"/>
          </w:tcPr>
          <w:p>
            <w:pPr>
              <w:pStyle w:val="TableParagraph"/>
              <w:ind w:left="107"/>
              <w:rPr>
                <w:b/>
                <w:sz w:val="20"/>
              </w:rPr>
            </w:pPr>
            <w:r>
              <w:rPr>
                <w:b/>
                <w:spacing w:val="-10"/>
                <w:sz w:val="20"/>
              </w:rPr>
              <w:t>№</w:t>
            </w:r>
          </w:p>
        </w:tc>
        <w:tc>
          <w:tcPr>
            <w:tcW w:w="5019" w:type="dxa"/>
            <w:gridSpan w:val="3"/>
          </w:tcPr>
          <w:p>
            <w:pPr>
              <w:pStyle w:val="TableParagraph"/>
              <w:spacing w:line="256" w:lineRule="auto"/>
              <w:ind w:left="76" w:right="71"/>
              <w:jc w:val="center"/>
              <w:rPr>
                <w:b/>
                <w:sz w:val="20"/>
              </w:rPr>
            </w:pPr>
            <w:r>
              <w:rPr>
                <w:b/>
                <w:sz w:val="20"/>
              </w:rPr>
              <w:t>Светодиодное</w:t>
            </w:r>
            <w:r>
              <w:rPr>
                <w:b/>
                <w:spacing w:val="-5"/>
                <w:sz w:val="20"/>
              </w:rPr>
              <w:t> </w:t>
            </w:r>
            <w:r>
              <w:rPr>
                <w:b/>
                <w:sz w:val="20"/>
              </w:rPr>
              <w:t>400-750</w:t>
            </w:r>
            <w:r>
              <w:rPr>
                <w:b/>
                <w:spacing w:val="-5"/>
                <w:sz w:val="20"/>
              </w:rPr>
              <w:t> </w:t>
            </w:r>
            <w:r>
              <w:rPr>
                <w:b/>
                <w:sz w:val="20"/>
              </w:rPr>
              <w:t>нм</w:t>
            </w:r>
            <w:r>
              <w:rPr>
                <w:b/>
                <w:spacing w:val="-5"/>
                <w:sz w:val="20"/>
              </w:rPr>
              <w:t> </w:t>
            </w:r>
            <w:r>
              <w:rPr>
                <w:b/>
                <w:sz w:val="20"/>
              </w:rPr>
              <w:t>в</w:t>
            </w:r>
            <w:r>
              <w:rPr>
                <w:b/>
                <w:spacing w:val="-7"/>
                <w:sz w:val="20"/>
              </w:rPr>
              <w:t> </w:t>
            </w:r>
            <w:r>
              <w:rPr>
                <w:b/>
                <w:sz w:val="20"/>
              </w:rPr>
              <w:t>сочетании</w:t>
            </w:r>
            <w:r>
              <w:rPr>
                <w:b/>
                <w:spacing w:val="-5"/>
                <w:sz w:val="20"/>
              </w:rPr>
              <w:t> </w:t>
            </w:r>
            <w:r>
              <w:rPr>
                <w:b/>
                <w:sz w:val="20"/>
              </w:rPr>
              <w:t>с</w:t>
            </w:r>
            <w:r>
              <w:rPr>
                <w:b/>
                <w:spacing w:val="-7"/>
                <w:sz w:val="20"/>
              </w:rPr>
              <w:t> </w:t>
            </w:r>
            <w:r>
              <w:rPr>
                <w:b/>
                <w:sz w:val="20"/>
              </w:rPr>
              <w:t>651</w:t>
            </w:r>
            <w:r>
              <w:rPr>
                <w:b/>
                <w:spacing w:val="-5"/>
                <w:sz w:val="20"/>
              </w:rPr>
              <w:t> </w:t>
            </w:r>
            <w:r>
              <w:rPr>
                <w:b/>
                <w:sz w:val="20"/>
              </w:rPr>
              <w:t>нм лазером и 933 нм инфракрасным ЭМИ,</w:t>
            </w:r>
          </w:p>
          <w:p>
            <w:pPr>
              <w:pStyle w:val="TableParagraph"/>
              <w:spacing w:line="224" w:lineRule="exact"/>
              <w:ind w:left="76" w:right="75"/>
              <w:jc w:val="center"/>
              <w:rPr>
                <w:b/>
                <w:sz w:val="20"/>
              </w:rPr>
            </w:pPr>
            <w:r>
              <w:rPr>
                <w:b/>
                <w:sz w:val="20"/>
              </w:rPr>
              <w:t>t=5</w:t>
            </w:r>
            <w:r>
              <w:rPr>
                <w:b/>
                <w:spacing w:val="-3"/>
                <w:sz w:val="20"/>
              </w:rPr>
              <w:t> </w:t>
            </w:r>
            <w:r>
              <w:rPr>
                <w:b/>
                <w:spacing w:val="-5"/>
                <w:sz w:val="20"/>
              </w:rPr>
              <w:t>мин</w:t>
            </w:r>
          </w:p>
        </w:tc>
        <w:tc>
          <w:tcPr>
            <w:tcW w:w="5104" w:type="dxa"/>
            <w:gridSpan w:val="3"/>
          </w:tcPr>
          <w:p>
            <w:pPr>
              <w:pStyle w:val="TableParagraph"/>
              <w:spacing w:line="256" w:lineRule="auto"/>
              <w:ind w:left="2165" w:right="1440" w:firstLine="297"/>
              <w:rPr>
                <w:b/>
                <w:sz w:val="20"/>
              </w:rPr>
            </w:pPr>
            <w:r>
              <w:rPr>
                <w:b/>
                <w:spacing w:val="-2"/>
                <w:sz w:val="20"/>
              </w:rPr>
              <w:t>Контроль </w:t>
            </w:r>
            <w:r>
              <w:rPr>
                <w:b/>
                <w:sz w:val="20"/>
              </w:rPr>
              <w:t>(темная</w:t>
            </w:r>
            <w:r>
              <w:rPr>
                <w:b/>
                <w:spacing w:val="-13"/>
                <w:sz w:val="20"/>
              </w:rPr>
              <w:t> </w:t>
            </w:r>
            <w:r>
              <w:rPr>
                <w:b/>
                <w:sz w:val="20"/>
              </w:rPr>
              <w:t>камера)</w:t>
            </w:r>
          </w:p>
        </w:tc>
      </w:tr>
      <w:tr>
        <w:trPr>
          <w:trHeight w:val="402" w:hRule="atLeast"/>
        </w:trPr>
        <w:tc>
          <w:tcPr>
            <w:tcW w:w="623" w:type="dxa"/>
            <w:vMerge/>
            <w:tcBorders>
              <w:top w:val="nil"/>
            </w:tcBorders>
          </w:tcPr>
          <w:p>
            <w:pPr>
              <w:rPr>
                <w:sz w:val="2"/>
                <w:szCs w:val="2"/>
              </w:rPr>
            </w:pPr>
          </w:p>
        </w:tc>
        <w:tc>
          <w:tcPr>
            <w:tcW w:w="1861" w:type="dxa"/>
          </w:tcPr>
          <w:p>
            <w:pPr>
              <w:pStyle w:val="TableParagraph"/>
              <w:ind w:left="5" w:right="2"/>
              <w:jc w:val="center"/>
              <w:rPr>
                <w:b/>
                <w:sz w:val="20"/>
              </w:rPr>
            </w:pPr>
            <w:r>
              <w:rPr>
                <w:b/>
                <w:sz w:val="20"/>
              </w:rPr>
              <w:t>PR,</w:t>
            </w:r>
            <w:r>
              <w:rPr>
                <w:b/>
                <w:spacing w:val="-3"/>
                <w:sz w:val="20"/>
              </w:rPr>
              <w:t> </w:t>
            </w:r>
            <w:r>
              <w:rPr>
                <w:b/>
                <w:spacing w:val="-10"/>
                <w:sz w:val="20"/>
              </w:rPr>
              <w:t>%</w:t>
            </w:r>
          </w:p>
        </w:tc>
        <w:tc>
          <w:tcPr>
            <w:tcW w:w="1579" w:type="dxa"/>
          </w:tcPr>
          <w:p>
            <w:pPr>
              <w:pStyle w:val="TableParagraph"/>
              <w:ind w:left="13" w:right="4"/>
              <w:jc w:val="center"/>
              <w:rPr>
                <w:b/>
                <w:sz w:val="20"/>
              </w:rPr>
            </w:pPr>
            <w:r>
              <w:rPr>
                <w:b/>
                <w:sz w:val="20"/>
              </w:rPr>
              <w:t>NP,</w:t>
            </w:r>
            <w:r>
              <w:rPr>
                <w:b/>
                <w:spacing w:val="-3"/>
                <w:sz w:val="20"/>
              </w:rPr>
              <w:t> </w:t>
            </w:r>
            <w:r>
              <w:rPr>
                <w:b/>
                <w:spacing w:val="-10"/>
                <w:sz w:val="20"/>
              </w:rPr>
              <w:t>%</w:t>
            </w:r>
          </w:p>
        </w:tc>
        <w:tc>
          <w:tcPr>
            <w:tcW w:w="1579" w:type="dxa"/>
          </w:tcPr>
          <w:p>
            <w:pPr>
              <w:pStyle w:val="TableParagraph"/>
              <w:ind w:left="13" w:right="11"/>
              <w:jc w:val="center"/>
              <w:rPr>
                <w:b/>
                <w:sz w:val="20"/>
              </w:rPr>
            </w:pPr>
            <w:r>
              <w:rPr>
                <w:b/>
                <w:sz w:val="20"/>
              </w:rPr>
              <w:t>IM,</w:t>
            </w:r>
            <w:r>
              <w:rPr>
                <w:b/>
                <w:spacing w:val="-5"/>
                <w:sz w:val="20"/>
              </w:rPr>
              <w:t> </w:t>
            </w:r>
            <w:r>
              <w:rPr>
                <w:b/>
                <w:spacing w:val="-10"/>
                <w:sz w:val="20"/>
              </w:rPr>
              <w:t>%</w:t>
            </w:r>
          </w:p>
        </w:tc>
        <w:tc>
          <w:tcPr>
            <w:tcW w:w="1579" w:type="dxa"/>
          </w:tcPr>
          <w:p>
            <w:pPr>
              <w:pStyle w:val="TableParagraph"/>
              <w:ind w:left="13" w:right="3"/>
              <w:jc w:val="center"/>
              <w:rPr>
                <w:b/>
                <w:sz w:val="20"/>
              </w:rPr>
            </w:pPr>
            <w:r>
              <w:rPr>
                <w:b/>
                <w:sz w:val="20"/>
              </w:rPr>
              <w:t>PR,</w:t>
            </w:r>
            <w:r>
              <w:rPr>
                <w:b/>
                <w:spacing w:val="-3"/>
                <w:sz w:val="20"/>
              </w:rPr>
              <w:t> </w:t>
            </w:r>
            <w:r>
              <w:rPr>
                <w:b/>
                <w:spacing w:val="-10"/>
                <w:sz w:val="20"/>
              </w:rPr>
              <w:t>%</w:t>
            </w:r>
          </w:p>
        </w:tc>
        <w:tc>
          <w:tcPr>
            <w:tcW w:w="1867" w:type="dxa"/>
          </w:tcPr>
          <w:p>
            <w:pPr>
              <w:pStyle w:val="TableParagraph"/>
              <w:ind w:left="13" w:right="2"/>
              <w:jc w:val="center"/>
              <w:rPr>
                <w:b/>
                <w:sz w:val="20"/>
              </w:rPr>
            </w:pPr>
            <w:r>
              <w:rPr>
                <w:b/>
                <w:sz w:val="20"/>
              </w:rPr>
              <w:t>NP,</w:t>
            </w:r>
            <w:r>
              <w:rPr>
                <w:b/>
                <w:spacing w:val="-3"/>
                <w:sz w:val="20"/>
              </w:rPr>
              <w:t> </w:t>
            </w:r>
            <w:r>
              <w:rPr>
                <w:b/>
                <w:spacing w:val="-10"/>
                <w:sz w:val="20"/>
              </w:rPr>
              <w:t>%</w:t>
            </w:r>
          </w:p>
        </w:tc>
        <w:tc>
          <w:tcPr>
            <w:tcW w:w="1658" w:type="dxa"/>
          </w:tcPr>
          <w:p>
            <w:pPr>
              <w:pStyle w:val="TableParagraph"/>
              <w:ind w:left="9" w:right="8"/>
              <w:jc w:val="center"/>
              <w:rPr>
                <w:b/>
                <w:sz w:val="20"/>
              </w:rPr>
            </w:pPr>
            <w:r>
              <w:rPr>
                <w:b/>
                <w:sz w:val="20"/>
              </w:rPr>
              <w:t>IM,</w:t>
            </w:r>
            <w:r>
              <w:rPr>
                <w:b/>
                <w:spacing w:val="-5"/>
                <w:sz w:val="20"/>
              </w:rPr>
              <w:t> </w:t>
            </w:r>
            <w:r>
              <w:rPr>
                <w:b/>
                <w:spacing w:val="-10"/>
                <w:sz w:val="20"/>
              </w:rPr>
              <w:t>%</w:t>
            </w:r>
          </w:p>
        </w:tc>
      </w:tr>
      <w:tr>
        <w:trPr>
          <w:trHeight w:val="261" w:hRule="atLeast"/>
        </w:trPr>
        <w:tc>
          <w:tcPr>
            <w:tcW w:w="623" w:type="dxa"/>
          </w:tcPr>
          <w:p>
            <w:pPr>
              <w:pStyle w:val="TableParagraph"/>
              <w:ind w:left="107"/>
              <w:rPr>
                <w:sz w:val="20"/>
              </w:rPr>
            </w:pPr>
            <w:r>
              <w:rPr>
                <w:spacing w:val="-10"/>
                <w:sz w:val="20"/>
              </w:rPr>
              <w:t>1</w:t>
            </w:r>
          </w:p>
        </w:tc>
        <w:tc>
          <w:tcPr>
            <w:tcW w:w="1861" w:type="dxa"/>
          </w:tcPr>
          <w:p>
            <w:pPr>
              <w:pStyle w:val="TableParagraph"/>
              <w:ind w:left="5" w:right="1"/>
              <w:jc w:val="center"/>
              <w:rPr>
                <w:sz w:val="20"/>
              </w:rPr>
            </w:pPr>
            <w:r>
              <w:rPr>
                <w:spacing w:val="-4"/>
                <w:sz w:val="20"/>
              </w:rPr>
              <w:t>9.80</w:t>
            </w:r>
          </w:p>
        </w:tc>
        <w:tc>
          <w:tcPr>
            <w:tcW w:w="1579" w:type="dxa"/>
          </w:tcPr>
          <w:p>
            <w:pPr>
              <w:pStyle w:val="TableParagraph"/>
              <w:ind w:left="13" w:right="2"/>
              <w:jc w:val="center"/>
              <w:rPr>
                <w:sz w:val="20"/>
              </w:rPr>
            </w:pPr>
            <w:r>
              <w:rPr>
                <w:spacing w:val="-4"/>
                <w:sz w:val="20"/>
              </w:rPr>
              <w:t>0.00</w:t>
            </w:r>
          </w:p>
        </w:tc>
        <w:tc>
          <w:tcPr>
            <w:tcW w:w="1579" w:type="dxa"/>
          </w:tcPr>
          <w:p>
            <w:pPr>
              <w:pStyle w:val="TableParagraph"/>
              <w:ind w:left="13" w:right="7"/>
              <w:jc w:val="center"/>
              <w:rPr>
                <w:sz w:val="20"/>
              </w:rPr>
            </w:pPr>
            <w:r>
              <w:rPr>
                <w:spacing w:val="-2"/>
                <w:sz w:val="20"/>
              </w:rPr>
              <w:t>90.20</w:t>
            </w:r>
          </w:p>
        </w:tc>
        <w:tc>
          <w:tcPr>
            <w:tcW w:w="1579" w:type="dxa"/>
          </w:tcPr>
          <w:p>
            <w:pPr>
              <w:pStyle w:val="TableParagraph"/>
              <w:ind w:left="13" w:right="2"/>
              <w:jc w:val="center"/>
              <w:rPr>
                <w:sz w:val="20"/>
              </w:rPr>
            </w:pPr>
            <w:r>
              <w:rPr>
                <w:spacing w:val="-4"/>
                <w:sz w:val="20"/>
              </w:rPr>
              <w:t>0.50</w:t>
            </w:r>
          </w:p>
        </w:tc>
        <w:tc>
          <w:tcPr>
            <w:tcW w:w="1867" w:type="dxa"/>
          </w:tcPr>
          <w:p>
            <w:pPr>
              <w:pStyle w:val="TableParagraph"/>
              <w:ind w:left="13" w:right="1"/>
              <w:jc w:val="center"/>
              <w:rPr>
                <w:sz w:val="20"/>
              </w:rPr>
            </w:pPr>
            <w:r>
              <w:rPr>
                <w:spacing w:val="-4"/>
                <w:sz w:val="20"/>
              </w:rPr>
              <w:t>0.00</w:t>
            </w:r>
          </w:p>
        </w:tc>
        <w:tc>
          <w:tcPr>
            <w:tcW w:w="1658" w:type="dxa"/>
          </w:tcPr>
          <w:p>
            <w:pPr>
              <w:pStyle w:val="TableParagraph"/>
              <w:ind w:left="9" w:right="4"/>
              <w:jc w:val="center"/>
              <w:rPr>
                <w:sz w:val="20"/>
              </w:rPr>
            </w:pPr>
            <w:r>
              <w:rPr>
                <w:spacing w:val="-2"/>
                <w:sz w:val="20"/>
              </w:rPr>
              <w:t>99.50</w:t>
            </w:r>
          </w:p>
        </w:tc>
      </w:tr>
      <w:tr>
        <w:trPr>
          <w:trHeight w:val="261" w:hRule="atLeast"/>
        </w:trPr>
        <w:tc>
          <w:tcPr>
            <w:tcW w:w="623" w:type="dxa"/>
          </w:tcPr>
          <w:p>
            <w:pPr>
              <w:pStyle w:val="TableParagraph"/>
              <w:ind w:left="107"/>
              <w:rPr>
                <w:sz w:val="20"/>
              </w:rPr>
            </w:pPr>
            <w:r>
              <w:rPr>
                <w:spacing w:val="-10"/>
                <w:sz w:val="20"/>
              </w:rPr>
              <w:t>2</w:t>
            </w:r>
          </w:p>
        </w:tc>
        <w:tc>
          <w:tcPr>
            <w:tcW w:w="1861" w:type="dxa"/>
          </w:tcPr>
          <w:p>
            <w:pPr>
              <w:pStyle w:val="TableParagraph"/>
              <w:ind w:left="5"/>
              <w:jc w:val="center"/>
              <w:rPr>
                <w:sz w:val="20"/>
              </w:rPr>
            </w:pPr>
            <w:r>
              <w:rPr>
                <w:spacing w:val="-2"/>
                <w:sz w:val="20"/>
              </w:rPr>
              <w:t>23.83</w:t>
            </w:r>
          </w:p>
        </w:tc>
        <w:tc>
          <w:tcPr>
            <w:tcW w:w="1579" w:type="dxa"/>
          </w:tcPr>
          <w:p>
            <w:pPr>
              <w:pStyle w:val="TableParagraph"/>
              <w:ind w:left="13" w:right="1"/>
              <w:jc w:val="center"/>
              <w:rPr>
                <w:sz w:val="20"/>
              </w:rPr>
            </w:pPr>
            <w:r>
              <w:rPr>
                <w:spacing w:val="-4"/>
                <w:sz w:val="20"/>
              </w:rPr>
              <w:t>5.14</w:t>
            </w:r>
          </w:p>
        </w:tc>
        <w:tc>
          <w:tcPr>
            <w:tcW w:w="1579" w:type="dxa"/>
          </w:tcPr>
          <w:p>
            <w:pPr>
              <w:pStyle w:val="TableParagraph"/>
              <w:ind w:left="13" w:right="6"/>
              <w:jc w:val="center"/>
              <w:rPr>
                <w:sz w:val="20"/>
              </w:rPr>
            </w:pPr>
            <w:r>
              <w:rPr>
                <w:spacing w:val="-2"/>
                <w:sz w:val="20"/>
              </w:rPr>
              <w:t>71.03</w:t>
            </w:r>
          </w:p>
        </w:tc>
        <w:tc>
          <w:tcPr>
            <w:tcW w:w="1579" w:type="dxa"/>
          </w:tcPr>
          <w:p>
            <w:pPr>
              <w:pStyle w:val="TableParagraph"/>
              <w:ind w:left="13"/>
              <w:jc w:val="center"/>
              <w:rPr>
                <w:sz w:val="20"/>
              </w:rPr>
            </w:pPr>
            <w:r>
              <w:rPr>
                <w:spacing w:val="-2"/>
                <w:sz w:val="20"/>
              </w:rPr>
              <w:t>11.68</w:t>
            </w:r>
          </w:p>
        </w:tc>
        <w:tc>
          <w:tcPr>
            <w:tcW w:w="1867" w:type="dxa"/>
          </w:tcPr>
          <w:p>
            <w:pPr>
              <w:pStyle w:val="TableParagraph"/>
              <w:ind w:left="13" w:right="1"/>
              <w:jc w:val="center"/>
              <w:rPr>
                <w:sz w:val="20"/>
              </w:rPr>
            </w:pPr>
            <w:r>
              <w:rPr>
                <w:spacing w:val="-4"/>
                <w:sz w:val="20"/>
              </w:rPr>
              <w:t>0.00</w:t>
            </w:r>
          </w:p>
        </w:tc>
        <w:tc>
          <w:tcPr>
            <w:tcW w:w="1658" w:type="dxa"/>
          </w:tcPr>
          <w:p>
            <w:pPr>
              <w:pStyle w:val="TableParagraph"/>
              <w:ind w:left="9" w:right="3"/>
              <w:jc w:val="center"/>
              <w:rPr>
                <w:sz w:val="20"/>
              </w:rPr>
            </w:pPr>
            <w:r>
              <w:rPr>
                <w:spacing w:val="-2"/>
                <w:sz w:val="20"/>
              </w:rPr>
              <w:t>88.32</w:t>
            </w:r>
          </w:p>
        </w:tc>
      </w:tr>
      <w:tr>
        <w:trPr>
          <w:trHeight w:val="261" w:hRule="atLeast"/>
        </w:trPr>
        <w:tc>
          <w:tcPr>
            <w:tcW w:w="623" w:type="dxa"/>
          </w:tcPr>
          <w:p>
            <w:pPr>
              <w:pStyle w:val="TableParagraph"/>
              <w:ind w:left="107"/>
              <w:rPr>
                <w:sz w:val="20"/>
              </w:rPr>
            </w:pPr>
            <w:r>
              <w:rPr>
                <w:spacing w:val="-10"/>
                <w:sz w:val="20"/>
              </w:rPr>
              <w:t>3</w:t>
            </w:r>
          </w:p>
        </w:tc>
        <w:tc>
          <w:tcPr>
            <w:tcW w:w="1861" w:type="dxa"/>
          </w:tcPr>
          <w:p>
            <w:pPr>
              <w:pStyle w:val="TableParagraph"/>
              <w:ind w:left="5"/>
              <w:jc w:val="center"/>
              <w:rPr>
                <w:sz w:val="20"/>
              </w:rPr>
            </w:pPr>
            <w:r>
              <w:rPr>
                <w:spacing w:val="-2"/>
                <w:sz w:val="20"/>
              </w:rPr>
              <w:t>16.27</w:t>
            </w:r>
          </w:p>
        </w:tc>
        <w:tc>
          <w:tcPr>
            <w:tcW w:w="1579" w:type="dxa"/>
          </w:tcPr>
          <w:p>
            <w:pPr>
              <w:pStyle w:val="TableParagraph"/>
              <w:ind w:left="13" w:right="1"/>
              <w:jc w:val="center"/>
              <w:rPr>
                <w:sz w:val="20"/>
              </w:rPr>
            </w:pPr>
            <w:r>
              <w:rPr>
                <w:spacing w:val="-4"/>
                <w:sz w:val="20"/>
              </w:rPr>
              <w:t>0.48</w:t>
            </w:r>
          </w:p>
        </w:tc>
        <w:tc>
          <w:tcPr>
            <w:tcW w:w="1579" w:type="dxa"/>
          </w:tcPr>
          <w:p>
            <w:pPr>
              <w:pStyle w:val="TableParagraph"/>
              <w:ind w:left="13" w:right="6"/>
              <w:jc w:val="center"/>
              <w:rPr>
                <w:sz w:val="20"/>
              </w:rPr>
            </w:pPr>
            <w:r>
              <w:rPr>
                <w:spacing w:val="-2"/>
                <w:sz w:val="20"/>
              </w:rPr>
              <w:t>83.25</w:t>
            </w:r>
          </w:p>
        </w:tc>
        <w:tc>
          <w:tcPr>
            <w:tcW w:w="1579" w:type="dxa"/>
          </w:tcPr>
          <w:p>
            <w:pPr>
              <w:pStyle w:val="TableParagraph"/>
              <w:ind w:left="13"/>
              <w:jc w:val="center"/>
              <w:rPr>
                <w:sz w:val="20"/>
              </w:rPr>
            </w:pPr>
            <w:r>
              <w:rPr>
                <w:spacing w:val="-2"/>
                <w:sz w:val="20"/>
              </w:rPr>
              <w:t>11.68</w:t>
            </w:r>
          </w:p>
        </w:tc>
        <w:tc>
          <w:tcPr>
            <w:tcW w:w="1867" w:type="dxa"/>
          </w:tcPr>
          <w:p>
            <w:pPr>
              <w:pStyle w:val="TableParagraph"/>
              <w:ind w:left="13" w:right="1"/>
              <w:jc w:val="center"/>
              <w:rPr>
                <w:sz w:val="20"/>
              </w:rPr>
            </w:pPr>
            <w:r>
              <w:rPr>
                <w:spacing w:val="-4"/>
                <w:sz w:val="20"/>
              </w:rPr>
              <w:t>0.00</w:t>
            </w:r>
          </w:p>
        </w:tc>
        <w:tc>
          <w:tcPr>
            <w:tcW w:w="1658" w:type="dxa"/>
          </w:tcPr>
          <w:p>
            <w:pPr>
              <w:pStyle w:val="TableParagraph"/>
              <w:ind w:left="9" w:right="3"/>
              <w:jc w:val="center"/>
              <w:rPr>
                <w:sz w:val="20"/>
              </w:rPr>
            </w:pPr>
            <w:r>
              <w:rPr>
                <w:spacing w:val="-2"/>
                <w:sz w:val="20"/>
              </w:rPr>
              <w:t>88.32</w:t>
            </w:r>
          </w:p>
        </w:tc>
      </w:tr>
      <w:tr>
        <w:trPr>
          <w:trHeight w:val="261" w:hRule="atLeast"/>
        </w:trPr>
        <w:tc>
          <w:tcPr>
            <w:tcW w:w="623" w:type="dxa"/>
          </w:tcPr>
          <w:p>
            <w:pPr>
              <w:pStyle w:val="TableParagraph"/>
              <w:ind w:left="107"/>
              <w:rPr>
                <w:sz w:val="20"/>
              </w:rPr>
            </w:pPr>
            <w:r>
              <w:rPr>
                <w:spacing w:val="-10"/>
                <w:sz w:val="20"/>
              </w:rPr>
              <w:t>4</w:t>
            </w:r>
          </w:p>
        </w:tc>
        <w:tc>
          <w:tcPr>
            <w:tcW w:w="1861" w:type="dxa"/>
          </w:tcPr>
          <w:p>
            <w:pPr>
              <w:pStyle w:val="TableParagraph"/>
              <w:ind w:left="5"/>
              <w:jc w:val="center"/>
              <w:rPr>
                <w:sz w:val="20"/>
              </w:rPr>
            </w:pPr>
            <w:r>
              <w:rPr>
                <w:spacing w:val="-4"/>
                <w:sz w:val="20"/>
              </w:rPr>
              <w:t>9.27</w:t>
            </w:r>
          </w:p>
        </w:tc>
        <w:tc>
          <w:tcPr>
            <w:tcW w:w="1579" w:type="dxa"/>
          </w:tcPr>
          <w:p>
            <w:pPr>
              <w:pStyle w:val="TableParagraph"/>
              <w:ind w:left="13" w:right="1"/>
              <w:jc w:val="center"/>
              <w:rPr>
                <w:sz w:val="20"/>
              </w:rPr>
            </w:pPr>
            <w:r>
              <w:rPr>
                <w:spacing w:val="-4"/>
                <w:sz w:val="20"/>
              </w:rPr>
              <w:t>0.49</w:t>
            </w:r>
          </w:p>
        </w:tc>
        <w:tc>
          <w:tcPr>
            <w:tcW w:w="1579" w:type="dxa"/>
          </w:tcPr>
          <w:p>
            <w:pPr>
              <w:pStyle w:val="TableParagraph"/>
              <w:ind w:left="13" w:right="6"/>
              <w:jc w:val="center"/>
              <w:rPr>
                <w:sz w:val="20"/>
              </w:rPr>
            </w:pPr>
            <w:r>
              <w:rPr>
                <w:spacing w:val="-2"/>
                <w:sz w:val="20"/>
              </w:rPr>
              <w:t>90.24</w:t>
            </w:r>
          </w:p>
        </w:tc>
        <w:tc>
          <w:tcPr>
            <w:tcW w:w="1579" w:type="dxa"/>
          </w:tcPr>
          <w:p>
            <w:pPr>
              <w:pStyle w:val="TableParagraph"/>
              <w:ind w:left="13"/>
              <w:jc w:val="center"/>
              <w:rPr>
                <w:sz w:val="20"/>
              </w:rPr>
            </w:pPr>
            <w:r>
              <w:rPr>
                <w:spacing w:val="-4"/>
                <w:sz w:val="20"/>
              </w:rPr>
              <w:t>9.38</w:t>
            </w:r>
          </w:p>
        </w:tc>
        <w:tc>
          <w:tcPr>
            <w:tcW w:w="1867" w:type="dxa"/>
          </w:tcPr>
          <w:p>
            <w:pPr>
              <w:pStyle w:val="TableParagraph"/>
              <w:ind w:left="13"/>
              <w:jc w:val="center"/>
              <w:rPr>
                <w:sz w:val="20"/>
              </w:rPr>
            </w:pPr>
            <w:r>
              <w:rPr>
                <w:spacing w:val="-4"/>
                <w:sz w:val="20"/>
              </w:rPr>
              <w:t>0.45</w:t>
            </w:r>
          </w:p>
        </w:tc>
        <w:tc>
          <w:tcPr>
            <w:tcW w:w="1658" w:type="dxa"/>
          </w:tcPr>
          <w:p>
            <w:pPr>
              <w:pStyle w:val="TableParagraph"/>
              <w:ind w:left="9" w:right="3"/>
              <w:jc w:val="center"/>
              <w:rPr>
                <w:sz w:val="20"/>
              </w:rPr>
            </w:pPr>
            <w:r>
              <w:rPr>
                <w:spacing w:val="-2"/>
                <w:sz w:val="20"/>
              </w:rPr>
              <w:t>90.18</w:t>
            </w:r>
          </w:p>
        </w:tc>
      </w:tr>
      <w:tr>
        <w:trPr>
          <w:trHeight w:val="261" w:hRule="atLeast"/>
        </w:trPr>
        <w:tc>
          <w:tcPr>
            <w:tcW w:w="623" w:type="dxa"/>
          </w:tcPr>
          <w:p>
            <w:pPr>
              <w:pStyle w:val="TableParagraph"/>
              <w:ind w:left="107"/>
              <w:rPr>
                <w:sz w:val="20"/>
              </w:rPr>
            </w:pPr>
            <w:r>
              <w:rPr>
                <w:spacing w:val="-10"/>
                <w:sz w:val="20"/>
              </w:rPr>
              <w:t>5</w:t>
            </w:r>
          </w:p>
        </w:tc>
        <w:tc>
          <w:tcPr>
            <w:tcW w:w="1861" w:type="dxa"/>
          </w:tcPr>
          <w:p>
            <w:pPr>
              <w:pStyle w:val="TableParagraph"/>
              <w:ind w:left="5"/>
              <w:jc w:val="center"/>
              <w:rPr>
                <w:sz w:val="20"/>
              </w:rPr>
            </w:pPr>
            <w:r>
              <w:rPr>
                <w:spacing w:val="-2"/>
                <w:sz w:val="20"/>
              </w:rPr>
              <w:t>13.74</w:t>
            </w:r>
          </w:p>
        </w:tc>
        <w:tc>
          <w:tcPr>
            <w:tcW w:w="1579" w:type="dxa"/>
          </w:tcPr>
          <w:p>
            <w:pPr>
              <w:pStyle w:val="TableParagraph"/>
              <w:ind w:left="13" w:right="1"/>
              <w:jc w:val="center"/>
              <w:rPr>
                <w:sz w:val="20"/>
              </w:rPr>
            </w:pPr>
            <w:r>
              <w:rPr>
                <w:spacing w:val="-4"/>
                <w:sz w:val="20"/>
              </w:rPr>
              <w:t>1.91</w:t>
            </w:r>
          </w:p>
        </w:tc>
        <w:tc>
          <w:tcPr>
            <w:tcW w:w="1579" w:type="dxa"/>
          </w:tcPr>
          <w:p>
            <w:pPr>
              <w:pStyle w:val="TableParagraph"/>
              <w:ind w:left="13" w:right="6"/>
              <w:jc w:val="center"/>
              <w:rPr>
                <w:sz w:val="20"/>
              </w:rPr>
            </w:pPr>
            <w:r>
              <w:rPr>
                <w:spacing w:val="-2"/>
                <w:sz w:val="20"/>
              </w:rPr>
              <w:t>84.35</w:t>
            </w:r>
          </w:p>
        </w:tc>
        <w:tc>
          <w:tcPr>
            <w:tcW w:w="1579" w:type="dxa"/>
          </w:tcPr>
          <w:p>
            <w:pPr>
              <w:pStyle w:val="TableParagraph"/>
              <w:ind w:left="13"/>
              <w:jc w:val="center"/>
              <w:rPr>
                <w:sz w:val="20"/>
              </w:rPr>
            </w:pPr>
            <w:r>
              <w:rPr>
                <w:spacing w:val="-4"/>
                <w:sz w:val="20"/>
              </w:rPr>
              <w:t>9.38</w:t>
            </w:r>
          </w:p>
        </w:tc>
        <w:tc>
          <w:tcPr>
            <w:tcW w:w="1867" w:type="dxa"/>
          </w:tcPr>
          <w:p>
            <w:pPr>
              <w:pStyle w:val="TableParagraph"/>
              <w:ind w:left="13"/>
              <w:jc w:val="center"/>
              <w:rPr>
                <w:sz w:val="20"/>
              </w:rPr>
            </w:pPr>
            <w:r>
              <w:rPr>
                <w:spacing w:val="-4"/>
                <w:sz w:val="20"/>
              </w:rPr>
              <w:t>0.45</w:t>
            </w:r>
          </w:p>
        </w:tc>
        <w:tc>
          <w:tcPr>
            <w:tcW w:w="1658" w:type="dxa"/>
          </w:tcPr>
          <w:p>
            <w:pPr>
              <w:pStyle w:val="TableParagraph"/>
              <w:ind w:left="9" w:right="3"/>
              <w:jc w:val="center"/>
              <w:rPr>
                <w:sz w:val="20"/>
              </w:rPr>
            </w:pPr>
            <w:r>
              <w:rPr>
                <w:spacing w:val="-2"/>
                <w:sz w:val="20"/>
              </w:rPr>
              <w:t>90.18</w:t>
            </w:r>
          </w:p>
        </w:tc>
      </w:tr>
      <w:tr>
        <w:trPr>
          <w:trHeight w:val="261" w:hRule="atLeast"/>
        </w:trPr>
        <w:tc>
          <w:tcPr>
            <w:tcW w:w="623" w:type="dxa"/>
          </w:tcPr>
          <w:p>
            <w:pPr>
              <w:pStyle w:val="TableParagraph"/>
              <w:ind w:left="107"/>
              <w:rPr>
                <w:sz w:val="20"/>
              </w:rPr>
            </w:pPr>
            <w:r>
              <w:rPr>
                <w:spacing w:val="-10"/>
                <w:sz w:val="20"/>
              </w:rPr>
              <w:t>6</w:t>
            </w:r>
          </w:p>
        </w:tc>
        <w:tc>
          <w:tcPr>
            <w:tcW w:w="1861" w:type="dxa"/>
          </w:tcPr>
          <w:p>
            <w:pPr>
              <w:pStyle w:val="TableParagraph"/>
              <w:ind w:left="5"/>
              <w:jc w:val="center"/>
              <w:rPr>
                <w:sz w:val="20"/>
              </w:rPr>
            </w:pPr>
            <w:r>
              <w:rPr>
                <w:spacing w:val="-4"/>
                <w:sz w:val="20"/>
              </w:rPr>
              <w:t>4.43</w:t>
            </w:r>
          </w:p>
        </w:tc>
        <w:tc>
          <w:tcPr>
            <w:tcW w:w="1579" w:type="dxa"/>
          </w:tcPr>
          <w:p>
            <w:pPr>
              <w:pStyle w:val="TableParagraph"/>
              <w:ind w:left="13" w:right="1"/>
              <w:jc w:val="center"/>
              <w:rPr>
                <w:sz w:val="20"/>
              </w:rPr>
            </w:pPr>
            <w:r>
              <w:rPr>
                <w:spacing w:val="-4"/>
                <w:sz w:val="20"/>
              </w:rPr>
              <w:t>1.96</w:t>
            </w:r>
          </w:p>
        </w:tc>
        <w:tc>
          <w:tcPr>
            <w:tcW w:w="1579" w:type="dxa"/>
          </w:tcPr>
          <w:p>
            <w:pPr>
              <w:pStyle w:val="TableParagraph"/>
              <w:ind w:left="13" w:right="6"/>
              <w:jc w:val="center"/>
              <w:rPr>
                <w:sz w:val="20"/>
              </w:rPr>
            </w:pPr>
            <w:r>
              <w:rPr>
                <w:spacing w:val="-2"/>
                <w:sz w:val="20"/>
              </w:rPr>
              <w:t>93.61</w:t>
            </w:r>
          </w:p>
        </w:tc>
        <w:tc>
          <w:tcPr>
            <w:tcW w:w="1579" w:type="dxa"/>
          </w:tcPr>
          <w:p>
            <w:pPr>
              <w:pStyle w:val="TableParagraph"/>
              <w:ind w:left="13"/>
              <w:jc w:val="center"/>
              <w:rPr>
                <w:sz w:val="20"/>
              </w:rPr>
            </w:pPr>
            <w:r>
              <w:rPr>
                <w:spacing w:val="-4"/>
                <w:sz w:val="20"/>
              </w:rPr>
              <w:t>3.14</w:t>
            </w:r>
          </w:p>
        </w:tc>
        <w:tc>
          <w:tcPr>
            <w:tcW w:w="1867" w:type="dxa"/>
          </w:tcPr>
          <w:p>
            <w:pPr>
              <w:pStyle w:val="TableParagraph"/>
              <w:ind w:left="13"/>
              <w:jc w:val="center"/>
              <w:rPr>
                <w:sz w:val="20"/>
              </w:rPr>
            </w:pPr>
            <w:r>
              <w:rPr>
                <w:spacing w:val="-4"/>
                <w:sz w:val="20"/>
              </w:rPr>
              <w:t>0.56</w:t>
            </w:r>
          </w:p>
        </w:tc>
        <w:tc>
          <w:tcPr>
            <w:tcW w:w="1658" w:type="dxa"/>
          </w:tcPr>
          <w:p>
            <w:pPr>
              <w:pStyle w:val="TableParagraph"/>
              <w:ind w:left="9" w:right="4"/>
              <w:jc w:val="center"/>
              <w:rPr>
                <w:sz w:val="20"/>
              </w:rPr>
            </w:pPr>
            <w:r>
              <w:rPr>
                <w:spacing w:val="-2"/>
                <w:sz w:val="20"/>
              </w:rPr>
              <w:t>96.30</w:t>
            </w:r>
          </w:p>
        </w:tc>
      </w:tr>
      <w:tr>
        <w:trPr>
          <w:trHeight w:val="261" w:hRule="atLeast"/>
        </w:trPr>
        <w:tc>
          <w:tcPr>
            <w:tcW w:w="623" w:type="dxa"/>
          </w:tcPr>
          <w:p>
            <w:pPr>
              <w:pStyle w:val="TableParagraph"/>
              <w:ind w:left="107"/>
              <w:rPr>
                <w:sz w:val="20"/>
              </w:rPr>
            </w:pPr>
            <w:r>
              <w:rPr>
                <w:spacing w:val="-10"/>
                <w:sz w:val="20"/>
              </w:rPr>
              <w:t>7</w:t>
            </w:r>
          </w:p>
        </w:tc>
        <w:tc>
          <w:tcPr>
            <w:tcW w:w="1861" w:type="dxa"/>
          </w:tcPr>
          <w:p>
            <w:pPr>
              <w:pStyle w:val="TableParagraph"/>
              <w:ind w:left="5"/>
              <w:jc w:val="center"/>
              <w:rPr>
                <w:sz w:val="20"/>
              </w:rPr>
            </w:pPr>
            <w:r>
              <w:rPr>
                <w:spacing w:val="-4"/>
                <w:sz w:val="20"/>
              </w:rPr>
              <w:t>4.46</w:t>
            </w:r>
          </w:p>
        </w:tc>
        <w:tc>
          <w:tcPr>
            <w:tcW w:w="1579" w:type="dxa"/>
          </w:tcPr>
          <w:p>
            <w:pPr>
              <w:pStyle w:val="TableParagraph"/>
              <w:ind w:left="13" w:right="2"/>
              <w:jc w:val="center"/>
              <w:rPr>
                <w:sz w:val="20"/>
              </w:rPr>
            </w:pPr>
            <w:r>
              <w:rPr>
                <w:spacing w:val="-4"/>
                <w:sz w:val="20"/>
              </w:rPr>
              <w:t>1.80</w:t>
            </w:r>
          </w:p>
        </w:tc>
        <w:tc>
          <w:tcPr>
            <w:tcW w:w="1579" w:type="dxa"/>
          </w:tcPr>
          <w:p>
            <w:pPr>
              <w:pStyle w:val="TableParagraph"/>
              <w:ind w:left="13" w:right="6"/>
              <w:jc w:val="center"/>
              <w:rPr>
                <w:sz w:val="20"/>
              </w:rPr>
            </w:pPr>
            <w:r>
              <w:rPr>
                <w:spacing w:val="-2"/>
                <w:sz w:val="20"/>
              </w:rPr>
              <w:t>93.74</w:t>
            </w:r>
          </w:p>
        </w:tc>
        <w:tc>
          <w:tcPr>
            <w:tcW w:w="1579" w:type="dxa"/>
          </w:tcPr>
          <w:p>
            <w:pPr>
              <w:pStyle w:val="TableParagraph"/>
              <w:ind w:left="13"/>
              <w:jc w:val="center"/>
              <w:rPr>
                <w:sz w:val="20"/>
              </w:rPr>
            </w:pPr>
            <w:r>
              <w:rPr>
                <w:spacing w:val="-4"/>
                <w:sz w:val="20"/>
              </w:rPr>
              <w:t>3.14</w:t>
            </w:r>
          </w:p>
        </w:tc>
        <w:tc>
          <w:tcPr>
            <w:tcW w:w="1867" w:type="dxa"/>
          </w:tcPr>
          <w:p>
            <w:pPr>
              <w:pStyle w:val="TableParagraph"/>
              <w:ind w:left="13"/>
              <w:jc w:val="center"/>
              <w:rPr>
                <w:sz w:val="20"/>
              </w:rPr>
            </w:pPr>
            <w:r>
              <w:rPr>
                <w:spacing w:val="-4"/>
                <w:sz w:val="20"/>
              </w:rPr>
              <w:t>0.56</w:t>
            </w:r>
          </w:p>
        </w:tc>
        <w:tc>
          <w:tcPr>
            <w:tcW w:w="1658" w:type="dxa"/>
          </w:tcPr>
          <w:p>
            <w:pPr>
              <w:pStyle w:val="TableParagraph"/>
              <w:ind w:left="9" w:right="4"/>
              <w:jc w:val="center"/>
              <w:rPr>
                <w:sz w:val="20"/>
              </w:rPr>
            </w:pPr>
            <w:r>
              <w:rPr>
                <w:spacing w:val="-2"/>
                <w:sz w:val="20"/>
              </w:rPr>
              <w:t>96.30</w:t>
            </w:r>
          </w:p>
        </w:tc>
      </w:tr>
      <w:tr>
        <w:trPr>
          <w:trHeight w:val="258" w:hRule="atLeast"/>
        </w:trPr>
        <w:tc>
          <w:tcPr>
            <w:tcW w:w="623" w:type="dxa"/>
          </w:tcPr>
          <w:p>
            <w:pPr>
              <w:pStyle w:val="TableParagraph"/>
              <w:ind w:left="107"/>
              <w:rPr>
                <w:sz w:val="20"/>
              </w:rPr>
            </w:pPr>
            <w:r>
              <w:rPr>
                <w:spacing w:val="-10"/>
                <w:sz w:val="20"/>
              </w:rPr>
              <w:t>8</w:t>
            </w:r>
          </w:p>
        </w:tc>
        <w:tc>
          <w:tcPr>
            <w:tcW w:w="1861" w:type="dxa"/>
          </w:tcPr>
          <w:p>
            <w:pPr>
              <w:pStyle w:val="TableParagraph"/>
              <w:ind w:left="5"/>
              <w:jc w:val="center"/>
              <w:rPr>
                <w:sz w:val="20"/>
              </w:rPr>
            </w:pPr>
            <w:r>
              <w:rPr>
                <w:spacing w:val="-2"/>
                <w:sz w:val="20"/>
              </w:rPr>
              <w:t>16.38</w:t>
            </w:r>
          </w:p>
        </w:tc>
        <w:tc>
          <w:tcPr>
            <w:tcW w:w="1579" w:type="dxa"/>
          </w:tcPr>
          <w:p>
            <w:pPr>
              <w:pStyle w:val="TableParagraph"/>
              <w:ind w:left="13" w:right="1"/>
              <w:jc w:val="center"/>
              <w:rPr>
                <w:sz w:val="20"/>
              </w:rPr>
            </w:pPr>
            <w:r>
              <w:rPr>
                <w:spacing w:val="-2"/>
                <w:sz w:val="20"/>
              </w:rPr>
              <w:t>12.92</w:t>
            </w:r>
          </w:p>
        </w:tc>
        <w:tc>
          <w:tcPr>
            <w:tcW w:w="1579" w:type="dxa"/>
          </w:tcPr>
          <w:p>
            <w:pPr>
              <w:pStyle w:val="TableParagraph"/>
              <w:ind w:left="13" w:right="7"/>
              <w:jc w:val="center"/>
              <w:rPr>
                <w:sz w:val="20"/>
              </w:rPr>
            </w:pPr>
            <w:r>
              <w:rPr>
                <w:spacing w:val="-2"/>
                <w:sz w:val="20"/>
              </w:rPr>
              <w:t>70.70</w:t>
            </w:r>
          </w:p>
        </w:tc>
        <w:tc>
          <w:tcPr>
            <w:tcW w:w="1579" w:type="dxa"/>
          </w:tcPr>
          <w:p>
            <w:pPr>
              <w:pStyle w:val="TableParagraph"/>
              <w:ind w:left="13"/>
              <w:jc w:val="center"/>
              <w:rPr>
                <w:sz w:val="20"/>
              </w:rPr>
            </w:pPr>
            <w:r>
              <w:rPr>
                <w:spacing w:val="-2"/>
                <w:sz w:val="20"/>
              </w:rPr>
              <w:t>11.79</w:t>
            </w:r>
          </w:p>
        </w:tc>
        <w:tc>
          <w:tcPr>
            <w:tcW w:w="1867" w:type="dxa"/>
          </w:tcPr>
          <w:p>
            <w:pPr>
              <w:pStyle w:val="TableParagraph"/>
              <w:ind w:left="13"/>
              <w:jc w:val="center"/>
              <w:rPr>
                <w:sz w:val="20"/>
              </w:rPr>
            </w:pPr>
            <w:r>
              <w:rPr>
                <w:spacing w:val="-4"/>
                <w:sz w:val="20"/>
              </w:rPr>
              <w:t>7.01</w:t>
            </w:r>
          </w:p>
        </w:tc>
        <w:tc>
          <w:tcPr>
            <w:tcW w:w="1658" w:type="dxa"/>
          </w:tcPr>
          <w:p>
            <w:pPr>
              <w:pStyle w:val="TableParagraph"/>
              <w:ind w:left="9" w:right="4"/>
              <w:jc w:val="center"/>
              <w:rPr>
                <w:sz w:val="20"/>
              </w:rPr>
            </w:pPr>
            <w:r>
              <w:rPr>
                <w:spacing w:val="-2"/>
                <w:sz w:val="20"/>
              </w:rPr>
              <w:t>81.20</w:t>
            </w:r>
          </w:p>
        </w:tc>
      </w:tr>
      <w:tr>
        <w:trPr>
          <w:trHeight w:val="261" w:hRule="atLeast"/>
        </w:trPr>
        <w:tc>
          <w:tcPr>
            <w:tcW w:w="623" w:type="dxa"/>
          </w:tcPr>
          <w:p>
            <w:pPr>
              <w:pStyle w:val="TableParagraph"/>
              <w:spacing w:before="2"/>
              <w:ind w:left="107"/>
              <w:rPr>
                <w:sz w:val="20"/>
              </w:rPr>
            </w:pPr>
            <w:r>
              <w:rPr>
                <w:spacing w:val="-10"/>
                <w:sz w:val="20"/>
              </w:rPr>
              <w:t>9</w:t>
            </w:r>
          </w:p>
        </w:tc>
        <w:tc>
          <w:tcPr>
            <w:tcW w:w="1861" w:type="dxa"/>
          </w:tcPr>
          <w:p>
            <w:pPr>
              <w:pStyle w:val="TableParagraph"/>
              <w:spacing w:before="2"/>
              <w:ind w:left="5"/>
              <w:jc w:val="center"/>
              <w:rPr>
                <w:sz w:val="20"/>
              </w:rPr>
            </w:pPr>
            <w:r>
              <w:rPr>
                <w:spacing w:val="-2"/>
                <w:sz w:val="20"/>
              </w:rPr>
              <w:t>15.68</w:t>
            </w:r>
          </w:p>
        </w:tc>
        <w:tc>
          <w:tcPr>
            <w:tcW w:w="1579" w:type="dxa"/>
          </w:tcPr>
          <w:p>
            <w:pPr>
              <w:pStyle w:val="TableParagraph"/>
              <w:spacing w:before="2"/>
              <w:ind w:left="13" w:right="1"/>
              <w:jc w:val="center"/>
              <w:rPr>
                <w:sz w:val="20"/>
              </w:rPr>
            </w:pPr>
            <w:r>
              <w:rPr>
                <w:spacing w:val="-2"/>
                <w:sz w:val="20"/>
              </w:rPr>
              <w:t>23.06</w:t>
            </w:r>
          </w:p>
        </w:tc>
        <w:tc>
          <w:tcPr>
            <w:tcW w:w="1579" w:type="dxa"/>
          </w:tcPr>
          <w:p>
            <w:pPr>
              <w:pStyle w:val="TableParagraph"/>
              <w:spacing w:before="2"/>
              <w:ind w:left="13" w:right="6"/>
              <w:jc w:val="center"/>
              <w:rPr>
                <w:sz w:val="20"/>
              </w:rPr>
            </w:pPr>
            <w:r>
              <w:rPr>
                <w:spacing w:val="-2"/>
                <w:sz w:val="20"/>
              </w:rPr>
              <w:t>61.26</w:t>
            </w:r>
          </w:p>
        </w:tc>
        <w:tc>
          <w:tcPr>
            <w:tcW w:w="1579" w:type="dxa"/>
          </w:tcPr>
          <w:p>
            <w:pPr>
              <w:pStyle w:val="TableParagraph"/>
              <w:spacing w:before="2"/>
              <w:ind w:left="13"/>
              <w:jc w:val="center"/>
              <w:rPr>
                <w:sz w:val="20"/>
              </w:rPr>
            </w:pPr>
            <w:r>
              <w:rPr>
                <w:spacing w:val="-2"/>
                <w:sz w:val="20"/>
              </w:rPr>
              <w:t>11.79</w:t>
            </w:r>
          </w:p>
        </w:tc>
        <w:tc>
          <w:tcPr>
            <w:tcW w:w="1867" w:type="dxa"/>
          </w:tcPr>
          <w:p>
            <w:pPr>
              <w:pStyle w:val="TableParagraph"/>
              <w:spacing w:before="2"/>
              <w:ind w:left="13"/>
              <w:jc w:val="center"/>
              <w:rPr>
                <w:sz w:val="20"/>
              </w:rPr>
            </w:pPr>
            <w:r>
              <w:rPr>
                <w:spacing w:val="-4"/>
                <w:sz w:val="20"/>
              </w:rPr>
              <w:t>7.01</w:t>
            </w:r>
          </w:p>
        </w:tc>
        <w:tc>
          <w:tcPr>
            <w:tcW w:w="1658" w:type="dxa"/>
          </w:tcPr>
          <w:p>
            <w:pPr>
              <w:pStyle w:val="TableParagraph"/>
              <w:spacing w:before="2"/>
              <w:ind w:left="9" w:right="4"/>
              <w:jc w:val="center"/>
              <w:rPr>
                <w:sz w:val="20"/>
              </w:rPr>
            </w:pPr>
            <w:r>
              <w:rPr>
                <w:spacing w:val="-2"/>
                <w:sz w:val="20"/>
              </w:rPr>
              <w:t>81.20</w:t>
            </w:r>
          </w:p>
        </w:tc>
      </w:tr>
      <w:tr>
        <w:trPr>
          <w:trHeight w:val="261" w:hRule="atLeast"/>
        </w:trPr>
        <w:tc>
          <w:tcPr>
            <w:tcW w:w="623" w:type="dxa"/>
          </w:tcPr>
          <w:p>
            <w:pPr>
              <w:pStyle w:val="TableParagraph"/>
              <w:spacing w:before="2"/>
              <w:ind w:left="107"/>
              <w:rPr>
                <w:sz w:val="20"/>
              </w:rPr>
            </w:pPr>
            <w:r>
              <w:rPr>
                <w:spacing w:val="-5"/>
                <w:sz w:val="20"/>
              </w:rPr>
              <w:t>10</w:t>
            </w:r>
          </w:p>
        </w:tc>
        <w:tc>
          <w:tcPr>
            <w:tcW w:w="1861" w:type="dxa"/>
          </w:tcPr>
          <w:p>
            <w:pPr>
              <w:pStyle w:val="TableParagraph"/>
              <w:spacing w:before="2"/>
              <w:ind w:left="5"/>
              <w:jc w:val="center"/>
              <w:rPr>
                <w:sz w:val="20"/>
              </w:rPr>
            </w:pPr>
            <w:r>
              <w:rPr>
                <w:spacing w:val="-4"/>
                <w:sz w:val="20"/>
              </w:rPr>
              <w:t>5.25</w:t>
            </w:r>
          </w:p>
        </w:tc>
        <w:tc>
          <w:tcPr>
            <w:tcW w:w="1579" w:type="dxa"/>
          </w:tcPr>
          <w:p>
            <w:pPr>
              <w:pStyle w:val="TableParagraph"/>
              <w:spacing w:before="2"/>
              <w:ind w:left="13" w:right="1"/>
              <w:jc w:val="center"/>
              <w:rPr>
                <w:sz w:val="20"/>
              </w:rPr>
            </w:pPr>
            <w:r>
              <w:rPr>
                <w:spacing w:val="-4"/>
                <w:sz w:val="20"/>
              </w:rPr>
              <w:t>8.77</w:t>
            </w:r>
          </w:p>
        </w:tc>
        <w:tc>
          <w:tcPr>
            <w:tcW w:w="1579" w:type="dxa"/>
          </w:tcPr>
          <w:p>
            <w:pPr>
              <w:pStyle w:val="TableParagraph"/>
              <w:spacing w:before="2"/>
              <w:ind w:left="13" w:right="6"/>
              <w:jc w:val="center"/>
              <w:rPr>
                <w:sz w:val="20"/>
              </w:rPr>
            </w:pPr>
            <w:r>
              <w:rPr>
                <w:spacing w:val="-2"/>
                <w:sz w:val="20"/>
              </w:rPr>
              <w:t>85.98</w:t>
            </w:r>
          </w:p>
        </w:tc>
        <w:tc>
          <w:tcPr>
            <w:tcW w:w="1579" w:type="dxa"/>
          </w:tcPr>
          <w:p>
            <w:pPr>
              <w:pStyle w:val="TableParagraph"/>
              <w:spacing w:before="2"/>
              <w:ind w:left="13"/>
              <w:jc w:val="center"/>
              <w:rPr>
                <w:sz w:val="20"/>
              </w:rPr>
            </w:pPr>
            <w:r>
              <w:rPr>
                <w:spacing w:val="-4"/>
                <w:sz w:val="20"/>
              </w:rPr>
              <w:t>8.13</w:t>
            </w:r>
          </w:p>
        </w:tc>
        <w:tc>
          <w:tcPr>
            <w:tcW w:w="1867" w:type="dxa"/>
          </w:tcPr>
          <w:p>
            <w:pPr>
              <w:pStyle w:val="TableParagraph"/>
              <w:spacing w:before="2"/>
              <w:ind w:left="13"/>
              <w:jc w:val="center"/>
              <w:rPr>
                <w:sz w:val="20"/>
              </w:rPr>
            </w:pPr>
            <w:r>
              <w:rPr>
                <w:spacing w:val="-4"/>
                <w:sz w:val="20"/>
              </w:rPr>
              <w:t>9.44</w:t>
            </w:r>
          </w:p>
        </w:tc>
        <w:tc>
          <w:tcPr>
            <w:tcW w:w="1658" w:type="dxa"/>
          </w:tcPr>
          <w:p>
            <w:pPr>
              <w:pStyle w:val="TableParagraph"/>
              <w:spacing w:before="2"/>
              <w:ind w:left="9" w:right="3"/>
              <w:jc w:val="center"/>
              <w:rPr>
                <w:sz w:val="20"/>
              </w:rPr>
            </w:pPr>
            <w:r>
              <w:rPr>
                <w:spacing w:val="-2"/>
                <w:sz w:val="20"/>
              </w:rPr>
              <w:t>82.43</w:t>
            </w:r>
          </w:p>
        </w:tc>
      </w:tr>
      <w:tr>
        <w:trPr>
          <w:trHeight w:val="261" w:hRule="atLeast"/>
        </w:trPr>
        <w:tc>
          <w:tcPr>
            <w:tcW w:w="623" w:type="dxa"/>
          </w:tcPr>
          <w:p>
            <w:pPr>
              <w:pStyle w:val="TableParagraph"/>
              <w:ind w:left="107"/>
              <w:rPr>
                <w:sz w:val="20"/>
              </w:rPr>
            </w:pPr>
            <w:r>
              <w:rPr>
                <w:spacing w:val="-5"/>
                <w:sz w:val="20"/>
              </w:rPr>
              <w:t>11</w:t>
            </w:r>
          </w:p>
        </w:tc>
        <w:tc>
          <w:tcPr>
            <w:tcW w:w="1861" w:type="dxa"/>
          </w:tcPr>
          <w:p>
            <w:pPr>
              <w:pStyle w:val="TableParagraph"/>
              <w:ind w:left="5"/>
              <w:jc w:val="center"/>
              <w:rPr>
                <w:sz w:val="20"/>
              </w:rPr>
            </w:pPr>
            <w:r>
              <w:rPr>
                <w:spacing w:val="-4"/>
                <w:sz w:val="20"/>
              </w:rPr>
              <w:t>2.13</w:t>
            </w:r>
          </w:p>
        </w:tc>
        <w:tc>
          <w:tcPr>
            <w:tcW w:w="1579" w:type="dxa"/>
          </w:tcPr>
          <w:p>
            <w:pPr>
              <w:pStyle w:val="TableParagraph"/>
              <w:ind w:left="13" w:right="2"/>
              <w:jc w:val="center"/>
              <w:rPr>
                <w:sz w:val="20"/>
              </w:rPr>
            </w:pPr>
            <w:r>
              <w:rPr>
                <w:spacing w:val="-2"/>
                <w:sz w:val="20"/>
              </w:rPr>
              <w:t>13.70</w:t>
            </w:r>
          </w:p>
        </w:tc>
        <w:tc>
          <w:tcPr>
            <w:tcW w:w="1579" w:type="dxa"/>
          </w:tcPr>
          <w:p>
            <w:pPr>
              <w:pStyle w:val="TableParagraph"/>
              <w:ind w:left="13" w:right="6"/>
              <w:jc w:val="center"/>
              <w:rPr>
                <w:sz w:val="20"/>
              </w:rPr>
            </w:pPr>
            <w:r>
              <w:rPr>
                <w:spacing w:val="-2"/>
                <w:sz w:val="20"/>
              </w:rPr>
              <w:t>84.17</w:t>
            </w:r>
          </w:p>
        </w:tc>
        <w:tc>
          <w:tcPr>
            <w:tcW w:w="1579" w:type="dxa"/>
          </w:tcPr>
          <w:p>
            <w:pPr>
              <w:pStyle w:val="TableParagraph"/>
              <w:ind w:left="13"/>
              <w:jc w:val="center"/>
              <w:rPr>
                <w:sz w:val="20"/>
              </w:rPr>
            </w:pPr>
            <w:r>
              <w:rPr>
                <w:spacing w:val="-4"/>
                <w:sz w:val="20"/>
              </w:rPr>
              <w:t>8.13</w:t>
            </w:r>
          </w:p>
        </w:tc>
        <w:tc>
          <w:tcPr>
            <w:tcW w:w="1867" w:type="dxa"/>
          </w:tcPr>
          <w:p>
            <w:pPr>
              <w:pStyle w:val="TableParagraph"/>
              <w:ind w:left="13"/>
              <w:jc w:val="center"/>
              <w:rPr>
                <w:sz w:val="20"/>
              </w:rPr>
            </w:pPr>
            <w:r>
              <w:rPr>
                <w:spacing w:val="-4"/>
                <w:sz w:val="20"/>
              </w:rPr>
              <w:t>9.44</w:t>
            </w:r>
          </w:p>
        </w:tc>
        <w:tc>
          <w:tcPr>
            <w:tcW w:w="1658" w:type="dxa"/>
          </w:tcPr>
          <w:p>
            <w:pPr>
              <w:pStyle w:val="TableParagraph"/>
              <w:ind w:left="9" w:right="3"/>
              <w:jc w:val="center"/>
              <w:rPr>
                <w:sz w:val="20"/>
              </w:rPr>
            </w:pPr>
            <w:r>
              <w:rPr>
                <w:spacing w:val="-2"/>
                <w:sz w:val="20"/>
              </w:rPr>
              <w:t>82.43</w:t>
            </w:r>
          </w:p>
        </w:tc>
      </w:tr>
      <w:tr>
        <w:trPr>
          <w:trHeight w:val="261" w:hRule="atLeast"/>
        </w:trPr>
        <w:tc>
          <w:tcPr>
            <w:tcW w:w="623" w:type="dxa"/>
          </w:tcPr>
          <w:p>
            <w:pPr>
              <w:pStyle w:val="TableParagraph"/>
              <w:ind w:left="107"/>
              <w:rPr>
                <w:sz w:val="20"/>
              </w:rPr>
            </w:pPr>
            <w:r>
              <w:rPr>
                <w:spacing w:val="-5"/>
                <w:sz w:val="20"/>
              </w:rPr>
              <w:t>12</w:t>
            </w:r>
          </w:p>
        </w:tc>
        <w:tc>
          <w:tcPr>
            <w:tcW w:w="1861" w:type="dxa"/>
          </w:tcPr>
          <w:p>
            <w:pPr>
              <w:pStyle w:val="TableParagraph"/>
              <w:ind w:left="5"/>
              <w:jc w:val="center"/>
              <w:rPr>
                <w:sz w:val="20"/>
              </w:rPr>
            </w:pPr>
            <w:r>
              <w:rPr>
                <w:spacing w:val="-4"/>
                <w:sz w:val="20"/>
              </w:rPr>
              <w:t>2.58</w:t>
            </w:r>
          </w:p>
        </w:tc>
        <w:tc>
          <w:tcPr>
            <w:tcW w:w="1579" w:type="dxa"/>
          </w:tcPr>
          <w:p>
            <w:pPr>
              <w:pStyle w:val="TableParagraph"/>
              <w:ind w:left="13" w:right="1"/>
              <w:jc w:val="center"/>
              <w:rPr>
                <w:sz w:val="20"/>
              </w:rPr>
            </w:pPr>
            <w:r>
              <w:rPr>
                <w:spacing w:val="-4"/>
                <w:sz w:val="20"/>
              </w:rPr>
              <w:t>0.88</w:t>
            </w:r>
          </w:p>
        </w:tc>
        <w:tc>
          <w:tcPr>
            <w:tcW w:w="1579" w:type="dxa"/>
          </w:tcPr>
          <w:p>
            <w:pPr>
              <w:pStyle w:val="TableParagraph"/>
              <w:ind w:left="13" w:right="6"/>
              <w:jc w:val="center"/>
              <w:rPr>
                <w:sz w:val="20"/>
              </w:rPr>
            </w:pPr>
            <w:r>
              <w:rPr>
                <w:spacing w:val="-2"/>
                <w:sz w:val="20"/>
              </w:rPr>
              <w:t>96.54</w:t>
            </w:r>
          </w:p>
        </w:tc>
        <w:tc>
          <w:tcPr>
            <w:tcW w:w="1579" w:type="dxa"/>
          </w:tcPr>
          <w:p>
            <w:pPr>
              <w:pStyle w:val="TableParagraph"/>
              <w:ind w:left="13"/>
              <w:jc w:val="center"/>
              <w:rPr>
                <w:sz w:val="20"/>
              </w:rPr>
            </w:pPr>
            <w:r>
              <w:rPr>
                <w:spacing w:val="-4"/>
                <w:sz w:val="20"/>
              </w:rPr>
              <w:t>1.73</w:t>
            </w:r>
          </w:p>
        </w:tc>
        <w:tc>
          <w:tcPr>
            <w:tcW w:w="1867" w:type="dxa"/>
          </w:tcPr>
          <w:p>
            <w:pPr>
              <w:pStyle w:val="TableParagraph"/>
              <w:ind w:left="13"/>
              <w:jc w:val="center"/>
              <w:rPr>
                <w:sz w:val="20"/>
              </w:rPr>
            </w:pPr>
            <w:r>
              <w:rPr>
                <w:spacing w:val="-4"/>
                <w:sz w:val="20"/>
              </w:rPr>
              <w:t>0.21</w:t>
            </w:r>
          </w:p>
        </w:tc>
        <w:tc>
          <w:tcPr>
            <w:tcW w:w="1658" w:type="dxa"/>
          </w:tcPr>
          <w:p>
            <w:pPr>
              <w:pStyle w:val="TableParagraph"/>
              <w:ind w:left="9" w:right="3"/>
              <w:jc w:val="center"/>
              <w:rPr>
                <w:sz w:val="20"/>
              </w:rPr>
            </w:pPr>
            <w:r>
              <w:rPr>
                <w:spacing w:val="-2"/>
                <w:sz w:val="20"/>
              </w:rPr>
              <w:t>98.06</w:t>
            </w:r>
          </w:p>
        </w:tc>
      </w:tr>
      <w:tr>
        <w:trPr>
          <w:trHeight w:val="261" w:hRule="atLeast"/>
        </w:trPr>
        <w:tc>
          <w:tcPr>
            <w:tcW w:w="623" w:type="dxa"/>
          </w:tcPr>
          <w:p>
            <w:pPr>
              <w:pStyle w:val="TableParagraph"/>
              <w:ind w:left="107"/>
              <w:rPr>
                <w:sz w:val="20"/>
              </w:rPr>
            </w:pPr>
            <w:r>
              <w:rPr>
                <w:spacing w:val="-5"/>
                <w:sz w:val="20"/>
              </w:rPr>
              <w:t>13</w:t>
            </w:r>
          </w:p>
        </w:tc>
        <w:tc>
          <w:tcPr>
            <w:tcW w:w="1861" w:type="dxa"/>
          </w:tcPr>
          <w:p>
            <w:pPr>
              <w:pStyle w:val="TableParagraph"/>
              <w:ind w:left="5"/>
              <w:jc w:val="center"/>
              <w:rPr>
                <w:sz w:val="20"/>
              </w:rPr>
            </w:pPr>
            <w:r>
              <w:rPr>
                <w:spacing w:val="-4"/>
                <w:sz w:val="20"/>
              </w:rPr>
              <w:t>2.99</w:t>
            </w:r>
          </w:p>
        </w:tc>
        <w:tc>
          <w:tcPr>
            <w:tcW w:w="1579" w:type="dxa"/>
          </w:tcPr>
          <w:p>
            <w:pPr>
              <w:pStyle w:val="TableParagraph"/>
              <w:ind w:left="13" w:right="1"/>
              <w:jc w:val="center"/>
              <w:rPr>
                <w:sz w:val="20"/>
              </w:rPr>
            </w:pPr>
            <w:r>
              <w:rPr>
                <w:spacing w:val="-4"/>
                <w:sz w:val="20"/>
              </w:rPr>
              <w:t>0.62</w:t>
            </w:r>
          </w:p>
        </w:tc>
        <w:tc>
          <w:tcPr>
            <w:tcW w:w="1579" w:type="dxa"/>
          </w:tcPr>
          <w:p>
            <w:pPr>
              <w:pStyle w:val="TableParagraph"/>
              <w:ind w:left="13" w:right="6"/>
              <w:jc w:val="center"/>
              <w:rPr>
                <w:sz w:val="20"/>
              </w:rPr>
            </w:pPr>
            <w:r>
              <w:rPr>
                <w:spacing w:val="-2"/>
                <w:sz w:val="20"/>
              </w:rPr>
              <w:t>96.39</w:t>
            </w:r>
          </w:p>
        </w:tc>
        <w:tc>
          <w:tcPr>
            <w:tcW w:w="1579" w:type="dxa"/>
          </w:tcPr>
          <w:p>
            <w:pPr>
              <w:pStyle w:val="TableParagraph"/>
              <w:ind w:left="13"/>
              <w:jc w:val="center"/>
              <w:rPr>
                <w:sz w:val="20"/>
              </w:rPr>
            </w:pPr>
            <w:r>
              <w:rPr>
                <w:spacing w:val="-4"/>
                <w:sz w:val="20"/>
              </w:rPr>
              <w:t>1.73</w:t>
            </w:r>
          </w:p>
        </w:tc>
        <w:tc>
          <w:tcPr>
            <w:tcW w:w="1867" w:type="dxa"/>
          </w:tcPr>
          <w:p>
            <w:pPr>
              <w:pStyle w:val="TableParagraph"/>
              <w:ind w:left="13"/>
              <w:jc w:val="center"/>
              <w:rPr>
                <w:sz w:val="20"/>
              </w:rPr>
            </w:pPr>
            <w:r>
              <w:rPr>
                <w:spacing w:val="-4"/>
                <w:sz w:val="20"/>
              </w:rPr>
              <w:t>0.21</w:t>
            </w:r>
          </w:p>
        </w:tc>
        <w:tc>
          <w:tcPr>
            <w:tcW w:w="1658" w:type="dxa"/>
          </w:tcPr>
          <w:p>
            <w:pPr>
              <w:pStyle w:val="TableParagraph"/>
              <w:ind w:left="9" w:right="3"/>
              <w:jc w:val="center"/>
              <w:rPr>
                <w:sz w:val="20"/>
              </w:rPr>
            </w:pPr>
            <w:r>
              <w:rPr>
                <w:spacing w:val="-2"/>
                <w:sz w:val="20"/>
              </w:rPr>
              <w:t>98.06</w:t>
            </w:r>
          </w:p>
        </w:tc>
      </w:tr>
      <w:tr>
        <w:trPr>
          <w:trHeight w:val="261" w:hRule="atLeast"/>
        </w:trPr>
        <w:tc>
          <w:tcPr>
            <w:tcW w:w="623" w:type="dxa"/>
          </w:tcPr>
          <w:p>
            <w:pPr>
              <w:pStyle w:val="TableParagraph"/>
              <w:ind w:left="107"/>
              <w:rPr>
                <w:sz w:val="20"/>
              </w:rPr>
            </w:pPr>
            <w:r>
              <w:rPr>
                <w:spacing w:val="-5"/>
                <w:sz w:val="20"/>
              </w:rPr>
              <w:t>14</w:t>
            </w:r>
          </w:p>
        </w:tc>
        <w:tc>
          <w:tcPr>
            <w:tcW w:w="1861" w:type="dxa"/>
          </w:tcPr>
          <w:p>
            <w:pPr>
              <w:pStyle w:val="TableParagraph"/>
              <w:ind w:left="5"/>
              <w:jc w:val="center"/>
              <w:rPr>
                <w:sz w:val="20"/>
              </w:rPr>
            </w:pPr>
            <w:r>
              <w:rPr>
                <w:spacing w:val="-4"/>
                <w:sz w:val="20"/>
              </w:rPr>
              <w:t>5.76</w:t>
            </w:r>
          </w:p>
        </w:tc>
        <w:tc>
          <w:tcPr>
            <w:tcW w:w="1579" w:type="dxa"/>
          </w:tcPr>
          <w:p>
            <w:pPr>
              <w:pStyle w:val="TableParagraph"/>
              <w:ind w:left="13" w:right="2"/>
              <w:jc w:val="center"/>
              <w:rPr>
                <w:sz w:val="20"/>
              </w:rPr>
            </w:pPr>
            <w:r>
              <w:rPr>
                <w:spacing w:val="-4"/>
                <w:sz w:val="20"/>
              </w:rPr>
              <w:t>0.00</w:t>
            </w:r>
          </w:p>
        </w:tc>
        <w:tc>
          <w:tcPr>
            <w:tcW w:w="1579" w:type="dxa"/>
          </w:tcPr>
          <w:p>
            <w:pPr>
              <w:pStyle w:val="TableParagraph"/>
              <w:ind w:left="13" w:right="6"/>
              <w:jc w:val="center"/>
              <w:rPr>
                <w:sz w:val="20"/>
              </w:rPr>
            </w:pPr>
            <w:r>
              <w:rPr>
                <w:spacing w:val="-2"/>
                <w:sz w:val="20"/>
              </w:rPr>
              <w:t>94.24</w:t>
            </w:r>
          </w:p>
        </w:tc>
        <w:tc>
          <w:tcPr>
            <w:tcW w:w="1579" w:type="dxa"/>
          </w:tcPr>
          <w:p>
            <w:pPr>
              <w:pStyle w:val="TableParagraph"/>
              <w:ind w:left="13"/>
              <w:jc w:val="center"/>
              <w:rPr>
                <w:sz w:val="20"/>
              </w:rPr>
            </w:pPr>
            <w:r>
              <w:rPr>
                <w:spacing w:val="-4"/>
                <w:sz w:val="20"/>
              </w:rPr>
              <w:t>4.88</w:t>
            </w:r>
          </w:p>
        </w:tc>
        <w:tc>
          <w:tcPr>
            <w:tcW w:w="1867" w:type="dxa"/>
          </w:tcPr>
          <w:p>
            <w:pPr>
              <w:pStyle w:val="TableParagraph"/>
              <w:ind w:left="13" w:right="1"/>
              <w:jc w:val="center"/>
              <w:rPr>
                <w:sz w:val="20"/>
              </w:rPr>
            </w:pPr>
            <w:r>
              <w:rPr>
                <w:spacing w:val="-4"/>
                <w:sz w:val="20"/>
              </w:rPr>
              <w:t>0.00</w:t>
            </w:r>
          </w:p>
        </w:tc>
        <w:tc>
          <w:tcPr>
            <w:tcW w:w="1658" w:type="dxa"/>
          </w:tcPr>
          <w:p>
            <w:pPr>
              <w:pStyle w:val="TableParagraph"/>
              <w:ind w:left="9" w:right="3"/>
              <w:jc w:val="center"/>
              <w:rPr>
                <w:sz w:val="20"/>
              </w:rPr>
            </w:pPr>
            <w:r>
              <w:rPr>
                <w:spacing w:val="-2"/>
                <w:sz w:val="20"/>
              </w:rPr>
              <w:t>95.12</w:t>
            </w:r>
          </w:p>
        </w:tc>
      </w:tr>
      <w:tr>
        <w:trPr>
          <w:trHeight w:val="261" w:hRule="atLeast"/>
        </w:trPr>
        <w:tc>
          <w:tcPr>
            <w:tcW w:w="623" w:type="dxa"/>
          </w:tcPr>
          <w:p>
            <w:pPr>
              <w:pStyle w:val="TableParagraph"/>
              <w:ind w:left="107"/>
              <w:rPr>
                <w:sz w:val="20"/>
              </w:rPr>
            </w:pPr>
            <w:r>
              <w:rPr>
                <w:spacing w:val="-5"/>
                <w:sz w:val="20"/>
              </w:rPr>
              <w:t>15</w:t>
            </w:r>
          </w:p>
        </w:tc>
        <w:tc>
          <w:tcPr>
            <w:tcW w:w="1861" w:type="dxa"/>
          </w:tcPr>
          <w:p>
            <w:pPr>
              <w:pStyle w:val="TableParagraph"/>
              <w:ind w:left="5"/>
              <w:jc w:val="center"/>
              <w:rPr>
                <w:sz w:val="20"/>
              </w:rPr>
            </w:pPr>
            <w:r>
              <w:rPr>
                <w:spacing w:val="-4"/>
                <w:sz w:val="20"/>
              </w:rPr>
              <w:t>7.45</w:t>
            </w:r>
          </w:p>
        </w:tc>
        <w:tc>
          <w:tcPr>
            <w:tcW w:w="1579" w:type="dxa"/>
          </w:tcPr>
          <w:p>
            <w:pPr>
              <w:pStyle w:val="TableParagraph"/>
              <w:ind w:left="13" w:right="2"/>
              <w:jc w:val="center"/>
              <w:rPr>
                <w:sz w:val="20"/>
              </w:rPr>
            </w:pPr>
            <w:r>
              <w:rPr>
                <w:spacing w:val="-4"/>
                <w:sz w:val="20"/>
              </w:rPr>
              <w:t>0.50</w:t>
            </w:r>
          </w:p>
        </w:tc>
        <w:tc>
          <w:tcPr>
            <w:tcW w:w="1579" w:type="dxa"/>
          </w:tcPr>
          <w:p>
            <w:pPr>
              <w:pStyle w:val="TableParagraph"/>
              <w:ind w:left="13" w:right="6"/>
              <w:jc w:val="center"/>
              <w:rPr>
                <w:sz w:val="20"/>
              </w:rPr>
            </w:pPr>
            <w:r>
              <w:rPr>
                <w:spacing w:val="-2"/>
                <w:sz w:val="20"/>
              </w:rPr>
              <w:t>92.05</w:t>
            </w:r>
          </w:p>
        </w:tc>
        <w:tc>
          <w:tcPr>
            <w:tcW w:w="1579" w:type="dxa"/>
          </w:tcPr>
          <w:p>
            <w:pPr>
              <w:pStyle w:val="TableParagraph"/>
              <w:ind w:left="13"/>
              <w:jc w:val="center"/>
              <w:rPr>
                <w:sz w:val="20"/>
              </w:rPr>
            </w:pPr>
            <w:r>
              <w:rPr>
                <w:spacing w:val="-4"/>
                <w:sz w:val="20"/>
              </w:rPr>
              <w:t>4.88</w:t>
            </w:r>
          </w:p>
        </w:tc>
        <w:tc>
          <w:tcPr>
            <w:tcW w:w="1867" w:type="dxa"/>
          </w:tcPr>
          <w:p>
            <w:pPr>
              <w:pStyle w:val="TableParagraph"/>
              <w:ind w:left="13" w:right="1"/>
              <w:jc w:val="center"/>
              <w:rPr>
                <w:sz w:val="20"/>
              </w:rPr>
            </w:pPr>
            <w:r>
              <w:rPr>
                <w:spacing w:val="-4"/>
                <w:sz w:val="20"/>
              </w:rPr>
              <w:t>0.00</w:t>
            </w:r>
          </w:p>
        </w:tc>
        <w:tc>
          <w:tcPr>
            <w:tcW w:w="1658" w:type="dxa"/>
          </w:tcPr>
          <w:p>
            <w:pPr>
              <w:pStyle w:val="TableParagraph"/>
              <w:ind w:left="9" w:right="3"/>
              <w:jc w:val="center"/>
              <w:rPr>
                <w:sz w:val="20"/>
              </w:rPr>
            </w:pPr>
            <w:r>
              <w:rPr>
                <w:spacing w:val="-2"/>
                <w:sz w:val="20"/>
              </w:rPr>
              <w:t>95.12</w:t>
            </w:r>
          </w:p>
        </w:tc>
      </w:tr>
      <w:tr>
        <w:trPr>
          <w:trHeight w:val="1031" w:hRule="atLeast"/>
        </w:trPr>
        <w:tc>
          <w:tcPr>
            <w:tcW w:w="623" w:type="dxa"/>
          </w:tcPr>
          <w:p>
            <w:pPr>
              <w:pStyle w:val="TableParagraph"/>
              <w:rPr>
                <w:sz w:val="18"/>
              </w:rPr>
            </w:pPr>
          </w:p>
        </w:tc>
        <w:tc>
          <w:tcPr>
            <w:tcW w:w="1861" w:type="dxa"/>
          </w:tcPr>
          <w:p>
            <w:pPr>
              <w:pStyle w:val="TableParagraph"/>
              <w:ind w:left="5" w:right="4"/>
              <w:jc w:val="center"/>
              <w:rPr>
                <w:sz w:val="20"/>
              </w:rPr>
            </w:pPr>
            <w:r>
              <w:rPr>
                <w:spacing w:val="-2"/>
                <w:sz w:val="20"/>
              </w:rPr>
              <w:t>140.02</w:t>
            </w:r>
          </w:p>
          <w:p>
            <w:pPr>
              <w:pStyle w:val="TableParagraph"/>
              <w:spacing w:before="15"/>
              <w:ind w:left="5" w:right="3"/>
              <w:jc w:val="center"/>
              <w:rPr>
                <w:sz w:val="20"/>
              </w:rPr>
            </w:pPr>
            <w:r>
              <w:rPr>
                <w:sz w:val="20"/>
              </w:rPr>
              <w:t>Сред</w:t>
            </w:r>
            <w:r>
              <w:rPr>
                <w:spacing w:val="-3"/>
                <w:sz w:val="20"/>
              </w:rPr>
              <w:t> </w:t>
            </w:r>
            <w:r>
              <w:rPr>
                <w:sz w:val="20"/>
              </w:rPr>
              <w:t>9.33</w:t>
            </w:r>
            <w:r>
              <w:rPr>
                <w:spacing w:val="48"/>
                <w:sz w:val="20"/>
              </w:rPr>
              <w:t> </w:t>
            </w:r>
            <w:r>
              <w:rPr>
                <w:spacing w:val="-2"/>
                <w:sz w:val="20"/>
              </w:rPr>
              <w:t>SE=1.61</w:t>
            </w:r>
          </w:p>
        </w:tc>
        <w:tc>
          <w:tcPr>
            <w:tcW w:w="1579" w:type="dxa"/>
          </w:tcPr>
          <w:p>
            <w:pPr>
              <w:pStyle w:val="TableParagraph"/>
              <w:ind w:left="13" w:right="1"/>
              <w:jc w:val="center"/>
              <w:rPr>
                <w:sz w:val="20"/>
              </w:rPr>
            </w:pPr>
            <w:r>
              <w:rPr>
                <w:spacing w:val="-2"/>
                <w:sz w:val="20"/>
              </w:rPr>
              <w:t>72.23</w:t>
            </w:r>
          </w:p>
          <w:p>
            <w:pPr>
              <w:pStyle w:val="TableParagraph"/>
              <w:spacing w:before="15"/>
              <w:ind w:left="13" w:right="1"/>
              <w:jc w:val="center"/>
              <w:rPr>
                <w:sz w:val="20"/>
              </w:rPr>
            </w:pPr>
            <w:r>
              <w:rPr>
                <w:spacing w:val="-4"/>
                <w:sz w:val="20"/>
              </w:rPr>
              <w:t>4.82</w:t>
            </w:r>
          </w:p>
          <w:p>
            <w:pPr>
              <w:pStyle w:val="TableParagraph"/>
              <w:spacing w:before="15"/>
              <w:ind w:left="13" w:right="3"/>
              <w:jc w:val="center"/>
              <w:rPr>
                <w:sz w:val="20"/>
              </w:rPr>
            </w:pPr>
            <w:r>
              <w:rPr>
                <w:spacing w:val="-2"/>
                <w:sz w:val="20"/>
              </w:rPr>
              <w:t>SE=1.71</w:t>
            </w:r>
          </w:p>
        </w:tc>
        <w:tc>
          <w:tcPr>
            <w:tcW w:w="1579" w:type="dxa"/>
          </w:tcPr>
          <w:p>
            <w:pPr>
              <w:pStyle w:val="TableParagraph"/>
              <w:ind w:left="13" w:right="8"/>
              <w:jc w:val="center"/>
              <w:rPr>
                <w:sz w:val="20"/>
              </w:rPr>
            </w:pPr>
            <w:r>
              <w:rPr>
                <w:spacing w:val="-2"/>
                <w:sz w:val="20"/>
              </w:rPr>
              <w:t>1287.75</w:t>
            </w:r>
          </w:p>
          <w:p>
            <w:pPr>
              <w:pStyle w:val="TableParagraph"/>
              <w:spacing w:before="15"/>
              <w:ind w:left="13" w:right="6"/>
              <w:jc w:val="center"/>
              <w:rPr>
                <w:sz w:val="20"/>
              </w:rPr>
            </w:pPr>
            <w:r>
              <w:rPr>
                <w:spacing w:val="-2"/>
                <w:sz w:val="20"/>
              </w:rPr>
              <w:t>85.85</w:t>
            </w:r>
          </w:p>
          <w:p>
            <w:pPr>
              <w:pStyle w:val="TableParagraph"/>
              <w:spacing w:before="15"/>
              <w:ind w:left="13" w:right="6"/>
              <w:jc w:val="center"/>
              <w:rPr>
                <w:sz w:val="20"/>
              </w:rPr>
            </w:pPr>
            <w:r>
              <w:rPr>
                <w:spacing w:val="-2"/>
                <w:sz w:val="20"/>
              </w:rPr>
              <w:t>SE=2.63</w:t>
            </w:r>
          </w:p>
        </w:tc>
        <w:tc>
          <w:tcPr>
            <w:tcW w:w="1579" w:type="dxa"/>
          </w:tcPr>
          <w:p>
            <w:pPr>
              <w:pStyle w:val="TableParagraph"/>
              <w:ind w:left="13" w:right="5"/>
              <w:jc w:val="center"/>
              <w:rPr>
                <w:sz w:val="20"/>
              </w:rPr>
            </w:pPr>
            <w:r>
              <w:rPr>
                <w:spacing w:val="-2"/>
                <w:sz w:val="20"/>
              </w:rPr>
              <w:t>101.96</w:t>
            </w:r>
          </w:p>
          <w:p>
            <w:pPr>
              <w:pStyle w:val="TableParagraph"/>
              <w:spacing w:before="15"/>
              <w:ind w:left="13" w:right="2"/>
              <w:jc w:val="center"/>
              <w:rPr>
                <w:sz w:val="20"/>
              </w:rPr>
            </w:pPr>
            <w:r>
              <w:rPr>
                <w:spacing w:val="-5"/>
                <w:sz w:val="20"/>
              </w:rPr>
              <w:t>6.8</w:t>
            </w:r>
          </w:p>
          <w:p>
            <w:pPr>
              <w:pStyle w:val="TableParagraph"/>
              <w:spacing w:before="15"/>
              <w:ind w:left="13"/>
              <w:jc w:val="center"/>
              <w:rPr>
                <w:sz w:val="20"/>
              </w:rPr>
            </w:pPr>
            <w:r>
              <w:rPr>
                <w:spacing w:val="-2"/>
                <w:sz w:val="20"/>
              </w:rPr>
              <w:t>SE=1.03</w:t>
            </w:r>
          </w:p>
        </w:tc>
        <w:tc>
          <w:tcPr>
            <w:tcW w:w="1867" w:type="dxa"/>
          </w:tcPr>
          <w:p>
            <w:pPr>
              <w:pStyle w:val="TableParagraph"/>
              <w:ind w:left="13"/>
              <w:jc w:val="center"/>
              <w:rPr>
                <w:sz w:val="20"/>
              </w:rPr>
            </w:pPr>
            <w:r>
              <w:rPr>
                <w:spacing w:val="-2"/>
                <w:sz w:val="20"/>
              </w:rPr>
              <w:t>35.34</w:t>
            </w:r>
          </w:p>
          <w:p>
            <w:pPr>
              <w:pStyle w:val="TableParagraph"/>
              <w:spacing w:before="15"/>
              <w:ind w:left="13"/>
              <w:jc w:val="center"/>
              <w:rPr>
                <w:sz w:val="20"/>
              </w:rPr>
            </w:pPr>
            <w:r>
              <w:rPr>
                <w:spacing w:val="-4"/>
                <w:sz w:val="20"/>
              </w:rPr>
              <w:t>2.36</w:t>
            </w:r>
          </w:p>
          <w:p>
            <w:pPr>
              <w:pStyle w:val="TableParagraph"/>
              <w:spacing w:before="15"/>
              <w:ind w:left="13"/>
              <w:jc w:val="center"/>
              <w:rPr>
                <w:sz w:val="20"/>
              </w:rPr>
            </w:pPr>
            <w:r>
              <w:rPr>
                <w:spacing w:val="-2"/>
                <w:sz w:val="20"/>
              </w:rPr>
              <w:t>SE=0.93</w:t>
            </w:r>
          </w:p>
        </w:tc>
        <w:tc>
          <w:tcPr>
            <w:tcW w:w="1658" w:type="dxa"/>
          </w:tcPr>
          <w:p>
            <w:pPr>
              <w:pStyle w:val="TableParagraph"/>
              <w:ind w:left="9"/>
              <w:jc w:val="center"/>
              <w:rPr>
                <w:sz w:val="20"/>
              </w:rPr>
            </w:pPr>
            <w:r>
              <w:rPr>
                <w:spacing w:val="-2"/>
                <w:sz w:val="20"/>
              </w:rPr>
              <w:t>1362.72</w:t>
            </w:r>
          </w:p>
          <w:p>
            <w:pPr>
              <w:pStyle w:val="TableParagraph"/>
              <w:spacing w:before="15"/>
              <w:ind w:left="9" w:right="3"/>
              <w:jc w:val="center"/>
              <w:rPr>
                <w:sz w:val="20"/>
              </w:rPr>
            </w:pPr>
            <w:r>
              <w:rPr>
                <w:spacing w:val="-2"/>
                <w:sz w:val="20"/>
              </w:rPr>
              <w:t>90.85</w:t>
            </w:r>
          </w:p>
          <w:p>
            <w:pPr>
              <w:pStyle w:val="TableParagraph"/>
              <w:spacing w:before="15"/>
              <w:ind w:left="9" w:right="3"/>
              <w:jc w:val="center"/>
              <w:rPr>
                <w:sz w:val="20"/>
              </w:rPr>
            </w:pPr>
            <w:r>
              <w:rPr>
                <w:spacing w:val="-2"/>
                <w:sz w:val="20"/>
              </w:rPr>
              <w:t>SE=1.66</w:t>
            </w:r>
          </w:p>
        </w:tc>
      </w:tr>
      <w:tr>
        <w:trPr>
          <w:trHeight w:val="736" w:hRule="atLeast"/>
        </w:trPr>
        <w:tc>
          <w:tcPr>
            <w:tcW w:w="623" w:type="dxa"/>
            <w:vMerge w:val="restart"/>
          </w:tcPr>
          <w:p>
            <w:pPr>
              <w:pStyle w:val="TableParagraph"/>
              <w:spacing w:before="15"/>
              <w:rPr>
                <w:sz w:val="20"/>
              </w:rPr>
            </w:pPr>
          </w:p>
          <w:p>
            <w:pPr>
              <w:pStyle w:val="TableParagraph"/>
              <w:ind w:left="107"/>
              <w:rPr>
                <w:b/>
                <w:sz w:val="20"/>
              </w:rPr>
            </w:pPr>
            <w:r>
              <w:rPr>
                <w:b/>
                <w:spacing w:val="-10"/>
                <w:sz w:val="20"/>
              </w:rPr>
              <w:t>№</w:t>
            </w:r>
          </w:p>
        </w:tc>
        <w:tc>
          <w:tcPr>
            <w:tcW w:w="5019" w:type="dxa"/>
            <w:gridSpan w:val="3"/>
          </w:tcPr>
          <w:p>
            <w:pPr>
              <w:pStyle w:val="TableParagraph"/>
              <w:spacing w:line="254" w:lineRule="auto"/>
              <w:ind w:left="76" w:right="71"/>
              <w:jc w:val="center"/>
              <w:rPr>
                <w:b/>
                <w:sz w:val="20"/>
              </w:rPr>
            </w:pPr>
            <w:r>
              <w:rPr>
                <w:b/>
                <w:sz w:val="20"/>
              </w:rPr>
              <w:t>Светодиодное</w:t>
            </w:r>
            <w:r>
              <w:rPr>
                <w:b/>
                <w:spacing w:val="-5"/>
                <w:sz w:val="20"/>
              </w:rPr>
              <w:t> </w:t>
            </w:r>
            <w:r>
              <w:rPr>
                <w:b/>
                <w:sz w:val="20"/>
              </w:rPr>
              <w:t>400-750</w:t>
            </w:r>
            <w:r>
              <w:rPr>
                <w:b/>
                <w:spacing w:val="-5"/>
                <w:sz w:val="20"/>
              </w:rPr>
              <w:t> </w:t>
            </w:r>
            <w:r>
              <w:rPr>
                <w:b/>
                <w:sz w:val="20"/>
              </w:rPr>
              <w:t>нм</w:t>
            </w:r>
            <w:r>
              <w:rPr>
                <w:b/>
                <w:spacing w:val="-5"/>
                <w:sz w:val="20"/>
              </w:rPr>
              <w:t> </w:t>
            </w:r>
            <w:r>
              <w:rPr>
                <w:b/>
                <w:sz w:val="20"/>
              </w:rPr>
              <w:t>в</w:t>
            </w:r>
            <w:r>
              <w:rPr>
                <w:b/>
                <w:spacing w:val="-7"/>
                <w:sz w:val="20"/>
              </w:rPr>
              <w:t> </w:t>
            </w:r>
            <w:r>
              <w:rPr>
                <w:b/>
                <w:sz w:val="20"/>
              </w:rPr>
              <w:t>сочетании</w:t>
            </w:r>
            <w:r>
              <w:rPr>
                <w:b/>
                <w:spacing w:val="-5"/>
                <w:sz w:val="20"/>
              </w:rPr>
              <w:t> </w:t>
            </w:r>
            <w:r>
              <w:rPr>
                <w:b/>
                <w:sz w:val="20"/>
              </w:rPr>
              <w:t>с</w:t>
            </w:r>
            <w:r>
              <w:rPr>
                <w:b/>
                <w:spacing w:val="-7"/>
                <w:sz w:val="20"/>
              </w:rPr>
              <w:t> </w:t>
            </w:r>
            <w:r>
              <w:rPr>
                <w:b/>
                <w:sz w:val="20"/>
              </w:rPr>
              <w:t>651</w:t>
            </w:r>
            <w:r>
              <w:rPr>
                <w:b/>
                <w:spacing w:val="-5"/>
                <w:sz w:val="20"/>
              </w:rPr>
              <w:t> </w:t>
            </w:r>
            <w:r>
              <w:rPr>
                <w:b/>
                <w:sz w:val="20"/>
              </w:rPr>
              <w:t>нм лазером и 933 нм инфракрасным ЭМИ,</w:t>
            </w:r>
          </w:p>
          <w:p>
            <w:pPr>
              <w:pStyle w:val="TableParagraph"/>
              <w:spacing w:line="224" w:lineRule="exact" w:before="4"/>
              <w:ind w:left="76" w:right="71"/>
              <w:jc w:val="center"/>
              <w:rPr>
                <w:b/>
                <w:sz w:val="20"/>
              </w:rPr>
            </w:pPr>
            <w:r>
              <w:rPr>
                <w:b/>
                <w:sz w:val="20"/>
              </w:rPr>
              <w:t>t =</w:t>
            </w:r>
            <w:r>
              <w:rPr>
                <w:b/>
                <w:spacing w:val="-2"/>
                <w:sz w:val="20"/>
              </w:rPr>
              <w:t> </w:t>
            </w:r>
            <w:r>
              <w:rPr>
                <w:b/>
                <w:sz w:val="20"/>
              </w:rPr>
              <w:t>15 </w:t>
            </w:r>
            <w:r>
              <w:rPr>
                <w:b/>
                <w:spacing w:val="-5"/>
                <w:sz w:val="20"/>
              </w:rPr>
              <w:t>мин</w:t>
            </w:r>
          </w:p>
        </w:tc>
        <w:tc>
          <w:tcPr>
            <w:tcW w:w="5104" w:type="dxa"/>
            <w:gridSpan w:val="3"/>
          </w:tcPr>
          <w:p>
            <w:pPr>
              <w:pStyle w:val="TableParagraph"/>
              <w:spacing w:line="254" w:lineRule="auto"/>
              <w:ind w:left="1812" w:right="1797" w:hanging="5"/>
              <w:jc w:val="center"/>
              <w:rPr>
                <w:b/>
                <w:sz w:val="20"/>
              </w:rPr>
            </w:pPr>
            <w:r>
              <w:rPr>
                <w:b/>
                <w:spacing w:val="-2"/>
                <w:sz w:val="20"/>
              </w:rPr>
              <w:t>Контроль </w:t>
            </w:r>
            <w:r>
              <w:rPr>
                <w:b/>
                <w:sz w:val="20"/>
              </w:rPr>
              <w:t>(темная</w:t>
            </w:r>
            <w:r>
              <w:rPr>
                <w:b/>
                <w:spacing w:val="-13"/>
                <w:sz w:val="20"/>
              </w:rPr>
              <w:t> </w:t>
            </w:r>
            <w:r>
              <w:rPr>
                <w:b/>
                <w:sz w:val="20"/>
              </w:rPr>
              <w:t>камера)</w:t>
            </w:r>
          </w:p>
        </w:tc>
      </w:tr>
      <w:tr>
        <w:trPr>
          <w:trHeight w:val="527" w:hRule="atLeast"/>
        </w:trPr>
        <w:tc>
          <w:tcPr>
            <w:tcW w:w="623" w:type="dxa"/>
            <w:vMerge/>
            <w:tcBorders>
              <w:top w:val="nil"/>
            </w:tcBorders>
          </w:tcPr>
          <w:p>
            <w:pPr>
              <w:rPr>
                <w:sz w:val="2"/>
                <w:szCs w:val="2"/>
              </w:rPr>
            </w:pPr>
          </w:p>
        </w:tc>
        <w:tc>
          <w:tcPr>
            <w:tcW w:w="1861" w:type="dxa"/>
          </w:tcPr>
          <w:p>
            <w:pPr>
              <w:pStyle w:val="TableParagraph"/>
              <w:ind w:left="5" w:right="4"/>
              <w:jc w:val="center"/>
              <w:rPr>
                <w:b/>
                <w:sz w:val="20"/>
              </w:rPr>
            </w:pPr>
            <w:r>
              <w:rPr>
                <w:b/>
                <w:spacing w:val="-4"/>
                <w:sz w:val="20"/>
              </w:rPr>
              <w:t>PR,%</w:t>
            </w:r>
          </w:p>
        </w:tc>
        <w:tc>
          <w:tcPr>
            <w:tcW w:w="1579" w:type="dxa"/>
          </w:tcPr>
          <w:p>
            <w:pPr>
              <w:pStyle w:val="TableParagraph"/>
              <w:ind w:left="13" w:right="5"/>
              <w:jc w:val="center"/>
              <w:rPr>
                <w:b/>
                <w:sz w:val="20"/>
              </w:rPr>
            </w:pPr>
            <w:r>
              <w:rPr>
                <w:b/>
                <w:spacing w:val="-4"/>
                <w:sz w:val="20"/>
              </w:rPr>
              <w:t>NP,%</w:t>
            </w:r>
          </w:p>
        </w:tc>
        <w:tc>
          <w:tcPr>
            <w:tcW w:w="1579" w:type="dxa"/>
          </w:tcPr>
          <w:p>
            <w:pPr>
              <w:pStyle w:val="TableParagraph"/>
              <w:ind w:left="13" w:right="12"/>
              <w:jc w:val="center"/>
              <w:rPr>
                <w:b/>
                <w:sz w:val="20"/>
              </w:rPr>
            </w:pPr>
            <w:r>
              <w:rPr>
                <w:b/>
                <w:spacing w:val="-4"/>
                <w:sz w:val="20"/>
              </w:rPr>
              <w:t>IM,%</w:t>
            </w:r>
          </w:p>
        </w:tc>
        <w:tc>
          <w:tcPr>
            <w:tcW w:w="1579" w:type="dxa"/>
          </w:tcPr>
          <w:p>
            <w:pPr>
              <w:pStyle w:val="TableParagraph"/>
              <w:ind w:left="13" w:right="5"/>
              <w:jc w:val="center"/>
              <w:rPr>
                <w:b/>
                <w:sz w:val="20"/>
              </w:rPr>
            </w:pPr>
            <w:r>
              <w:rPr>
                <w:b/>
                <w:spacing w:val="-4"/>
                <w:sz w:val="20"/>
              </w:rPr>
              <w:t>PR,%</w:t>
            </w:r>
          </w:p>
        </w:tc>
        <w:tc>
          <w:tcPr>
            <w:tcW w:w="1867" w:type="dxa"/>
          </w:tcPr>
          <w:p>
            <w:pPr>
              <w:pStyle w:val="TableParagraph"/>
              <w:ind w:left="13" w:right="4"/>
              <w:jc w:val="center"/>
              <w:rPr>
                <w:b/>
                <w:sz w:val="20"/>
              </w:rPr>
            </w:pPr>
            <w:r>
              <w:rPr>
                <w:b/>
                <w:spacing w:val="-4"/>
                <w:sz w:val="20"/>
              </w:rPr>
              <w:t>NP,%</w:t>
            </w:r>
          </w:p>
        </w:tc>
        <w:tc>
          <w:tcPr>
            <w:tcW w:w="1658" w:type="dxa"/>
          </w:tcPr>
          <w:p>
            <w:pPr>
              <w:pStyle w:val="TableParagraph"/>
              <w:ind w:left="9" w:right="4"/>
              <w:jc w:val="center"/>
              <w:rPr>
                <w:b/>
                <w:sz w:val="20"/>
              </w:rPr>
            </w:pPr>
            <w:r>
              <w:rPr>
                <w:b/>
                <w:spacing w:val="-4"/>
                <w:sz w:val="20"/>
              </w:rPr>
              <w:t>IM,%</w:t>
            </w:r>
          </w:p>
        </w:tc>
      </w:tr>
      <w:tr>
        <w:trPr>
          <w:trHeight w:val="244" w:hRule="atLeast"/>
        </w:trPr>
        <w:tc>
          <w:tcPr>
            <w:tcW w:w="623" w:type="dxa"/>
          </w:tcPr>
          <w:p>
            <w:pPr>
              <w:pStyle w:val="TableParagraph"/>
              <w:spacing w:line="224" w:lineRule="exact"/>
              <w:ind w:right="252"/>
              <w:jc w:val="right"/>
              <w:rPr>
                <w:sz w:val="20"/>
              </w:rPr>
            </w:pPr>
            <w:r>
              <w:rPr>
                <w:spacing w:val="-10"/>
                <w:sz w:val="20"/>
              </w:rPr>
              <w:t>2</w:t>
            </w:r>
          </w:p>
        </w:tc>
        <w:tc>
          <w:tcPr>
            <w:tcW w:w="1861" w:type="dxa"/>
          </w:tcPr>
          <w:p>
            <w:pPr>
              <w:pStyle w:val="TableParagraph"/>
              <w:spacing w:line="224" w:lineRule="exact"/>
              <w:ind w:left="5"/>
              <w:jc w:val="center"/>
              <w:rPr>
                <w:sz w:val="20"/>
              </w:rPr>
            </w:pPr>
            <w:r>
              <w:rPr>
                <w:spacing w:val="-2"/>
                <w:sz w:val="20"/>
              </w:rPr>
              <w:t>19.74</w:t>
            </w:r>
          </w:p>
        </w:tc>
        <w:tc>
          <w:tcPr>
            <w:tcW w:w="1579" w:type="dxa"/>
          </w:tcPr>
          <w:p>
            <w:pPr>
              <w:pStyle w:val="TableParagraph"/>
              <w:spacing w:line="224" w:lineRule="exact"/>
              <w:ind w:left="13" w:right="1"/>
              <w:jc w:val="center"/>
              <w:rPr>
                <w:sz w:val="20"/>
              </w:rPr>
            </w:pPr>
            <w:r>
              <w:rPr>
                <w:spacing w:val="-2"/>
                <w:sz w:val="20"/>
              </w:rPr>
              <w:t>11.37</w:t>
            </w:r>
          </w:p>
        </w:tc>
        <w:tc>
          <w:tcPr>
            <w:tcW w:w="1579" w:type="dxa"/>
          </w:tcPr>
          <w:p>
            <w:pPr>
              <w:pStyle w:val="TableParagraph"/>
              <w:spacing w:line="224" w:lineRule="exact"/>
              <w:ind w:left="13" w:right="6"/>
              <w:jc w:val="center"/>
              <w:rPr>
                <w:sz w:val="20"/>
              </w:rPr>
            </w:pPr>
            <w:r>
              <w:rPr>
                <w:spacing w:val="-2"/>
                <w:sz w:val="20"/>
              </w:rPr>
              <w:t>68.89</w:t>
            </w:r>
          </w:p>
        </w:tc>
        <w:tc>
          <w:tcPr>
            <w:tcW w:w="1579" w:type="dxa"/>
          </w:tcPr>
          <w:p>
            <w:pPr>
              <w:pStyle w:val="TableParagraph"/>
              <w:spacing w:line="224" w:lineRule="exact"/>
              <w:ind w:left="13" w:right="1"/>
              <w:jc w:val="center"/>
              <w:rPr>
                <w:sz w:val="20"/>
              </w:rPr>
            </w:pPr>
            <w:r>
              <w:rPr>
                <w:spacing w:val="-2"/>
                <w:sz w:val="20"/>
              </w:rPr>
              <w:t>14.17</w:t>
            </w:r>
          </w:p>
        </w:tc>
        <w:tc>
          <w:tcPr>
            <w:tcW w:w="1867" w:type="dxa"/>
          </w:tcPr>
          <w:p>
            <w:pPr>
              <w:pStyle w:val="TableParagraph"/>
              <w:spacing w:line="224" w:lineRule="exact"/>
              <w:ind w:left="13"/>
              <w:jc w:val="center"/>
              <w:rPr>
                <w:sz w:val="20"/>
              </w:rPr>
            </w:pPr>
            <w:r>
              <w:rPr>
                <w:spacing w:val="-4"/>
                <w:sz w:val="20"/>
              </w:rPr>
              <w:t>9.37</w:t>
            </w:r>
          </w:p>
        </w:tc>
        <w:tc>
          <w:tcPr>
            <w:tcW w:w="1658" w:type="dxa"/>
          </w:tcPr>
          <w:p>
            <w:pPr>
              <w:pStyle w:val="TableParagraph"/>
              <w:spacing w:line="224" w:lineRule="exact"/>
              <w:ind w:left="9" w:right="3"/>
              <w:jc w:val="center"/>
              <w:rPr>
                <w:sz w:val="20"/>
              </w:rPr>
            </w:pPr>
            <w:r>
              <w:rPr>
                <w:spacing w:val="-2"/>
                <w:sz w:val="20"/>
              </w:rPr>
              <w:t>76.46</w:t>
            </w:r>
          </w:p>
        </w:tc>
      </w:tr>
      <w:tr>
        <w:trPr>
          <w:trHeight w:val="246" w:hRule="atLeast"/>
        </w:trPr>
        <w:tc>
          <w:tcPr>
            <w:tcW w:w="623" w:type="dxa"/>
          </w:tcPr>
          <w:p>
            <w:pPr>
              <w:pStyle w:val="TableParagraph"/>
              <w:spacing w:line="224" w:lineRule="exact" w:before="2"/>
              <w:ind w:right="252"/>
              <w:jc w:val="right"/>
              <w:rPr>
                <w:sz w:val="20"/>
              </w:rPr>
            </w:pPr>
            <w:r>
              <w:rPr>
                <w:spacing w:val="-10"/>
                <w:sz w:val="20"/>
              </w:rPr>
              <w:t>3</w:t>
            </w:r>
          </w:p>
        </w:tc>
        <w:tc>
          <w:tcPr>
            <w:tcW w:w="1861" w:type="dxa"/>
          </w:tcPr>
          <w:p>
            <w:pPr>
              <w:pStyle w:val="TableParagraph"/>
              <w:spacing w:line="224" w:lineRule="exact" w:before="2"/>
              <w:ind w:left="5"/>
              <w:jc w:val="center"/>
              <w:rPr>
                <w:sz w:val="20"/>
              </w:rPr>
            </w:pPr>
            <w:r>
              <w:rPr>
                <w:spacing w:val="-2"/>
                <w:sz w:val="20"/>
              </w:rPr>
              <w:t>21.65</w:t>
            </w:r>
          </w:p>
        </w:tc>
        <w:tc>
          <w:tcPr>
            <w:tcW w:w="1579" w:type="dxa"/>
          </w:tcPr>
          <w:p>
            <w:pPr>
              <w:pStyle w:val="TableParagraph"/>
              <w:spacing w:line="224" w:lineRule="exact" w:before="2"/>
              <w:ind w:left="13" w:right="2"/>
              <w:jc w:val="center"/>
              <w:rPr>
                <w:sz w:val="20"/>
              </w:rPr>
            </w:pPr>
            <w:r>
              <w:rPr>
                <w:spacing w:val="-4"/>
                <w:sz w:val="20"/>
              </w:rPr>
              <w:t>3.70</w:t>
            </w:r>
          </w:p>
        </w:tc>
        <w:tc>
          <w:tcPr>
            <w:tcW w:w="1579" w:type="dxa"/>
          </w:tcPr>
          <w:p>
            <w:pPr>
              <w:pStyle w:val="TableParagraph"/>
              <w:spacing w:line="224" w:lineRule="exact" w:before="2"/>
              <w:ind w:left="13" w:right="6"/>
              <w:jc w:val="center"/>
              <w:rPr>
                <w:sz w:val="20"/>
              </w:rPr>
            </w:pPr>
            <w:r>
              <w:rPr>
                <w:spacing w:val="-2"/>
                <w:sz w:val="20"/>
              </w:rPr>
              <w:t>74.65</w:t>
            </w:r>
          </w:p>
        </w:tc>
        <w:tc>
          <w:tcPr>
            <w:tcW w:w="1579" w:type="dxa"/>
          </w:tcPr>
          <w:p>
            <w:pPr>
              <w:pStyle w:val="TableParagraph"/>
              <w:spacing w:line="224" w:lineRule="exact" w:before="2"/>
              <w:ind w:left="13" w:right="1"/>
              <w:jc w:val="center"/>
              <w:rPr>
                <w:sz w:val="20"/>
              </w:rPr>
            </w:pPr>
            <w:r>
              <w:rPr>
                <w:spacing w:val="-2"/>
                <w:sz w:val="20"/>
              </w:rPr>
              <w:t>18.35</w:t>
            </w:r>
          </w:p>
        </w:tc>
        <w:tc>
          <w:tcPr>
            <w:tcW w:w="1867" w:type="dxa"/>
          </w:tcPr>
          <w:p>
            <w:pPr>
              <w:pStyle w:val="TableParagraph"/>
              <w:spacing w:line="224" w:lineRule="exact" w:before="2"/>
              <w:ind w:left="13"/>
              <w:jc w:val="center"/>
              <w:rPr>
                <w:sz w:val="20"/>
              </w:rPr>
            </w:pPr>
            <w:r>
              <w:rPr>
                <w:spacing w:val="-4"/>
                <w:sz w:val="20"/>
              </w:rPr>
              <w:t>3.21</w:t>
            </w:r>
          </w:p>
        </w:tc>
        <w:tc>
          <w:tcPr>
            <w:tcW w:w="1658" w:type="dxa"/>
          </w:tcPr>
          <w:p>
            <w:pPr>
              <w:pStyle w:val="TableParagraph"/>
              <w:spacing w:line="224" w:lineRule="exact" w:before="2"/>
              <w:ind w:left="9" w:right="3"/>
              <w:jc w:val="center"/>
              <w:rPr>
                <w:sz w:val="20"/>
              </w:rPr>
            </w:pPr>
            <w:r>
              <w:rPr>
                <w:spacing w:val="-2"/>
                <w:sz w:val="20"/>
              </w:rPr>
              <w:t>78.44</w:t>
            </w:r>
          </w:p>
        </w:tc>
      </w:tr>
      <w:tr>
        <w:trPr>
          <w:trHeight w:val="244" w:hRule="atLeast"/>
        </w:trPr>
        <w:tc>
          <w:tcPr>
            <w:tcW w:w="623" w:type="dxa"/>
          </w:tcPr>
          <w:p>
            <w:pPr>
              <w:pStyle w:val="TableParagraph"/>
              <w:spacing w:line="224" w:lineRule="exact"/>
              <w:ind w:right="252"/>
              <w:jc w:val="right"/>
              <w:rPr>
                <w:sz w:val="20"/>
              </w:rPr>
            </w:pPr>
            <w:r>
              <w:rPr>
                <w:spacing w:val="-10"/>
                <w:sz w:val="20"/>
              </w:rPr>
              <w:t>4</w:t>
            </w:r>
          </w:p>
        </w:tc>
        <w:tc>
          <w:tcPr>
            <w:tcW w:w="1861" w:type="dxa"/>
          </w:tcPr>
          <w:p>
            <w:pPr>
              <w:pStyle w:val="TableParagraph"/>
              <w:spacing w:line="224" w:lineRule="exact"/>
              <w:ind w:left="5"/>
              <w:jc w:val="center"/>
              <w:rPr>
                <w:sz w:val="20"/>
              </w:rPr>
            </w:pPr>
            <w:r>
              <w:rPr>
                <w:spacing w:val="-2"/>
                <w:sz w:val="20"/>
              </w:rPr>
              <w:t>21.89</w:t>
            </w:r>
          </w:p>
        </w:tc>
        <w:tc>
          <w:tcPr>
            <w:tcW w:w="1579" w:type="dxa"/>
          </w:tcPr>
          <w:p>
            <w:pPr>
              <w:pStyle w:val="TableParagraph"/>
              <w:spacing w:line="224" w:lineRule="exact"/>
              <w:ind w:left="13" w:right="1"/>
              <w:jc w:val="center"/>
              <w:rPr>
                <w:sz w:val="20"/>
              </w:rPr>
            </w:pPr>
            <w:r>
              <w:rPr>
                <w:spacing w:val="-4"/>
                <w:sz w:val="20"/>
              </w:rPr>
              <w:t>3.44</w:t>
            </w:r>
          </w:p>
        </w:tc>
        <w:tc>
          <w:tcPr>
            <w:tcW w:w="1579" w:type="dxa"/>
          </w:tcPr>
          <w:p>
            <w:pPr>
              <w:pStyle w:val="TableParagraph"/>
              <w:spacing w:line="224" w:lineRule="exact"/>
              <w:ind w:left="13" w:right="6"/>
              <w:jc w:val="center"/>
              <w:rPr>
                <w:sz w:val="20"/>
              </w:rPr>
            </w:pPr>
            <w:r>
              <w:rPr>
                <w:spacing w:val="-2"/>
                <w:sz w:val="20"/>
              </w:rPr>
              <w:t>74.67</w:t>
            </w:r>
          </w:p>
        </w:tc>
        <w:tc>
          <w:tcPr>
            <w:tcW w:w="1579" w:type="dxa"/>
          </w:tcPr>
          <w:p>
            <w:pPr>
              <w:pStyle w:val="TableParagraph"/>
              <w:spacing w:line="224" w:lineRule="exact"/>
              <w:ind w:left="13" w:right="1"/>
              <w:jc w:val="center"/>
              <w:rPr>
                <w:sz w:val="20"/>
              </w:rPr>
            </w:pPr>
            <w:r>
              <w:rPr>
                <w:spacing w:val="-2"/>
                <w:sz w:val="20"/>
              </w:rPr>
              <w:t>18.35</w:t>
            </w:r>
          </w:p>
        </w:tc>
        <w:tc>
          <w:tcPr>
            <w:tcW w:w="1867" w:type="dxa"/>
          </w:tcPr>
          <w:p>
            <w:pPr>
              <w:pStyle w:val="TableParagraph"/>
              <w:spacing w:line="224" w:lineRule="exact"/>
              <w:ind w:left="13"/>
              <w:jc w:val="center"/>
              <w:rPr>
                <w:sz w:val="20"/>
              </w:rPr>
            </w:pPr>
            <w:r>
              <w:rPr>
                <w:spacing w:val="-4"/>
                <w:sz w:val="20"/>
              </w:rPr>
              <w:t>3.21</w:t>
            </w:r>
          </w:p>
        </w:tc>
        <w:tc>
          <w:tcPr>
            <w:tcW w:w="1658" w:type="dxa"/>
          </w:tcPr>
          <w:p>
            <w:pPr>
              <w:pStyle w:val="TableParagraph"/>
              <w:spacing w:line="224" w:lineRule="exact"/>
              <w:ind w:left="9" w:right="3"/>
              <w:jc w:val="center"/>
              <w:rPr>
                <w:sz w:val="20"/>
              </w:rPr>
            </w:pPr>
            <w:r>
              <w:rPr>
                <w:spacing w:val="-2"/>
                <w:sz w:val="20"/>
              </w:rPr>
              <w:t>78.44</w:t>
            </w:r>
          </w:p>
        </w:tc>
      </w:tr>
      <w:tr>
        <w:trPr>
          <w:trHeight w:val="246" w:hRule="atLeast"/>
        </w:trPr>
        <w:tc>
          <w:tcPr>
            <w:tcW w:w="623" w:type="dxa"/>
          </w:tcPr>
          <w:p>
            <w:pPr>
              <w:pStyle w:val="TableParagraph"/>
              <w:spacing w:line="227" w:lineRule="exact"/>
              <w:ind w:right="252"/>
              <w:jc w:val="right"/>
              <w:rPr>
                <w:sz w:val="20"/>
              </w:rPr>
            </w:pPr>
            <w:r>
              <w:rPr>
                <w:spacing w:val="-10"/>
                <w:sz w:val="20"/>
              </w:rPr>
              <w:t>5</w:t>
            </w:r>
          </w:p>
        </w:tc>
        <w:tc>
          <w:tcPr>
            <w:tcW w:w="1861" w:type="dxa"/>
          </w:tcPr>
          <w:p>
            <w:pPr>
              <w:pStyle w:val="TableParagraph"/>
              <w:spacing w:line="227" w:lineRule="exact"/>
              <w:ind w:left="5"/>
              <w:jc w:val="center"/>
              <w:rPr>
                <w:sz w:val="20"/>
              </w:rPr>
            </w:pPr>
            <w:r>
              <w:rPr>
                <w:spacing w:val="-4"/>
                <w:sz w:val="20"/>
              </w:rPr>
              <w:t>2.91</w:t>
            </w:r>
          </w:p>
        </w:tc>
        <w:tc>
          <w:tcPr>
            <w:tcW w:w="1579" w:type="dxa"/>
          </w:tcPr>
          <w:p>
            <w:pPr>
              <w:pStyle w:val="TableParagraph"/>
              <w:spacing w:line="227" w:lineRule="exact"/>
              <w:ind w:left="13" w:right="1"/>
              <w:jc w:val="center"/>
              <w:rPr>
                <w:sz w:val="20"/>
              </w:rPr>
            </w:pPr>
            <w:r>
              <w:rPr>
                <w:spacing w:val="-4"/>
                <w:sz w:val="20"/>
              </w:rPr>
              <w:t>3.77</w:t>
            </w:r>
          </w:p>
        </w:tc>
        <w:tc>
          <w:tcPr>
            <w:tcW w:w="1579" w:type="dxa"/>
          </w:tcPr>
          <w:p>
            <w:pPr>
              <w:pStyle w:val="TableParagraph"/>
              <w:spacing w:line="227" w:lineRule="exact"/>
              <w:ind w:left="13" w:right="6"/>
              <w:jc w:val="center"/>
              <w:rPr>
                <w:sz w:val="20"/>
              </w:rPr>
            </w:pPr>
            <w:r>
              <w:rPr>
                <w:spacing w:val="-2"/>
                <w:sz w:val="20"/>
              </w:rPr>
              <w:t>93.32</w:t>
            </w:r>
          </w:p>
        </w:tc>
        <w:tc>
          <w:tcPr>
            <w:tcW w:w="1579" w:type="dxa"/>
          </w:tcPr>
          <w:p>
            <w:pPr>
              <w:pStyle w:val="TableParagraph"/>
              <w:spacing w:line="227" w:lineRule="exact"/>
              <w:ind w:left="13"/>
              <w:jc w:val="center"/>
              <w:rPr>
                <w:sz w:val="20"/>
              </w:rPr>
            </w:pPr>
            <w:r>
              <w:rPr>
                <w:spacing w:val="-4"/>
                <w:sz w:val="20"/>
              </w:rPr>
              <w:t>2.90</w:t>
            </w:r>
          </w:p>
        </w:tc>
        <w:tc>
          <w:tcPr>
            <w:tcW w:w="1867" w:type="dxa"/>
          </w:tcPr>
          <w:p>
            <w:pPr>
              <w:pStyle w:val="TableParagraph"/>
              <w:spacing w:line="227" w:lineRule="exact"/>
              <w:ind w:left="13"/>
              <w:jc w:val="center"/>
              <w:rPr>
                <w:sz w:val="20"/>
              </w:rPr>
            </w:pPr>
            <w:r>
              <w:rPr>
                <w:spacing w:val="-4"/>
                <w:sz w:val="20"/>
              </w:rPr>
              <w:t>3.89</w:t>
            </w:r>
          </w:p>
        </w:tc>
        <w:tc>
          <w:tcPr>
            <w:tcW w:w="1658" w:type="dxa"/>
          </w:tcPr>
          <w:p>
            <w:pPr>
              <w:pStyle w:val="TableParagraph"/>
              <w:spacing w:line="227" w:lineRule="exact"/>
              <w:ind w:left="9" w:right="3"/>
              <w:jc w:val="center"/>
              <w:rPr>
                <w:sz w:val="20"/>
              </w:rPr>
            </w:pPr>
            <w:r>
              <w:rPr>
                <w:spacing w:val="-2"/>
                <w:sz w:val="20"/>
              </w:rPr>
              <w:t>93.21</w:t>
            </w:r>
          </w:p>
        </w:tc>
      </w:tr>
      <w:tr>
        <w:trPr>
          <w:trHeight w:val="244" w:hRule="atLeast"/>
        </w:trPr>
        <w:tc>
          <w:tcPr>
            <w:tcW w:w="623" w:type="dxa"/>
          </w:tcPr>
          <w:p>
            <w:pPr>
              <w:pStyle w:val="TableParagraph"/>
              <w:spacing w:line="224" w:lineRule="exact"/>
              <w:ind w:right="252"/>
              <w:jc w:val="right"/>
              <w:rPr>
                <w:sz w:val="20"/>
              </w:rPr>
            </w:pPr>
            <w:r>
              <w:rPr>
                <w:spacing w:val="-10"/>
                <w:sz w:val="20"/>
              </w:rPr>
              <w:t>6</w:t>
            </w:r>
          </w:p>
        </w:tc>
        <w:tc>
          <w:tcPr>
            <w:tcW w:w="1861" w:type="dxa"/>
          </w:tcPr>
          <w:p>
            <w:pPr>
              <w:pStyle w:val="TableParagraph"/>
              <w:spacing w:line="224" w:lineRule="exact"/>
              <w:ind w:left="5"/>
              <w:jc w:val="center"/>
              <w:rPr>
                <w:sz w:val="20"/>
              </w:rPr>
            </w:pPr>
            <w:r>
              <w:rPr>
                <w:spacing w:val="-4"/>
                <w:sz w:val="20"/>
              </w:rPr>
              <w:t>2.84</w:t>
            </w:r>
          </w:p>
        </w:tc>
        <w:tc>
          <w:tcPr>
            <w:tcW w:w="1579" w:type="dxa"/>
          </w:tcPr>
          <w:p>
            <w:pPr>
              <w:pStyle w:val="TableParagraph"/>
              <w:spacing w:line="224" w:lineRule="exact"/>
              <w:ind w:left="13" w:right="1"/>
              <w:jc w:val="center"/>
              <w:rPr>
                <w:sz w:val="20"/>
              </w:rPr>
            </w:pPr>
            <w:r>
              <w:rPr>
                <w:spacing w:val="-4"/>
                <w:sz w:val="20"/>
              </w:rPr>
              <w:t>3.92</w:t>
            </w:r>
          </w:p>
        </w:tc>
        <w:tc>
          <w:tcPr>
            <w:tcW w:w="1579" w:type="dxa"/>
          </w:tcPr>
          <w:p>
            <w:pPr>
              <w:pStyle w:val="TableParagraph"/>
              <w:spacing w:line="224" w:lineRule="exact"/>
              <w:ind w:left="13" w:right="6"/>
              <w:jc w:val="center"/>
              <w:rPr>
                <w:sz w:val="20"/>
              </w:rPr>
            </w:pPr>
            <w:r>
              <w:rPr>
                <w:spacing w:val="-2"/>
                <w:sz w:val="20"/>
              </w:rPr>
              <w:t>93.24</w:t>
            </w:r>
          </w:p>
        </w:tc>
        <w:tc>
          <w:tcPr>
            <w:tcW w:w="1579" w:type="dxa"/>
          </w:tcPr>
          <w:p>
            <w:pPr>
              <w:pStyle w:val="TableParagraph"/>
              <w:spacing w:line="224" w:lineRule="exact"/>
              <w:ind w:left="13"/>
              <w:jc w:val="center"/>
              <w:rPr>
                <w:sz w:val="20"/>
              </w:rPr>
            </w:pPr>
            <w:r>
              <w:rPr>
                <w:spacing w:val="-4"/>
                <w:sz w:val="20"/>
              </w:rPr>
              <w:t>2.90</w:t>
            </w:r>
          </w:p>
        </w:tc>
        <w:tc>
          <w:tcPr>
            <w:tcW w:w="1867" w:type="dxa"/>
          </w:tcPr>
          <w:p>
            <w:pPr>
              <w:pStyle w:val="TableParagraph"/>
              <w:spacing w:line="224" w:lineRule="exact"/>
              <w:ind w:left="13"/>
              <w:jc w:val="center"/>
              <w:rPr>
                <w:sz w:val="20"/>
              </w:rPr>
            </w:pPr>
            <w:r>
              <w:rPr>
                <w:spacing w:val="-4"/>
                <w:sz w:val="20"/>
              </w:rPr>
              <w:t>3.89</w:t>
            </w:r>
          </w:p>
        </w:tc>
        <w:tc>
          <w:tcPr>
            <w:tcW w:w="1658" w:type="dxa"/>
          </w:tcPr>
          <w:p>
            <w:pPr>
              <w:pStyle w:val="TableParagraph"/>
              <w:spacing w:line="224" w:lineRule="exact"/>
              <w:ind w:left="9" w:right="3"/>
              <w:jc w:val="center"/>
              <w:rPr>
                <w:sz w:val="20"/>
              </w:rPr>
            </w:pPr>
            <w:r>
              <w:rPr>
                <w:spacing w:val="-2"/>
                <w:sz w:val="20"/>
              </w:rPr>
              <w:t>93.21</w:t>
            </w:r>
          </w:p>
        </w:tc>
      </w:tr>
      <w:tr>
        <w:trPr>
          <w:trHeight w:val="244" w:hRule="atLeast"/>
        </w:trPr>
        <w:tc>
          <w:tcPr>
            <w:tcW w:w="623" w:type="dxa"/>
          </w:tcPr>
          <w:p>
            <w:pPr>
              <w:pStyle w:val="TableParagraph"/>
              <w:spacing w:line="224" w:lineRule="exact"/>
              <w:ind w:right="252"/>
              <w:jc w:val="right"/>
              <w:rPr>
                <w:sz w:val="20"/>
              </w:rPr>
            </w:pPr>
            <w:r>
              <w:rPr>
                <w:spacing w:val="-10"/>
                <w:sz w:val="20"/>
              </w:rPr>
              <w:t>7</w:t>
            </w:r>
          </w:p>
        </w:tc>
        <w:tc>
          <w:tcPr>
            <w:tcW w:w="1861" w:type="dxa"/>
          </w:tcPr>
          <w:p>
            <w:pPr>
              <w:pStyle w:val="TableParagraph"/>
              <w:spacing w:line="224" w:lineRule="exact"/>
              <w:ind w:left="5"/>
              <w:jc w:val="center"/>
              <w:rPr>
                <w:sz w:val="20"/>
              </w:rPr>
            </w:pPr>
            <w:r>
              <w:rPr>
                <w:spacing w:val="-4"/>
                <w:sz w:val="20"/>
              </w:rPr>
              <w:t>7.18</w:t>
            </w:r>
          </w:p>
        </w:tc>
        <w:tc>
          <w:tcPr>
            <w:tcW w:w="1579" w:type="dxa"/>
          </w:tcPr>
          <w:p>
            <w:pPr>
              <w:pStyle w:val="TableParagraph"/>
              <w:spacing w:line="224" w:lineRule="exact"/>
              <w:ind w:left="13" w:right="1"/>
              <w:jc w:val="center"/>
              <w:rPr>
                <w:sz w:val="20"/>
              </w:rPr>
            </w:pPr>
            <w:r>
              <w:rPr>
                <w:spacing w:val="-4"/>
                <w:sz w:val="20"/>
              </w:rPr>
              <w:t>0.48</w:t>
            </w:r>
          </w:p>
        </w:tc>
        <w:tc>
          <w:tcPr>
            <w:tcW w:w="1579" w:type="dxa"/>
          </w:tcPr>
          <w:p>
            <w:pPr>
              <w:pStyle w:val="TableParagraph"/>
              <w:spacing w:line="224" w:lineRule="exact"/>
              <w:ind w:left="13" w:right="6"/>
              <w:jc w:val="center"/>
              <w:rPr>
                <w:sz w:val="20"/>
              </w:rPr>
            </w:pPr>
            <w:r>
              <w:rPr>
                <w:spacing w:val="-2"/>
                <w:sz w:val="20"/>
              </w:rPr>
              <w:t>92.34</w:t>
            </w:r>
          </w:p>
        </w:tc>
        <w:tc>
          <w:tcPr>
            <w:tcW w:w="1579" w:type="dxa"/>
          </w:tcPr>
          <w:p>
            <w:pPr>
              <w:pStyle w:val="TableParagraph"/>
              <w:spacing w:line="224" w:lineRule="exact"/>
              <w:ind w:left="13"/>
              <w:jc w:val="center"/>
              <w:rPr>
                <w:sz w:val="20"/>
              </w:rPr>
            </w:pPr>
            <w:r>
              <w:rPr>
                <w:spacing w:val="-4"/>
                <w:sz w:val="20"/>
              </w:rPr>
              <w:t>1.56</w:t>
            </w:r>
          </w:p>
        </w:tc>
        <w:tc>
          <w:tcPr>
            <w:tcW w:w="1867" w:type="dxa"/>
          </w:tcPr>
          <w:p>
            <w:pPr>
              <w:pStyle w:val="TableParagraph"/>
              <w:spacing w:line="224" w:lineRule="exact"/>
              <w:ind w:left="13"/>
              <w:jc w:val="center"/>
              <w:rPr>
                <w:sz w:val="20"/>
              </w:rPr>
            </w:pPr>
            <w:r>
              <w:rPr>
                <w:spacing w:val="-4"/>
                <w:sz w:val="20"/>
              </w:rPr>
              <w:t>0.12</w:t>
            </w:r>
          </w:p>
        </w:tc>
        <w:tc>
          <w:tcPr>
            <w:tcW w:w="1658" w:type="dxa"/>
          </w:tcPr>
          <w:p>
            <w:pPr>
              <w:pStyle w:val="TableParagraph"/>
              <w:spacing w:line="224" w:lineRule="exact"/>
              <w:ind w:left="9" w:right="3"/>
              <w:jc w:val="center"/>
              <w:rPr>
                <w:sz w:val="20"/>
              </w:rPr>
            </w:pPr>
            <w:r>
              <w:rPr>
                <w:spacing w:val="-2"/>
                <w:sz w:val="20"/>
              </w:rPr>
              <w:t>98.32</w:t>
            </w:r>
          </w:p>
        </w:tc>
      </w:tr>
      <w:tr>
        <w:trPr>
          <w:trHeight w:val="246" w:hRule="atLeast"/>
        </w:trPr>
        <w:tc>
          <w:tcPr>
            <w:tcW w:w="623" w:type="dxa"/>
          </w:tcPr>
          <w:p>
            <w:pPr>
              <w:pStyle w:val="TableParagraph"/>
              <w:spacing w:line="227" w:lineRule="exact"/>
              <w:ind w:right="252"/>
              <w:jc w:val="right"/>
              <w:rPr>
                <w:sz w:val="20"/>
              </w:rPr>
            </w:pPr>
            <w:r>
              <w:rPr>
                <w:spacing w:val="-10"/>
                <w:sz w:val="20"/>
              </w:rPr>
              <w:t>8</w:t>
            </w:r>
          </w:p>
        </w:tc>
        <w:tc>
          <w:tcPr>
            <w:tcW w:w="1861" w:type="dxa"/>
          </w:tcPr>
          <w:p>
            <w:pPr>
              <w:pStyle w:val="TableParagraph"/>
              <w:spacing w:line="227" w:lineRule="exact"/>
              <w:ind w:left="5"/>
              <w:jc w:val="center"/>
              <w:rPr>
                <w:sz w:val="20"/>
              </w:rPr>
            </w:pPr>
            <w:r>
              <w:rPr>
                <w:spacing w:val="-4"/>
                <w:sz w:val="20"/>
              </w:rPr>
              <w:t>7.78</w:t>
            </w:r>
          </w:p>
        </w:tc>
        <w:tc>
          <w:tcPr>
            <w:tcW w:w="1579" w:type="dxa"/>
          </w:tcPr>
          <w:p>
            <w:pPr>
              <w:pStyle w:val="TableParagraph"/>
              <w:spacing w:line="227" w:lineRule="exact"/>
              <w:ind w:left="13" w:right="1"/>
              <w:jc w:val="center"/>
              <w:rPr>
                <w:sz w:val="20"/>
              </w:rPr>
            </w:pPr>
            <w:r>
              <w:rPr>
                <w:spacing w:val="-4"/>
                <w:sz w:val="20"/>
              </w:rPr>
              <w:t>0.09</w:t>
            </w:r>
          </w:p>
        </w:tc>
        <w:tc>
          <w:tcPr>
            <w:tcW w:w="1579" w:type="dxa"/>
          </w:tcPr>
          <w:p>
            <w:pPr>
              <w:pStyle w:val="TableParagraph"/>
              <w:spacing w:line="227" w:lineRule="exact"/>
              <w:ind w:left="13" w:right="6"/>
              <w:jc w:val="center"/>
              <w:rPr>
                <w:sz w:val="20"/>
              </w:rPr>
            </w:pPr>
            <w:r>
              <w:rPr>
                <w:spacing w:val="-2"/>
                <w:sz w:val="20"/>
              </w:rPr>
              <w:t>92.13</w:t>
            </w:r>
          </w:p>
        </w:tc>
        <w:tc>
          <w:tcPr>
            <w:tcW w:w="1579" w:type="dxa"/>
          </w:tcPr>
          <w:p>
            <w:pPr>
              <w:pStyle w:val="TableParagraph"/>
              <w:spacing w:line="227" w:lineRule="exact"/>
              <w:ind w:left="13"/>
              <w:jc w:val="center"/>
              <w:rPr>
                <w:sz w:val="20"/>
              </w:rPr>
            </w:pPr>
            <w:r>
              <w:rPr>
                <w:spacing w:val="-4"/>
                <w:sz w:val="20"/>
              </w:rPr>
              <w:t>1.56</w:t>
            </w:r>
          </w:p>
        </w:tc>
        <w:tc>
          <w:tcPr>
            <w:tcW w:w="1867" w:type="dxa"/>
          </w:tcPr>
          <w:p>
            <w:pPr>
              <w:pStyle w:val="TableParagraph"/>
              <w:spacing w:line="227" w:lineRule="exact"/>
              <w:ind w:left="13"/>
              <w:jc w:val="center"/>
              <w:rPr>
                <w:sz w:val="20"/>
              </w:rPr>
            </w:pPr>
            <w:r>
              <w:rPr>
                <w:spacing w:val="-4"/>
                <w:sz w:val="20"/>
              </w:rPr>
              <w:t>0.12</w:t>
            </w:r>
          </w:p>
        </w:tc>
        <w:tc>
          <w:tcPr>
            <w:tcW w:w="1658" w:type="dxa"/>
          </w:tcPr>
          <w:p>
            <w:pPr>
              <w:pStyle w:val="TableParagraph"/>
              <w:spacing w:line="227" w:lineRule="exact"/>
              <w:ind w:left="9" w:right="3"/>
              <w:jc w:val="center"/>
              <w:rPr>
                <w:sz w:val="20"/>
              </w:rPr>
            </w:pPr>
            <w:r>
              <w:rPr>
                <w:spacing w:val="-2"/>
                <w:sz w:val="20"/>
              </w:rPr>
              <w:t>98.32</w:t>
            </w:r>
          </w:p>
        </w:tc>
      </w:tr>
      <w:tr>
        <w:trPr>
          <w:trHeight w:val="244" w:hRule="atLeast"/>
        </w:trPr>
        <w:tc>
          <w:tcPr>
            <w:tcW w:w="623" w:type="dxa"/>
          </w:tcPr>
          <w:p>
            <w:pPr>
              <w:pStyle w:val="TableParagraph"/>
              <w:spacing w:line="224" w:lineRule="exact"/>
              <w:ind w:right="252"/>
              <w:jc w:val="right"/>
              <w:rPr>
                <w:sz w:val="20"/>
              </w:rPr>
            </w:pPr>
            <w:r>
              <w:rPr>
                <w:spacing w:val="-10"/>
                <w:sz w:val="20"/>
              </w:rPr>
              <w:t>9</w:t>
            </w:r>
          </w:p>
        </w:tc>
        <w:tc>
          <w:tcPr>
            <w:tcW w:w="1861" w:type="dxa"/>
          </w:tcPr>
          <w:p>
            <w:pPr>
              <w:pStyle w:val="TableParagraph"/>
              <w:spacing w:line="224" w:lineRule="exact"/>
              <w:ind w:left="5"/>
              <w:jc w:val="center"/>
              <w:rPr>
                <w:sz w:val="20"/>
              </w:rPr>
            </w:pPr>
            <w:r>
              <w:rPr>
                <w:spacing w:val="-4"/>
                <w:sz w:val="20"/>
              </w:rPr>
              <w:t>3.21</w:t>
            </w:r>
          </w:p>
        </w:tc>
        <w:tc>
          <w:tcPr>
            <w:tcW w:w="1579" w:type="dxa"/>
          </w:tcPr>
          <w:p>
            <w:pPr>
              <w:pStyle w:val="TableParagraph"/>
              <w:spacing w:line="224" w:lineRule="exact"/>
              <w:ind w:left="13" w:right="1"/>
              <w:jc w:val="center"/>
              <w:rPr>
                <w:sz w:val="20"/>
              </w:rPr>
            </w:pPr>
            <w:r>
              <w:rPr>
                <w:spacing w:val="-4"/>
                <w:sz w:val="20"/>
              </w:rPr>
              <w:t>1.13</w:t>
            </w:r>
          </w:p>
        </w:tc>
        <w:tc>
          <w:tcPr>
            <w:tcW w:w="1579" w:type="dxa"/>
          </w:tcPr>
          <w:p>
            <w:pPr>
              <w:pStyle w:val="TableParagraph"/>
              <w:spacing w:line="224" w:lineRule="exact"/>
              <w:ind w:left="13" w:right="6"/>
              <w:jc w:val="center"/>
              <w:rPr>
                <w:sz w:val="20"/>
              </w:rPr>
            </w:pPr>
            <w:r>
              <w:rPr>
                <w:spacing w:val="-2"/>
                <w:sz w:val="20"/>
              </w:rPr>
              <w:t>95.66</w:t>
            </w:r>
          </w:p>
        </w:tc>
        <w:tc>
          <w:tcPr>
            <w:tcW w:w="1579" w:type="dxa"/>
          </w:tcPr>
          <w:p>
            <w:pPr>
              <w:pStyle w:val="TableParagraph"/>
              <w:spacing w:line="224" w:lineRule="exact"/>
              <w:ind w:left="13"/>
              <w:jc w:val="center"/>
              <w:rPr>
                <w:sz w:val="20"/>
              </w:rPr>
            </w:pPr>
            <w:r>
              <w:rPr>
                <w:spacing w:val="-4"/>
                <w:sz w:val="20"/>
              </w:rPr>
              <w:t>2.73</w:t>
            </w:r>
          </w:p>
        </w:tc>
        <w:tc>
          <w:tcPr>
            <w:tcW w:w="1867" w:type="dxa"/>
          </w:tcPr>
          <w:p>
            <w:pPr>
              <w:pStyle w:val="TableParagraph"/>
              <w:spacing w:line="224" w:lineRule="exact"/>
              <w:ind w:left="13"/>
              <w:jc w:val="center"/>
              <w:rPr>
                <w:sz w:val="20"/>
              </w:rPr>
            </w:pPr>
            <w:r>
              <w:rPr>
                <w:spacing w:val="-4"/>
                <w:sz w:val="20"/>
              </w:rPr>
              <w:t>0.79</w:t>
            </w:r>
          </w:p>
        </w:tc>
        <w:tc>
          <w:tcPr>
            <w:tcW w:w="1658" w:type="dxa"/>
          </w:tcPr>
          <w:p>
            <w:pPr>
              <w:pStyle w:val="TableParagraph"/>
              <w:spacing w:line="224" w:lineRule="exact"/>
              <w:ind w:left="9" w:right="3"/>
              <w:jc w:val="center"/>
              <w:rPr>
                <w:sz w:val="20"/>
              </w:rPr>
            </w:pPr>
            <w:r>
              <w:rPr>
                <w:spacing w:val="-2"/>
                <w:sz w:val="20"/>
              </w:rPr>
              <w:t>96.48</w:t>
            </w:r>
          </w:p>
        </w:tc>
      </w:tr>
      <w:tr>
        <w:trPr>
          <w:trHeight w:val="244" w:hRule="atLeast"/>
        </w:trPr>
        <w:tc>
          <w:tcPr>
            <w:tcW w:w="623" w:type="dxa"/>
          </w:tcPr>
          <w:p>
            <w:pPr>
              <w:pStyle w:val="TableParagraph"/>
              <w:spacing w:line="224" w:lineRule="exact"/>
              <w:ind w:right="200"/>
              <w:jc w:val="right"/>
              <w:rPr>
                <w:sz w:val="20"/>
              </w:rPr>
            </w:pPr>
            <w:r>
              <w:rPr>
                <w:spacing w:val="-5"/>
                <w:sz w:val="20"/>
              </w:rPr>
              <w:t>10</w:t>
            </w:r>
          </w:p>
        </w:tc>
        <w:tc>
          <w:tcPr>
            <w:tcW w:w="1861" w:type="dxa"/>
          </w:tcPr>
          <w:p>
            <w:pPr>
              <w:pStyle w:val="TableParagraph"/>
              <w:spacing w:line="224" w:lineRule="exact"/>
              <w:ind w:left="5"/>
              <w:jc w:val="center"/>
              <w:rPr>
                <w:sz w:val="20"/>
              </w:rPr>
            </w:pPr>
            <w:r>
              <w:rPr>
                <w:spacing w:val="-4"/>
                <w:sz w:val="20"/>
              </w:rPr>
              <w:t>3.25</w:t>
            </w:r>
          </w:p>
        </w:tc>
        <w:tc>
          <w:tcPr>
            <w:tcW w:w="1579" w:type="dxa"/>
          </w:tcPr>
          <w:p>
            <w:pPr>
              <w:pStyle w:val="TableParagraph"/>
              <w:spacing w:line="224" w:lineRule="exact"/>
              <w:ind w:left="13" w:right="1"/>
              <w:jc w:val="center"/>
              <w:rPr>
                <w:sz w:val="20"/>
              </w:rPr>
            </w:pPr>
            <w:r>
              <w:rPr>
                <w:spacing w:val="-4"/>
                <w:sz w:val="20"/>
              </w:rPr>
              <w:t>1.01</w:t>
            </w:r>
          </w:p>
        </w:tc>
        <w:tc>
          <w:tcPr>
            <w:tcW w:w="1579" w:type="dxa"/>
          </w:tcPr>
          <w:p>
            <w:pPr>
              <w:pStyle w:val="TableParagraph"/>
              <w:spacing w:line="224" w:lineRule="exact"/>
              <w:ind w:left="13" w:right="6"/>
              <w:jc w:val="center"/>
              <w:rPr>
                <w:sz w:val="20"/>
              </w:rPr>
            </w:pPr>
            <w:r>
              <w:rPr>
                <w:spacing w:val="-2"/>
                <w:sz w:val="20"/>
              </w:rPr>
              <w:t>95.74</w:t>
            </w:r>
          </w:p>
        </w:tc>
        <w:tc>
          <w:tcPr>
            <w:tcW w:w="1579" w:type="dxa"/>
          </w:tcPr>
          <w:p>
            <w:pPr>
              <w:pStyle w:val="TableParagraph"/>
              <w:spacing w:line="224" w:lineRule="exact"/>
              <w:ind w:left="13"/>
              <w:jc w:val="center"/>
              <w:rPr>
                <w:sz w:val="20"/>
              </w:rPr>
            </w:pPr>
            <w:r>
              <w:rPr>
                <w:spacing w:val="-4"/>
                <w:sz w:val="20"/>
              </w:rPr>
              <w:t>2.73</w:t>
            </w:r>
          </w:p>
        </w:tc>
        <w:tc>
          <w:tcPr>
            <w:tcW w:w="1867" w:type="dxa"/>
          </w:tcPr>
          <w:p>
            <w:pPr>
              <w:pStyle w:val="TableParagraph"/>
              <w:spacing w:line="224" w:lineRule="exact"/>
              <w:ind w:left="13"/>
              <w:jc w:val="center"/>
              <w:rPr>
                <w:sz w:val="20"/>
              </w:rPr>
            </w:pPr>
            <w:r>
              <w:rPr>
                <w:spacing w:val="-4"/>
                <w:sz w:val="20"/>
              </w:rPr>
              <w:t>0.79</w:t>
            </w:r>
          </w:p>
        </w:tc>
        <w:tc>
          <w:tcPr>
            <w:tcW w:w="1658" w:type="dxa"/>
          </w:tcPr>
          <w:p>
            <w:pPr>
              <w:pStyle w:val="TableParagraph"/>
              <w:spacing w:line="224" w:lineRule="exact"/>
              <w:ind w:left="9" w:right="3"/>
              <w:jc w:val="center"/>
              <w:rPr>
                <w:sz w:val="20"/>
              </w:rPr>
            </w:pPr>
            <w:r>
              <w:rPr>
                <w:spacing w:val="-2"/>
                <w:sz w:val="20"/>
              </w:rPr>
              <w:t>96.48</w:t>
            </w:r>
          </w:p>
        </w:tc>
      </w:tr>
      <w:tr>
        <w:trPr>
          <w:trHeight w:val="246" w:hRule="atLeast"/>
        </w:trPr>
        <w:tc>
          <w:tcPr>
            <w:tcW w:w="623" w:type="dxa"/>
          </w:tcPr>
          <w:p>
            <w:pPr>
              <w:pStyle w:val="TableParagraph"/>
              <w:spacing w:line="224" w:lineRule="exact" w:before="2"/>
              <w:ind w:right="200"/>
              <w:jc w:val="right"/>
              <w:rPr>
                <w:sz w:val="20"/>
              </w:rPr>
            </w:pPr>
            <w:r>
              <w:rPr>
                <w:spacing w:val="-5"/>
                <w:sz w:val="20"/>
              </w:rPr>
              <w:t>11</w:t>
            </w:r>
          </w:p>
        </w:tc>
        <w:tc>
          <w:tcPr>
            <w:tcW w:w="1861" w:type="dxa"/>
          </w:tcPr>
          <w:p>
            <w:pPr>
              <w:pStyle w:val="TableParagraph"/>
              <w:spacing w:line="224" w:lineRule="exact" w:before="2"/>
              <w:ind w:left="5"/>
              <w:jc w:val="center"/>
              <w:rPr>
                <w:sz w:val="20"/>
              </w:rPr>
            </w:pPr>
            <w:r>
              <w:rPr>
                <w:spacing w:val="-2"/>
                <w:sz w:val="20"/>
              </w:rPr>
              <w:t>14.75</w:t>
            </w:r>
          </w:p>
        </w:tc>
        <w:tc>
          <w:tcPr>
            <w:tcW w:w="1579" w:type="dxa"/>
          </w:tcPr>
          <w:p>
            <w:pPr>
              <w:pStyle w:val="TableParagraph"/>
              <w:spacing w:line="224" w:lineRule="exact" w:before="2"/>
              <w:ind w:left="13" w:right="2"/>
              <w:jc w:val="center"/>
              <w:rPr>
                <w:sz w:val="20"/>
              </w:rPr>
            </w:pPr>
            <w:r>
              <w:rPr>
                <w:spacing w:val="-2"/>
                <w:sz w:val="20"/>
              </w:rPr>
              <w:t>11.20</w:t>
            </w:r>
          </w:p>
        </w:tc>
        <w:tc>
          <w:tcPr>
            <w:tcW w:w="1579" w:type="dxa"/>
          </w:tcPr>
          <w:p>
            <w:pPr>
              <w:pStyle w:val="TableParagraph"/>
              <w:spacing w:line="224" w:lineRule="exact" w:before="2"/>
              <w:ind w:left="13" w:right="6"/>
              <w:jc w:val="center"/>
              <w:rPr>
                <w:sz w:val="20"/>
              </w:rPr>
            </w:pPr>
            <w:r>
              <w:rPr>
                <w:spacing w:val="-2"/>
                <w:sz w:val="20"/>
              </w:rPr>
              <w:t>74.05</w:t>
            </w:r>
          </w:p>
        </w:tc>
        <w:tc>
          <w:tcPr>
            <w:tcW w:w="1579" w:type="dxa"/>
          </w:tcPr>
          <w:p>
            <w:pPr>
              <w:pStyle w:val="TableParagraph"/>
              <w:spacing w:line="224" w:lineRule="exact" w:before="2"/>
              <w:ind w:left="13" w:right="1"/>
              <w:jc w:val="center"/>
              <w:rPr>
                <w:sz w:val="20"/>
              </w:rPr>
            </w:pPr>
            <w:r>
              <w:rPr>
                <w:spacing w:val="-2"/>
                <w:sz w:val="20"/>
              </w:rPr>
              <w:t>10.02</w:t>
            </w:r>
          </w:p>
        </w:tc>
        <w:tc>
          <w:tcPr>
            <w:tcW w:w="1867" w:type="dxa"/>
          </w:tcPr>
          <w:p>
            <w:pPr>
              <w:pStyle w:val="TableParagraph"/>
              <w:spacing w:line="224" w:lineRule="exact" w:before="2"/>
              <w:ind w:left="13"/>
              <w:jc w:val="center"/>
              <w:rPr>
                <w:sz w:val="20"/>
              </w:rPr>
            </w:pPr>
            <w:r>
              <w:rPr>
                <w:spacing w:val="-4"/>
                <w:sz w:val="20"/>
              </w:rPr>
              <w:t>7.87</w:t>
            </w:r>
          </w:p>
        </w:tc>
        <w:tc>
          <w:tcPr>
            <w:tcW w:w="1658" w:type="dxa"/>
          </w:tcPr>
          <w:p>
            <w:pPr>
              <w:pStyle w:val="TableParagraph"/>
              <w:spacing w:line="224" w:lineRule="exact" w:before="2"/>
              <w:ind w:left="9" w:right="3"/>
              <w:jc w:val="center"/>
              <w:rPr>
                <w:sz w:val="20"/>
              </w:rPr>
            </w:pPr>
            <w:r>
              <w:rPr>
                <w:spacing w:val="-2"/>
                <w:sz w:val="20"/>
              </w:rPr>
              <w:t>82.11</w:t>
            </w:r>
          </w:p>
        </w:tc>
      </w:tr>
      <w:tr>
        <w:trPr>
          <w:trHeight w:val="244" w:hRule="atLeast"/>
        </w:trPr>
        <w:tc>
          <w:tcPr>
            <w:tcW w:w="623" w:type="dxa"/>
          </w:tcPr>
          <w:p>
            <w:pPr>
              <w:pStyle w:val="TableParagraph"/>
              <w:spacing w:line="224" w:lineRule="exact"/>
              <w:ind w:right="200"/>
              <w:jc w:val="right"/>
              <w:rPr>
                <w:sz w:val="20"/>
              </w:rPr>
            </w:pPr>
            <w:r>
              <w:rPr>
                <w:spacing w:val="-5"/>
                <w:sz w:val="20"/>
              </w:rPr>
              <w:t>12</w:t>
            </w:r>
          </w:p>
        </w:tc>
        <w:tc>
          <w:tcPr>
            <w:tcW w:w="1861" w:type="dxa"/>
          </w:tcPr>
          <w:p>
            <w:pPr>
              <w:pStyle w:val="TableParagraph"/>
              <w:spacing w:line="224" w:lineRule="exact"/>
              <w:ind w:left="5" w:right="1"/>
              <w:jc w:val="center"/>
              <w:rPr>
                <w:sz w:val="20"/>
              </w:rPr>
            </w:pPr>
            <w:r>
              <w:rPr>
                <w:spacing w:val="-2"/>
                <w:sz w:val="20"/>
              </w:rPr>
              <w:t>15.60</w:t>
            </w:r>
          </w:p>
        </w:tc>
        <w:tc>
          <w:tcPr>
            <w:tcW w:w="1579" w:type="dxa"/>
          </w:tcPr>
          <w:p>
            <w:pPr>
              <w:pStyle w:val="TableParagraph"/>
              <w:spacing w:line="224" w:lineRule="exact"/>
              <w:ind w:left="13" w:right="1"/>
              <w:jc w:val="center"/>
              <w:rPr>
                <w:sz w:val="20"/>
              </w:rPr>
            </w:pPr>
            <w:r>
              <w:rPr>
                <w:spacing w:val="-2"/>
                <w:sz w:val="20"/>
              </w:rPr>
              <w:t>12.25</w:t>
            </w:r>
          </w:p>
        </w:tc>
        <w:tc>
          <w:tcPr>
            <w:tcW w:w="1579" w:type="dxa"/>
          </w:tcPr>
          <w:p>
            <w:pPr>
              <w:pStyle w:val="TableParagraph"/>
              <w:spacing w:line="224" w:lineRule="exact"/>
              <w:ind w:left="13" w:right="6"/>
              <w:jc w:val="center"/>
              <w:rPr>
                <w:sz w:val="20"/>
              </w:rPr>
            </w:pPr>
            <w:r>
              <w:rPr>
                <w:spacing w:val="-2"/>
                <w:sz w:val="20"/>
              </w:rPr>
              <w:t>72.15</w:t>
            </w:r>
          </w:p>
        </w:tc>
        <w:tc>
          <w:tcPr>
            <w:tcW w:w="1579" w:type="dxa"/>
          </w:tcPr>
          <w:p>
            <w:pPr>
              <w:pStyle w:val="TableParagraph"/>
              <w:spacing w:line="224" w:lineRule="exact"/>
              <w:ind w:left="13" w:right="1"/>
              <w:jc w:val="center"/>
              <w:rPr>
                <w:sz w:val="20"/>
              </w:rPr>
            </w:pPr>
            <w:r>
              <w:rPr>
                <w:spacing w:val="-2"/>
                <w:sz w:val="20"/>
              </w:rPr>
              <w:t>10.02</w:t>
            </w:r>
          </w:p>
        </w:tc>
        <w:tc>
          <w:tcPr>
            <w:tcW w:w="1867" w:type="dxa"/>
          </w:tcPr>
          <w:p>
            <w:pPr>
              <w:pStyle w:val="TableParagraph"/>
              <w:spacing w:line="224" w:lineRule="exact"/>
              <w:ind w:left="13"/>
              <w:jc w:val="center"/>
              <w:rPr>
                <w:sz w:val="20"/>
              </w:rPr>
            </w:pPr>
            <w:r>
              <w:rPr>
                <w:spacing w:val="-4"/>
                <w:sz w:val="20"/>
              </w:rPr>
              <w:t>7.87</w:t>
            </w:r>
          </w:p>
        </w:tc>
        <w:tc>
          <w:tcPr>
            <w:tcW w:w="1658" w:type="dxa"/>
          </w:tcPr>
          <w:p>
            <w:pPr>
              <w:pStyle w:val="TableParagraph"/>
              <w:spacing w:line="224" w:lineRule="exact"/>
              <w:ind w:left="9" w:right="3"/>
              <w:jc w:val="center"/>
              <w:rPr>
                <w:sz w:val="20"/>
              </w:rPr>
            </w:pPr>
            <w:r>
              <w:rPr>
                <w:spacing w:val="-2"/>
                <w:sz w:val="20"/>
              </w:rPr>
              <w:t>82.11</w:t>
            </w:r>
          </w:p>
        </w:tc>
      </w:tr>
      <w:tr>
        <w:trPr>
          <w:trHeight w:val="246" w:hRule="atLeast"/>
        </w:trPr>
        <w:tc>
          <w:tcPr>
            <w:tcW w:w="623" w:type="dxa"/>
          </w:tcPr>
          <w:p>
            <w:pPr>
              <w:pStyle w:val="TableParagraph"/>
              <w:spacing w:line="227" w:lineRule="exact"/>
              <w:ind w:right="200"/>
              <w:jc w:val="right"/>
              <w:rPr>
                <w:sz w:val="20"/>
              </w:rPr>
            </w:pPr>
            <w:r>
              <w:rPr>
                <w:spacing w:val="-5"/>
                <w:sz w:val="20"/>
              </w:rPr>
              <w:t>13</w:t>
            </w:r>
          </w:p>
        </w:tc>
        <w:tc>
          <w:tcPr>
            <w:tcW w:w="1861" w:type="dxa"/>
          </w:tcPr>
          <w:p>
            <w:pPr>
              <w:pStyle w:val="TableParagraph"/>
              <w:spacing w:line="227" w:lineRule="exact"/>
              <w:ind w:left="5"/>
              <w:jc w:val="center"/>
              <w:rPr>
                <w:sz w:val="20"/>
              </w:rPr>
            </w:pPr>
            <w:r>
              <w:rPr>
                <w:spacing w:val="-2"/>
                <w:sz w:val="20"/>
              </w:rPr>
              <w:t>10.65</w:t>
            </w:r>
          </w:p>
        </w:tc>
        <w:tc>
          <w:tcPr>
            <w:tcW w:w="1579" w:type="dxa"/>
          </w:tcPr>
          <w:p>
            <w:pPr>
              <w:pStyle w:val="TableParagraph"/>
              <w:spacing w:line="227" w:lineRule="exact"/>
              <w:ind w:left="13" w:right="1"/>
              <w:jc w:val="center"/>
              <w:rPr>
                <w:sz w:val="20"/>
              </w:rPr>
            </w:pPr>
            <w:r>
              <w:rPr>
                <w:spacing w:val="-2"/>
                <w:sz w:val="20"/>
              </w:rPr>
              <w:t>14.53</w:t>
            </w:r>
          </w:p>
        </w:tc>
        <w:tc>
          <w:tcPr>
            <w:tcW w:w="1579" w:type="dxa"/>
          </w:tcPr>
          <w:p>
            <w:pPr>
              <w:pStyle w:val="TableParagraph"/>
              <w:spacing w:line="227" w:lineRule="exact"/>
              <w:ind w:left="13" w:right="6"/>
              <w:jc w:val="center"/>
              <w:rPr>
                <w:sz w:val="20"/>
              </w:rPr>
            </w:pPr>
            <w:r>
              <w:rPr>
                <w:spacing w:val="-2"/>
                <w:sz w:val="20"/>
              </w:rPr>
              <w:t>74.82</w:t>
            </w:r>
          </w:p>
        </w:tc>
        <w:tc>
          <w:tcPr>
            <w:tcW w:w="1579" w:type="dxa"/>
          </w:tcPr>
          <w:p>
            <w:pPr>
              <w:pStyle w:val="TableParagraph"/>
              <w:spacing w:line="227" w:lineRule="exact"/>
              <w:ind w:left="13"/>
              <w:jc w:val="center"/>
              <w:rPr>
                <w:sz w:val="20"/>
              </w:rPr>
            </w:pPr>
            <w:r>
              <w:rPr>
                <w:spacing w:val="-4"/>
                <w:sz w:val="20"/>
              </w:rPr>
              <w:t>6.93</w:t>
            </w:r>
          </w:p>
        </w:tc>
        <w:tc>
          <w:tcPr>
            <w:tcW w:w="1867" w:type="dxa"/>
          </w:tcPr>
          <w:p>
            <w:pPr>
              <w:pStyle w:val="TableParagraph"/>
              <w:spacing w:line="227" w:lineRule="exact"/>
              <w:ind w:left="13"/>
              <w:jc w:val="center"/>
              <w:rPr>
                <w:sz w:val="20"/>
              </w:rPr>
            </w:pPr>
            <w:r>
              <w:rPr>
                <w:spacing w:val="-2"/>
                <w:sz w:val="20"/>
              </w:rPr>
              <w:t>10.29</w:t>
            </w:r>
          </w:p>
        </w:tc>
        <w:tc>
          <w:tcPr>
            <w:tcW w:w="1658" w:type="dxa"/>
          </w:tcPr>
          <w:p>
            <w:pPr>
              <w:pStyle w:val="TableParagraph"/>
              <w:spacing w:line="227" w:lineRule="exact"/>
              <w:ind w:left="9" w:right="3"/>
              <w:jc w:val="center"/>
              <w:rPr>
                <w:sz w:val="20"/>
              </w:rPr>
            </w:pPr>
            <w:r>
              <w:rPr>
                <w:spacing w:val="-2"/>
                <w:sz w:val="20"/>
              </w:rPr>
              <w:t>82.78</w:t>
            </w:r>
          </w:p>
        </w:tc>
      </w:tr>
      <w:tr>
        <w:trPr>
          <w:trHeight w:val="244" w:hRule="atLeast"/>
        </w:trPr>
        <w:tc>
          <w:tcPr>
            <w:tcW w:w="623" w:type="dxa"/>
          </w:tcPr>
          <w:p>
            <w:pPr>
              <w:pStyle w:val="TableParagraph"/>
              <w:spacing w:line="224" w:lineRule="exact"/>
              <w:ind w:right="200"/>
              <w:jc w:val="right"/>
              <w:rPr>
                <w:sz w:val="20"/>
              </w:rPr>
            </w:pPr>
            <w:r>
              <w:rPr>
                <w:spacing w:val="-5"/>
                <w:sz w:val="20"/>
              </w:rPr>
              <w:t>14</w:t>
            </w:r>
          </w:p>
        </w:tc>
        <w:tc>
          <w:tcPr>
            <w:tcW w:w="1861" w:type="dxa"/>
          </w:tcPr>
          <w:p>
            <w:pPr>
              <w:pStyle w:val="TableParagraph"/>
              <w:spacing w:line="224" w:lineRule="exact"/>
              <w:ind w:left="5"/>
              <w:jc w:val="center"/>
              <w:rPr>
                <w:sz w:val="20"/>
              </w:rPr>
            </w:pPr>
            <w:r>
              <w:rPr>
                <w:spacing w:val="-4"/>
                <w:sz w:val="20"/>
              </w:rPr>
              <w:t>9.91</w:t>
            </w:r>
          </w:p>
        </w:tc>
        <w:tc>
          <w:tcPr>
            <w:tcW w:w="1579" w:type="dxa"/>
          </w:tcPr>
          <w:p>
            <w:pPr>
              <w:pStyle w:val="TableParagraph"/>
              <w:spacing w:line="224" w:lineRule="exact"/>
              <w:ind w:left="13" w:right="1"/>
              <w:jc w:val="center"/>
              <w:rPr>
                <w:sz w:val="20"/>
              </w:rPr>
            </w:pPr>
            <w:r>
              <w:rPr>
                <w:spacing w:val="-2"/>
                <w:sz w:val="20"/>
              </w:rPr>
              <w:t>13.08</w:t>
            </w:r>
          </w:p>
        </w:tc>
        <w:tc>
          <w:tcPr>
            <w:tcW w:w="1579" w:type="dxa"/>
          </w:tcPr>
          <w:p>
            <w:pPr>
              <w:pStyle w:val="TableParagraph"/>
              <w:spacing w:line="224" w:lineRule="exact"/>
              <w:ind w:left="13" w:right="6"/>
              <w:jc w:val="center"/>
              <w:rPr>
                <w:sz w:val="20"/>
              </w:rPr>
            </w:pPr>
            <w:r>
              <w:rPr>
                <w:spacing w:val="-2"/>
                <w:sz w:val="20"/>
              </w:rPr>
              <w:t>77.01</w:t>
            </w:r>
          </w:p>
        </w:tc>
        <w:tc>
          <w:tcPr>
            <w:tcW w:w="1579" w:type="dxa"/>
          </w:tcPr>
          <w:p>
            <w:pPr>
              <w:pStyle w:val="TableParagraph"/>
              <w:spacing w:line="224" w:lineRule="exact"/>
              <w:ind w:left="13"/>
              <w:jc w:val="center"/>
              <w:rPr>
                <w:sz w:val="20"/>
              </w:rPr>
            </w:pPr>
            <w:r>
              <w:rPr>
                <w:spacing w:val="-4"/>
                <w:sz w:val="20"/>
              </w:rPr>
              <w:t>6.93</w:t>
            </w:r>
          </w:p>
        </w:tc>
        <w:tc>
          <w:tcPr>
            <w:tcW w:w="1867" w:type="dxa"/>
          </w:tcPr>
          <w:p>
            <w:pPr>
              <w:pStyle w:val="TableParagraph"/>
              <w:spacing w:line="224" w:lineRule="exact"/>
              <w:ind w:left="13"/>
              <w:jc w:val="center"/>
              <w:rPr>
                <w:sz w:val="20"/>
              </w:rPr>
            </w:pPr>
            <w:r>
              <w:rPr>
                <w:spacing w:val="-2"/>
                <w:sz w:val="20"/>
              </w:rPr>
              <w:t>10.29</w:t>
            </w:r>
          </w:p>
        </w:tc>
        <w:tc>
          <w:tcPr>
            <w:tcW w:w="1658" w:type="dxa"/>
          </w:tcPr>
          <w:p>
            <w:pPr>
              <w:pStyle w:val="TableParagraph"/>
              <w:spacing w:line="224" w:lineRule="exact"/>
              <w:ind w:left="9" w:right="3"/>
              <w:jc w:val="center"/>
              <w:rPr>
                <w:sz w:val="20"/>
              </w:rPr>
            </w:pPr>
            <w:r>
              <w:rPr>
                <w:spacing w:val="-2"/>
                <w:sz w:val="20"/>
              </w:rPr>
              <w:t>82.78</w:t>
            </w:r>
          </w:p>
        </w:tc>
      </w:tr>
      <w:tr>
        <w:trPr>
          <w:trHeight w:val="244" w:hRule="atLeast"/>
        </w:trPr>
        <w:tc>
          <w:tcPr>
            <w:tcW w:w="623" w:type="dxa"/>
          </w:tcPr>
          <w:p>
            <w:pPr>
              <w:pStyle w:val="TableParagraph"/>
              <w:spacing w:line="224" w:lineRule="exact"/>
              <w:ind w:right="200"/>
              <w:jc w:val="right"/>
              <w:rPr>
                <w:sz w:val="20"/>
              </w:rPr>
            </w:pPr>
            <w:r>
              <w:rPr>
                <w:spacing w:val="-5"/>
                <w:sz w:val="20"/>
              </w:rPr>
              <w:t>15</w:t>
            </w:r>
          </w:p>
        </w:tc>
        <w:tc>
          <w:tcPr>
            <w:tcW w:w="1861" w:type="dxa"/>
          </w:tcPr>
          <w:p>
            <w:pPr>
              <w:pStyle w:val="TableParagraph"/>
              <w:spacing w:line="224" w:lineRule="exact"/>
              <w:ind w:left="5"/>
              <w:jc w:val="center"/>
              <w:rPr>
                <w:sz w:val="20"/>
              </w:rPr>
            </w:pPr>
            <w:r>
              <w:rPr>
                <w:spacing w:val="-4"/>
                <w:sz w:val="20"/>
              </w:rPr>
              <w:t>0.00</w:t>
            </w:r>
          </w:p>
        </w:tc>
        <w:tc>
          <w:tcPr>
            <w:tcW w:w="1579" w:type="dxa"/>
          </w:tcPr>
          <w:p>
            <w:pPr>
              <w:pStyle w:val="TableParagraph"/>
              <w:spacing w:line="224" w:lineRule="exact"/>
              <w:ind w:left="13" w:right="1"/>
              <w:jc w:val="center"/>
              <w:rPr>
                <w:sz w:val="20"/>
              </w:rPr>
            </w:pPr>
            <w:r>
              <w:rPr>
                <w:spacing w:val="-4"/>
                <w:sz w:val="20"/>
              </w:rPr>
              <w:t>1.14</w:t>
            </w:r>
          </w:p>
        </w:tc>
        <w:tc>
          <w:tcPr>
            <w:tcW w:w="1579" w:type="dxa"/>
          </w:tcPr>
          <w:p>
            <w:pPr>
              <w:pStyle w:val="TableParagraph"/>
              <w:spacing w:line="224" w:lineRule="exact"/>
              <w:ind w:left="13" w:right="6"/>
              <w:jc w:val="center"/>
              <w:rPr>
                <w:sz w:val="20"/>
              </w:rPr>
            </w:pPr>
            <w:r>
              <w:rPr>
                <w:spacing w:val="-2"/>
                <w:sz w:val="20"/>
              </w:rPr>
              <w:t>98.86</w:t>
            </w:r>
          </w:p>
        </w:tc>
        <w:tc>
          <w:tcPr>
            <w:tcW w:w="1579" w:type="dxa"/>
          </w:tcPr>
          <w:p>
            <w:pPr>
              <w:pStyle w:val="TableParagraph"/>
              <w:spacing w:line="224" w:lineRule="exact"/>
              <w:ind w:left="13"/>
              <w:jc w:val="center"/>
              <w:rPr>
                <w:sz w:val="20"/>
              </w:rPr>
            </w:pPr>
            <w:r>
              <w:rPr>
                <w:spacing w:val="-4"/>
                <w:sz w:val="20"/>
              </w:rPr>
              <w:t>0.00</w:t>
            </w:r>
          </w:p>
        </w:tc>
        <w:tc>
          <w:tcPr>
            <w:tcW w:w="1867" w:type="dxa"/>
          </w:tcPr>
          <w:p>
            <w:pPr>
              <w:pStyle w:val="TableParagraph"/>
              <w:spacing w:line="224" w:lineRule="exact"/>
              <w:ind w:left="13"/>
              <w:jc w:val="center"/>
              <w:rPr>
                <w:sz w:val="20"/>
              </w:rPr>
            </w:pPr>
            <w:r>
              <w:rPr>
                <w:spacing w:val="-4"/>
                <w:sz w:val="20"/>
              </w:rPr>
              <w:t>0.00</w:t>
            </w:r>
          </w:p>
        </w:tc>
        <w:tc>
          <w:tcPr>
            <w:tcW w:w="1658" w:type="dxa"/>
          </w:tcPr>
          <w:p>
            <w:pPr>
              <w:pStyle w:val="TableParagraph"/>
              <w:spacing w:line="224" w:lineRule="exact"/>
              <w:ind w:left="9" w:right="1"/>
              <w:jc w:val="center"/>
              <w:rPr>
                <w:sz w:val="20"/>
              </w:rPr>
            </w:pPr>
            <w:r>
              <w:rPr>
                <w:spacing w:val="-2"/>
                <w:sz w:val="20"/>
              </w:rPr>
              <w:t>100.00</w:t>
            </w:r>
          </w:p>
        </w:tc>
      </w:tr>
      <w:tr>
        <w:trPr>
          <w:trHeight w:val="736" w:hRule="atLeast"/>
        </w:trPr>
        <w:tc>
          <w:tcPr>
            <w:tcW w:w="623" w:type="dxa"/>
          </w:tcPr>
          <w:p>
            <w:pPr>
              <w:pStyle w:val="TableParagraph"/>
              <w:rPr>
                <w:sz w:val="18"/>
              </w:rPr>
            </w:pPr>
          </w:p>
        </w:tc>
        <w:tc>
          <w:tcPr>
            <w:tcW w:w="1861" w:type="dxa"/>
          </w:tcPr>
          <w:p>
            <w:pPr>
              <w:pStyle w:val="TableParagraph"/>
              <w:ind w:left="5" w:right="3"/>
              <w:jc w:val="center"/>
              <w:rPr>
                <w:sz w:val="20"/>
              </w:rPr>
            </w:pPr>
            <w:r>
              <w:rPr>
                <w:spacing w:val="-2"/>
                <w:sz w:val="20"/>
              </w:rPr>
              <w:t>143.07</w:t>
            </w:r>
          </w:p>
          <w:p>
            <w:pPr>
              <w:pStyle w:val="TableParagraph"/>
              <w:spacing w:before="17"/>
              <w:ind w:left="5" w:right="2"/>
              <w:jc w:val="center"/>
              <w:rPr>
                <w:sz w:val="20"/>
              </w:rPr>
            </w:pPr>
            <w:r>
              <w:rPr>
                <w:sz w:val="20"/>
              </w:rPr>
              <w:t>Сред</w:t>
            </w:r>
            <w:r>
              <w:rPr>
                <w:spacing w:val="-6"/>
                <w:sz w:val="20"/>
              </w:rPr>
              <w:t> </w:t>
            </w:r>
            <w:r>
              <w:rPr>
                <w:spacing w:val="-4"/>
                <w:sz w:val="20"/>
              </w:rPr>
              <w:t>9.54</w:t>
            </w:r>
          </w:p>
          <w:p>
            <w:pPr>
              <w:pStyle w:val="TableParagraph"/>
              <w:spacing w:line="224" w:lineRule="exact" w:before="15"/>
              <w:ind w:left="5"/>
              <w:jc w:val="center"/>
              <w:rPr>
                <w:sz w:val="20"/>
              </w:rPr>
            </w:pPr>
            <w:r>
              <w:rPr>
                <w:spacing w:val="-2"/>
                <w:sz w:val="20"/>
              </w:rPr>
              <w:t>SE=1.88</w:t>
            </w:r>
          </w:p>
        </w:tc>
        <w:tc>
          <w:tcPr>
            <w:tcW w:w="1579" w:type="dxa"/>
          </w:tcPr>
          <w:p>
            <w:pPr>
              <w:pStyle w:val="TableParagraph"/>
              <w:ind w:left="13" w:right="1"/>
              <w:jc w:val="center"/>
              <w:rPr>
                <w:sz w:val="20"/>
              </w:rPr>
            </w:pPr>
            <w:r>
              <w:rPr>
                <w:spacing w:val="-2"/>
                <w:sz w:val="20"/>
              </w:rPr>
              <w:t>81.54</w:t>
            </w:r>
          </w:p>
          <w:p>
            <w:pPr>
              <w:pStyle w:val="TableParagraph"/>
              <w:spacing w:before="17"/>
              <w:ind w:left="13" w:right="1"/>
              <w:jc w:val="center"/>
              <w:rPr>
                <w:sz w:val="20"/>
              </w:rPr>
            </w:pPr>
            <w:r>
              <w:rPr>
                <w:spacing w:val="-4"/>
                <w:sz w:val="20"/>
              </w:rPr>
              <w:t>5.44</w:t>
            </w:r>
          </w:p>
          <w:p>
            <w:pPr>
              <w:pStyle w:val="TableParagraph"/>
              <w:spacing w:line="224" w:lineRule="exact" w:before="15"/>
              <w:ind w:left="13" w:right="1"/>
              <w:jc w:val="center"/>
              <w:rPr>
                <w:sz w:val="20"/>
              </w:rPr>
            </w:pPr>
            <w:r>
              <w:rPr>
                <w:spacing w:val="-2"/>
                <w:sz w:val="20"/>
              </w:rPr>
              <w:t>SE=1.34</w:t>
            </w:r>
          </w:p>
        </w:tc>
        <w:tc>
          <w:tcPr>
            <w:tcW w:w="1579" w:type="dxa"/>
          </w:tcPr>
          <w:p>
            <w:pPr>
              <w:pStyle w:val="TableParagraph"/>
              <w:ind w:left="13" w:right="8"/>
              <w:jc w:val="center"/>
              <w:rPr>
                <w:sz w:val="20"/>
              </w:rPr>
            </w:pPr>
            <w:r>
              <w:rPr>
                <w:spacing w:val="-2"/>
                <w:sz w:val="20"/>
              </w:rPr>
              <w:t>1275.39</w:t>
            </w:r>
          </w:p>
          <w:p>
            <w:pPr>
              <w:pStyle w:val="TableParagraph"/>
              <w:spacing w:before="17"/>
              <w:ind w:left="13" w:right="6"/>
              <w:jc w:val="center"/>
              <w:rPr>
                <w:sz w:val="20"/>
              </w:rPr>
            </w:pPr>
            <w:r>
              <w:rPr>
                <w:spacing w:val="-2"/>
                <w:sz w:val="20"/>
              </w:rPr>
              <w:t>85.03</w:t>
            </w:r>
          </w:p>
          <w:p>
            <w:pPr>
              <w:pStyle w:val="TableParagraph"/>
              <w:spacing w:line="224" w:lineRule="exact" w:before="15"/>
              <w:ind w:left="13" w:right="6"/>
              <w:jc w:val="center"/>
              <w:rPr>
                <w:sz w:val="20"/>
              </w:rPr>
            </w:pPr>
            <w:r>
              <w:rPr>
                <w:spacing w:val="-2"/>
                <w:sz w:val="20"/>
              </w:rPr>
              <w:t>SE=2.79</w:t>
            </w:r>
          </w:p>
        </w:tc>
        <w:tc>
          <w:tcPr>
            <w:tcW w:w="1579" w:type="dxa"/>
          </w:tcPr>
          <w:p>
            <w:pPr>
              <w:pStyle w:val="TableParagraph"/>
              <w:ind w:left="13" w:right="4"/>
              <w:jc w:val="center"/>
              <w:rPr>
                <w:sz w:val="20"/>
              </w:rPr>
            </w:pPr>
            <w:r>
              <w:rPr>
                <w:spacing w:val="-2"/>
                <w:sz w:val="20"/>
              </w:rPr>
              <w:t>100.59</w:t>
            </w:r>
          </w:p>
          <w:p>
            <w:pPr>
              <w:pStyle w:val="TableParagraph"/>
              <w:spacing w:before="17"/>
              <w:ind w:left="13"/>
              <w:jc w:val="center"/>
              <w:rPr>
                <w:sz w:val="20"/>
              </w:rPr>
            </w:pPr>
            <w:r>
              <w:rPr>
                <w:spacing w:val="-4"/>
                <w:sz w:val="20"/>
              </w:rPr>
              <w:t>6.71</w:t>
            </w:r>
          </w:p>
          <w:p>
            <w:pPr>
              <w:pStyle w:val="TableParagraph"/>
              <w:spacing w:line="224" w:lineRule="exact" w:before="15"/>
              <w:ind w:left="13"/>
              <w:jc w:val="center"/>
              <w:rPr>
                <w:sz w:val="20"/>
              </w:rPr>
            </w:pPr>
            <w:r>
              <w:rPr>
                <w:spacing w:val="-2"/>
                <w:sz w:val="20"/>
              </w:rPr>
              <w:t>SE=1.54</w:t>
            </w:r>
          </w:p>
        </w:tc>
        <w:tc>
          <w:tcPr>
            <w:tcW w:w="1867" w:type="dxa"/>
          </w:tcPr>
          <w:p>
            <w:pPr>
              <w:pStyle w:val="TableParagraph"/>
              <w:ind w:left="13"/>
              <w:jc w:val="center"/>
              <w:rPr>
                <w:sz w:val="20"/>
              </w:rPr>
            </w:pPr>
            <w:r>
              <w:rPr>
                <w:spacing w:val="-2"/>
                <w:sz w:val="20"/>
              </w:rPr>
              <w:t>61.71</w:t>
            </w:r>
          </w:p>
          <w:p>
            <w:pPr>
              <w:pStyle w:val="TableParagraph"/>
              <w:spacing w:before="17"/>
              <w:ind w:left="13"/>
              <w:jc w:val="center"/>
              <w:rPr>
                <w:sz w:val="20"/>
              </w:rPr>
            </w:pPr>
            <w:r>
              <w:rPr>
                <w:spacing w:val="-4"/>
                <w:sz w:val="20"/>
              </w:rPr>
              <w:t>4.11</w:t>
            </w:r>
          </w:p>
          <w:p>
            <w:pPr>
              <w:pStyle w:val="TableParagraph"/>
              <w:spacing w:line="224" w:lineRule="exact" w:before="15"/>
              <w:ind w:left="13"/>
              <w:jc w:val="center"/>
              <w:rPr>
                <w:sz w:val="20"/>
              </w:rPr>
            </w:pPr>
            <w:r>
              <w:rPr>
                <w:spacing w:val="-2"/>
                <w:sz w:val="20"/>
              </w:rPr>
              <w:t>SE=0.99</w:t>
            </w:r>
          </w:p>
        </w:tc>
        <w:tc>
          <w:tcPr>
            <w:tcW w:w="1658" w:type="dxa"/>
          </w:tcPr>
          <w:p>
            <w:pPr>
              <w:pStyle w:val="TableParagraph"/>
              <w:ind w:left="9" w:right="1"/>
              <w:jc w:val="center"/>
              <w:rPr>
                <w:sz w:val="20"/>
              </w:rPr>
            </w:pPr>
            <w:r>
              <w:rPr>
                <w:spacing w:val="-2"/>
                <w:sz w:val="20"/>
              </w:rPr>
              <w:t>1337.7</w:t>
            </w:r>
          </w:p>
          <w:p>
            <w:pPr>
              <w:pStyle w:val="TableParagraph"/>
              <w:spacing w:before="17"/>
              <w:ind w:left="9" w:right="3"/>
              <w:jc w:val="center"/>
              <w:rPr>
                <w:sz w:val="20"/>
              </w:rPr>
            </w:pPr>
            <w:r>
              <w:rPr>
                <w:spacing w:val="-2"/>
                <w:sz w:val="20"/>
              </w:rPr>
              <w:t>89.18</w:t>
            </w:r>
          </w:p>
          <w:p>
            <w:pPr>
              <w:pStyle w:val="TableParagraph"/>
              <w:spacing w:line="224" w:lineRule="exact" w:before="15"/>
              <w:ind w:left="9" w:right="4"/>
              <w:jc w:val="center"/>
              <w:rPr>
                <w:sz w:val="20"/>
              </w:rPr>
            </w:pPr>
            <w:r>
              <w:rPr>
                <w:spacing w:val="-2"/>
                <w:sz w:val="20"/>
              </w:rPr>
              <w:t>SE=2.2</w:t>
            </w:r>
          </w:p>
        </w:tc>
      </w:tr>
    </w:tbl>
    <w:p>
      <w:pPr>
        <w:pStyle w:val="TableParagraph"/>
        <w:spacing w:after="0" w:line="224" w:lineRule="exact"/>
        <w:jc w:val="center"/>
        <w:rPr>
          <w:sz w:val="20"/>
        </w:rPr>
        <w:sectPr>
          <w:pgSz w:w="11910" w:h="16840"/>
          <w:pgMar w:header="0" w:footer="1002" w:top="1540" w:bottom="1200" w:left="708" w:right="283"/>
        </w:sectPr>
      </w:pPr>
    </w:p>
    <w:p>
      <w:pPr>
        <w:pStyle w:val="Heading2"/>
        <w:spacing w:before="74"/>
        <w:ind w:left="0" w:right="563" w:firstLine="0"/>
        <w:jc w:val="right"/>
      </w:pPr>
      <w:r>
        <w:rPr/>
        <w:t>Приложение</w:t>
      </w:r>
      <w:r>
        <w:rPr>
          <w:spacing w:val="-9"/>
        </w:rPr>
        <w:t> </w:t>
      </w:r>
      <w:r>
        <w:rPr>
          <w:spacing w:val="-10"/>
        </w:rPr>
        <w:t>Г</w:t>
      </w:r>
    </w:p>
    <w:p>
      <w:pPr>
        <w:spacing w:before="24"/>
        <w:ind w:left="0" w:right="561" w:firstLine="0"/>
        <w:jc w:val="right"/>
        <w:rPr>
          <w:b/>
          <w:sz w:val="28"/>
        </w:rPr>
      </w:pPr>
      <w:r>
        <w:rPr>
          <w:b/>
          <w:sz w:val="28"/>
        </w:rPr>
        <w:t>Phyton-код</w:t>
      </w:r>
      <w:r>
        <w:rPr>
          <w:b/>
          <w:spacing w:val="-9"/>
          <w:sz w:val="28"/>
        </w:rPr>
        <w:t> </w:t>
      </w:r>
      <w:r>
        <w:rPr>
          <w:b/>
          <w:sz w:val="28"/>
        </w:rPr>
        <w:t>для</w:t>
      </w:r>
      <w:r>
        <w:rPr>
          <w:b/>
          <w:spacing w:val="-8"/>
          <w:sz w:val="28"/>
        </w:rPr>
        <w:t> </w:t>
      </w:r>
      <w:r>
        <w:rPr>
          <w:b/>
          <w:sz w:val="28"/>
        </w:rPr>
        <w:t>поправки</w:t>
      </w:r>
      <w:r>
        <w:rPr>
          <w:b/>
          <w:spacing w:val="-8"/>
          <w:sz w:val="28"/>
        </w:rPr>
        <w:t> </w:t>
      </w:r>
      <w:r>
        <w:rPr>
          <w:b/>
          <w:sz w:val="28"/>
        </w:rPr>
        <w:t>на</w:t>
      </w:r>
      <w:r>
        <w:rPr>
          <w:b/>
          <w:spacing w:val="-6"/>
          <w:sz w:val="28"/>
        </w:rPr>
        <w:t> </w:t>
      </w:r>
      <w:r>
        <w:rPr>
          <w:b/>
          <w:sz w:val="28"/>
        </w:rPr>
        <w:t>множественные</w:t>
      </w:r>
      <w:r>
        <w:rPr>
          <w:b/>
          <w:spacing w:val="-7"/>
          <w:sz w:val="28"/>
        </w:rPr>
        <w:t> </w:t>
      </w:r>
      <w:r>
        <w:rPr>
          <w:b/>
          <w:sz w:val="28"/>
        </w:rPr>
        <w:t>сравнения</w:t>
      </w:r>
      <w:r>
        <w:rPr>
          <w:b/>
          <w:spacing w:val="-7"/>
          <w:sz w:val="28"/>
        </w:rPr>
        <w:t> </w:t>
      </w:r>
      <w:r>
        <w:rPr>
          <w:b/>
          <w:sz w:val="28"/>
        </w:rPr>
        <w:t>Бенджамини-</w:t>
      </w:r>
      <w:r>
        <w:rPr>
          <w:b/>
          <w:spacing w:val="-2"/>
          <w:sz w:val="28"/>
        </w:rPr>
        <w:t>Хохберга</w:t>
      </w:r>
    </w:p>
    <w:p>
      <w:pPr>
        <w:pStyle w:val="BodyText"/>
        <w:spacing w:line="256" w:lineRule="auto" w:before="21"/>
        <w:ind w:left="144" w:right="7833"/>
        <w:jc w:val="left"/>
      </w:pPr>
      <w:r>
        <w:rPr/>
        <w:t>import</w:t>
      </w:r>
      <w:r>
        <w:rPr>
          <w:spacing w:val="-10"/>
        </w:rPr>
        <w:t> </w:t>
      </w:r>
      <w:r>
        <w:rPr/>
        <w:t>pandas</w:t>
      </w:r>
      <w:r>
        <w:rPr>
          <w:spacing w:val="-10"/>
        </w:rPr>
        <w:t> </w:t>
      </w:r>
      <w:r>
        <w:rPr/>
        <w:t>as</w:t>
      </w:r>
      <w:r>
        <w:rPr>
          <w:spacing w:val="-12"/>
        </w:rPr>
        <w:t> </w:t>
      </w:r>
      <w:r>
        <w:rPr/>
        <w:t>pd import</w:t>
      </w:r>
      <w:r>
        <w:rPr>
          <w:spacing w:val="-4"/>
        </w:rPr>
        <w:t> </w:t>
      </w:r>
      <w:r>
        <w:rPr/>
        <w:t>numpy</w:t>
      </w:r>
      <w:r>
        <w:rPr>
          <w:spacing w:val="-3"/>
        </w:rPr>
        <w:t> </w:t>
      </w:r>
      <w:r>
        <w:rPr/>
        <w:t>as</w:t>
      </w:r>
      <w:r>
        <w:rPr>
          <w:spacing w:val="-5"/>
        </w:rPr>
        <w:t> </w:t>
      </w:r>
      <w:r>
        <w:rPr>
          <w:spacing w:val="-5"/>
        </w:rPr>
        <w:t>np</w:t>
      </w:r>
    </w:p>
    <w:p>
      <w:pPr>
        <w:pStyle w:val="BodyText"/>
        <w:spacing w:line="319" w:lineRule="exact"/>
        <w:ind w:left="144"/>
        <w:jc w:val="left"/>
      </w:pPr>
      <w:r>
        <w:rPr/>
        <w:t>from</w:t>
      </w:r>
      <w:r>
        <w:rPr>
          <w:spacing w:val="-6"/>
        </w:rPr>
        <w:t> </w:t>
      </w:r>
      <w:r>
        <w:rPr/>
        <w:t>scipy.stats</w:t>
      </w:r>
      <w:r>
        <w:rPr>
          <w:spacing w:val="-5"/>
        </w:rPr>
        <w:t> </w:t>
      </w:r>
      <w:r>
        <w:rPr/>
        <w:t>import</w:t>
      </w:r>
      <w:r>
        <w:rPr>
          <w:spacing w:val="-3"/>
        </w:rPr>
        <w:t> </w:t>
      </w:r>
      <w:r>
        <w:rPr>
          <w:spacing w:val="-2"/>
        </w:rPr>
        <w:t>fisher_exact</w:t>
      </w:r>
    </w:p>
    <w:p>
      <w:pPr>
        <w:pStyle w:val="BodyText"/>
        <w:spacing w:line="256" w:lineRule="auto" w:before="21"/>
        <w:ind w:left="144" w:right="3796" w:hanging="1"/>
        <w:jc w:val="left"/>
      </w:pPr>
      <w:r>
        <w:rPr/>
        <w:t>#</w:t>
      </w:r>
      <w:r>
        <w:rPr>
          <w:spacing w:val="-6"/>
        </w:rPr>
        <w:t> </w:t>
      </w:r>
      <w:r>
        <w:rPr/>
        <w:t>Попробуем</w:t>
      </w:r>
      <w:r>
        <w:rPr>
          <w:spacing w:val="-8"/>
        </w:rPr>
        <w:t> </w:t>
      </w:r>
      <w:r>
        <w:rPr/>
        <w:t>импортировать</w:t>
      </w:r>
      <w:r>
        <w:rPr>
          <w:spacing w:val="-7"/>
        </w:rPr>
        <w:t> </w:t>
      </w:r>
      <w:r>
        <w:rPr/>
        <w:t>multipletests</w:t>
      </w:r>
      <w:r>
        <w:rPr>
          <w:spacing w:val="-6"/>
        </w:rPr>
        <w:t> </w:t>
      </w:r>
      <w:r>
        <w:rPr/>
        <w:t>из</w:t>
      </w:r>
      <w:r>
        <w:rPr>
          <w:spacing w:val="-6"/>
        </w:rPr>
        <w:t> </w:t>
      </w:r>
      <w:r>
        <w:rPr/>
        <w:t>statsmodels </w:t>
      </w:r>
      <w:r>
        <w:rPr>
          <w:spacing w:val="-4"/>
        </w:rPr>
        <w:t>try:</w:t>
      </w:r>
    </w:p>
    <w:p>
      <w:pPr>
        <w:pStyle w:val="BodyText"/>
        <w:spacing w:line="256" w:lineRule="auto"/>
        <w:ind w:left="422" w:right="3796"/>
        <w:jc w:val="left"/>
      </w:pPr>
      <w:r>
        <w:rPr/>
        <w:t>from</w:t>
      </w:r>
      <w:r>
        <w:rPr>
          <w:spacing w:val="-10"/>
        </w:rPr>
        <w:t> </w:t>
      </w:r>
      <w:r>
        <w:rPr/>
        <w:t>statsmodels.stats.multitest</w:t>
      </w:r>
      <w:r>
        <w:rPr>
          <w:spacing w:val="-11"/>
        </w:rPr>
        <w:t> </w:t>
      </w:r>
      <w:r>
        <w:rPr/>
        <w:t>import</w:t>
      </w:r>
      <w:r>
        <w:rPr>
          <w:spacing w:val="-11"/>
        </w:rPr>
        <w:t> </w:t>
      </w:r>
      <w:r>
        <w:rPr/>
        <w:t>multipletests have_multipletests = True</w:t>
      </w:r>
    </w:p>
    <w:p>
      <w:pPr>
        <w:pStyle w:val="BodyText"/>
        <w:spacing w:line="256" w:lineRule="auto"/>
        <w:ind w:left="422" w:right="7497" w:hanging="279"/>
        <w:jc w:val="left"/>
      </w:pPr>
      <w:r>
        <w:rPr/>
        <w:t>except Exception: have_multipletests</w:t>
      </w:r>
      <w:r>
        <w:rPr>
          <w:spacing w:val="-15"/>
        </w:rPr>
        <w:t> </w:t>
      </w:r>
      <w:r>
        <w:rPr/>
        <w:t>=</w:t>
      </w:r>
      <w:r>
        <w:rPr>
          <w:spacing w:val="-14"/>
        </w:rPr>
        <w:t> </w:t>
      </w:r>
      <w:r>
        <w:rPr/>
        <w:t>False</w:t>
      </w:r>
    </w:p>
    <w:p>
      <w:pPr>
        <w:pStyle w:val="BodyText"/>
        <w:spacing w:line="256" w:lineRule="auto"/>
        <w:ind w:left="144" w:right="6725"/>
        <w:jc w:val="left"/>
      </w:pPr>
      <w:r>
        <w:rPr/>
        <w:t>#</w:t>
      </w:r>
      <w:r>
        <w:rPr>
          <w:spacing w:val="-7"/>
        </w:rPr>
        <w:t> </w:t>
      </w:r>
      <w:r>
        <w:rPr/>
        <w:t>===</w:t>
      </w:r>
      <w:r>
        <w:rPr>
          <w:spacing w:val="-8"/>
        </w:rPr>
        <w:t> </w:t>
      </w:r>
      <w:r>
        <w:rPr/>
        <w:t>Входные</w:t>
      </w:r>
      <w:r>
        <w:rPr>
          <w:spacing w:val="-10"/>
        </w:rPr>
        <w:t> </w:t>
      </w:r>
      <w:r>
        <w:rPr/>
        <w:t>данные</w:t>
      </w:r>
      <w:r>
        <w:rPr>
          <w:spacing w:val="-8"/>
        </w:rPr>
        <w:t> </w:t>
      </w:r>
      <w:r>
        <w:rPr/>
        <w:t>=== features = [</w:t>
      </w:r>
    </w:p>
    <w:p>
      <w:pPr>
        <w:pStyle w:val="BodyText"/>
        <w:spacing w:line="256" w:lineRule="auto"/>
        <w:ind w:left="144" w:right="6725"/>
        <w:jc w:val="left"/>
      </w:pPr>
      <w:r>
        <w:rPr/>
        <w:t>"Нормальные головки", "Отдельные головки", "Сдвоенные головки", "Множественные</w:t>
      </w:r>
      <w:r>
        <w:rPr>
          <w:spacing w:val="-18"/>
        </w:rPr>
        <w:t> </w:t>
      </w:r>
      <w:r>
        <w:rPr/>
        <w:t>головки", "Присутствие акросомы", "Отсутствие акросомы",</w:t>
      </w:r>
    </w:p>
    <w:p>
      <w:pPr>
        <w:pStyle w:val="BodyText"/>
        <w:spacing w:line="256" w:lineRule="auto"/>
        <w:ind w:left="144" w:right="5893"/>
        <w:jc w:val="left"/>
      </w:pPr>
      <w:r>
        <w:rPr/>
        <w:t>"Нормальное положение акросомы", "Измененное положение акросомы", "Нормальная форма акросомы", "Измененная форма акросомы", "Компактное содержимое акросомы", "Некомпактное</w:t>
      </w:r>
      <w:r>
        <w:rPr>
          <w:spacing w:val="-16"/>
        </w:rPr>
        <w:t> </w:t>
      </w:r>
      <w:r>
        <w:rPr/>
        <w:t>содержимое</w:t>
      </w:r>
      <w:r>
        <w:rPr>
          <w:spacing w:val="-16"/>
        </w:rPr>
        <w:t> </w:t>
      </w:r>
      <w:r>
        <w:rPr/>
        <w:t>акросомы", "Деградация акросомы",</w:t>
      </w:r>
    </w:p>
    <w:p>
      <w:pPr>
        <w:pStyle w:val="BodyText"/>
        <w:spacing w:line="256" w:lineRule="auto"/>
        <w:ind w:left="144" w:right="5893"/>
        <w:jc w:val="left"/>
      </w:pPr>
      <w:r>
        <w:rPr/>
        <w:t>"Нормальная форма нуклеосомы", "Сферическая</w:t>
      </w:r>
      <w:r>
        <w:rPr>
          <w:spacing w:val="-16"/>
        </w:rPr>
        <w:t> </w:t>
      </w:r>
      <w:r>
        <w:rPr/>
        <w:t>форма</w:t>
      </w:r>
      <w:r>
        <w:rPr>
          <w:spacing w:val="-16"/>
        </w:rPr>
        <w:t> </w:t>
      </w:r>
      <w:r>
        <w:rPr/>
        <w:t>нуклеосомы", "Аморфная форма нуклеосомы", "Зрелый хроматин",</w:t>
      </w:r>
    </w:p>
    <w:p>
      <w:pPr>
        <w:pStyle w:val="BodyText"/>
        <w:spacing w:line="256" w:lineRule="auto"/>
        <w:ind w:left="144" w:right="6725"/>
        <w:jc w:val="left"/>
      </w:pPr>
      <w:r>
        <w:rPr/>
        <w:t>"Незрелый хроматин", "Вакуолизация</w:t>
      </w:r>
      <w:r>
        <w:rPr>
          <w:spacing w:val="-18"/>
        </w:rPr>
        <w:t> </w:t>
      </w:r>
      <w:r>
        <w:rPr/>
        <w:t>хроматина", "Деградация хроматина",</w:t>
      </w:r>
    </w:p>
    <w:p>
      <w:pPr>
        <w:pStyle w:val="BodyText"/>
        <w:spacing w:line="256" w:lineRule="auto"/>
        <w:ind w:left="144" w:right="3796"/>
        <w:jc w:val="left"/>
      </w:pPr>
      <w:r>
        <w:rPr/>
        <w:t>"Локализация</w:t>
      </w:r>
      <w:r>
        <w:rPr>
          <w:spacing w:val="-10"/>
        </w:rPr>
        <w:t> </w:t>
      </w:r>
      <w:r>
        <w:rPr/>
        <w:t>цитоплазматических</w:t>
      </w:r>
      <w:r>
        <w:rPr>
          <w:spacing w:val="-7"/>
        </w:rPr>
        <w:t> </w:t>
      </w:r>
      <w:r>
        <w:rPr/>
        <w:t>капель</w:t>
      </w:r>
      <w:r>
        <w:rPr>
          <w:spacing w:val="-9"/>
        </w:rPr>
        <w:t> </w:t>
      </w:r>
      <w:r>
        <w:rPr/>
        <w:t>на</w:t>
      </w:r>
      <w:r>
        <w:rPr>
          <w:spacing w:val="-8"/>
        </w:rPr>
        <w:t> </w:t>
      </w:r>
      <w:r>
        <w:rPr/>
        <w:t>головке", "Локализация цитоплазматических капель на шейке", "Нормальная форма митохондрий",</w:t>
      </w:r>
    </w:p>
    <w:p>
      <w:pPr>
        <w:pStyle w:val="BodyText"/>
        <w:spacing w:line="256" w:lineRule="auto"/>
        <w:ind w:left="144" w:right="5893"/>
        <w:jc w:val="left"/>
      </w:pPr>
      <w:r>
        <w:rPr/>
        <w:t>"Раздутая форма митохондрий", "Нормальная укладка митохондрий", "Нерегулярная укладка митохондрий", "Нормальный матрикс митохондрий", "Матрикс</w:t>
      </w:r>
      <w:r>
        <w:rPr>
          <w:spacing w:val="-11"/>
        </w:rPr>
        <w:t> </w:t>
      </w:r>
      <w:r>
        <w:rPr/>
        <w:t>митохондрий</w:t>
      </w:r>
      <w:r>
        <w:rPr>
          <w:spacing w:val="-10"/>
        </w:rPr>
        <w:t> </w:t>
      </w:r>
      <w:r>
        <w:rPr/>
        <w:t>темного</w:t>
      </w:r>
      <w:r>
        <w:rPr>
          <w:spacing w:val="-10"/>
        </w:rPr>
        <w:t> </w:t>
      </w:r>
      <w:r>
        <w:rPr/>
        <w:t>цвета", "Аксонема жгутика 9+2",</w:t>
      </w:r>
    </w:p>
    <w:p>
      <w:pPr>
        <w:pStyle w:val="BodyText"/>
        <w:spacing w:after="0" w:line="256" w:lineRule="auto"/>
        <w:jc w:val="left"/>
        <w:sectPr>
          <w:pgSz w:w="11910" w:h="16840"/>
          <w:pgMar w:header="0" w:footer="1002" w:top="1040" w:bottom="1200" w:left="708" w:right="283"/>
        </w:sectPr>
      </w:pPr>
    </w:p>
    <w:p>
      <w:pPr>
        <w:pStyle w:val="BodyText"/>
        <w:spacing w:line="256" w:lineRule="auto" w:before="74"/>
        <w:ind w:left="143" w:right="6725"/>
        <w:jc w:val="left"/>
      </w:pPr>
      <w:r>
        <w:rPr/>
        <w:t>"Аксонема жгутика 9+0", "Дезорганизация аксонемы", "Иная организация аксонемы", "Нормальные ручки жгутика", "Нормальные фибриллы", "Сдвинутые фибриллы", "Нормальный</w:t>
      </w:r>
      <w:r>
        <w:rPr>
          <w:spacing w:val="-11"/>
        </w:rPr>
        <w:t> </w:t>
      </w:r>
      <w:r>
        <w:rPr/>
        <w:t>фиброзный</w:t>
      </w:r>
      <w:r>
        <w:rPr>
          <w:spacing w:val="-11"/>
        </w:rPr>
        <w:t> </w:t>
      </w:r>
      <w:r>
        <w:rPr/>
        <w:t>слой", "Аномальный</w:t>
      </w:r>
      <w:r>
        <w:rPr>
          <w:spacing w:val="-16"/>
        </w:rPr>
        <w:t> </w:t>
      </w:r>
      <w:r>
        <w:rPr/>
        <w:t>фиброзный</w:t>
      </w:r>
      <w:r>
        <w:rPr>
          <w:spacing w:val="-16"/>
        </w:rPr>
        <w:t> </w:t>
      </w:r>
      <w:r>
        <w:rPr/>
        <w:t>слой", "Наличие вирусного капсида"</w:t>
      </w:r>
    </w:p>
    <w:p>
      <w:pPr>
        <w:spacing w:line="312" w:lineRule="exact" w:before="0"/>
        <w:ind w:left="143" w:right="0" w:firstLine="0"/>
        <w:jc w:val="left"/>
        <w:rPr>
          <w:sz w:val="28"/>
        </w:rPr>
      </w:pPr>
      <w:r>
        <w:rPr>
          <w:spacing w:val="-10"/>
          <w:sz w:val="28"/>
        </w:rPr>
        <w:t>]</w:t>
      </w:r>
    </w:p>
    <w:p>
      <w:pPr>
        <w:pStyle w:val="BodyText"/>
        <w:tabs>
          <w:tab w:pos="10190" w:val="left" w:leader="none"/>
        </w:tabs>
        <w:spacing w:before="22"/>
        <w:ind w:left="144"/>
        <w:jc w:val="left"/>
      </w:pPr>
      <w:r>
        <w:rPr>
          <w:spacing w:val="-2"/>
        </w:rPr>
        <w:t>exp_counts</w:t>
      </w:r>
      <w:r>
        <w:rPr/>
        <w:tab/>
      </w:r>
      <w:r>
        <w:rPr>
          <w:spacing w:val="-10"/>
        </w:rPr>
        <w:t>=</w:t>
      </w:r>
    </w:p>
    <w:p>
      <w:pPr>
        <w:pStyle w:val="BodyText"/>
        <w:spacing w:before="24"/>
        <w:ind w:left="144"/>
        <w:jc w:val="left"/>
      </w:pPr>
      <w:r>
        <w:rPr>
          <w:spacing w:val="-2"/>
        </w:rPr>
        <w:t>[14,394,6,0,297,2,223,56,131,166,274,23,101,76,4,320,239,157,4,22,16,24,97,0,85,11,96,</w:t>
      </w:r>
    </w:p>
    <w:p>
      <w:pPr>
        <w:pStyle w:val="BodyText"/>
        <w:spacing w:before="21"/>
        <w:ind w:left="144"/>
        <w:jc w:val="left"/>
      </w:pPr>
      <w:r>
        <w:rPr>
          <w:spacing w:val="-2"/>
        </w:rPr>
        <w:t>0,364,2,23,67,4,158,15,522,15,8]</w:t>
      </w:r>
    </w:p>
    <w:p>
      <w:pPr>
        <w:pStyle w:val="BodyText"/>
        <w:spacing w:line="256" w:lineRule="auto" w:before="21"/>
        <w:ind w:left="144"/>
        <w:jc w:val="left"/>
      </w:pPr>
      <w:r>
        <w:rPr>
          <w:spacing w:val="-2"/>
        </w:rPr>
        <w:t>ctrl_counts= [13,401,7,2,302,8,219,83,129,173,270,32,100,75,9,326,258,146,5,21,36,45,98,1,77,22,91,</w:t>
      </w:r>
    </w:p>
    <w:p>
      <w:pPr>
        <w:pStyle w:val="BodyText"/>
        <w:spacing w:line="319" w:lineRule="exact"/>
        <w:ind w:left="144"/>
        <w:jc w:val="left"/>
      </w:pPr>
      <w:r>
        <w:rPr>
          <w:spacing w:val="-2"/>
        </w:rPr>
        <w:t>8,376,2,26,72,4,133,13,508,14,13]</w:t>
      </w:r>
    </w:p>
    <w:p>
      <w:pPr>
        <w:pStyle w:val="BodyText"/>
        <w:spacing w:line="256" w:lineRule="auto" w:before="21"/>
        <w:ind w:left="143" w:right="6725"/>
        <w:jc w:val="left"/>
      </w:pPr>
      <w:r>
        <w:rPr/>
        <w:t>#</w:t>
      </w:r>
      <w:r>
        <w:rPr>
          <w:spacing w:val="-9"/>
        </w:rPr>
        <w:t> </w:t>
      </w:r>
      <w:r>
        <w:rPr/>
        <w:t>Общее</w:t>
      </w:r>
      <w:r>
        <w:rPr>
          <w:spacing w:val="-12"/>
        </w:rPr>
        <w:t> </w:t>
      </w:r>
      <w:r>
        <w:rPr/>
        <w:t>количество</w:t>
      </w:r>
      <w:r>
        <w:rPr>
          <w:spacing w:val="-11"/>
        </w:rPr>
        <w:t> </w:t>
      </w:r>
      <w:r>
        <w:rPr/>
        <w:t>клеток total_exp = 4016</w:t>
      </w:r>
    </w:p>
    <w:p>
      <w:pPr>
        <w:pStyle w:val="BodyText"/>
        <w:spacing w:line="319" w:lineRule="exact"/>
        <w:ind w:left="143"/>
        <w:jc w:val="left"/>
      </w:pPr>
      <w:r>
        <w:rPr/>
        <w:t>total_ctrl</w:t>
      </w:r>
      <w:r>
        <w:rPr>
          <w:spacing w:val="-5"/>
        </w:rPr>
        <w:t> </w:t>
      </w:r>
      <w:r>
        <w:rPr/>
        <w:t>=</w:t>
      </w:r>
      <w:r>
        <w:rPr>
          <w:spacing w:val="-3"/>
        </w:rPr>
        <w:t> </w:t>
      </w:r>
      <w:r>
        <w:rPr>
          <w:spacing w:val="-4"/>
        </w:rPr>
        <w:t>4118</w:t>
      </w:r>
    </w:p>
    <w:p>
      <w:pPr>
        <w:pStyle w:val="BodyText"/>
        <w:spacing w:line="256" w:lineRule="auto" w:before="21"/>
        <w:ind w:left="143" w:right="6725"/>
        <w:jc w:val="left"/>
      </w:pPr>
      <w:r>
        <w:rPr/>
        <w:t>#</w:t>
      </w:r>
      <w:r>
        <w:rPr>
          <w:spacing w:val="-5"/>
        </w:rPr>
        <w:t> </w:t>
      </w:r>
      <w:r>
        <w:rPr/>
        <w:t>===</w:t>
      </w:r>
      <w:r>
        <w:rPr>
          <w:spacing w:val="-6"/>
        </w:rPr>
        <w:t> </w:t>
      </w:r>
      <w:r>
        <w:rPr/>
        <w:t>Расчет</w:t>
      </w:r>
      <w:r>
        <w:rPr>
          <w:spacing w:val="-6"/>
        </w:rPr>
        <w:t> </w:t>
      </w:r>
      <w:r>
        <w:rPr/>
        <w:t>теста</w:t>
      </w:r>
      <w:r>
        <w:rPr>
          <w:spacing w:val="-8"/>
        </w:rPr>
        <w:t> </w:t>
      </w:r>
      <w:r>
        <w:rPr/>
        <w:t>Фишера</w:t>
      </w:r>
      <w:r>
        <w:rPr>
          <w:spacing w:val="-6"/>
        </w:rPr>
        <w:t> </w:t>
      </w:r>
      <w:r>
        <w:rPr/>
        <w:t>=== results = []</w:t>
      </w:r>
    </w:p>
    <w:p>
      <w:pPr>
        <w:pStyle w:val="BodyText"/>
        <w:spacing w:line="322" w:lineRule="exact"/>
        <w:ind w:left="143"/>
        <w:jc w:val="left"/>
      </w:pPr>
      <w:r>
        <w:rPr/>
        <w:t>p_values</w:t>
      </w:r>
      <w:r>
        <w:rPr>
          <w:spacing w:val="-3"/>
        </w:rPr>
        <w:t> </w:t>
      </w:r>
      <w:r>
        <w:rPr/>
        <w:t>=</w:t>
      </w:r>
      <w:r>
        <w:rPr>
          <w:spacing w:val="-2"/>
        </w:rPr>
        <w:t> </w:t>
      </w:r>
      <w:r>
        <w:rPr>
          <w:spacing w:val="-5"/>
        </w:rPr>
        <w:t>[]</w:t>
      </w:r>
    </w:p>
    <w:p>
      <w:pPr>
        <w:pStyle w:val="BodyText"/>
        <w:spacing w:before="22"/>
        <w:ind w:left="143"/>
        <w:jc w:val="left"/>
      </w:pPr>
      <w:r>
        <w:rPr/>
        <w:t>for</w:t>
      </w:r>
      <w:r>
        <w:rPr>
          <w:spacing w:val="-1"/>
        </w:rPr>
        <w:t> </w:t>
      </w:r>
      <w:r>
        <w:rPr/>
        <w:t>i,</w:t>
      </w:r>
      <w:r>
        <w:rPr>
          <w:spacing w:val="-3"/>
        </w:rPr>
        <w:t> </w:t>
      </w:r>
      <w:r>
        <w:rPr/>
        <w:t>name</w:t>
      </w:r>
      <w:r>
        <w:rPr>
          <w:spacing w:val="-2"/>
        </w:rPr>
        <w:t> </w:t>
      </w:r>
      <w:r>
        <w:rPr/>
        <w:t>in</w:t>
      </w:r>
      <w:r>
        <w:rPr>
          <w:spacing w:val="1"/>
        </w:rPr>
        <w:t> </w:t>
      </w:r>
      <w:r>
        <w:rPr>
          <w:spacing w:val="-2"/>
        </w:rPr>
        <w:t>enumerate(features):</w:t>
      </w:r>
    </w:p>
    <w:p>
      <w:pPr>
        <w:pStyle w:val="BodyText"/>
        <w:tabs>
          <w:tab w:pos="3079" w:val="left" w:leader="none"/>
        </w:tabs>
        <w:spacing w:line="256" w:lineRule="auto" w:before="21"/>
        <w:ind w:left="422" w:right="4234"/>
        <w:jc w:val="left"/>
      </w:pPr>
      <w:r>
        <w:rPr/>
        <w:t>a = int(exp_counts[i])</w:t>
        <w:tab/>
        <w:t>#</w:t>
      </w:r>
      <w:r>
        <w:rPr>
          <w:spacing w:val="-7"/>
        </w:rPr>
        <w:t> </w:t>
      </w:r>
      <w:r>
        <w:rPr/>
        <w:t>с</w:t>
      </w:r>
      <w:r>
        <w:rPr>
          <w:spacing w:val="-10"/>
        </w:rPr>
        <w:t> </w:t>
      </w:r>
      <w:r>
        <w:rPr/>
        <w:t>признаком</w:t>
      </w:r>
      <w:r>
        <w:rPr>
          <w:spacing w:val="-8"/>
        </w:rPr>
        <w:t> </w:t>
      </w:r>
      <w:r>
        <w:rPr/>
        <w:t>в</w:t>
      </w:r>
      <w:r>
        <w:rPr>
          <w:spacing w:val="-8"/>
        </w:rPr>
        <w:t> </w:t>
      </w:r>
      <w:r>
        <w:rPr/>
        <w:t>эксперименте c = int(ctrl_counts[i])</w:t>
      </w:r>
      <w:r>
        <w:rPr>
          <w:spacing w:val="40"/>
        </w:rPr>
        <w:t> </w:t>
      </w:r>
      <w:r>
        <w:rPr/>
        <w:t># с признаком в контроле</w:t>
      </w:r>
    </w:p>
    <w:p>
      <w:pPr>
        <w:pStyle w:val="BodyText"/>
        <w:tabs>
          <w:tab w:pos="2820" w:val="left" w:leader="none"/>
        </w:tabs>
        <w:spacing w:line="319" w:lineRule="exact"/>
        <w:ind w:left="422"/>
        <w:jc w:val="left"/>
      </w:pPr>
      <w:r>
        <w:rPr/>
        <w:t>b</w:t>
      </w:r>
      <w:r>
        <w:rPr>
          <w:spacing w:val="-4"/>
        </w:rPr>
        <w:t> </w:t>
      </w:r>
      <w:r>
        <w:rPr/>
        <w:t>=</w:t>
      </w:r>
      <w:r>
        <w:rPr>
          <w:spacing w:val="-2"/>
        </w:rPr>
        <w:t> </w:t>
      </w:r>
      <w:r>
        <w:rPr/>
        <w:t>total_exp</w:t>
      </w:r>
      <w:r>
        <w:rPr>
          <w:spacing w:val="-2"/>
        </w:rPr>
        <w:t> </w:t>
      </w:r>
      <w:r>
        <w:rPr/>
        <w:t>-</w:t>
      </w:r>
      <w:r>
        <w:rPr>
          <w:spacing w:val="-1"/>
        </w:rPr>
        <w:t> </w:t>
      </w:r>
      <w:r>
        <w:rPr>
          <w:spacing w:val="-10"/>
        </w:rPr>
        <w:t>a</w:t>
      </w:r>
      <w:r>
        <w:rPr/>
        <w:tab/>
        <w:t>#</w:t>
      </w:r>
      <w:r>
        <w:rPr>
          <w:spacing w:val="-3"/>
        </w:rPr>
        <w:t> </w:t>
      </w:r>
      <w:r>
        <w:rPr/>
        <w:t>без</w:t>
      </w:r>
      <w:r>
        <w:rPr>
          <w:spacing w:val="-2"/>
        </w:rPr>
        <w:t> </w:t>
      </w:r>
      <w:r>
        <w:rPr/>
        <w:t>признака</w:t>
      </w:r>
      <w:r>
        <w:rPr>
          <w:spacing w:val="-2"/>
        </w:rPr>
        <w:t> </w:t>
      </w:r>
      <w:r>
        <w:rPr/>
        <w:t>в</w:t>
      </w:r>
      <w:r>
        <w:rPr>
          <w:spacing w:val="-1"/>
        </w:rPr>
        <w:t> </w:t>
      </w:r>
      <w:r>
        <w:rPr>
          <w:spacing w:val="-2"/>
        </w:rPr>
        <w:t>эксперименте</w:t>
      </w:r>
    </w:p>
    <w:p>
      <w:pPr>
        <w:pStyle w:val="BodyText"/>
        <w:tabs>
          <w:tab w:pos="2719" w:val="left" w:leader="none"/>
        </w:tabs>
        <w:spacing w:before="21"/>
        <w:ind w:left="422"/>
        <w:jc w:val="left"/>
      </w:pPr>
      <w:r>
        <w:rPr/>
        <w:t>d</w:t>
      </w:r>
      <w:r>
        <w:rPr>
          <w:spacing w:val="-4"/>
        </w:rPr>
        <w:t> </w:t>
      </w:r>
      <w:r>
        <w:rPr/>
        <w:t>=</w:t>
      </w:r>
      <w:r>
        <w:rPr>
          <w:spacing w:val="-2"/>
        </w:rPr>
        <w:t> </w:t>
      </w:r>
      <w:r>
        <w:rPr/>
        <w:t>total_ctrl</w:t>
      </w:r>
      <w:r>
        <w:rPr>
          <w:spacing w:val="-2"/>
        </w:rPr>
        <w:t> </w:t>
      </w:r>
      <w:r>
        <w:rPr/>
        <w:t>-</w:t>
      </w:r>
      <w:r>
        <w:rPr>
          <w:spacing w:val="-2"/>
        </w:rPr>
        <w:t> </w:t>
      </w:r>
      <w:r>
        <w:rPr>
          <w:spacing w:val="-10"/>
        </w:rPr>
        <w:t>c</w:t>
      </w:r>
      <w:r>
        <w:rPr/>
        <w:tab/>
        <w:t>#</w:t>
      </w:r>
      <w:r>
        <w:rPr>
          <w:spacing w:val="-4"/>
        </w:rPr>
        <w:t> </w:t>
      </w:r>
      <w:r>
        <w:rPr/>
        <w:t>без</w:t>
      </w:r>
      <w:r>
        <w:rPr>
          <w:spacing w:val="-3"/>
        </w:rPr>
        <w:t> </w:t>
      </w:r>
      <w:r>
        <w:rPr/>
        <w:t>признака</w:t>
      </w:r>
      <w:r>
        <w:rPr>
          <w:spacing w:val="-3"/>
        </w:rPr>
        <w:t> </w:t>
      </w:r>
      <w:r>
        <w:rPr/>
        <w:t>в</w:t>
      </w:r>
      <w:r>
        <w:rPr>
          <w:spacing w:val="-2"/>
        </w:rPr>
        <w:t> контроле</w:t>
      </w:r>
    </w:p>
    <w:p>
      <w:pPr>
        <w:pStyle w:val="BodyText"/>
        <w:spacing w:before="21"/>
        <w:ind w:left="422"/>
        <w:jc w:val="left"/>
      </w:pPr>
      <w:r>
        <w:rPr/>
        <w:t>table</w:t>
      </w:r>
      <w:r>
        <w:rPr>
          <w:spacing w:val="-1"/>
        </w:rPr>
        <w:t> </w:t>
      </w:r>
      <w:r>
        <w:rPr/>
        <w:t>=</w:t>
      </w:r>
      <w:r>
        <w:rPr>
          <w:spacing w:val="-1"/>
        </w:rPr>
        <w:t> </w:t>
      </w:r>
      <w:r>
        <w:rPr/>
        <w:t>[[a,</w:t>
      </w:r>
      <w:r>
        <w:rPr>
          <w:spacing w:val="-1"/>
        </w:rPr>
        <w:t> </w:t>
      </w:r>
      <w:r>
        <w:rPr/>
        <w:t>b],</w:t>
      </w:r>
      <w:r>
        <w:rPr>
          <w:spacing w:val="-1"/>
        </w:rPr>
        <w:t> </w:t>
      </w:r>
      <w:r>
        <w:rPr/>
        <w:t>[c,</w:t>
      </w:r>
      <w:r>
        <w:rPr>
          <w:spacing w:val="-3"/>
        </w:rPr>
        <w:t> </w:t>
      </w:r>
      <w:r>
        <w:rPr>
          <w:spacing w:val="-5"/>
        </w:rPr>
        <w:t>d]]</w:t>
      </w:r>
    </w:p>
    <w:p>
      <w:pPr>
        <w:pStyle w:val="BodyText"/>
        <w:spacing w:line="256" w:lineRule="auto" w:before="21"/>
        <w:ind w:left="422" w:right="5048"/>
        <w:jc w:val="left"/>
      </w:pPr>
      <w:r>
        <w:rPr/>
        <w:t>#</w:t>
      </w:r>
      <w:r>
        <w:rPr>
          <w:spacing w:val="-8"/>
        </w:rPr>
        <w:t> </w:t>
      </w:r>
      <w:r>
        <w:rPr/>
        <w:t>Двусторонний</w:t>
      </w:r>
      <w:r>
        <w:rPr>
          <w:spacing w:val="-8"/>
        </w:rPr>
        <w:t> </w:t>
      </w:r>
      <w:r>
        <w:rPr/>
        <w:t>точный</w:t>
      </w:r>
      <w:r>
        <w:rPr>
          <w:spacing w:val="-8"/>
        </w:rPr>
        <w:t> </w:t>
      </w:r>
      <w:r>
        <w:rPr/>
        <w:t>критерий</w:t>
      </w:r>
      <w:r>
        <w:rPr>
          <w:spacing w:val="-8"/>
        </w:rPr>
        <w:t> </w:t>
      </w:r>
      <w:r>
        <w:rPr/>
        <w:t>Фишера </w:t>
      </w:r>
      <w:r>
        <w:rPr>
          <w:spacing w:val="-4"/>
        </w:rPr>
        <w:t>try:</w:t>
      </w:r>
    </w:p>
    <w:p>
      <w:pPr>
        <w:pStyle w:val="BodyText"/>
        <w:spacing w:line="256" w:lineRule="auto"/>
        <w:ind w:left="422" w:right="3796" w:firstLine="278"/>
        <w:jc w:val="left"/>
      </w:pPr>
      <w:r>
        <w:rPr/>
        <w:t>oddsratio,</w:t>
      </w:r>
      <w:r>
        <w:rPr>
          <w:spacing w:val="-9"/>
        </w:rPr>
        <w:t> </w:t>
      </w:r>
      <w:r>
        <w:rPr/>
        <w:t>p</w:t>
      </w:r>
      <w:r>
        <w:rPr>
          <w:spacing w:val="-6"/>
        </w:rPr>
        <w:t> </w:t>
      </w:r>
      <w:r>
        <w:rPr/>
        <w:t>=</w:t>
      </w:r>
      <w:r>
        <w:rPr>
          <w:spacing w:val="-7"/>
        </w:rPr>
        <w:t> </w:t>
      </w:r>
      <w:r>
        <w:rPr/>
        <w:t>fisher_exact(table,</w:t>
      </w:r>
      <w:r>
        <w:rPr>
          <w:spacing w:val="-7"/>
        </w:rPr>
        <w:t> </w:t>
      </w:r>
      <w:r>
        <w:rPr/>
        <w:t>alternative='two-sided') except Exception:</w:t>
      </w:r>
    </w:p>
    <w:p>
      <w:pPr>
        <w:pStyle w:val="BodyText"/>
        <w:spacing w:line="256" w:lineRule="auto"/>
        <w:ind w:left="422" w:right="6725" w:firstLine="278"/>
        <w:jc w:val="left"/>
      </w:pPr>
      <w:r>
        <w:rPr/>
        <w:t>oddsratio,</w:t>
      </w:r>
      <w:r>
        <w:rPr>
          <w:spacing w:val="-10"/>
        </w:rPr>
        <w:t> </w:t>
      </w:r>
      <w:r>
        <w:rPr/>
        <w:t>p</w:t>
      </w:r>
      <w:r>
        <w:rPr>
          <w:spacing w:val="-6"/>
        </w:rPr>
        <w:t> </w:t>
      </w:r>
      <w:r>
        <w:rPr/>
        <w:t>=</w:t>
      </w:r>
      <w:r>
        <w:rPr>
          <w:spacing w:val="-7"/>
        </w:rPr>
        <w:t> </w:t>
      </w:r>
      <w:r>
        <w:rPr/>
        <w:t>(np.nan,</w:t>
      </w:r>
      <w:r>
        <w:rPr>
          <w:spacing w:val="-7"/>
        </w:rPr>
        <w:t> </w:t>
      </w:r>
      <w:r>
        <w:rPr/>
        <w:t>np.nan) </w:t>
      </w:r>
      <w:r>
        <w:rPr>
          <w:spacing w:val="-2"/>
        </w:rPr>
        <w:t>p_values.append(p) results.append({</w:t>
      </w:r>
    </w:p>
    <w:p>
      <w:pPr>
        <w:pStyle w:val="BodyText"/>
        <w:spacing w:line="318" w:lineRule="exact"/>
        <w:ind w:left="701"/>
        <w:jc w:val="left"/>
      </w:pPr>
      <w:r>
        <w:rPr/>
        <w:t>"№":</w:t>
      </w:r>
      <w:r>
        <w:rPr>
          <w:spacing w:val="-2"/>
        </w:rPr>
        <w:t> </w:t>
      </w:r>
      <w:r>
        <w:rPr>
          <w:spacing w:val="-4"/>
        </w:rPr>
        <w:t>i+1,</w:t>
      </w:r>
    </w:p>
    <w:p>
      <w:pPr>
        <w:pStyle w:val="BodyText"/>
        <w:spacing w:line="256" w:lineRule="auto" w:before="18"/>
        <w:ind w:left="701" w:right="6725"/>
        <w:jc w:val="left"/>
      </w:pPr>
      <w:r>
        <w:rPr/>
        <w:t>"Признак": name, "Эксперимент_есть":</w:t>
      </w:r>
      <w:r>
        <w:rPr>
          <w:spacing w:val="-18"/>
        </w:rPr>
        <w:t> </w:t>
      </w:r>
      <w:r>
        <w:rPr/>
        <w:t>a, "Контроль_есть": c, "Эксперимент_нет": b, "Контроль_нет": d, "OddsRatio": oddsratio,</w:t>
      </w:r>
    </w:p>
    <w:p>
      <w:pPr>
        <w:pStyle w:val="BodyText"/>
        <w:spacing w:after="0" w:line="256" w:lineRule="auto"/>
        <w:jc w:val="left"/>
        <w:sectPr>
          <w:pgSz w:w="11910" w:h="16840"/>
          <w:pgMar w:header="0" w:footer="1002" w:top="1040" w:bottom="1200" w:left="708" w:right="283"/>
        </w:sectPr>
      </w:pPr>
    </w:p>
    <w:p>
      <w:pPr>
        <w:pStyle w:val="BodyText"/>
        <w:spacing w:before="74"/>
        <w:ind w:left="701"/>
        <w:jc w:val="left"/>
      </w:pPr>
      <w:r>
        <w:rPr/>
        <w:t>"p_raw":</w:t>
      </w:r>
      <w:r>
        <w:rPr>
          <w:spacing w:val="-3"/>
        </w:rPr>
        <w:t> </w:t>
      </w:r>
      <w:r>
        <w:rPr>
          <w:spacing w:val="-10"/>
        </w:rPr>
        <w:t>p</w:t>
      </w:r>
    </w:p>
    <w:p>
      <w:pPr>
        <w:spacing w:before="24"/>
        <w:ind w:left="422" w:right="0" w:firstLine="0"/>
        <w:jc w:val="left"/>
        <w:rPr>
          <w:sz w:val="28"/>
        </w:rPr>
      </w:pPr>
      <w:r>
        <w:rPr>
          <w:spacing w:val="-5"/>
          <w:sz w:val="28"/>
        </w:rPr>
        <w:t>})</w:t>
      </w:r>
    </w:p>
    <w:p>
      <w:pPr>
        <w:pStyle w:val="BodyText"/>
        <w:spacing w:before="42"/>
        <w:jc w:val="left"/>
      </w:pPr>
    </w:p>
    <w:p>
      <w:pPr>
        <w:pStyle w:val="BodyText"/>
        <w:ind w:left="144"/>
        <w:jc w:val="left"/>
      </w:pPr>
      <w:r>
        <w:rPr/>
        <w:t>df</w:t>
      </w:r>
      <w:r>
        <w:rPr>
          <w:spacing w:val="-3"/>
        </w:rPr>
        <w:t> </w:t>
      </w:r>
      <w:r>
        <w:rPr/>
        <w:t>= </w:t>
      </w:r>
      <w:r>
        <w:rPr>
          <w:spacing w:val="-2"/>
        </w:rPr>
        <w:t>pd.DataFrame(results)</w:t>
      </w:r>
    </w:p>
    <w:p>
      <w:pPr>
        <w:pStyle w:val="BodyText"/>
        <w:spacing w:line="256" w:lineRule="auto" w:before="21"/>
        <w:ind w:left="143" w:right="1256"/>
        <w:jc w:val="left"/>
      </w:pPr>
      <w:r>
        <w:rPr/>
        <w:t>#</w:t>
      </w:r>
      <w:r>
        <w:rPr>
          <w:spacing w:val="-3"/>
        </w:rPr>
        <w:t> </w:t>
      </w:r>
      <w:r>
        <w:rPr/>
        <w:t>===</w:t>
      </w:r>
      <w:r>
        <w:rPr>
          <w:spacing w:val="-6"/>
        </w:rPr>
        <w:t> </w:t>
      </w:r>
      <w:r>
        <w:rPr/>
        <w:t>Поправка</w:t>
      </w:r>
      <w:r>
        <w:rPr>
          <w:spacing w:val="-6"/>
        </w:rPr>
        <w:t> </w:t>
      </w:r>
      <w:r>
        <w:rPr/>
        <w:t>на</w:t>
      </w:r>
      <w:r>
        <w:rPr>
          <w:spacing w:val="-6"/>
        </w:rPr>
        <w:t> </w:t>
      </w:r>
      <w:r>
        <w:rPr/>
        <w:t>множественные</w:t>
      </w:r>
      <w:r>
        <w:rPr>
          <w:spacing w:val="-4"/>
        </w:rPr>
        <w:t> </w:t>
      </w:r>
      <w:r>
        <w:rPr/>
        <w:t>сравнения</w:t>
      </w:r>
      <w:r>
        <w:rPr>
          <w:spacing w:val="-4"/>
        </w:rPr>
        <w:t> </w:t>
      </w:r>
      <w:r>
        <w:rPr/>
        <w:t>(FDR,</w:t>
      </w:r>
      <w:r>
        <w:rPr>
          <w:spacing w:val="-4"/>
        </w:rPr>
        <w:t> </w:t>
      </w:r>
      <w:r>
        <w:rPr/>
        <w:t>Benjamini–Hochberg)</w:t>
      </w:r>
      <w:r>
        <w:rPr>
          <w:spacing w:val="-4"/>
        </w:rPr>
        <w:t> </w:t>
      </w:r>
      <w:r>
        <w:rPr/>
        <w:t>=== if have_multipletests:</w:t>
      </w:r>
    </w:p>
    <w:p>
      <w:pPr>
        <w:pStyle w:val="BodyText"/>
        <w:tabs>
          <w:tab w:pos="1149" w:val="left" w:leader="none"/>
          <w:tab w:pos="3351" w:val="left" w:leader="none"/>
          <w:tab w:pos="3920" w:val="left" w:leader="none"/>
          <w:tab w:pos="4422" w:val="left" w:leader="none"/>
          <w:tab w:pos="4938" w:val="left" w:leader="none"/>
          <w:tab w:pos="9026" w:val="left" w:leader="none"/>
        </w:tabs>
        <w:spacing w:line="256" w:lineRule="auto"/>
        <w:ind w:left="143" w:right="562" w:firstLine="278"/>
        <w:jc w:val="left"/>
      </w:pPr>
      <w:r>
        <w:rPr>
          <w:spacing w:val="-4"/>
        </w:rPr>
        <w:t>rej,</w:t>
      </w:r>
      <w:r>
        <w:rPr/>
        <w:tab/>
      </w:r>
      <w:r>
        <w:rPr>
          <w:spacing w:val="-2"/>
        </w:rPr>
        <w:t>pvals_corrected,</w:t>
      </w:r>
      <w:r>
        <w:rPr/>
        <w:tab/>
      </w:r>
      <w:r>
        <w:rPr>
          <w:spacing w:val="-6"/>
        </w:rPr>
        <w:t>_,</w:t>
      </w:r>
      <w:r>
        <w:rPr/>
        <w:tab/>
      </w:r>
      <w:r>
        <w:rPr>
          <w:spacing w:val="-10"/>
        </w:rPr>
        <w:t>_</w:t>
      </w:r>
      <w:r>
        <w:rPr/>
        <w:tab/>
      </w:r>
      <w:r>
        <w:rPr>
          <w:spacing w:val="-10"/>
        </w:rPr>
        <w:t>=</w:t>
      </w:r>
      <w:r>
        <w:rPr/>
        <w:tab/>
      </w:r>
      <w:r>
        <w:rPr>
          <w:spacing w:val="-2"/>
        </w:rPr>
        <w:t>multipletests(df["p_raw"].values,</w:t>
      </w:r>
      <w:r>
        <w:rPr/>
        <w:tab/>
      </w:r>
      <w:r>
        <w:rPr>
          <w:spacing w:val="-2"/>
        </w:rPr>
        <w:t>alpha=0.05, method='fdr_bh')</w:t>
      </w:r>
    </w:p>
    <w:p>
      <w:pPr>
        <w:pStyle w:val="BodyText"/>
        <w:spacing w:line="256" w:lineRule="auto"/>
        <w:ind w:left="422" w:right="6725"/>
        <w:jc w:val="left"/>
      </w:pPr>
      <w:r>
        <w:rPr/>
        <w:t>df["p_fdr"]</w:t>
      </w:r>
      <w:r>
        <w:rPr>
          <w:spacing w:val="-16"/>
        </w:rPr>
        <w:t> </w:t>
      </w:r>
      <w:r>
        <w:rPr/>
        <w:t>=</w:t>
      </w:r>
      <w:r>
        <w:rPr>
          <w:spacing w:val="-17"/>
        </w:rPr>
        <w:t> </w:t>
      </w:r>
      <w:r>
        <w:rPr/>
        <w:t>pvals_corrected df["significant_fdr"] = rej</w:t>
      </w:r>
    </w:p>
    <w:p>
      <w:pPr>
        <w:pStyle w:val="BodyText"/>
        <w:spacing w:line="319" w:lineRule="exact"/>
        <w:ind w:left="143"/>
        <w:jc w:val="left"/>
      </w:pPr>
      <w:r>
        <w:rPr>
          <w:spacing w:val="-2"/>
        </w:rPr>
        <w:t>else:</w:t>
      </w:r>
    </w:p>
    <w:p>
      <w:pPr>
        <w:pStyle w:val="BodyText"/>
        <w:spacing w:before="19"/>
        <w:ind w:left="422"/>
        <w:jc w:val="left"/>
      </w:pPr>
      <w:r>
        <w:rPr/>
        <w:t>#</w:t>
      </w:r>
      <w:r>
        <w:rPr>
          <w:spacing w:val="-3"/>
        </w:rPr>
        <w:t> </w:t>
      </w:r>
      <w:r>
        <w:rPr/>
        <w:t>Ручная</w:t>
      </w:r>
      <w:r>
        <w:rPr>
          <w:spacing w:val="-4"/>
        </w:rPr>
        <w:t> </w:t>
      </w:r>
      <w:r>
        <w:rPr/>
        <w:t>реализация</w:t>
      </w:r>
      <w:r>
        <w:rPr>
          <w:spacing w:val="-2"/>
        </w:rPr>
        <w:t> </w:t>
      </w:r>
      <w:r>
        <w:rPr>
          <w:spacing w:val="-5"/>
        </w:rPr>
        <w:t>BH</w:t>
      </w:r>
    </w:p>
    <w:p>
      <w:pPr>
        <w:pStyle w:val="BodyText"/>
        <w:spacing w:line="256" w:lineRule="auto" w:before="21"/>
        <w:ind w:left="422" w:right="6725"/>
        <w:jc w:val="left"/>
      </w:pPr>
      <w:r>
        <w:rPr/>
        <w:t>p</w:t>
      </w:r>
      <w:r>
        <w:rPr>
          <w:spacing w:val="-15"/>
        </w:rPr>
        <w:t> </w:t>
      </w:r>
      <w:r>
        <w:rPr/>
        <w:t>=</w:t>
      </w:r>
      <w:r>
        <w:rPr>
          <w:spacing w:val="-16"/>
        </w:rPr>
        <w:t> </w:t>
      </w:r>
      <w:r>
        <w:rPr/>
        <w:t>np.array(df["p_raw"].values) n = len(p)</w:t>
      </w:r>
    </w:p>
    <w:p>
      <w:pPr>
        <w:pStyle w:val="BodyText"/>
        <w:spacing w:line="319" w:lineRule="exact"/>
        <w:ind w:left="422"/>
        <w:jc w:val="left"/>
      </w:pPr>
      <w:r>
        <w:rPr/>
        <w:t>order =</w:t>
      </w:r>
      <w:r>
        <w:rPr>
          <w:spacing w:val="-2"/>
        </w:rPr>
        <w:t> np.argsort(p)</w:t>
      </w:r>
    </w:p>
    <w:p>
      <w:pPr>
        <w:pStyle w:val="BodyText"/>
        <w:spacing w:before="21"/>
        <w:ind w:left="422"/>
        <w:jc w:val="left"/>
      </w:pPr>
      <w:r>
        <w:rPr/>
        <w:t>ranked</w:t>
      </w:r>
      <w:r>
        <w:rPr>
          <w:spacing w:val="-3"/>
        </w:rPr>
        <w:t> </w:t>
      </w:r>
      <w:r>
        <w:rPr/>
        <w:t>=</w:t>
      </w:r>
      <w:r>
        <w:rPr>
          <w:spacing w:val="-4"/>
        </w:rPr>
        <w:t> </w:t>
      </w:r>
      <w:r>
        <w:rPr/>
        <w:t>np.empty(n,</w:t>
      </w:r>
      <w:r>
        <w:rPr>
          <w:spacing w:val="-3"/>
        </w:rPr>
        <w:t> </w:t>
      </w:r>
      <w:r>
        <w:rPr>
          <w:spacing w:val="-2"/>
        </w:rPr>
        <w:t>dtype=float)</w:t>
      </w:r>
    </w:p>
    <w:p>
      <w:pPr>
        <w:pStyle w:val="BodyText"/>
        <w:spacing w:line="256" w:lineRule="auto" w:before="21"/>
        <w:ind w:left="701" w:right="5048" w:hanging="279"/>
        <w:jc w:val="left"/>
      </w:pPr>
      <w:r>
        <w:rPr/>
        <w:t>for</w:t>
      </w:r>
      <w:r>
        <w:rPr>
          <w:spacing w:val="-7"/>
        </w:rPr>
        <w:t> </w:t>
      </w:r>
      <w:r>
        <w:rPr/>
        <w:t>rank,</w:t>
      </w:r>
      <w:r>
        <w:rPr>
          <w:spacing w:val="-7"/>
        </w:rPr>
        <w:t> </w:t>
      </w:r>
      <w:r>
        <w:rPr/>
        <w:t>idx</w:t>
      </w:r>
      <w:r>
        <w:rPr>
          <w:spacing w:val="-8"/>
        </w:rPr>
        <w:t> </w:t>
      </w:r>
      <w:r>
        <w:rPr/>
        <w:t>in</w:t>
      </w:r>
      <w:r>
        <w:rPr>
          <w:spacing w:val="-6"/>
        </w:rPr>
        <w:t> </w:t>
      </w:r>
      <w:r>
        <w:rPr/>
        <w:t>enumerate(order,</w:t>
      </w:r>
      <w:r>
        <w:rPr>
          <w:spacing w:val="-7"/>
        </w:rPr>
        <w:t> </w:t>
      </w:r>
      <w:r>
        <w:rPr/>
        <w:t>start=1): ranked[idx] = p[idx] * n / rank</w:t>
      </w:r>
    </w:p>
    <w:p>
      <w:pPr>
        <w:pStyle w:val="BodyText"/>
        <w:spacing w:line="256" w:lineRule="auto"/>
        <w:ind w:left="422" w:right="4234"/>
        <w:jc w:val="left"/>
      </w:pPr>
      <w:r>
        <w:rPr/>
        <w:t>pbh</w:t>
      </w:r>
      <w:r>
        <w:rPr>
          <w:spacing w:val="-14"/>
        </w:rPr>
        <w:t> </w:t>
      </w:r>
      <w:r>
        <w:rPr/>
        <w:t>=</w:t>
      </w:r>
      <w:r>
        <w:rPr>
          <w:spacing w:val="-17"/>
        </w:rPr>
        <w:t> </w:t>
      </w:r>
      <w:r>
        <w:rPr/>
        <w:t>np.minimum.accumulate(ranked[::-1])[::-1] pbh[pbh &gt; 1] = 1.0</w:t>
      </w:r>
    </w:p>
    <w:p>
      <w:pPr>
        <w:pStyle w:val="BodyText"/>
        <w:spacing w:line="319" w:lineRule="exact"/>
        <w:ind w:left="422"/>
        <w:jc w:val="left"/>
      </w:pPr>
      <w:r>
        <w:rPr/>
        <w:t>df["p_fdr"]</w:t>
      </w:r>
      <w:r>
        <w:rPr>
          <w:spacing w:val="-3"/>
        </w:rPr>
        <w:t> </w:t>
      </w:r>
      <w:r>
        <w:rPr/>
        <w:t>=</w:t>
      </w:r>
      <w:r>
        <w:rPr>
          <w:spacing w:val="-3"/>
        </w:rPr>
        <w:t> </w:t>
      </w:r>
      <w:r>
        <w:rPr>
          <w:spacing w:val="-5"/>
        </w:rPr>
        <w:t>pbh</w:t>
      </w:r>
    </w:p>
    <w:p>
      <w:pPr>
        <w:pStyle w:val="BodyText"/>
        <w:spacing w:line="256" w:lineRule="auto" w:before="21"/>
        <w:ind w:left="144" w:right="5775" w:firstLine="278"/>
        <w:jc w:val="left"/>
      </w:pPr>
      <w:r>
        <w:rPr/>
        <w:t>df["significant_fdr"]</w:t>
      </w:r>
      <w:r>
        <w:rPr>
          <w:spacing w:val="-9"/>
        </w:rPr>
        <w:t> </w:t>
      </w:r>
      <w:r>
        <w:rPr/>
        <w:t>=</w:t>
      </w:r>
      <w:r>
        <w:rPr>
          <w:spacing w:val="-9"/>
        </w:rPr>
        <w:t> </w:t>
      </w:r>
      <w:r>
        <w:rPr/>
        <w:t>df["p_fdr"]</w:t>
      </w:r>
      <w:r>
        <w:rPr>
          <w:spacing w:val="-9"/>
        </w:rPr>
        <w:t> </w:t>
      </w:r>
      <w:r>
        <w:rPr/>
        <w:t>&lt;</w:t>
      </w:r>
      <w:r>
        <w:rPr>
          <w:spacing w:val="-9"/>
        </w:rPr>
        <w:t> </w:t>
      </w:r>
      <w:r>
        <w:rPr/>
        <w:t>0.05 # === Сортировка и сохранение ===</w:t>
      </w:r>
    </w:p>
    <w:p>
      <w:pPr>
        <w:pStyle w:val="BodyText"/>
        <w:spacing w:line="256" w:lineRule="auto"/>
        <w:ind w:left="144" w:right="3891"/>
        <w:jc w:val="left"/>
      </w:pPr>
      <w:r>
        <w:rPr/>
        <w:t>df_sorted</w:t>
      </w:r>
      <w:r>
        <w:rPr>
          <w:spacing w:val="-15"/>
        </w:rPr>
        <w:t> </w:t>
      </w:r>
      <w:r>
        <w:rPr/>
        <w:t>=</w:t>
      </w:r>
      <w:r>
        <w:rPr>
          <w:spacing w:val="-17"/>
        </w:rPr>
        <w:t> </w:t>
      </w:r>
      <w:r>
        <w:rPr/>
        <w:t>df.sort_values("p_raw").reset_index(drop=True) # Сохранить в CSV</w:t>
      </w:r>
    </w:p>
    <w:p>
      <w:pPr>
        <w:pStyle w:val="BodyText"/>
        <w:spacing w:line="256" w:lineRule="auto"/>
        <w:ind w:left="144"/>
        <w:jc w:val="left"/>
      </w:pPr>
      <w:r>
        <w:rPr/>
        <w:t>df_sorted.to_csv("fisher_fdr_results.csv",</w:t>
      </w:r>
      <w:r>
        <w:rPr>
          <w:spacing w:val="-17"/>
        </w:rPr>
        <w:t> </w:t>
      </w:r>
      <w:r>
        <w:rPr/>
        <w:t>index=False,</w:t>
      </w:r>
      <w:r>
        <w:rPr>
          <w:spacing w:val="-14"/>
        </w:rPr>
        <w:t> </w:t>
      </w:r>
      <w:r>
        <w:rPr/>
        <w:t>encoding="utf-8-sig") print(df_sorted.head(10))</w:t>
      </w:r>
      <w:r>
        <w:rPr>
          <w:spacing w:val="40"/>
        </w:rPr>
        <w:t> </w:t>
      </w:r>
      <w:r>
        <w:rPr/>
        <w:t># показать первые строки таблицы</w:t>
      </w:r>
    </w:p>
    <w:sectPr>
      <w:pgSz w:w="11910" w:h="16840"/>
      <w:pgMar w:header="0" w:footer="1002" w:top="1040" w:bottom="1200" w:left="708"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egoe UI Symbol">
    <w:altName w:val="Segoe UI Symbol"/>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19"/>
      </w:rPr>
    </w:pPr>
    <w:r>
      <w:rPr>
        <w:sz w:val="19"/>
      </w:rPr>
      <mc:AlternateContent>
        <mc:Choice Requires="wps">
          <w:drawing>
            <wp:anchor distT="0" distB="0" distL="0" distR="0" allowOverlap="1" layoutInCell="1" locked="0" behindDoc="1" simplePos="0" relativeHeight="481448448">
              <wp:simplePos x="0" y="0"/>
              <wp:positionH relativeFrom="page">
                <wp:posOffset>4056379</wp:posOffset>
              </wp:positionH>
              <wp:positionV relativeFrom="page">
                <wp:posOffset>9916159</wp:posOffset>
              </wp:positionV>
              <wp:extent cx="1689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22</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9.399994pt;margin-top:780.799988pt;width:13.3pt;height:13.05pt;mso-position-horizontal-relative:page;mso-position-vertical-relative:page;z-index:-21868032"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22</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48960">
              <wp:simplePos x="0" y="0"/>
              <wp:positionH relativeFrom="page">
                <wp:posOffset>5416296</wp:posOffset>
              </wp:positionH>
              <wp:positionV relativeFrom="page">
                <wp:posOffset>6784340</wp:posOffset>
              </wp:positionV>
              <wp:extent cx="232410" cy="165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6.480011pt;margin-top:534.200012pt;width:18.3pt;height:13.05pt;mso-position-horizontal-relative:page;mso-position-vertical-relative:page;z-index:-21867520" type="#_x0000_t202" id="docshape2"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23</w:t>
                    </w:r>
                    <w:r>
                      <w:rPr>
                        <w:rFonts w:ascii="Calibri"/>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49472">
              <wp:simplePos x="0" y="0"/>
              <wp:positionH relativeFrom="page">
                <wp:posOffset>3671315</wp:posOffset>
              </wp:positionH>
              <wp:positionV relativeFrom="page">
                <wp:posOffset>9916159</wp:posOffset>
              </wp:positionV>
              <wp:extent cx="232410"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9.079987pt;margin-top:780.799988pt;width:18.3pt;height:13.05pt;mso-position-horizontal-relative:page;mso-position-vertical-relative:page;z-index:-21867008" type="#_x0000_t202" id="docshape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49984">
              <wp:simplePos x="0" y="0"/>
              <wp:positionH relativeFrom="page">
                <wp:posOffset>5712967</wp:posOffset>
              </wp:positionH>
              <wp:positionV relativeFrom="page">
                <wp:posOffset>6784340</wp:posOffset>
              </wp:positionV>
              <wp:extent cx="168910" cy="16573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35</w:t>
                          </w:r>
                        </w:p>
                      </w:txbxContent>
                    </wps:txbx>
                    <wps:bodyPr wrap="square" lIns="0" tIns="0" rIns="0" bIns="0" rtlCol="0">
                      <a:noAutofit/>
                    </wps:bodyPr>
                  </wps:wsp>
                </a:graphicData>
              </a:graphic>
            </wp:anchor>
          </w:drawing>
        </mc:Choice>
        <mc:Fallback>
          <w:pict>
            <v:shape style="position:absolute;margin-left:449.839996pt;margin-top:534.200012pt;width:13.3pt;height:13.05pt;mso-position-horizontal-relative:page;mso-position-vertical-relative:page;z-index:-21866496" type="#_x0000_t202" id="docshape8" filled="false" stroked="false">
              <v:textbox inset="0,0,0,0">
                <w:txbxContent>
                  <w:p>
                    <w:pPr>
                      <w:spacing w:line="245" w:lineRule="exact" w:before="0"/>
                      <w:ind w:left="20" w:right="0" w:firstLine="0"/>
                      <w:jc w:val="left"/>
                      <w:rPr>
                        <w:rFonts w:ascii="Calibri"/>
                        <w:sz w:val="22"/>
                      </w:rPr>
                    </w:pPr>
                    <w:r>
                      <w:rPr>
                        <w:rFonts w:ascii="Calibri"/>
                        <w:spacing w:val="-5"/>
                        <w:sz w:val="22"/>
                      </w:rPr>
                      <w:t>35</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50496">
              <wp:simplePos x="0" y="0"/>
              <wp:positionH relativeFrom="page">
                <wp:posOffset>3671315</wp:posOffset>
              </wp:positionH>
              <wp:positionV relativeFrom="page">
                <wp:posOffset>9916159</wp:posOffset>
              </wp:positionV>
              <wp:extent cx="232410" cy="16573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59</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9.079987pt;margin-top:780.799988pt;width:18.3pt;height:13.05pt;mso-position-horizontal-relative:page;mso-position-vertical-relative:page;z-index:-21865984" type="#_x0000_t202" id="docshape9"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59</w:t>
                    </w:r>
                    <w:r>
                      <w:rPr>
                        <w:rFonts w:ascii="Calibri"/>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51008">
              <wp:simplePos x="0" y="0"/>
              <wp:positionH relativeFrom="page">
                <wp:posOffset>5282184</wp:posOffset>
              </wp:positionH>
              <wp:positionV relativeFrom="page">
                <wp:posOffset>6784340</wp:posOffset>
              </wp:positionV>
              <wp:extent cx="232410" cy="16573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69</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15.920013pt;margin-top:534.200012pt;width:18.3pt;height:13.05pt;mso-position-horizontal-relative:page;mso-position-vertical-relative:page;z-index:-21865472" type="#_x0000_t202" id="docshape1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69</w:t>
                    </w:r>
                    <w:r>
                      <w:rPr>
                        <w:rFonts w:ascii="Calibri"/>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51520">
              <wp:simplePos x="0" y="0"/>
              <wp:positionH relativeFrom="page">
                <wp:posOffset>3661664</wp:posOffset>
              </wp:positionH>
              <wp:positionV relativeFrom="page">
                <wp:posOffset>9916159</wp:posOffset>
              </wp:positionV>
              <wp:extent cx="237490" cy="16573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3749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8.320007pt;margin-top:780.799988pt;width:18.7pt;height:13.05pt;mso-position-horizontal-relative:page;mso-position-vertical-relative:page;z-index:-21864960" type="#_x0000_t202" id="docshape46"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100</w:t>
                    </w:r>
                    <w:r>
                      <w:rPr>
                        <w:rFonts w:ascii="Calibri"/>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52032">
              <wp:simplePos x="0" y="0"/>
              <wp:positionH relativeFrom="page">
                <wp:posOffset>5046979</wp:posOffset>
              </wp:positionH>
              <wp:positionV relativeFrom="page">
                <wp:posOffset>6784340</wp:posOffset>
              </wp:positionV>
              <wp:extent cx="237490" cy="16573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3749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115</w:t>
                          </w:r>
                        </w:p>
                      </w:txbxContent>
                    </wps:txbx>
                    <wps:bodyPr wrap="square" lIns="0" tIns="0" rIns="0" bIns="0" rtlCol="0">
                      <a:noAutofit/>
                    </wps:bodyPr>
                  </wps:wsp>
                </a:graphicData>
              </a:graphic>
            </wp:anchor>
          </w:drawing>
        </mc:Choice>
        <mc:Fallback>
          <w:pict>
            <v:shape style="position:absolute;margin-left:397.399994pt;margin-top:534.200012pt;width:18.7pt;height:13.05pt;mso-position-horizontal-relative:page;mso-position-vertical-relative:page;z-index:-21864448" type="#_x0000_t202" id="docshape162" filled="false" stroked="false">
              <v:textbox inset="0,0,0,0">
                <w:txbxContent>
                  <w:p>
                    <w:pPr>
                      <w:spacing w:line="245" w:lineRule="exact" w:before="0"/>
                      <w:ind w:left="20" w:right="0" w:firstLine="0"/>
                      <w:jc w:val="left"/>
                      <w:rPr>
                        <w:rFonts w:ascii="Calibri"/>
                        <w:sz w:val="22"/>
                      </w:rPr>
                    </w:pPr>
                    <w:r>
                      <w:rPr>
                        <w:rFonts w:ascii="Calibri"/>
                        <w:spacing w:val="-5"/>
                        <w:sz w:val="22"/>
                      </w:rPr>
                      <w:t>115</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1452544">
              <wp:simplePos x="0" y="0"/>
              <wp:positionH relativeFrom="page">
                <wp:posOffset>3636264</wp:posOffset>
              </wp:positionH>
              <wp:positionV relativeFrom="page">
                <wp:posOffset>9916159</wp:posOffset>
              </wp:positionV>
              <wp:extent cx="300990" cy="165735"/>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30099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6.320007pt;margin-top:780.799988pt;width:23.7pt;height:13.05pt;mso-position-horizontal-relative:page;mso-position-vertical-relative:page;z-index:-21863936" type="#_x0000_t202" id="docshape18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116</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98"/>
      <w:numFmt w:val="decimal"/>
      <w:lvlText w:val="%1"/>
      <w:lvlJc w:val="left"/>
      <w:pPr>
        <w:ind w:left="143" w:hanging="538"/>
        <w:jc w:val="left"/>
      </w:pPr>
      <w:rPr>
        <w:rFonts w:hint="default" w:ascii="Times New Roman" w:hAnsi="Times New Roman" w:eastAsia="Times New Roman" w:cs="Times New Roman"/>
        <w:b w:val="0"/>
        <w:bCs w:val="0"/>
        <w:i w:val="0"/>
        <w:iCs w:val="0"/>
        <w:spacing w:val="-2"/>
        <w:w w:val="100"/>
        <w:sz w:val="28"/>
        <w:szCs w:val="28"/>
        <w:lang w:val="ru-RU" w:eastAsia="en-US" w:bidi="ar-SA"/>
      </w:rPr>
    </w:lvl>
    <w:lvl w:ilvl="1">
      <w:start w:val="0"/>
      <w:numFmt w:val="bullet"/>
      <w:lvlText w:val="•"/>
      <w:lvlJc w:val="left"/>
      <w:pPr>
        <w:ind w:left="1203" w:hanging="538"/>
      </w:pPr>
      <w:rPr>
        <w:rFonts w:hint="default"/>
        <w:lang w:val="ru-RU" w:eastAsia="en-US" w:bidi="ar-SA"/>
      </w:rPr>
    </w:lvl>
    <w:lvl w:ilvl="2">
      <w:start w:val="0"/>
      <w:numFmt w:val="bullet"/>
      <w:lvlText w:val="•"/>
      <w:lvlJc w:val="left"/>
      <w:pPr>
        <w:ind w:left="2266" w:hanging="538"/>
      </w:pPr>
      <w:rPr>
        <w:rFonts w:hint="default"/>
        <w:lang w:val="ru-RU" w:eastAsia="en-US" w:bidi="ar-SA"/>
      </w:rPr>
    </w:lvl>
    <w:lvl w:ilvl="3">
      <w:start w:val="0"/>
      <w:numFmt w:val="bullet"/>
      <w:lvlText w:val="•"/>
      <w:lvlJc w:val="left"/>
      <w:pPr>
        <w:ind w:left="3330" w:hanging="538"/>
      </w:pPr>
      <w:rPr>
        <w:rFonts w:hint="default"/>
        <w:lang w:val="ru-RU" w:eastAsia="en-US" w:bidi="ar-SA"/>
      </w:rPr>
    </w:lvl>
    <w:lvl w:ilvl="4">
      <w:start w:val="0"/>
      <w:numFmt w:val="bullet"/>
      <w:lvlText w:val="•"/>
      <w:lvlJc w:val="left"/>
      <w:pPr>
        <w:ind w:left="4393" w:hanging="538"/>
      </w:pPr>
      <w:rPr>
        <w:rFonts w:hint="default"/>
        <w:lang w:val="ru-RU" w:eastAsia="en-US" w:bidi="ar-SA"/>
      </w:rPr>
    </w:lvl>
    <w:lvl w:ilvl="5">
      <w:start w:val="0"/>
      <w:numFmt w:val="bullet"/>
      <w:lvlText w:val="•"/>
      <w:lvlJc w:val="left"/>
      <w:pPr>
        <w:ind w:left="5456" w:hanging="538"/>
      </w:pPr>
      <w:rPr>
        <w:rFonts w:hint="default"/>
        <w:lang w:val="ru-RU" w:eastAsia="en-US" w:bidi="ar-SA"/>
      </w:rPr>
    </w:lvl>
    <w:lvl w:ilvl="6">
      <w:start w:val="0"/>
      <w:numFmt w:val="bullet"/>
      <w:lvlText w:val="•"/>
      <w:lvlJc w:val="left"/>
      <w:pPr>
        <w:ind w:left="6520" w:hanging="538"/>
      </w:pPr>
      <w:rPr>
        <w:rFonts w:hint="default"/>
        <w:lang w:val="ru-RU" w:eastAsia="en-US" w:bidi="ar-SA"/>
      </w:rPr>
    </w:lvl>
    <w:lvl w:ilvl="7">
      <w:start w:val="0"/>
      <w:numFmt w:val="bullet"/>
      <w:lvlText w:val="•"/>
      <w:lvlJc w:val="left"/>
      <w:pPr>
        <w:ind w:left="7583" w:hanging="538"/>
      </w:pPr>
      <w:rPr>
        <w:rFonts w:hint="default"/>
        <w:lang w:val="ru-RU" w:eastAsia="en-US" w:bidi="ar-SA"/>
      </w:rPr>
    </w:lvl>
    <w:lvl w:ilvl="8">
      <w:start w:val="0"/>
      <w:numFmt w:val="bullet"/>
      <w:lvlText w:val="•"/>
      <w:lvlJc w:val="left"/>
      <w:pPr>
        <w:ind w:left="8646" w:hanging="538"/>
      </w:pPr>
      <w:rPr>
        <w:rFonts w:hint="default"/>
        <w:lang w:val="ru-RU" w:eastAsia="en-US" w:bidi="ar-SA"/>
      </w:rPr>
    </w:lvl>
  </w:abstractNum>
  <w:abstractNum w:abstractNumId="11">
    <w:multiLevelType w:val="hybridMultilevel"/>
    <w:lvl w:ilvl="0">
      <w:start w:val="135"/>
      <w:numFmt w:val="decimal"/>
      <w:lvlText w:val="%1"/>
      <w:lvlJc w:val="left"/>
      <w:pPr>
        <w:ind w:left="144" w:hanging="536"/>
        <w:jc w:val="left"/>
      </w:pPr>
      <w:rPr>
        <w:rFonts w:hint="default" w:ascii="Times New Roman" w:hAnsi="Times New Roman" w:eastAsia="Times New Roman" w:cs="Times New Roman"/>
        <w:b w:val="0"/>
        <w:bCs w:val="0"/>
        <w:i w:val="0"/>
        <w:iCs w:val="0"/>
        <w:spacing w:val="-2"/>
        <w:w w:val="100"/>
        <w:sz w:val="28"/>
        <w:szCs w:val="28"/>
        <w:lang w:val="ru-RU" w:eastAsia="en-US" w:bidi="ar-SA"/>
      </w:rPr>
    </w:lvl>
    <w:lvl w:ilvl="1">
      <w:start w:val="0"/>
      <w:numFmt w:val="bullet"/>
      <w:lvlText w:val="•"/>
      <w:lvlJc w:val="left"/>
      <w:pPr>
        <w:ind w:left="1203" w:hanging="536"/>
      </w:pPr>
      <w:rPr>
        <w:rFonts w:hint="default"/>
        <w:lang w:val="ru-RU" w:eastAsia="en-US" w:bidi="ar-SA"/>
      </w:rPr>
    </w:lvl>
    <w:lvl w:ilvl="2">
      <w:start w:val="0"/>
      <w:numFmt w:val="bullet"/>
      <w:lvlText w:val="•"/>
      <w:lvlJc w:val="left"/>
      <w:pPr>
        <w:ind w:left="2266" w:hanging="536"/>
      </w:pPr>
      <w:rPr>
        <w:rFonts w:hint="default"/>
        <w:lang w:val="ru-RU" w:eastAsia="en-US" w:bidi="ar-SA"/>
      </w:rPr>
    </w:lvl>
    <w:lvl w:ilvl="3">
      <w:start w:val="0"/>
      <w:numFmt w:val="bullet"/>
      <w:lvlText w:val="•"/>
      <w:lvlJc w:val="left"/>
      <w:pPr>
        <w:ind w:left="3330" w:hanging="536"/>
      </w:pPr>
      <w:rPr>
        <w:rFonts w:hint="default"/>
        <w:lang w:val="ru-RU" w:eastAsia="en-US" w:bidi="ar-SA"/>
      </w:rPr>
    </w:lvl>
    <w:lvl w:ilvl="4">
      <w:start w:val="0"/>
      <w:numFmt w:val="bullet"/>
      <w:lvlText w:val="•"/>
      <w:lvlJc w:val="left"/>
      <w:pPr>
        <w:ind w:left="4393" w:hanging="536"/>
      </w:pPr>
      <w:rPr>
        <w:rFonts w:hint="default"/>
        <w:lang w:val="ru-RU" w:eastAsia="en-US" w:bidi="ar-SA"/>
      </w:rPr>
    </w:lvl>
    <w:lvl w:ilvl="5">
      <w:start w:val="0"/>
      <w:numFmt w:val="bullet"/>
      <w:lvlText w:val="•"/>
      <w:lvlJc w:val="left"/>
      <w:pPr>
        <w:ind w:left="5456" w:hanging="536"/>
      </w:pPr>
      <w:rPr>
        <w:rFonts w:hint="default"/>
        <w:lang w:val="ru-RU" w:eastAsia="en-US" w:bidi="ar-SA"/>
      </w:rPr>
    </w:lvl>
    <w:lvl w:ilvl="6">
      <w:start w:val="0"/>
      <w:numFmt w:val="bullet"/>
      <w:lvlText w:val="•"/>
      <w:lvlJc w:val="left"/>
      <w:pPr>
        <w:ind w:left="6520" w:hanging="536"/>
      </w:pPr>
      <w:rPr>
        <w:rFonts w:hint="default"/>
        <w:lang w:val="ru-RU" w:eastAsia="en-US" w:bidi="ar-SA"/>
      </w:rPr>
    </w:lvl>
    <w:lvl w:ilvl="7">
      <w:start w:val="0"/>
      <w:numFmt w:val="bullet"/>
      <w:lvlText w:val="•"/>
      <w:lvlJc w:val="left"/>
      <w:pPr>
        <w:ind w:left="7583" w:hanging="536"/>
      </w:pPr>
      <w:rPr>
        <w:rFonts w:hint="default"/>
        <w:lang w:val="ru-RU" w:eastAsia="en-US" w:bidi="ar-SA"/>
      </w:rPr>
    </w:lvl>
    <w:lvl w:ilvl="8">
      <w:start w:val="0"/>
      <w:numFmt w:val="bullet"/>
      <w:lvlText w:val="•"/>
      <w:lvlJc w:val="left"/>
      <w:pPr>
        <w:ind w:left="8646" w:hanging="536"/>
      </w:pPr>
      <w:rPr>
        <w:rFonts w:hint="default"/>
        <w:lang w:val="ru-RU" w:eastAsia="en-US" w:bidi="ar-SA"/>
      </w:rPr>
    </w:lvl>
  </w:abstractNum>
  <w:abstractNum w:abstractNumId="10">
    <w:multiLevelType w:val="hybridMultilevel"/>
    <w:lvl w:ilvl="0">
      <w:start w:val="88"/>
      <w:numFmt w:val="decimal"/>
      <w:lvlText w:val="%1"/>
      <w:lvlJc w:val="left"/>
      <w:pPr>
        <w:ind w:left="143" w:hanging="4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408"/>
      </w:pPr>
      <w:rPr>
        <w:rFonts w:hint="default"/>
        <w:lang w:val="ru-RU" w:eastAsia="en-US" w:bidi="ar-SA"/>
      </w:rPr>
    </w:lvl>
    <w:lvl w:ilvl="2">
      <w:start w:val="0"/>
      <w:numFmt w:val="bullet"/>
      <w:lvlText w:val="•"/>
      <w:lvlJc w:val="left"/>
      <w:pPr>
        <w:ind w:left="2266" w:hanging="408"/>
      </w:pPr>
      <w:rPr>
        <w:rFonts w:hint="default"/>
        <w:lang w:val="ru-RU" w:eastAsia="en-US" w:bidi="ar-SA"/>
      </w:rPr>
    </w:lvl>
    <w:lvl w:ilvl="3">
      <w:start w:val="0"/>
      <w:numFmt w:val="bullet"/>
      <w:lvlText w:val="•"/>
      <w:lvlJc w:val="left"/>
      <w:pPr>
        <w:ind w:left="3330" w:hanging="408"/>
      </w:pPr>
      <w:rPr>
        <w:rFonts w:hint="default"/>
        <w:lang w:val="ru-RU" w:eastAsia="en-US" w:bidi="ar-SA"/>
      </w:rPr>
    </w:lvl>
    <w:lvl w:ilvl="4">
      <w:start w:val="0"/>
      <w:numFmt w:val="bullet"/>
      <w:lvlText w:val="•"/>
      <w:lvlJc w:val="left"/>
      <w:pPr>
        <w:ind w:left="4393" w:hanging="408"/>
      </w:pPr>
      <w:rPr>
        <w:rFonts w:hint="default"/>
        <w:lang w:val="ru-RU" w:eastAsia="en-US" w:bidi="ar-SA"/>
      </w:rPr>
    </w:lvl>
    <w:lvl w:ilvl="5">
      <w:start w:val="0"/>
      <w:numFmt w:val="bullet"/>
      <w:lvlText w:val="•"/>
      <w:lvlJc w:val="left"/>
      <w:pPr>
        <w:ind w:left="5456" w:hanging="408"/>
      </w:pPr>
      <w:rPr>
        <w:rFonts w:hint="default"/>
        <w:lang w:val="ru-RU" w:eastAsia="en-US" w:bidi="ar-SA"/>
      </w:rPr>
    </w:lvl>
    <w:lvl w:ilvl="6">
      <w:start w:val="0"/>
      <w:numFmt w:val="bullet"/>
      <w:lvlText w:val="•"/>
      <w:lvlJc w:val="left"/>
      <w:pPr>
        <w:ind w:left="6520" w:hanging="408"/>
      </w:pPr>
      <w:rPr>
        <w:rFonts w:hint="default"/>
        <w:lang w:val="ru-RU" w:eastAsia="en-US" w:bidi="ar-SA"/>
      </w:rPr>
    </w:lvl>
    <w:lvl w:ilvl="7">
      <w:start w:val="0"/>
      <w:numFmt w:val="bullet"/>
      <w:lvlText w:val="•"/>
      <w:lvlJc w:val="left"/>
      <w:pPr>
        <w:ind w:left="7583" w:hanging="408"/>
      </w:pPr>
      <w:rPr>
        <w:rFonts w:hint="default"/>
        <w:lang w:val="ru-RU" w:eastAsia="en-US" w:bidi="ar-SA"/>
      </w:rPr>
    </w:lvl>
    <w:lvl w:ilvl="8">
      <w:start w:val="0"/>
      <w:numFmt w:val="bullet"/>
      <w:lvlText w:val="•"/>
      <w:lvlJc w:val="left"/>
      <w:pPr>
        <w:ind w:left="8646" w:hanging="408"/>
      </w:pPr>
      <w:rPr>
        <w:rFonts w:hint="default"/>
        <w:lang w:val="ru-RU" w:eastAsia="en-US" w:bidi="ar-SA"/>
      </w:rPr>
    </w:lvl>
  </w:abstractNum>
  <w:abstractNum w:abstractNumId="9">
    <w:multiLevelType w:val="hybridMultilevel"/>
    <w:lvl w:ilvl="0">
      <w:start w:val="71"/>
      <w:numFmt w:val="decimal"/>
      <w:lvlText w:val="%1"/>
      <w:lvlJc w:val="left"/>
      <w:pPr>
        <w:ind w:left="142" w:hanging="36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368"/>
      </w:pPr>
      <w:rPr>
        <w:rFonts w:hint="default"/>
        <w:lang w:val="ru-RU" w:eastAsia="en-US" w:bidi="ar-SA"/>
      </w:rPr>
    </w:lvl>
    <w:lvl w:ilvl="2">
      <w:start w:val="0"/>
      <w:numFmt w:val="bullet"/>
      <w:lvlText w:val="•"/>
      <w:lvlJc w:val="left"/>
      <w:pPr>
        <w:ind w:left="2266" w:hanging="368"/>
      </w:pPr>
      <w:rPr>
        <w:rFonts w:hint="default"/>
        <w:lang w:val="ru-RU" w:eastAsia="en-US" w:bidi="ar-SA"/>
      </w:rPr>
    </w:lvl>
    <w:lvl w:ilvl="3">
      <w:start w:val="0"/>
      <w:numFmt w:val="bullet"/>
      <w:lvlText w:val="•"/>
      <w:lvlJc w:val="left"/>
      <w:pPr>
        <w:ind w:left="3330" w:hanging="368"/>
      </w:pPr>
      <w:rPr>
        <w:rFonts w:hint="default"/>
        <w:lang w:val="ru-RU" w:eastAsia="en-US" w:bidi="ar-SA"/>
      </w:rPr>
    </w:lvl>
    <w:lvl w:ilvl="4">
      <w:start w:val="0"/>
      <w:numFmt w:val="bullet"/>
      <w:lvlText w:val="•"/>
      <w:lvlJc w:val="left"/>
      <w:pPr>
        <w:ind w:left="4393" w:hanging="368"/>
      </w:pPr>
      <w:rPr>
        <w:rFonts w:hint="default"/>
        <w:lang w:val="ru-RU" w:eastAsia="en-US" w:bidi="ar-SA"/>
      </w:rPr>
    </w:lvl>
    <w:lvl w:ilvl="5">
      <w:start w:val="0"/>
      <w:numFmt w:val="bullet"/>
      <w:lvlText w:val="•"/>
      <w:lvlJc w:val="left"/>
      <w:pPr>
        <w:ind w:left="5456" w:hanging="368"/>
      </w:pPr>
      <w:rPr>
        <w:rFonts w:hint="default"/>
        <w:lang w:val="ru-RU" w:eastAsia="en-US" w:bidi="ar-SA"/>
      </w:rPr>
    </w:lvl>
    <w:lvl w:ilvl="6">
      <w:start w:val="0"/>
      <w:numFmt w:val="bullet"/>
      <w:lvlText w:val="•"/>
      <w:lvlJc w:val="left"/>
      <w:pPr>
        <w:ind w:left="6520" w:hanging="368"/>
      </w:pPr>
      <w:rPr>
        <w:rFonts w:hint="default"/>
        <w:lang w:val="ru-RU" w:eastAsia="en-US" w:bidi="ar-SA"/>
      </w:rPr>
    </w:lvl>
    <w:lvl w:ilvl="7">
      <w:start w:val="0"/>
      <w:numFmt w:val="bullet"/>
      <w:lvlText w:val="•"/>
      <w:lvlJc w:val="left"/>
      <w:pPr>
        <w:ind w:left="7583" w:hanging="368"/>
      </w:pPr>
      <w:rPr>
        <w:rFonts w:hint="default"/>
        <w:lang w:val="ru-RU" w:eastAsia="en-US" w:bidi="ar-SA"/>
      </w:rPr>
    </w:lvl>
    <w:lvl w:ilvl="8">
      <w:start w:val="0"/>
      <w:numFmt w:val="bullet"/>
      <w:lvlText w:val="•"/>
      <w:lvlJc w:val="left"/>
      <w:pPr>
        <w:ind w:left="8646" w:hanging="368"/>
      </w:pPr>
      <w:rPr>
        <w:rFonts w:hint="default"/>
        <w:lang w:val="ru-RU" w:eastAsia="en-US" w:bidi="ar-SA"/>
      </w:rPr>
    </w:lvl>
  </w:abstractNum>
  <w:abstractNum w:abstractNumId="8">
    <w:multiLevelType w:val="hybridMultilevel"/>
    <w:lvl w:ilvl="0">
      <w:start w:val="1"/>
      <w:numFmt w:val="decimal"/>
      <w:lvlText w:val="%1."/>
      <w:lvlJc w:val="left"/>
      <w:pPr>
        <w:ind w:left="863"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144" w:hanging="269"/>
        <w:jc w:val="left"/>
      </w:pPr>
      <w:rPr>
        <w:rFonts w:hint="default"/>
        <w:spacing w:val="0"/>
        <w:w w:val="100"/>
        <w:lang w:val="ru-RU" w:eastAsia="en-US" w:bidi="ar-SA"/>
      </w:rPr>
    </w:lvl>
    <w:lvl w:ilvl="2">
      <w:start w:val="0"/>
      <w:numFmt w:val="bullet"/>
      <w:lvlText w:val="•"/>
      <w:lvlJc w:val="left"/>
      <w:pPr>
        <w:ind w:left="1961" w:hanging="269"/>
      </w:pPr>
      <w:rPr>
        <w:rFonts w:hint="default"/>
        <w:lang w:val="ru-RU" w:eastAsia="en-US" w:bidi="ar-SA"/>
      </w:rPr>
    </w:lvl>
    <w:lvl w:ilvl="3">
      <w:start w:val="0"/>
      <w:numFmt w:val="bullet"/>
      <w:lvlText w:val="•"/>
      <w:lvlJc w:val="left"/>
      <w:pPr>
        <w:ind w:left="3062" w:hanging="269"/>
      </w:pPr>
      <w:rPr>
        <w:rFonts w:hint="default"/>
        <w:lang w:val="ru-RU" w:eastAsia="en-US" w:bidi="ar-SA"/>
      </w:rPr>
    </w:lvl>
    <w:lvl w:ilvl="4">
      <w:start w:val="0"/>
      <w:numFmt w:val="bullet"/>
      <w:lvlText w:val="•"/>
      <w:lvlJc w:val="left"/>
      <w:pPr>
        <w:ind w:left="4164" w:hanging="269"/>
      </w:pPr>
      <w:rPr>
        <w:rFonts w:hint="default"/>
        <w:lang w:val="ru-RU" w:eastAsia="en-US" w:bidi="ar-SA"/>
      </w:rPr>
    </w:lvl>
    <w:lvl w:ilvl="5">
      <w:start w:val="0"/>
      <w:numFmt w:val="bullet"/>
      <w:lvlText w:val="•"/>
      <w:lvlJc w:val="left"/>
      <w:pPr>
        <w:ind w:left="5265" w:hanging="269"/>
      </w:pPr>
      <w:rPr>
        <w:rFonts w:hint="default"/>
        <w:lang w:val="ru-RU" w:eastAsia="en-US" w:bidi="ar-SA"/>
      </w:rPr>
    </w:lvl>
    <w:lvl w:ilvl="6">
      <w:start w:val="0"/>
      <w:numFmt w:val="bullet"/>
      <w:lvlText w:val="•"/>
      <w:lvlJc w:val="left"/>
      <w:pPr>
        <w:ind w:left="6367" w:hanging="269"/>
      </w:pPr>
      <w:rPr>
        <w:rFonts w:hint="default"/>
        <w:lang w:val="ru-RU" w:eastAsia="en-US" w:bidi="ar-SA"/>
      </w:rPr>
    </w:lvl>
    <w:lvl w:ilvl="7">
      <w:start w:val="0"/>
      <w:numFmt w:val="bullet"/>
      <w:lvlText w:val="•"/>
      <w:lvlJc w:val="left"/>
      <w:pPr>
        <w:ind w:left="7468" w:hanging="269"/>
      </w:pPr>
      <w:rPr>
        <w:rFonts w:hint="default"/>
        <w:lang w:val="ru-RU" w:eastAsia="en-US" w:bidi="ar-SA"/>
      </w:rPr>
    </w:lvl>
    <w:lvl w:ilvl="8">
      <w:start w:val="0"/>
      <w:numFmt w:val="bullet"/>
      <w:lvlText w:val="•"/>
      <w:lvlJc w:val="left"/>
      <w:pPr>
        <w:ind w:left="8570" w:hanging="269"/>
      </w:pPr>
      <w:rPr>
        <w:rFonts w:hint="default"/>
        <w:lang w:val="ru-RU" w:eastAsia="en-US" w:bidi="ar-SA"/>
      </w:rPr>
    </w:lvl>
  </w:abstractNum>
  <w:abstractNum w:abstractNumId="7">
    <w:multiLevelType w:val="hybridMultilevel"/>
    <w:lvl w:ilvl="0">
      <w:start w:val="1"/>
      <w:numFmt w:val="decimal"/>
      <w:lvlText w:val="%1"/>
      <w:lvlJc w:val="left"/>
      <w:pPr>
        <w:ind w:left="1" w:hanging="687"/>
        <w:jc w:val="left"/>
      </w:pPr>
      <w:rPr>
        <w:rFonts w:hint="default"/>
        <w:lang w:val="ru-RU" w:eastAsia="en-US" w:bidi="ar-SA"/>
      </w:rPr>
    </w:lvl>
    <w:lvl w:ilvl="1">
      <w:start w:val="2"/>
      <w:numFmt w:val="decimal"/>
      <w:lvlText w:val="%1.%2"/>
      <w:lvlJc w:val="left"/>
      <w:pPr>
        <w:ind w:left="1" w:hanging="687"/>
        <w:jc w:val="left"/>
      </w:pPr>
      <w:rPr>
        <w:rFonts w:hint="default"/>
        <w:lang w:val="ru-RU" w:eastAsia="en-US" w:bidi="ar-SA"/>
      </w:rPr>
    </w:lvl>
    <w:lvl w:ilvl="2">
      <w:start w:val="3"/>
      <w:numFmt w:val="decimal"/>
      <w:lvlText w:val="%1.%2.%3"/>
      <w:lvlJc w:val="left"/>
      <w:pPr>
        <w:ind w:left="1" w:hanging="687"/>
        <w:jc w:val="right"/>
      </w:pPr>
      <w:rPr>
        <w:rFonts w:hint="default" w:ascii="Times New Roman" w:hAnsi="Times New Roman" w:eastAsia="Times New Roman" w:cs="Times New Roman"/>
        <w:b/>
        <w:bCs/>
        <w:i w:val="0"/>
        <w:iCs w:val="0"/>
        <w:spacing w:val="-3"/>
        <w:w w:val="100"/>
        <w:sz w:val="28"/>
        <w:szCs w:val="28"/>
        <w:lang w:val="ru-RU" w:eastAsia="en-US" w:bidi="ar-SA"/>
      </w:rPr>
    </w:lvl>
    <w:lvl w:ilvl="3">
      <w:start w:val="0"/>
      <w:numFmt w:val="bullet"/>
      <w:lvlText w:val="•"/>
      <w:lvlJc w:val="left"/>
      <w:pPr>
        <w:ind w:left="3104" w:hanging="687"/>
      </w:pPr>
      <w:rPr>
        <w:rFonts w:hint="default"/>
        <w:lang w:val="ru-RU" w:eastAsia="en-US" w:bidi="ar-SA"/>
      </w:rPr>
    </w:lvl>
    <w:lvl w:ilvl="4">
      <w:start w:val="0"/>
      <w:numFmt w:val="bullet"/>
      <w:lvlText w:val="•"/>
      <w:lvlJc w:val="left"/>
      <w:pPr>
        <w:ind w:left="4139" w:hanging="687"/>
      </w:pPr>
      <w:rPr>
        <w:rFonts w:hint="default"/>
        <w:lang w:val="ru-RU" w:eastAsia="en-US" w:bidi="ar-SA"/>
      </w:rPr>
    </w:lvl>
    <w:lvl w:ilvl="5">
      <w:start w:val="0"/>
      <w:numFmt w:val="bullet"/>
      <w:lvlText w:val="•"/>
      <w:lvlJc w:val="left"/>
      <w:pPr>
        <w:ind w:left="5174" w:hanging="687"/>
      </w:pPr>
      <w:rPr>
        <w:rFonts w:hint="default"/>
        <w:lang w:val="ru-RU" w:eastAsia="en-US" w:bidi="ar-SA"/>
      </w:rPr>
    </w:lvl>
    <w:lvl w:ilvl="6">
      <w:start w:val="0"/>
      <w:numFmt w:val="bullet"/>
      <w:lvlText w:val="•"/>
      <w:lvlJc w:val="left"/>
      <w:pPr>
        <w:ind w:left="6209" w:hanging="687"/>
      </w:pPr>
      <w:rPr>
        <w:rFonts w:hint="default"/>
        <w:lang w:val="ru-RU" w:eastAsia="en-US" w:bidi="ar-SA"/>
      </w:rPr>
    </w:lvl>
    <w:lvl w:ilvl="7">
      <w:start w:val="0"/>
      <w:numFmt w:val="bullet"/>
      <w:lvlText w:val="•"/>
      <w:lvlJc w:val="left"/>
      <w:pPr>
        <w:ind w:left="7243" w:hanging="687"/>
      </w:pPr>
      <w:rPr>
        <w:rFonts w:hint="default"/>
        <w:lang w:val="ru-RU" w:eastAsia="en-US" w:bidi="ar-SA"/>
      </w:rPr>
    </w:lvl>
    <w:lvl w:ilvl="8">
      <w:start w:val="0"/>
      <w:numFmt w:val="bullet"/>
      <w:lvlText w:val="•"/>
      <w:lvlJc w:val="left"/>
      <w:pPr>
        <w:ind w:left="8278" w:hanging="687"/>
      </w:pPr>
      <w:rPr>
        <w:rFonts w:hint="default"/>
        <w:lang w:val="ru-RU" w:eastAsia="en-US" w:bidi="ar-SA"/>
      </w:rPr>
    </w:lvl>
  </w:abstractNum>
  <w:abstractNum w:abstractNumId="6">
    <w:multiLevelType w:val="hybridMultilevel"/>
    <w:lvl w:ilvl="0">
      <w:start w:val="0"/>
      <w:numFmt w:val="bullet"/>
      <w:lvlText w:val=""/>
      <w:lvlJc w:val="left"/>
      <w:pPr>
        <w:ind w:left="722"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682" w:hanging="360"/>
      </w:pPr>
      <w:rPr>
        <w:rFonts w:hint="default"/>
        <w:lang w:val="ru-RU" w:eastAsia="en-US" w:bidi="ar-SA"/>
      </w:rPr>
    </w:lvl>
    <w:lvl w:ilvl="2">
      <w:start w:val="0"/>
      <w:numFmt w:val="bullet"/>
      <w:lvlText w:val="•"/>
      <w:lvlJc w:val="left"/>
      <w:pPr>
        <w:ind w:left="2645" w:hanging="360"/>
      </w:pPr>
      <w:rPr>
        <w:rFonts w:hint="default"/>
        <w:lang w:val="ru-RU" w:eastAsia="en-US" w:bidi="ar-SA"/>
      </w:rPr>
    </w:lvl>
    <w:lvl w:ilvl="3">
      <w:start w:val="0"/>
      <w:numFmt w:val="bullet"/>
      <w:lvlText w:val="•"/>
      <w:lvlJc w:val="left"/>
      <w:pPr>
        <w:ind w:left="3608" w:hanging="360"/>
      </w:pPr>
      <w:rPr>
        <w:rFonts w:hint="default"/>
        <w:lang w:val="ru-RU" w:eastAsia="en-US" w:bidi="ar-SA"/>
      </w:rPr>
    </w:lvl>
    <w:lvl w:ilvl="4">
      <w:start w:val="0"/>
      <w:numFmt w:val="bullet"/>
      <w:lvlText w:val="•"/>
      <w:lvlJc w:val="left"/>
      <w:pPr>
        <w:ind w:left="4571" w:hanging="360"/>
      </w:pPr>
      <w:rPr>
        <w:rFonts w:hint="default"/>
        <w:lang w:val="ru-RU" w:eastAsia="en-US" w:bidi="ar-SA"/>
      </w:rPr>
    </w:lvl>
    <w:lvl w:ilvl="5">
      <w:start w:val="0"/>
      <w:numFmt w:val="bullet"/>
      <w:lvlText w:val="•"/>
      <w:lvlJc w:val="left"/>
      <w:pPr>
        <w:ind w:left="5534" w:hanging="360"/>
      </w:pPr>
      <w:rPr>
        <w:rFonts w:hint="default"/>
        <w:lang w:val="ru-RU" w:eastAsia="en-US" w:bidi="ar-SA"/>
      </w:rPr>
    </w:lvl>
    <w:lvl w:ilvl="6">
      <w:start w:val="0"/>
      <w:numFmt w:val="bullet"/>
      <w:lvlText w:val="•"/>
      <w:lvlJc w:val="left"/>
      <w:pPr>
        <w:ind w:left="6497" w:hanging="360"/>
      </w:pPr>
      <w:rPr>
        <w:rFonts w:hint="default"/>
        <w:lang w:val="ru-RU" w:eastAsia="en-US" w:bidi="ar-SA"/>
      </w:rPr>
    </w:lvl>
    <w:lvl w:ilvl="7">
      <w:start w:val="0"/>
      <w:numFmt w:val="bullet"/>
      <w:lvlText w:val="•"/>
      <w:lvlJc w:val="left"/>
      <w:pPr>
        <w:ind w:left="7459" w:hanging="360"/>
      </w:pPr>
      <w:rPr>
        <w:rFonts w:hint="default"/>
        <w:lang w:val="ru-RU" w:eastAsia="en-US" w:bidi="ar-SA"/>
      </w:rPr>
    </w:lvl>
    <w:lvl w:ilvl="8">
      <w:start w:val="0"/>
      <w:numFmt w:val="bullet"/>
      <w:lvlText w:val="•"/>
      <w:lvlJc w:val="left"/>
      <w:pPr>
        <w:ind w:left="8422" w:hanging="360"/>
      </w:pPr>
      <w:rPr>
        <w:rFonts w:hint="default"/>
        <w:lang w:val="ru-RU" w:eastAsia="en-US" w:bidi="ar-SA"/>
      </w:rPr>
    </w:lvl>
  </w:abstractNum>
  <w:abstractNum w:abstractNumId="5">
    <w:multiLevelType w:val="hybridMultilevel"/>
    <w:lvl w:ilvl="0">
      <w:start w:val="0"/>
      <w:numFmt w:val="bullet"/>
      <w:lvlText w:val=""/>
      <w:lvlJc w:val="left"/>
      <w:pPr>
        <w:ind w:left="856" w:hanging="696"/>
      </w:pPr>
      <w:rPr>
        <w:rFonts w:hint="default" w:ascii="Symbol" w:hAnsi="Symbol" w:eastAsia="Symbol" w:cs="Symbol"/>
        <w:b w:val="0"/>
        <w:bCs w:val="0"/>
        <w:i w:val="0"/>
        <w:iCs w:val="0"/>
        <w:color w:val="1C1C1C"/>
        <w:spacing w:val="0"/>
        <w:w w:val="99"/>
        <w:sz w:val="20"/>
        <w:szCs w:val="20"/>
        <w:lang w:val="ru-RU" w:eastAsia="en-US" w:bidi="ar-SA"/>
      </w:rPr>
    </w:lvl>
    <w:lvl w:ilvl="1">
      <w:start w:val="0"/>
      <w:numFmt w:val="bullet"/>
      <w:lvlText w:val="•"/>
      <w:lvlJc w:val="left"/>
      <w:pPr>
        <w:ind w:left="1256" w:hanging="696"/>
      </w:pPr>
      <w:rPr>
        <w:rFonts w:hint="default"/>
        <w:lang w:val="ru-RU" w:eastAsia="en-US" w:bidi="ar-SA"/>
      </w:rPr>
    </w:lvl>
    <w:lvl w:ilvl="2">
      <w:start w:val="0"/>
      <w:numFmt w:val="bullet"/>
      <w:lvlText w:val="•"/>
      <w:lvlJc w:val="left"/>
      <w:pPr>
        <w:ind w:left="1652" w:hanging="696"/>
      </w:pPr>
      <w:rPr>
        <w:rFonts w:hint="default"/>
        <w:lang w:val="ru-RU" w:eastAsia="en-US" w:bidi="ar-SA"/>
      </w:rPr>
    </w:lvl>
    <w:lvl w:ilvl="3">
      <w:start w:val="0"/>
      <w:numFmt w:val="bullet"/>
      <w:lvlText w:val="•"/>
      <w:lvlJc w:val="left"/>
      <w:pPr>
        <w:ind w:left="2049" w:hanging="696"/>
      </w:pPr>
      <w:rPr>
        <w:rFonts w:hint="default"/>
        <w:lang w:val="ru-RU" w:eastAsia="en-US" w:bidi="ar-SA"/>
      </w:rPr>
    </w:lvl>
    <w:lvl w:ilvl="4">
      <w:start w:val="0"/>
      <w:numFmt w:val="bullet"/>
      <w:lvlText w:val="•"/>
      <w:lvlJc w:val="left"/>
      <w:pPr>
        <w:ind w:left="2445" w:hanging="696"/>
      </w:pPr>
      <w:rPr>
        <w:rFonts w:hint="default"/>
        <w:lang w:val="ru-RU" w:eastAsia="en-US" w:bidi="ar-SA"/>
      </w:rPr>
    </w:lvl>
    <w:lvl w:ilvl="5">
      <w:start w:val="0"/>
      <w:numFmt w:val="bullet"/>
      <w:lvlText w:val="•"/>
      <w:lvlJc w:val="left"/>
      <w:pPr>
        <w:ind w:left="2842" w:hanging="696"/>
      </w:pPr>
      <w:rPr>
        <w:rFonts w:hint="default"/>
        <w:lang w:val="ru-RU" w:eastAsia="en-US" w:bidi="ar-SA"/>
      </w:rPr>
    </w:lvl>
    <w:lvl w:ilvl="6">
      <w:start w:val="0"/>
      <w:numFmt w:val="bullet"/>
      <w:lvlText w:val="•"/>
      <w:lvlJc w:val="left"/>
      <w:pPr>
        <w:ind w:left="3238" w:hanging="696"/>
      </w:pPr>
      <w:rPr>
        <w:rFonts w:hint="default"/>
        <w:lang w:val="ru-RU" w:eastAsia="en-US" w:bidi="ar-SA"/>
      </w:rPr>
    </w:lvl>
    <w:lvl w:ilvl="7">
      <w:start w:val="0"/>
      <w:numFmt w:val="bullet"/>
      <w:lvlText w:val="•"/>
      <w:lvlJc w:val="left"/>
      <w:pPr>
        <w:ind w:left="3634" w:hanging="696"/>
      </w:pPr>
      <w:rPr>
        <w:rFonts w:hint="default"/>
        <w:lang w:val="ru-RU" w:eastAsia="en-US" w:bidi="ar-SA"/>
      </w:rPr>
    </w:lvl>
    <w:lvl w:ilvl="8">
      <w:start w:val="0"/>
      <w:numFmt w:val="bullet"/>
      <w:lvlText w:val="•"/>
      <w:lvlJc w:val="left"/>
      <w:pPr>
        <w:ind w:left="4031" w:hanging="696"/>
      </w:pPr>
      <w:rPr>
        <w:rFonts w:hint="default"/>
        <w:lang w:val="ru-RU" w:eastAsia="en-US" w:bidi="ar-SA"/>
      </w:rPr>
    </w:lvl>
  </w:abstractNum>
  <w:abstractNum w:abstractNumId="4">
    <w:multiLevelType w:val="hybridMultilevel"/>
    <w:lvl w:ilvl="0">
      <w:start w:val="0"/>
      <w:numFmt w:val="bullet"/>
      <w:lvlText w:val=""/>
      <w:lvlJc w:val="left"/>
      <w:pPr>
        <w:ind w:left="1552" w:hanging="696"/>
      </w:pPr>
      <w:rPr>
        <w:rFonts w:hint="default" w:ascii="Symbol" w:hAnsi="Symbol" w:eastAsia="Symbol" w:cs="Symbol"/>
        <w:b w:val="0"/>
        <w:bCs w:val="0"/>
        <w:i w:val="0"/>
        <w:iCs w:val="0"/>
        <w:color w:val="1C1C1C"/>
        <w:spacing w:val="0"/>
        <w:w w:val="99"/>
        <w:sz w:val="20"/>
        <w:szCs w:val="20"/>
        <w:lang w:val="ru-RU" w:eastAsia="en-US" w:bidi="ar-SA"/>
      </w:rPr>
    </w:lvl>
    <w:lvl w:ilvl="1">
      <w:start w:val="0"/>
      <w:numFmt w:val="bullet"/>
      <w:lvlText w:val="•"/>
      <w:lvlJc w:val="left"/>
      <w:pPr>
        <w:ind w:left="1886" w:hanging="696"/>
      </w:pPr>
      <w:rPr>
        <w:rFonts w:hint="default"/>
        <w:lang w:val="ru-RU" w:eastAsia="en-US" w:bidi="ar-SA"/>
      </w:rPr>
    </w:lvl>
    <w:lvl w:ilvl="2">
      <w:start w:val="0"/>
      <w:numFmt w:val="bullet"/>
      <w:lvlText w:val="•"/>
      <w:lvlJc w:val="left"/>
      <w:pPr>
        <w:ind w:left="2212" w:hanging="696"/>
      </w:pPr>
      <w:rPr>
        <w:rFonts w:hint="default"/>
        <w:lang w:val="ru-RU" w:eastAsia="en-US" w:bidi="ar-SA"/>
      </w:rPr>
    </w:lvl>
    <w:lvl w:ilvl="3">
      <w:start w:val="0"/>
      <w:numFmt w:val="bullet"/>
      <w:lvlText w:val="•"/>
      <w:lvlJc w:val="left"/>
      <w:pPr>
        <w:ind w:left="2539" w:hanging="696"/>
      </w:pPr>
      <w:rPr>
        <w:rFonts w:hint="default"/>
        <w:lang w:val="ru-RU" w:eastAsia="en-US" w:bidi="ar-SA"/>
      </w:rPr>
    </w:lvl>
    <w:lvl w:ilvl="4">
      <w:start w:val="0"/>
      <w:numFmt w:val="bullet"/>
      <w:lvlText w:val="•"/>
      <w:lvlJc w:val="left"/>
      <w:pPr>
        <w:ind w:left="2865" w:hanging="696"/>
      </w:pPr>
      <w:rPr>
        <w:rFonts w:hint="default"/>
        <w:lang w:val="ru-RU" w:eastAsia="en-US" w:bidi="ar-SA"/>
      </w:rPr>
    </w:lvl>
    <w:lvl w:ilvl="5">
      <w:start w:val="0"/>
      <w:numFmt w:val="bullet"/>
      <w:lvlText w:val="•"/>
      <w:lvlJc w:val="left"/>
      <w:pPr>
        <w:ind w:left="3192" w:hanging="696"/>
      </w:pPr>
      <w:rPr>
        <w:rFonts w:hint="default"/>
        <w:lang w:val="ru-RU" w:eastAsia="en-US" w:bidi="ar-SA"/>
      </w:rPr>
    </w:lvl>
    <w:lvl w:ilvl="6">
      <w:start w:val="0"/>
      <w:numFmt w:val="bullet"/>
      <w:lvlText w:val="•"/>
      <w:lvlJc w:val="left"/>
      <w:pPr>
        <w:ind w:left="3518" w:hanging="696"/>
      </w:pPr>
      <w:rPr>
        <w:rFonts w:hint="default"/>
        <w:lang w:val="ru-RU" w:eastAsia="en-US" w:bidi="ar-SA"/>
      </w:rPr>
    </w:lvl>
    <w:lvl w:ilvl="7">
      <w:start w:val="0"/>
      <w:numFmt w:val="bullet"/>
      <w:lvlText w:val="•"/>
      <w:lvlJc w:val="left"/>
      <w:pPr>
        <w:ind w:left="3844" w:hanging="696"/>
      </w:pPr>
      <w:rPr>
        <w:rFonts w:hint="default"/>
        <w:lang w:val="ru-RU" w:eastAsia="en-US" w:bidi="ar-SA"/>
      </w:rPr>
    </w:lvl>
    <w:lvl w:ilvl="8">
      <w:start w:val="0"/>
      <w:numFmt w:val="bullet"/>
      <w:lvlText w:val="•"/>
      <w:lvlJc w:val="left"/>
      <w:pPr>
        <w:ind w:left="4171" w:hanging="696"/>
      </w:pPr>
      <w:rPr>
        <w:rFonts w:hint="default"/>
        <w:lang w:val="ru-RU" w:eastAsia="en-US" w:bidi="ar-SA"/>
      </w:rPr>
    </w:lvl>
  </w:abstractNum>
  <w:abstractNum w:abstractNumId="3">
    <w:multiLevelType w:val="hybridMultilevel"/>
    <w:lvl w:ilvl="0">
      <w:start w:val="1"/>
      <w:numFmt w:val="decimal"/>
      <w:lvlText w:val="%1."/>
      <w:lvlJc w:val="left"/>
      <w:pPr>
        <w:ind w:left="3591" w:hanging="281"/>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1273" w:hanging="423"/>
        <w:jc w:val="right"/>
      </w:pPr>
      <w:rPr>
        <w:rFonts w:hint="default" w:ascii="Times New Roman" w:hAnsi="Times New Roman" w:eastAsia="Times New Roman" w:cs="Times New Roman"/>
        <w:b/>
        <w:bCs/>
        <w:i w:val="0"/>
        <w:iCs w:val="0"/>
        <w:spacing w:val="-1"/>
        <w:w w:val="100"/>
        <w:sz w:val="28"/>
        <w:szCs w:val="28"/>
        <w:lang w:val="ru-RU" w:eastAsia="en-US" w:bidi="ar-SA"/>
      </w:rPr>
    </w:lvl>
    <w:lvl w:ilvl="2">
      <w:start w:val="1"/>
      <w:numFmt w:val="decimal"/>
      <w:lvlText w:val="%1.%2.%3"/>
      <w:lvlJc w:val="left"/>
      <w:pPr>
        <w:ind w:left="1481" w:hanging="632"/>
        <w:jc w:val="left"/>
      </w:pPr>
      <w:rPr>
        <w:rFonts w:hint="default" w:ascii="Times New Roman" w:hAnsi="Times New Roman" w:eastAsia="Times New Roman" w:cs="Times New Roman"/>
        <w:b/>
        <w:bCs/>
        <w:i w:val="0"/>
        <w:iCs w:val="0"/>
        <w:spacing w:val="-3"/>
        <w:w w:val="100"/>
        <w:sz w:val="28"/>
        <w:szCs w:val="28"/>
        <w:lang w:val="ru-RU" w:eastAsia="en-US" w:bidi="ar-SA"/>
      </w:rPr>
    </w:lvl>
    <w:lvl w:ilvl="3">
      <w:start w:val="1"/>
      <w:numFmt w:val="decimal"/>
      <w:lvlText w:val="%1.%2.%3.%4"/>
      <w:lvlJc w:val="left"/>
      <w:pPr>
        <w:ind w:left="1551" w:hanging="843"/>
        <w:jc w:val="right"/>
      </w:pPr>
      <w:rPr>
        <w:rFonts w:hint="default" w:ascii="Times New Roman" w:hAnsi="Times New Roman" w:eastAsia="Times New Roman" w:cs="Times New Roman"/>
        <w:b/>
        <w:bCs/>
        <w:i w:val="0"/>
        <w:iCs w:val="0"/>
        <w:spacing w:val="-3"/>
        <w:w w:val="100"/>
        <w:sz w:val="28"/>
        <w:szCs w:val="28"/>
        <w:lang w:val="ru-RU" w:eastAsia="en-US" w:bidi="ar-SA"/>
      </w:rPr>
    </w:lvl>
    <w:lvl w:ilvl="4">
      <w:start w:val="0"/>
      <w:numFmt w:val="bullet"/>
      <w:lvlText w:val="•"/>
      <w:lvlJc w:val="left"/>
      <w:pPr>
        <w:ind w:left="1420" w:hanging="843"/>
      </w:pPr>
      <w:rPr>
        <w:rFonts w:hint="default"/>
        <w:lang w:val="ru-RU" w:eastAsia="en-US" w:bidi="ar-SA"/>
      </w:rPr>
    </w:lvl>
    <w:lvl w:ilvl="5">
      <w:start w:val="0"/>
      <w:numFmt w:val="bullet"/>
      <w:lvlText w:val="•"/>
      <w:lvlJc w:val="left"/>
      <w:pPr>
        <w:ind w:left="1480" w:hanging="843"/>
      </w:pPr>
      <w:rPr>
        <w:rFonts w:hint="default"/>
        <w:lang w:val="ru-RU" w:eastAsia="en-US" w:bidi="ar-SA"/>
      </w:rPr>
    </w:lvl>
    <w:lvl w:ilvl="6">
      <w:start w:val="0"/>
      <w:numFmt w:val="bullet"/>
      <w:lvlText w:val="•"/>
      <w:lvlJc w:val="left"/>
      <w:pPr>
        <w:ind w:left="1560" w:hanging="843"/>
      </w:pPr>
      <w:rPr>
        <w:rFonts w:hint="default"/>
        <w:lang w:val="ru-RU" w:eastAsia="en-US" w:bidi="ar-SA"/>
      </w:rPr>
    </w:lvl>
    <w:lvl w:ilvl="7">
      <w:start w:val="0"/>
      <w:numFmt w:val="bullet"/>
      <w:lvlText w:val="•"/>
      <w:lvlJc w:val="left"/>
      <w:pPr>
        <w:ind w:left="1620" w:hanging="843"/>
      </w:pPr>
      <w:rPr>
        <w:rFonts w:hint="default"/>
        <w:lang w:val="ru-RU" w:eastAsia="en-US" w:bidi="ar-SA"/>
      </w:rPr>
    </w:lvl>
    <w:lvl w:ilvl="8">
      <w:start w:val="0"/>
      <w:numFmt w:val="bullet"/>
      <w:lvlText w:val="•"/>
      <w:lvlJc w:val="left"/>
      <w:pPr>
        <w:ind w:left="1700" w:hanging="843"/>
      </w:pPr>
      <w:rPr>
        <w:rFonts w:hint="default"/>
        <w:lang w:val="ru-RU" w:eastAsia="en-US" w:bidi="ar-SA"/>
      </w:rPr>
    </w:lvl>
  </w:abstractNum>
  <w:abstractNum w:abstractNumId="2">
    <w:multiLevelType w:val="hybridMultilevel"/>
    <w:lvl w:ilvl="0">
      <w:start w:val="0"/>
      <w:numFmt w:val="bullet"/>
      <w:lvlText w:val=""/>
      <w:lvlJc w:val="left"/>
      <w:pPr>
        <w:ind w:left="142" w:hanging="709"/>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18" w:hanging="709"/>
      </w:pPr>
      <w:rPr>
        <w:rFonts w:hint="default"/>
        <w:lang w:val="ru-RU" w:eastAsia="en-US" w:bidi="ar-SA"/>
      </w:rPr>
    </w:lvl>
    <w:lvl w:ilvl="2">
      <w:start w:val="0"/>
      <w:numFmt w:val="bullet"/>
      <w:lvlText w:val="•"/>
      <w:lvlJc w:val="left"/>
      <w:pPr>
        <w:ind w:left="2096" w:hanging="709"/>
      </w:pPr>
      <w:rPr>
        <w:rFonts w:hint="default"/>
        <w:lang w:val="ru-RU" w:eastAsia="en-US" w:bidi="ar-SA"/>
      </w:rPr>
    </w:lvl>
    <w:lvl w:ilvl="3">
      <w:start w:val="0"/>
      <w:numFmt w:val="bullet"/>
      <w:lvlText w:val="•"/>
      <w:lvlJc w:val="left"/>
      <w:pPr>
        <w:ind w:left="3074" w:hanging="709"/>
      </w:pPr>
      <w:rPr>
        <w:rFonts w:hint="default"/>
        <w:lang w:val="ru-RU" w:eastAsia="en-US" w:bidi="ar-SA"/>
      </w:rPr>
    </w:lvl>
    <w:lvl w:ilvl="4">
      <w:start w:val="0"/>
      <w:numFmt w:val="bullet"/>
      <w:lvlText w:val="•"/>
      <w:lvlJc w:val="left"/>
      <w:pPr>
        <w:ind w:left="4052" w:hanging="709"/>
      </w:pPr>
      <w:rPr>
        <w:rFonts w:hint="default"/>
        <w:lang w:val="ru-RU" w:eastAsia="en-US" w:bidi="ar-SA"/>
      </w:rPr>
    </w:lvl>
    <w:lvl w:ilvl="5">
      <w:start w:val="0"/>
      <w:numFmt w:val="bullet"/>
      <w:lvlText w:val="•"/>
      <w:lvlJc w:val="left"/>
      <w:pPr>
        <w:ind w:left="5031" w:hanging="709"/>
      </w:pPr>
      <w:rPr>
        <w:rFonts w:hint="default"/>
        <w:lang w:val="ru-RU" w:eastAsia="en-US" w:bidi="ar-SA"/>
      </w:rPr>
    </w:lvl>
    <w:lvl w:ilvl="6">
      <w:start w:val="0"/>
      <w:numFmt w:val="bullet"/>
      <w:lvlText w:val="•"/>
      <w:lvlJc w:val="left"/>
      <w:pPr>
        <w:ind w:left="6009" w:hanging="709"/>
      </w:pPr>
      <w:rPr>
        <w:rFonts w:hint="default"/>
        <w:lang w:val="ru-RU" w:eastAsia="en-US" w:bidi="ar-SA"/>
      </w:rPr>
    </w:lvl>
    <w:lvl w:ilvl="7">
      <w:start w:val="0"/>
      <w:numFmt w:val="bullet"/>
      <w:lvlText w:val="•"/>
      <w:lvlJc w:val="left"/>
      <w:pPr>
        <w:ind w:left="6987" w:hanging="709"/>
      </w:pPr>
      <w:rPr>
        <w:rFonts w:hint="default"/>
        <w:lang w:val="ru-RU" w:eastAsia="en-US" w:bidi="ar-SA"/>
      </w:rPr>
    </w:lvl>
    <w:lvl w:ilvl="8">
      <w:start w:val="0"/>
      <w:numFmt w:val="bullet"/>
      <w:lvlText w:val="•"/>
      <w:lvlJc w:val="left"/>
      <w:pPr>
        <w:ind w:left="7965" w:hanging="709"/>
      </w:pPr>
      <w:rPr>
        <w:rFonts w:hint="default"/>
        <w:lang w:val="ru-RU" w:eastAsia="en-US" w:bidi="ar-SA"/>
      </w:rPr>
    </w:lvl>
  </w:abstractNum>
  <w:abstractNum w:abstractNumId="1">
    <w:multiLevelType w:val="hybridMultilevel"/>
    <w:lvl w:ilvl="0">
      <w:start w:val="1"/>
      <w:numFmt w:val="decimal"/>
      <w:lvlText w:val="%1."/>
      <w:lvlJc w:val="left"/>
      <w:pPr>
        <w:ind w:left="143"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18" w:hanging="708"/>
      </w:pPr>
      <w:rPr>
        <w:rFonts w:hint="default"/>
        <w:lang w:val="ru-RU" w:eastAsia="en-US" w:bidi="ar-SA"/>
      </w:rPr>
    </w:lvl>
    <w:lvl w:ilvl="2">
      <w:start w:val="0"/>
      <w:numFmt w:val="bullet"/>
      <w:lvlText w:val="•"/>
      <w:lvlJc w:val="left"/>
      <w:pPr>
        <w:ind w:left="2096" w:hanging="708"/>
      </w:pPr>
      <w:rPr>
        <w:rFonts w:hint="default"/>
        <w:lang w:val="ru-RU" w:eastAsia="en-US" w:bidi="ar-SA"/>
      </w:rPr>
    </w:lvl>
    <w:lvl w:ilvl="3">
      <w:start w:val="0"/>
      <w:numFmt w:val="bullet"/>
      <w:lvlText w:val="•"/>
      <w:lvlJc w:val="left"/>
      <w:pPr>
        <w:ind w:left="3074" w:hanging="708"/>
      </w:pPr>
      <w:rPr>
        <w:rFonts w:hint="default"/>
        <w:lang w:val="ru-RU" w:eastAsia="en-US" w:bidi="ar-SA"/>
      </w:rPr>
    </w:lvl>
    <w:lvl w:ilvl="4">
      <w:start w:val="0"/>
      <w:numFmt w:val="bullet"/>
      <w:lvlText w:val="•"/>
      <w:lvlJc w:val="left"/>
      <w:pPr>
        <w:ind w:left="4052" w:hanging="708"/>
      </w:pPr>
      <w:rPr>
        <w:rFonts w:hint="default"/>
        <w:lang w:val="ru-RU" w:eastAsia="en-US" w:bidi="ar-SA"/>
      </w:rPr>
    </w:lvl>
    <w:lvl w:ilvl="5">
      <w:start w:val="0"/>
      <w:numFmt w:val="bullet"/>
      <w:lvlText w:val="•"/>
      <w:lvlJc w:val="left"/>
      <w:pPr>
        <w:ind w:left="5031" w:hanging="708"/>
      </w:pPr>
      <w:rPr>
        <w:rFonts w:hint="default"/>
        <w:lang w:val="ru-RU" w:eastAsia="en-US" w:bidi="ar-SA"/>
      </w:rPr>
    </w:lvl>
    <w:lvl w:ilvl="6">
      <w:start w:val="0"/>
      <w:numFmt w:val="bullet"/>
      <w:lvlText w:val="•"/>
      <w:lvlJc w:val="left"/>
      <w:pPr>
        <w:ind w:left="6009" w:hanging="708"/>
      </w:pPr>
      <w:rPr>
        <w:rFonts w:hint="default"/>
        <w:lang w:val="ru-RU" w:eastAsia="en-US" w:bidi="ar-SA"/>
      </w:rPr>
    </w:lvl>
    <w:lvl w:ilvl="7">
      <w:start w:val="0"/>
      <w:numFmt w:val="bullet"/>
      <w:lvlText w:val="•"/>
      <w:lvlJc w:val="left"/>
      <w:pPr>
        <w:ind w:left="6987" w:hanging="708"/>
      </w:pPr>
      <w:rPr>
        <w:rFonts w:hint="default"/>
        <w:lang w:val="ru-RU" w:eastAsia="en-US" w:bidi="ar-SA"/>
      </w:rPr>
    </w:lvl>
    <w:lvl w:ilvl="8">
      <w:start w:val="0"/>
      <w:numFmt w:val="bullet"/>
      <w:lvlText w:val="•"/>
      <w:lvlJc w:val="left"/>
      <w:pPr>
        <w:ind w:left="7965" w:hanging="708"/>
      </w:pPr>
      <w:rPr>
        <w:rFonts w:hint="default"/>
        <w:lang w:val="ru-RU" w:eastAsia="en-US" w:bidi="ar-SA"/>
      </w:rPr>
    </w:lvl>
  </w:abstractNum>
  <w:abstractNum w:abstractNumId="0">
    <w:multiLevelType w:val="hybridMultilevel"/>
    <w:lvl w:ilvl="0">
      <w:start w:val="1"/>
      <w:numFmt w:val="decimal"/>
      <w:lvlText w:val="%1."/>
      <w:lvlJc w:val="left"/>
      <w:pPr>
        <w:ind w:left="142" w:hanging="44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18" w:hanging="449"/>
      </w:pPr>
      <w:rPr>
        <w:rFonts w:hint="default"/>
        <w:lang w:val="ru-RU" w:eastAsia="en-US" w:bidi="ar-SA"/>
      </w:rPr>
    </w:lvl>
    <w:lvl w:ilvl="2">
      <w:start w:val="0"/>
      <w:numFmt w:val="bullet"/>
      <w:lvlText w:val="•"/>
      <w:lvlJc w:val="left"/>
      <w:pPr>
        <w:ind w:left="2096" w:hanging="449"/>
      </w:pPr>
      <w:rPr>
        <w:rFonts w:hint="default"/>
        <w:lang w:val="ru-RU" w:eastAsia="en-US" w:bidi="ar-SA"/>
      </w:rPr>
    </w:lvl>
    <w:lvl w:ilvl="3">
      <w:start w:val="0"/>
      <w:numFmt w:val="bullet"/>
      <w:lvlText w:val="•"/>
      <w:lvlJc w:val="left"/>
      <w:pPr>
        <w:ind w:left="3074" w:hanging="449"/>
      </w:pPr>
      <w:rPr>
        <w:rFonts w:hint="default"/>
        <w:lang w:val="ru-RU" w:eastAsia="en-US" w:bidi="ar-SA"/>
      </w:rPr>
    </w:lvl>
    <w:lvl w:ilvl="4">
      <w:start w:val="0"/>
      <w:numFmt w:val="bullet"/>
      <w:lvlText w:val="•"/>
      <w:lvlJc w:val="left"/>
      <w:pPr>
        <w:ind w:left="4052" w:hanging="449"/>
      </w:pPr>
      <w:rPr>
        <w:rFonts w:hint="default"/>
        <w:lang w:val="ru-RU" w:eastAsia="en-US" w:bidi="ar-SA"/>
      </w:rPr>
    </w:lvl>
    <w:lvl w:ilvl="5">
      <w:start w:val="0"/>
      <w:numFmt w:val="bullet"/>
      <w:lvlText w:val="•"/>
      <w:lvlJc w:val="left"/>
      <w:pPr>
        <w:ind w:left="5031" w:hanging="449"/>
      </w:pPr>
      <w:rPr>
        <w:rFonts w:hint="default"/>
        <w:lang w:val="ru-RU" w:eastAsia="en-US" w:bidi="ar-SA"/>
      </w:rPr>
    </w:lvl>
    <w:lvl w:ilvl="6">
      <w:start w:val="0"/>
      <w:numFmt w:val="bullet"/>
      <w:lvlText w:val="•"/>
      <w:lvlJc w:val="left"/>
      <w:pPr>
        <w:ind w:left="6009" w:hanging="449"/>
      </w:pPr>
      <w:rPr>
        <w:rFonts w:hint="default"/>
        <w:lang w:val="ru-RU" w:eastAsia="en-US" w:bidi="ar-SA"/>
      </w:rPr>
    </w:lvl>
    <w:lvl w:ilvl="7">
      <w:start w:val="0"/>
      <w:numFmt w:val="bullet"/>
      <w:lvlText w:val="•"/>
      <w:lvlJc w:val="left"/>
      <w:pPr>
        <w:ind w:left="6987" w:hanging="449"/>
      </w:pPr>
      <w:rPr>
        <w:rFonts w:hint="default"/>
        <w:lang w:val="ru-RU" w:eastAsia="en-US" w:bidi="ar-SA"/>
      </w:rPr>
    </w:lvl>
    <w:lvl w:ilvl="8">
      <w:start w:val="0"/>
      <w:numFmt w:val="bullet"/>
      <w:lvlText w:val="•"/>
      <w:lvlJc w:val="left"/>
      <w:pPr>
        <w:ind w:left="7965" w:hanging="449"/>
      </w:pPr>
      <w:rPr>
        <w:rFonts w:hint="default"/>
        <w:lang w:val="ru-RU"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69"/>
      <w:ind w:left="112"/>
      <w:jc w:val="center"/>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286" w:firstLine="707"/>
      <w:jc w:val="both"/>
      <w:outlineLvl w:val="2"/>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44" w:right="421" w:firstLine="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pn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hyperlink" Target="https://www.microsystemy.ru/info/articles/lazernyy-skaniruyushchiy-konfokalnyy-biologicheskiy-mikroskop/%5b%20211" TargetMode="External"/><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40" Type="http://schemas.openxmlformats.org/officeDocument/2006/relationships/image" Target="media/image30.jpeg"/><Relationship Id="rId41" Type="http://schemas.openxmlformats.org/officeDocument/2006/relationships/image" Target="media/image31.jpeg"/><Relationship Id="rId42" Type="http://schemas.openxmlformats.org/officeDocument/2006/relationships/footer" Target="footer6.xml"/><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50" Type="http://schemas.openxmlformats.org/officeDocument/2006/relationships/image" Target="media/image39.png"/><Relationship Id="rId51" Type="http://schemas.openxmlformats.org/officeDocument/2006/relationships/footer" Target="footer7.xml"/><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jpeg"/><Relationship Id="rId57" Type="http://schemas.openxmlformats.org/officeDocument/2006/relationships/image" Target="media/image45.jpeg"/><Relationship Id="rId58" Type="http://schemas.openxmlformats.org/officeDocument/2006/relationships/image" Target="media/image46.jpeg"/><Relationship Id="rId59" Type="http://schemas.openxmlformats.org/officeDocument/2006/relationships/image" Target="media/image47.jpeg"/><Relationship Id="rId60" Type="http://schemas.openxmlformats.org/officeDocument/2006/relationships/image" Target="media/image48.jpeg"/><Relationship Id="rId61" Type="http://schemas.openxmlformats.org/officeDocument/2006/relationships/image" Target="media/image49.jpeg"/><Relationship Id="rId62" Type="http://schemas.openxmlformats.org/officeDocument/2006/relationships/image" Target="media/image50.jpeg"/><Relationship Id="rId63" Type="http://schemas.openxmlformats.org/officeDocument/2006/relationships/image" Target="media/image51.jpeg"/><Relationship Id="rId64" Type="http://schemas.openxmlformats.org/officeDocument/2006/relationships/image" Target="media/image52.jpeg"/><Relationship Id="rId65" Type="http://schemas.openxmlformats.org/officeDocument/2006/relationships/image" Target="media/image53.jpeg"/><Relationship Id="rId66" Type="http://schemas.openxmlformats.org/officeDocument/2006/relationships/image" Target="media/image54.jpeg"/><Relationship Id="rId67" Type="http://schemas.openxmlformats.org/officeDocument/2006/relationships/image" Target="media/image55.jpeg"/><Relationship Id="rId68" Type="http://schemas.openxmlformats.org/officeDocument/2006/relationships/image" Target="media/image56.jpeg"/><Relationship Id="rId69" Type="http://schemas.openxmlformats.org/officeDocument/2006/relationships/hyperlink" Target="https://istina.msu.ru/publications/article/90415021/" TargetMode="External"/><Relationship Id="rId70" Type="http://schemas.openxmlformats.org/officeDocument/2006/relationships/image" Target="media/image57.png"/><Relationship Id="rId71" Type="http://schemas.openxmlformats.org/officeDocument/2006/relationships/image" Target="media/image58.png"/><Relationship Id="rId72" Type="http://schemas.openxmlformats.org/officeDocument/2006/relationships/image" Target="media/image59.png"/><Relationship Id="rId73" Type="http://schemas.openxmlformats.org/officeDocument/2006/relationships/image" Target="media/image60.png"/><Relationship Id="rId74" Type="http://schemas.openxmlformats.org/officeDocument/2006/relationships/image" Target="media/image61.png"/><Relationship Id="rId75" Type="http://schemas.openxmlformats.org/officeDocument/2006/relationships/image" Target="media/image62.png"/><Relationship Id="rId76" Type="http://schemas.openxmlformats.org/officeDocument/2006/relationships/image" Target="media/image63.png"/><Relationship Id="rId77" Type="http://schemas.openxmlformats.org/officeDocument/2006/relationships/image" Target="media/image64.png"/><Relationship Id="rId78" Type="http://schemas.openxmlformats.org/officeDocument/2006/relationships/image" Target="media/image65.png"/><Relationship Id="rId79" Type="http://schemas.openxmlformats.org/officeDocument/2006/relationships/image" Target="media/image66.png"/><Relationship Id="rId80" Type="http://schemas.openxmlformats.org/officeDocument/2006/relationships/image" Target="media/image67.png"/><Relationship Id="rId81" Type="http://schemas.openxmlformats.org/officeDocument/2006/relationships/image" Target="media/image68.png"/><Relationship Id="rId82" Type="http://schemas.openxmlformats.org/officeDocument/2006/relationships/hyperlink" Target="https://doi.org/10.17116/repro20253103192" TargetMode="External"/><Relationship Id="rId83" Type="http://schemas.openxmlformats.org/officeDocument/2006/relationships/hyperlink" Target="https://ru.wikipedia.org/wiki/%D0%A6%D0%B8%D1%82%D0%BE%D1%85" TargetMode="External"/><Relationship Id="rId84" Type="http://schemas.openxmlformats.org/officeDocument/2006/relationships/hyperlink" Target="https://meduniver.com/Medical/Physiology/kapacitacia_spermatozoidov.html" TargetMode="External"/><Relationship Id="rId85" Type="http://schemas.openxmlformats.org/officeDocument/2006/relationships/hyperlink" Target="https://ru.lumiprobe.com/p/rhodamine-123-mitochondrial-dye" TargetMode="External"/><Relationship Id="rId86" Type="http://schemas.openxmlformats.org/officeDocument/2006/relationships/hyperlink" Target="https://www.microsystemy.ru/info/articles/lazernyy-skaniruyushchiy-konfokalnyy-biologicheskiy-mikroskop/" TargetMode="External"/><Relationship Id="rId87" Type="http://schemas.openxmlformats.org/officeDocument/2006/relationships/hyperlink" Target="https://www.researchgate.net/figure/Schematics-of-TUNEL-assay-for-measurement-of-DNA-damage-in-spermatozoa_fig1_269173297" TargetMode="External"/><Relationship Id="rId88" Type="http://schemas.openxmlformats.org/officeDocument/2006/relationships/footer" Target="footer8.xml"/><Relationship Id="rId89" Type="http://schemas.openxmlformats.org/officeDocument/2006/relationships/image" Target="media/image69.png"/><Relationship Id="rId90" Type="http://schemas.openxmlformats.org/officeDocument/2006/relationships/footer" Target="footer9.xml"/><Relationship Id="rId9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dcterms:created xsi:type="dcterms:W3CDTF">2026-05-21T05:32:10Z</dcterms:created>
  <dcterms:modified xsi:type="dcterms:W3CDTF">2026-05-21T05:32:10Z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2026-04-15T00:00:00Z</vt:filetime>
  </property>
  <property fmtid="{D5CDD505-2E9C-101B-9397-08002B2CF9AE}" pid="4" name="Creator">
    <vt:lpwstr>Acrobat PDFMaker 11 для Word</vt:lpwstr>
  </property>
  <property fmtid="{D5CDD505-2E9C-101B-9397-08002B2CF9AE}" pid="5" name="ICV">
    <vt:lpwstr>28D293269448467AB5846E67BCE5142C_12</vt:lpwstr>
  </property>
  <property fmtid="{D5CDD505-2E9C-101B-9397-08002B2CF9AE}" pid="6" name="KSOProductBuildVer">
    <vt:lpwstr>1049-12.2.0.20795</vt:lpwstr>
  </property>
  <property fmtid="{D5CDD505-2E9C-101B-9397-08002B2CF9AE}" pid="7" name="LastSaved">
    <vt:filetime>2026-05-21T00:00:00Z</vt:filetime>
  </property>
  <property fmtid="{D5CDD505-2E9C-101B-9397-08002B2CF9AE}" pid="8" name="Producer">
    <vt:lpwstr>Adobe PDF Library 11.0</vt:lpwstr>
  </property>
  <property fmtid="{D5CDD505-2E9C-101B-9397-08002B2CF9AE}" pid="9" name="SourceModified">
    <vt:lpwstr>D:20260415131848</vt:lpwstr>
  </property>
</Properties>
</file>