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захский национальный университет имени аль-Фараби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6B6DA6">
        <w:tc>
          <w:tcPr>
            <w:tcW w:w="4821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УДК 004.62:004.89+61(043)</w:t>
            </w:r>
          </w:p>
        </w:tc>
        <w:tc>
          <w:tcPr>
            <w:tcW w:w="4821" w:type="dxa"/>
          </w:tcPr>
          <w:p w:rsidR="006B6DA6" w:rsidRDefault="00534340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правах рукописи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ЕРҚОС АЙНҰР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метода и программного пакета для обработки больших медицинских данных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8D06102 Компьютерная инженерия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Диссертация на соискание ученой степени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доктора философии (PhD)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Отечественный научный консультант:</w:t>
      </w:r>
    </w:p>
    <w:p w:rsidR="006B6DA6" w:rsidRDefault="005343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PhD, Бурибаев Жолдас Алладинович</w:t>
      </w:r>
    </w:p>
    <w:p w:rsidR="006B6DA6" w:rsidRDefault="006B6DA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sz w:val="28"/>
          <w:szCs w:val="28"/>
        </w:rPr>
        <w:t>убежный научный консультант:</w:t>
      </w:r>
    </w:p>
    <w:p w:rsidR="006B6DA6" w:rsidRDefault="005343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PhD, Wolfien Markus</w:t>
      </w:r>
    </w:p>
    <w:p w:rsidR="006B6DA6" w:rsidRDefault="0053434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Дрезден, Германия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 Казахстан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7"/>
          <w:footerReference w:type="default" r:id="rId8"/>
          <w:headerReference w:type="first" r:id="rId9"/>
          <w:footerReference w:type="first" r:id="rId10"/>
          <w:pgSz w:w="11909" w:h="16834"/>
          <w:pgMar w:top="1133" w:right="566" w:bottom="1133" w:left="1700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Алматы, 2026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id w:val="-738114306"/>
        <w:docPartObj>
          <w:docPartGallery w:val="Table of Contents"/>
          <w:docPartUnique/>
        </w:docPartObj>
      </w:sdtPr>
      <w:sdtEndPr/>
      <w:sdtContent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p0ra2tiedsf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ОБОЗНАЧЕНИЯ И СОКРАЩЕНИЯ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9ru1r4jke1t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rlrg7q8409ft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ОБЗОР СУЩЕСТВУЮЩИ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 МЕТОДОВ И ПРОГРАММНЫХ ПАКЕТОВ ОБРАБОТКИ БОЛЬШИХ МЕДИЦИНСКИХ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mgebl2ch2j1o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 Методы балансировки классов: подходы к обработке несбалансированных и гетерогенных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neltkt3eanul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 Модели прогно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зирования выживаемости почечного трансплантата: от классической статистики к алгоритмам машинного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12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itudsmnc2kb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 Организация распределения и мониторинга в соответствии с мировыми стандартами ведения трансплантационных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15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v5s9tn3q3ssn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 Заключение по первому разделу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g2yq06uoh1tr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РАЗРАБОТКА МЕТОДА БАЛАНСИРОВКИ КЛАССОВ NAUS (NOISE-AWARE UNDERSAMPLING WITH SUBSAMPLING)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207svgtq92li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Методология и архитектура алгоритма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a9upobybslng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 Экспериментальное исследование и верификация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42ryvg7ieh0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 Заключение по второму разделу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46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8ckof8s7fmsr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РЕАЛИЗАЦИЯ МОДЕЛИ ПРОГНОЗИРОВАНИЯ ОТТОРЖЕНИЯ ТРАНСПЛАНТАТА ПОЧКИ ПОСЛЕ ОПЕРАЦИИ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fniwnyjmuukj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 Источники данных и формирование когорт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2u8pzgx444jp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 Реализация и оц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енка модели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50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rPr>
              <w:rFonts w:ascii="Times New Roman" w:eastAsia="Times New Roman" w:hAnsi="Times New Roman" w:cs="Times New Roman"/>
            </w:rPr>
          </w:pPr>
          <w:hyperlink w:anchor="_umk8tg6brrgg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3.2.1 В течение первых трех месяцев (0–3 месяца)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52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rPr>
              <w:rFonts w:ascii="Times New Roman" w:eastAsia="Times New Roman" w:hAnsi="Times New Roman" w:cs="Times New Roman"/>
            </w:rPr>
          </w:pPr>
          <w:hyperlink w:anchor="_bwa849h86jdu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3.2.2 В течение с 3 до 9 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54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rPr>
              <w:rFonts w:ascii="Times New Roman" w:eastAsia="Times New Roman" w:hAnsi="Times New Roman" w:cs="Times New Roman"/>
            </w:rPr>
          </w:pPr>
          <w:hyperlink w:anchor="_8gba9rm3zyq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3.2.3 В течение с 9 до 15 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55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rPr>
              <w:rFonts w:ascii="Times New Roman" w:eastAsia="Times New Roman" w:hAnsi="Times New Roman" w:cs="Times New Roman"/>
            </w:rPr>
          </w:pPr>
          <w:hyperlink w:anchor="_htsi93n1qwcp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3.2.4 В течение с 15 до 39 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56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rPr>
              <w:rFonts w:ascii="Times New Roman" w:eastAsia="Times New Roman" w:hAnsi="Times New Roman" w:cs="Times New Roman"/>
            </w:rPr>
          </w:pPr>
          <w:hyperlink w:anchor="_9dgnp299uh7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3.2.5 В течение с 39 до 72 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57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38p0ucsdzhnv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 Выявление важных признаков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59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duzznyd5szut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 Заключ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 по третьему разделу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60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7vsregatxfm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РАЗРАБОТКА ПРОГРАММНОГО ПАКЕТА ОБРАБОТКИ БОЛЬШИХ МЕДИЦИНСКИХ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62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pijkckcumbcp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 Проектирование архитектуры и программная реализация SOTAI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62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3kzrm7lhvli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 Методология формирования информационного массива и управление геоданными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66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a7cw4s8i2jjv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 Функциональные возможности и эргоно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мика пользовательского интерфейса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68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ind w:left="360"/>
            <w:rPr>
              <w:rFonts w:ascii="Times New Roman" w:eastAsia="Times New Roman" w:hAnsi="Times New Roman" w:cs="Times New Roman"/>
            </w:rPr>
          </w:pPr>
          <w:hyperlink w:anchor="_u4zhxgwjvgmm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 Заключение по четвертому разделу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74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g3z9mkq9g3u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76</w:t>
            </w:r>
          </w:hyperlink>
        </w:p>
        <w:p w:rsidR="006B6DA6" w:rsidRDefault="0053434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hyperlink w:anchor="_47gub3vi75j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78</w:t>
            </w:r>
          </w:hyperlink>
          <w:r>
            <w:fldChar w:fldCharType="end"/>
          </w:r>
        </w:p>
      </w:sdtContent>
    </w:sdt>
    <w:p w:rsidR="006B6DA6" w:rsidRDefault="00534340">
      <w:pPr>
        <w:pStyle w:val="1"/>
        <w:keepNext w:val="0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p0ra2tiedsf3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ОБОЗНАЧЕНИЯ И СОКРАЩЕНИЯ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ML – Machine learning, Машинное обучение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LGBM – Light Gradient-Boosting Machine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NAUS – Noise-Aware Undersampling with Subsampling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SMOTE – Synthetic Minority Over-sampling Technique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ADASYN – Adaptive Synthetic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LoRAS – Localized Ran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dom Oversampling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KNN – k-Nearest Neighbors, </w:t>
      </w:r>
      <w:r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k-</w:t>
      </w:r>
      <w:r>
        <w:rPr>
          <w:rFonts w:ascii="Times New Roman" w:eastAsia="Times New Roman" w:hAnsi="Times New Roman" w:cs="Times New Roman"/>
          <w:sz w:val="28"/>
          <w:szCs w:val="28"/>
        </w:rPr>
        <w:t>ближайших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соседей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PSU – Partitioning-based Undersampling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SVM – Support Vector Machine, </w:t>
      </w:r>
      <w:r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опорных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векторов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MLP – Multilayer Perceptron, </w:t>
      </w:r>
      <w:r>
        <w:rPr>
          <w:rFonts w:ascii="Times New Roman" w:eastAsia="Times New Roman" w:hAnsi="Times New Roman" w:cs="Times New Roman"/>
          <w:sz w:val="28"/>
          <w:szCs w:val="28"/>
        </w:rPr>
        <w:t>Многослойный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перцептрон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MICE – Multiple Imputation by Chained Equ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ations, </w:t>
      </w:r>
      <w:r>
        <w:rPr>
          <w:rFonts w:ascii="Times New Roman" w:eastAsia="Times New Roman" w:hAnsi="Times New Roman" w:cs="Times New Roman"/>
          <w:sz w:val="28"/>
          <w:szCs w:val="28"/>
        </w:rPr>
        <w:t>Множественная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импутация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уравнений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RBF – Radial Basis Function, Радиально-базисная функция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ХБП – Хроническая болезнь почек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ESKD – End-Stage Kidney Disease, Терминальная стадия почечной недостаточности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DGF – Delayed Graft Function, Задержка функции трансплантата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KDPI – Kidney Donor Profile Index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EPTS – Estimated Post-Transplant Survival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CPRA – Calculated Panel Reactive Antibody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HLA – Human Leukocyte Antigen,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Человеческий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лейкоцитарный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антиген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VXM – Virtu</w:t>
      </w:r>
      <w:r>
        <w:rPr>
          <w:rFonts w:ascii="Times New Roman" w:eastAsia="Times New Roman" w:hAnsi="Times New Roman" w:cs="Times New Roman"/>
          <w:sz w:val="28"/>
          <w:szCs w:val="28"/>
        </w:rPr>
        <w:t>al Cross-Match, Виртуальная перекрестная проба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Cox PH – Cox Proportional Hazards, Модель пропорциональных рисков Кокса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SOTAI – Solid Organ Transplantation AI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OPTN – Organ Procurement and Transplantation Network, </w:t>
      </w:r>
      <w:r>
        <w:rPr>
          <w:rFonts w:ascii="Times New Roman" w:eastAsia="Times New Roman" w:hAnsi="Times New Roman" w:cs="Times New Roman"/>
          <w:sz w:val="28"/>
          <w:szCs w:val="28"/>
        </w:rPr>
        <w:t>Сеть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трансплантации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органов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NOS – United Network for Organ Sharing, </w:t>
      </w:r>
      <w:r>
        <w:rPr>
          <w:rFonts w:ascii="Times New Roman" w:eastAsia="Times New Roman" w:hAnsi="Times New Roman" w:cs="Times New Roman"/>
          <w:sz w:val="28"/>
          <w:szCs w:val="28"/>
        </w:rPr>
        <w:t>Объединенная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сеть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обмену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органами</w:t>
      </w:r>
    </w:p>
    <w:p w:rsidR="006B6DA6" w:rsidRPr="00CA4A2E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6B6DA6" w:rsidRPr="00CA4A2E">
          <w:headerReference w:type="default" r:id="rId11"/>
          <w:footerReference w:type="default" r:id="rId12"/>
          <w:headerReference w:type="first" r:id="rId13"/>
          <w:footerReference w:type="first" r:id="rId14"/>
          <w:pgSz w:w="11909" w:h="16834"/>
          <w:pgMar w:top="1133" w:right="566" w:bottom="1133" w:left="1700" w:header="720" w:footer="720" w:gutter="0"/>
          <w:pgNumType w:start="2"/>
          <w:cols w:space="720"/>
        </w:sect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ENIS – Eurotransplant Network Information System,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Евротрансплант</w:t>
      </w:r>
    </w:p>
    <w:p w:rsidR="006B6DA6" w:rsidRDefault="00534340">
      <w:pPr>
        <w:pStyle w:val="1"/>
        <w:keepNext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9ru1r4jke1t0" w:colFirst="0" w:colLast="0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Актуальность. </w:t>
      </w:r>
      <w:r>
        <w:rPr>
          <w:rFonts w:ascii="Times New Roman" w:eastAsia="Times New Roman" w:hAnsi="Times New Roman" w:cs="Times New Roman"/>
          <w:sz w:val="28"/>
          <w:szCs w:val="28"/>
        </w:rPr>
        <w:t>Стремительная цифровизация здравоохранения привела к накоплению колоссальных объемов медицинских данных, что открывает новые возможности для предиктивной аналитики, особенно в области лечения хронических заболеваний. Одной из наиболее острых глобальных про</w:t>
      </w:r>
      <w:r>
        <w:rPr>
          <w:rFonts w:ascii="Times New Roman" w:eastAsia="Times New Roman" w:hAnsi="Times New Roman" w:cs="Times New Roman"/>
          <w:sz w:val="28"/>
          <w:szCs w:val="28"/>
        </w:rPr>
        <w:t>блем остается хроническая болезнь почек, охватывающая более 850 миллионов человек по всему миру и неизбежно ведущая к терминальной стадии почечной недостаточности. В Республике Казахстан ситуация характеризуется высокой потребностью в высокотехнологичной п</w:t>
      </w:r>
      <w:r>
        <w:rPr>
          <w:rFonts w:ascii="Times New Roman" w:eastAsia="Times New Roman" w:hAnsi="Times New Roman" w:cs="Times New Roman"/>
          <w:sz w:val="28"/>
          <w:szCs w:val="28"/>
        </w:rPr>
        <w:t>омощи: на конец 2025 года в листе ожидания на трансплантацию почки находилось около 3958 человек. В этих условиях эффективное использование каждого донорского органа становится стратегической задачей, требующей разработки инструментов точного долгосрочного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прогнозирования выживаемости трансплантата.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 на наличие признанных международных систем мониторинга, таких как OPTN или Eurotransplant, отечественная медицина сталкивается с рядом технологических барьеров, включая отсутствие единых интегрированных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 данных и дефицит собственных адаптивных прогностических моделей. Основная сложность обработки подобных массивов данных заключается в их высокой гетерогенности и естественном классовом дисбалансе, когда количество случаев патологий или отторжений значи</w:t>
      </w:r>
      <w:r>
        <w:rPr>
          <w:rFonts w:ascii="Times New Roman" w:eastAsia="Times New Roman" w:hAnsi="Times New Roman" w:cs="Times New Roman"/>
          <w:sz w:val="28"/>
          <w:szCs w:val="28"/>
        </w:rPr>
        <w:t>тельно меньше числа стабильных клинических состояний. В связи с этим разработка специализированного метода балансировки классов, способного эффективно работать с шумом в медицинских выборках, является фундаментальной необходимостью для повышения надежности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интеллектуальных систем.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главных проблем при разработке таких систем является неоднородность данных и их временная зависимость. Риски потери трансплантата существенно различаются в зависимости от срока, прошедшего после операции, что требует разделения общего массива данн</w:t>
      </w:r>
      <w:r>
        <w:rPr>
          <w:rFonts w:ascii="Times New Roman" w:eastAsia="Times New Roman" w:hAnsi="Times New Roman" w:cs="Times New Roman"/>
          <w:sz w:val="28"/>
          <w:szCs w:val="28"/>
        </w:rPr>
        <w:t>ых на специфические когорты. В данной работе выделяются пять таких периодов: три этапа краткосрочного прогнозирования (short-term), охватывающие наиболее критические фазы ранней адаптации, а также среднесрочный (mid-term) и долгосрочный (long-term) периоды</w:t>
      </w:r>
      <w:r>
        <w:rPr>
          <w:rFonts w:ascii="Times New Roman" w:eastAsia="Times New Roman" w:hAnsi="Times New Roman" w:cs="Times New Roman"/>
          <w:sz w:val="28"/>
          <w:szCs w:val="28"/>
        </w:rPr>
        <w:t>. Каждый из этих этапов характеризуется своими уникальными биомаркерами и клиническими паттернами, что делает неэффективным использование одной универсальной модели для всех случаев. Создание дифференцированных прогностических моделей для разных когорт рец</w:t>
      </w:r>
      <w:r>
        <w:rPr>
          <w:rFonts w:ascii="Times New Roman" w:eastAsia="Times New Roman" w:hAnsi="Times New Roman" w:cs="Times New Roman"/>
          <w:sz w:val="28"/>
          <w:szCs w:val="28"/>
        </w:rPr>
        <w:t>ипиентов позволяет реализовать персонализированный подход, учитывающий специфические факторы риска. Объединение теоретических наработок в области обработки данных и прикладных моделей прогнозирования в единый программный пакет обеспечивает врачей-трансплан</w:t>
      </w:r>
      <w:r>
        <w:rPr>
          <w:rFonts w:ascii="Times New Roman" w:eastAsia="Times New Roman" w:hAnsi="Times New Roman" w:cs="Times New Roman"/>
          <w:sz w:val="28"/>
          <w:szCs w:val="28"/>
        </w:rPr>
        <w:t>тологов инструментарием для динамического мониторинга. Такой комплексный подход позволяет автоматизировать анализ больших массивов данных и принимать обоснованные решения по корректировке терапии, что подтверждает высокую актуальность исследования для разв</w:t>
      </w:r>
      <w:r>
        <w:rPr>
          <w:rFonts w:ascii="Times New Roman" w:eastAsia="Times New Roman" w:hAnsi="Times New Roman" w:cs="Times New Roman"/>
          <w:sz w:val="28"/>
          <w:szCs w:val="28"/>
        </w:rPr>
        <w:t>ития цифрового здравоохранения и повышения эффективности высокотехнологичной медицинской помощи.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диссертационной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метода балансировки данных и программного пакета на основе моделей машинного обучения для повышения точности прогнозиров</w:t>
      </w:r>
      <w:r>
        <w:rPr>
          <w:rFonts w:ascii="Times New Roman" w:eastAsia="Times New Roman" w:hAnsi="Times New Roman" w:cs="Times New Roman"/>
          <w:sz w:val="28"/>
          <w:szCs w:val="28"/>
        </w:rPr>
        <w:t>ания клинических исходов почечной трансплантации.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исследования: </w:t>
      </w:r>
    </w:p>
    <w:p w:rsidR="006B6DA6" w:rsidRDefault="00534340">
      <w:pPr>
        <w:numPr>
          <w:ilvl w:val="0"/>
          <w:numId w:val="6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метода балансировки классов для обработки медицинских данных включая данные по ведущим нозологическим формам, предшествующим трансплантации почки;</w:t>
      </w:r>
    </w:p>
    <w:p w:rsidR="006B6DA6" w:rsidRDefault="00534340">
      <w:pPr>
        <w:numPr>
          <w:ilvl w:val="0"/>
          <w:numId w:val="6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пяти моделей ма</w:t>
      </w:r>
      <w:r>
        <w:rPr>
          <w:rFonts w:ascii="Times New Roman" w:eastAsia="Times New Roman" w:hAnsi="Times New Roman" w:cs="Times New Roman"/>
          <w:sz w:val="28"/>
          <w:szCs w:val="28"/>
        </w:rPr>
        <w:t>шинного обучения, обученных на специфических когортах пациентов, сформированных по длительности выживаемости почечного трансплантата;</w:t>
      </w:r>
    </w:p>
    <w:p w:rsidR="006B6DA6" w:rsidRDefault="00534340">
      <w:pPr>
        <w:numPr>
          <w:ilvl w:val="0"/>
          <w:numId w:val="6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программного пакета и интеграция в него пяти обученных моделей для обеспечения практического прогнозирования вы</w:t>
      </w:r>
      <w:r>
        <w:rPr>
          <w:rFonts w:ascii="Times New Roman" w:eastAsia="Times New Roman" w:hAnsi="Times New Roman" w:cs="Times New Roman"/>
          <w:sz w:val="28"/>
          <w:szCs w:val="28"/>
        </w:rPr>
        <w:t>живаемости почечного трансплантата после операции.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 исследования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>большие медицинские данные в области нефрологии, методы интеллектуального анализа данных и автоматизированная обработка информации.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 исследования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алгоритм балансировки классов NA</w:t>
      </w:r>
      <w:r>
        <w:rPr>
          <w:rFonts w:ascii="Times New Roman" w:eastAsia="Times New Roman" w:hAnsi="Times New Roman" w:cs="Times New Roman"/>
          <w:sz w:val="28"/>
          <w:szCs w:val="28"/>
        </w:rPr>
        <w:t>US (Noise-Aware Undersampling with Subsampling) и программные средства для прогнозирования рисков на основе анализа медицинских показателей.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Новизна полученных научных результатов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 метод балансировки классов, применимый к различным типам медицинс</w:t>
      </w:r>
      <w:r>
        <w:rPr>
          <w:rFonts w:ascii="Times New Roman" w:eastAsia="Times New Roman" w:hAnsi="Times New Roman" w:cs="Times New Roman"/>
          <w:sz w:val="28"/>
          <w:szCs w:val="28"/>
        </w:rPr>
        <w:t>ких данных и обеспечивающий минимизацию ошибок прогнозирования, что подтверждено на примере обработки данных по ключевым нозологическим формам в трансплантологии.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Положения выносимые на защиту: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метод балансировки классов, применимый к различн</w:t>
      </w:r>
      <w:r>
        <w:rPr>
          <w:rFonts w:ascii="Times New Roman" w:eastAsia="Times New Roman" w:hAnsi="Times New Roman" w:cs="Times New Roman"/>
          <w:sz w:val="28"/>
          <w:szCs w:val="28"/>
        </w:rPr>
        <w:t>ым типам медицинских данных, обеспечивает минимизацию ошибок прогнозирования, что подтверждено ростом метрик точности прогностических моделей на 6–14 % по сравнению с существующими аналогами.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Теоретическая и практическая значимость исследования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кая значимость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в исследовании методов обработки несбалансированных больших медицинских данных и разработке алгоритма NAUS (Noise-Aware Undersampling with Subsampling). В рамках исследования предложен многостадийный подход к подготовке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включающий фильтрацию шума на основе апостериорной вероятности, анализ локальной гранулярности в подпространствах признаков и радиальное недосэмплирование для устранения дисбаланса классов.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значимость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возможности примене</w:t>
      </w:r>
      <w:r>
        <w:rPr>
          <w:rFonts w:ascii="Times New Roman" w:eastAsia="Times New Roman" w:hAnsi="Times New Roman" w:cs="Times New Roman"/>
          <w:sz w:val="28"/>
          <w:szCs w:val="28"/>
        </w:rPr>
        <w:t>ния разработанного программного пакета для интеллектуального анализа данных в медицине, в частности, для прогнозирования рисков терминальной почечной недостаточности и необходимости трансплантации. Реализованный алгоритм NAUS позволяет:</w:t>
      </w:r>
    </w:p>
    <w:p w:rsidR="006B6DA6" w:rsidRDefault="0053434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 обрабаты</w:t>
      </w:r>
      <w:r>
        <w:rPr>
          <w:rFonts w:ascii="Times New Roman" w:eastAsia="Times New Roman" w:hAnsi="Times New Roman" w:cs="Times New Roman"/>
          <w:sz w:val="28"/>
          <w:szCs w:val="28"/>
        </w:rPr>
        <w:t>вать сильно смещенные выборки, где мажоритарный класс (например, общая статистика заболеваний) значительно превалирует над миноритарным (пациенты, нуждающиеся в срочной операции).</w:t>
      </w:r>
    </w:p>
    <w:p w:rsidR="006B6DA6" w:rsidRDefault="0053434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Повышать точность прогностических моделей за счет удаления «шумных»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объектов мажоритарного класса с высоким взаимным потенциалом влияния.</w:t>
      </w:r>
    </w:p>
    <w:p w:rsidR="006B6DA6" w:rsidRDefault="0053434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Снижать вычислительные затраты при работе с Big Data, обеспечивая при этом сбалансированный набор данных для обучения нейронных сетей и классификаторов.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Достоверность научных результа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тов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обеспечивается использованием апробированных методов интеллектуального анализа данных (методов машинного обучения, статистического анализа, радиальных базисных функций). Подтверждается результатами численных экспериментов, в ходе которых применение алг</w:t>
      </w:r>
      <w:r>
        <w:rPr>
          <w:rFonts w:ascii="Times New Roman" w:eastAsia="Times New Roman" w:hAnsi="Times New Roman" w:cs="Times New Roman"/>
          <w:sz w:val="28"/>
          <w:szCs w:val="28"/>
        </w:rPr>
        <w:t>оритма NAUS позволило достичь устойчивого баланса классов без потери ключевых характеристик выборки. Результаты работы соответствуют современным мировым тенденциям в области обработки больших медицинских данных и подтверждаются сопоставлением с существующи</w:t>
      </w:r>
      <w:r>
        <w:rPr>
          <w:rFonts w:ascii="Times New Roman" w:eastAsia="Times New Roman" w:hAnsi="Times New Roman" w:cs="Times New Roman"/>
          <w:sz w:val="28"/>
          <w:szCs w:val="28"/>
        </w:rPr>
        <w:t>ми методами обработки (undersampling), демонстрируя преимущество предложенного адаптивного подхода.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Связь темы с планами научно-исследовательских программ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Диссертационная работа выполнена в рамках научно-исследовательской работ: </w:t>
      </w:r>
    </w:p>
    <w:p w:rsidR="006B6DA6" w:rsidRDefault="00534340">
      <w:pPr>
        <w:numPr>
          <w:ilvl w:val="0"/>
          <w:numId w:val="3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«Персональное прогнозирова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выживаемости трансплантата у реципиентов трансплантата почки перед трансплантацией с применением методов машинного обучения» - № гос. регистрации 0122РК00958, по грантовому финансированию, рассчитанной на 2022- 2024 годы </w:t>
      </w:r>
    </w:p>
    <w:p w:rsidR="006B6DA6" w:rsidRDefault="00534340">
      <w:pPr>
        <w:numPr>
          <w:ilvl w:val="0"/>
          <w:numId w:val="3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«Разработка алгоритмического м</w:t>
      </w:r>
      <w:r>
        <w:rPr>
          <w:rFonts w:ascii="Times New Roman" w:eastAsia="Times New Roman" w:hAnsi="Times New Roman" w:cs="Times New Roman"/>
          <w:sz w:val="28"/>
          <w:szCs w:val="28"/>
        </w:rPr>
        <w:t>еханизма для интеллектуально-программного модуля, использующего искусственный интеллект для обработки и анализа данных, связанных с трансплантацией почки» - № гос. регистрации 0124РК00417, в НАО «КазНУ имени аль-Фараби» по грантовому финансированию, рассчи</w:t>
      </w:r>
      <w:r>
        <w:rPr>
          <w:rFonts w:ascii="Times New Roman" w:eastAsia="Times New Roman" w:hAnsi="Times New Roman" w:cs="Times New Roman"/>
          <w:sz w:val="28"/>
          <w:szCs w:val="28"/>
        </w:rPr>
        <w:t>танной на 2024-2026 годы.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Апробация работы.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работы обсуждались на научных семинарах кафедры компьютерных наук и факультета информационных технологий Казахского Национального университета им. аль-Фараби, а также докладывались на следующих конфере</w:t>
      </w:r>
      <w:r>
        <w:rPr>
          <w:rFonts w:ascii="Times New Roman" w:eastAsia="Times New Roman" w:hAnsi="Times New Roman" w:cs="Times New Roman"/>
          <w:sz w:val="28"/>
          <w:szCs w:val="28"/>
        </w:rPr>
        <w:t>нциях:</w:t>
      </w:r>
    </w:p>
    <w:p w:rsidR="006B6DA6" w:rsidRDefault="0053434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ASN Kidney Week (Филадельфия, США, 2023);</w:t>
      </w:r>
    </w:p>
    <w:p w:rsidR="006B6DA6" w:rsidRPr="00CA4A2E" w:rsidRDefault="0053434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The 4th International Conference on Smart Information Systems and Technologies (SIST 2024), (</w:t>
      </w:r>
      <w:r>
        <w:rPr>
          <w:rFonts w:ascii="Times New Roman" w:eastAsia="Times New Roman" w:hAnsi="Times New Roman" w:cs="Times New Roman"/>
          <w:sz w:val="28"/>
          <w:szCs w:val="28"/>
        </w:rPr>
        <w:t>Астана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, 2024).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B6DA6">
          <w:headerReference w:type="default" r:id="rId15"/>
          <w:footerReference w:type="default" r:id="rId16"/>
          <w:headerReference w:type="first" r:id="rId17"/>
          <w:footerReference w:type="first" r:id="rId18"/>
          <w:pgSz w:w="11909" w:h="16834"/>
          <w:pgMar w:top="1133" w:right="566" w:bottom="1133" w:left="17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Публикации. </w:t>
      </w:r>
      <w:r>
        <w:rPr>
          <w:rFonts w:ascii="Times New Roman" w:eastAsia="Times New Roman" w:hAnsi="Times New Roman" w:cs="Times New Roman"/>
          <w:sz w:val="28"/>
          <w:szCs w:val="28"/>
        </w:rPr>
        <w:t>По теме диссертации опубликованы 7 печатных работ, в том числе 2 в изданиях, рекомендованных КОКСНВО МНВО РК, 3 работ в рецензируемых журналах, входящих в международную базу цитирования «Web of Science» и/или «SCOPUS», 2 работы в сборниках международных ко</w:t>
      </w:r>
      <w:r>
        <w:rPr>
          <w:rFonts w:ascii="Times New Roman" w:eastAsia="Times New Roman" w:hAnsi="Times New Roman" w:cs="Times New Roman"/>
          <w:sz w:val="28"/>
          <w:szCs w:val="28"/>
        </w:rPr>
        <w:t>нференций.</w:t>
      </w:r>
    </w:p>
    <w:p w:rsidR="006B6DA6" w:rsidRDefault="00534340">
      <w:pPr>
        <w:pStyle w:val="1"/>
        <w:keepNext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rlrg7q8409ft" w:colFirst="0" w:colLast="0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ОБЗОР СУЩЕСТВУЮЩИХ МЕТОДОВ И ПРОГРАММНЫХ ПАКЕТОВ ОБРАБОТКИ БОЛЬШИХ МЕДИЦИНСКИХ ДАННЫХ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mgebl2ch2j1o" w:colFirst="0" w:colLast="0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1.1 Методы балансировки классов: подходы к обработке несбалансированных и гетерогенных данных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Медицина всегда остается приоритетным сектором развития, обес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печивающим целостное и здоровое развитие населения и страны, что доказывают большие вложения из Республиканского бюджета Казахстана принятые мажилисом на 2025-2027 года в размере 7,6 трлн. тенге </w:t>
      </w:r>
      <w:hyperlink r:id="rId19">
        <w:r>
          <w:rPr>
            <w:rFonts w:ascii="Times New Roman" w:eastAsia="Times New Roman" w:hAnsi="Times New Roman" w:cs="Times New Roman"/>
            <w:sz w:val="28"/>
            <w:szCs w:val="28"/>
          </w:rPr>
          <w:t>[1]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Столь масштабные инвестиции не только направлены на модернизацию инфраструктуры, но и диктуют острую необходимость внедрения высокотехнологичных инноваций, в частности, систем предиктивной аналитики и обработки больших медицинских данных.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из на</w:t>
      </w:r>
      <w:r>
        <w:rPr>
          <w:rFonts w:ascii="Times New Roman" w:eastAsia="Times New Roman" w:hAnsi="Times New Roman" w:cs="Times New Roman"/>
          <w:sz w:val="28"/>
          <w:szCs w:val="28"/>
        </w:rPr>
        <w:t>иболее перспективных и наукоемких направлений современной науки является биоинформатика. Она объединяет биологию, математику и компьютерные науки. Однако, на стремительный технологический прогресс, специалисты в этой области сталкиваются с  проблемой несба</w:t>
      </w:r>
      <w:r>
        <w:rPr>
          <w:rFonts w:ascii="Times New Roman" w:eastAsia="Times New Roman" w:hAnsi="Times New Roman" w:cs="Times New Roman"/>
          <w:sz w:val="28"/>
          <w:szCs w:val="28"/>
        </w:rPr>
        <w:t>лансированности данных. В медицинских датасетах дисбаланс возникает естественным образом: число здоровых пациентов в выборках значительно превышает количество людей с выявленными патологиями. Это приводит к предвзятости моделей, низкой чувствительности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минорного класса и ложным негативным результатам, опасным в медицине. Для минимизации этих рисков и повышения прогностической способности моделей применяются специализированные методы балансировки данных: передискретизация (oversampling), субдискретизация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(undersampling) и гибриды, сочетающие их для сохранения информации.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выбор стратегии балансировки в медицине осложняется спецификой самих данных. В отличие от стандартных наборов, биоинформатические данные характеризуются высокой степенью гетерогенн</w:t>
      </w:r>
      <w:r>
        <w:rPr>
          <w:rFonts w:ascii="Times New Roman" w:eastAsia="Times New Roman" w:hAnsi="Times New Roman" w:cs="Times New Roman"/>
          <w:sz w:val="28"/>
          <w:szCs w:val="28"/>
        </w:rPr>
        <w:t>ости и сложной внутренней структурой. В таких условиях использование методов передискретизации, основанных на генерации синтетических образцов, не всегда целесообразно, так как искусственное дублирование или интерполяция могут внести шум в тонкие биологиче</w:t>
      </w:r>
      <w:r>
        <w:rPr>
          <w:rFonts w:ascii="Times New Roman" w:eastAsia="Times New Roman" w:hAnsi="Times New Roman" w:cs="Times New Roman"/>
          <w:sz w:val="28"/>
          <w:szCs w:val="28"/>
        </w:rPr>
        <w:t>ские закономерности и исказить результаты анализа.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условиях высокой гетерогенности биоинформатических данных субдискретизация (undersampling) трансформируется из простого механического удаления данных в процесс интеллектуального отбора. Приоритетной задачей здесь становится не просто выравнивание объемов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классов, а сохранение топологической структуры мажоритарной группы. Одним из наиболее востребованных инструментов для решения этой задачи является кластеризация, которая позволяет сегментировать пространство признаков и идентифицировать наиболее информати</w:t>
      </w:r>
      <w:r>
        <w:rPr>
          <w:rFonts w:ascii="Times New Roman" w:eastAsia="Times New Roman" w:hAnsi="Times New Roman" w:cs="Times New Roman"/>
          <w:sz w:val="28"/>
          <w:szCs w:val="28"/>
        </w:rPr>
        <w:t>вные области.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методов группировки по плотности или расстоянию помогает эффективно очистить датасет от «шумовых» объектов и неинформативных наблюдений, которые находятся на периферии и не несут существенной прогностической нагрузки. Разнообраз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методов кластерной субдискретизации позволяет гибко подходить к обработке медицинских данных. К примеру, авторы статьи </w:t>
      </w:r>
      <w:hyperlink r:id="rId20">
        <w:r>
          <w:rPr>
            <w:rFonts w:ascii="Times New Roman" w:eastAsia="Times New Roman" w:hAnsi="Times New Roman" w:cs="Times New Roman"/>
            <w:sz w:val="28"/>
            <w:szCs w:val="28"/>
          </w:rPr>
          <w:t>[2]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удаляют наиболее далекие от центроидов точки. Данный подход основан </w:t>
      </w:r>
      <w:r>
        <w:rPr>
          <w:rFonts w:ascii="Times New Roman" w:eastAsia="Times New Roman" w:hAnsi="Times New Roman" w:cs="Times New Roman"/>
          <w:sz w:val="28"/>
          <w:szCs w:val="28"/>
        </w:rPr>
        <w:t>на гипотезе, что объекты, максимально удаленные от центроидов своих кластеров, являются либо выбросами, либо нетипичными представителями класса. Их удаление позволяет алгоритму классификации сфокусироваться на «ядре» данных, что стабилизирует границы разде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ления классов. В методе </w:t>
      </w:r>
      <w:hyperlink r:id="rId21">
        <w:r>
          <w:rPr>
            <w:rFonts w:ascii="Times New Roman" w:eastAsia="Times New Roman" w:hAnsi="Times New Roman" w:cs="Times New Roman"/>
            <w:sz w:val="28"/>
            <w:szCs w:val="28"/>
          </w:rPr>
          <w:t>[3]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вместо исходных точек мажоритарного класса используются репрезентативные центроиды, полученные в результате кластеризации. Применение модификации MiniBatchKMeans знач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ительно ускоряет процесс обработки огромных массивов биоинформационных данных, снижая нагрузку на оперативную память без существенной потери точности репрезентации. В статье </w:t>
      </w:r>
      <w:hyperlink r:id="rId22">
        <w:r>
          <w:rPr>
            <w:rFonts w:ascii="Times New Roman" w:eastAsia="Times New Roman" w:hAnsi="Times New Roman" w:cs="Times New Roman"/>
            <w:sz w:val="28"/>
            <w:szCs w:val="28"/>
          </w:rPr>
          <w:t>[4]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</w:t>
      </w:r>
      <w:r>
        <w:rPr>
          <w:rFonts w:ascii="Times New Roman" w:eastAsia="Times New Roman" w:hAnsi="Times New Roman" w:cs="Times New Roman"/>
          <w:sz w:val="28"/>
          <w:szCs w:val="28"/>
        </w:rPr>
        <w:t>н более сложный подход кластеризации на основе консенсусной функции. Несмотря на высокую эффективность, внедрение кластерных методов требует тщательного анализа компромиссов между вычислительной мощностью и точностью. Таким образом, выбор конкретного метод</w:t>
      </w:r>
      <w:r>
        <w:rPr>
          <w:rFonts w:ascii="Times New Roman" w:eastAsia="Times New Roman" w:hAnsi="Times New Roman" w:cs="Times New Roman"/>
          <w:sz w:val="28"/>
          <w:szCs w:val="28"/>
        </w:rPr>
        <w:t>а субдискретизации в биоинформатике должен диктоваться не только архитектурой будущей модели, но и спецификой гетерогенности медицинских данных, где сохранение редких, но биологически значимых закономерностей является приоритетом.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Помимо стандартной класте</w:t>
      </w:r>
      <w:r>
        <w:rPr>
          <w:rFonts w:ascii="Times New Roman" w:eastAsia="Times New Roman" w:hAnsi="Times New Roman" w:cs="Times New Roman"/>
          <w:sz w:val="28"/>
          <w:szCs w:val="28"/>
        </w:rPr>
        <w:t>ризации, в современной биоинформатике активно развиваются методы, основанные на оптимизации разделяющих поверхностей и ансамблевом обучении. Эти подходы позволяют более тонко настраивать границы между классами, что критически важно для гетерогенных медицин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ских данных. Особого внимания заслуживает стратегия оптимизации разделяющей плоскости, описанная в работе </w:t>
      </w:r>
      <w:hyperlink r:id="rId23">
        <w:r>
          <w:rPr>
            <w:rFonts w:ascii="Times New Roman" w:eastAsia="Times New Roman" w:hAnsi="Times New Roman" w:cs="Times New Roman"/>
            <w:sz w:val="28"/>
            <w:szCs w:val="28"/>
          </w:rPr>
          <w:t>[5]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В рамках данного подхода значимость каждого конкретного экземпляра данных определяе</w:t>
      </w:r>
      <w:r>
        <w:rPr>
          <w:rFonts w:ascii="Times New Roman" w:eastAsia="Times New Roman" w:hAnsi="Times New Roman" w:cs="Times New Roman"/>
          <w:sz w:val="28"/>
          <w:szCs w:val="28"/>
        </w:rPr>
        <w:t>тся его геометрическим расстоянием до границы решения. Это позволяет алгоритму фокусироваться на наиболее информативных объектах, находящихся в непосредственной близости к разделяющей линии, и игнорировать избыточные фоновые наблюдения. Однако практическая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применимость этого метода в биоинформатике зачастую ограничивается условием линейной разделимости признаков. В реальных медицинских сценариях, где признаки могут иметь нелинейные и многомерные зависимости, такие модели рискуют потерять обобщающую способно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сть. С целью преодоления подобных ограничений исследователи обращаются к гибридным архитектурам. Примером может служить интеграция кластерного анализа с алгоритмами усиления градиента, в частности AdaBoost, представленная в статье </w:t>
      </w:r>
      <w:hyperlink r:id="rId24">
        <w:r>
          <w:rPr>
            <w:rFonts w:ascii="Times New Roman" w:eastAsia="Times New Roman" w:hAnsi="Times New Roman" w:cs="Times New Roman"/>
            <w:sz w:val="28"/>
            <w:szCs w:val="28"/>
          </w:rPr>
          <w:t>[6]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Такой синергетический эффект позволяет последовательно корректировать веса объектов мажоритарного класса, минимизируя ошибку классификации на каждом этапе итерации. Тем не менее, усложнение архитектуры неизбежно вл</w:t>
      </w:r>
      <w:r>
        <w:rPr>
          <w:rFonts w:ascii="Times New Roman" w:eastAsia="Times New Roman" w:hAnsi="Times New Roman" w:cs="Times New Roman"/>
          <w:sz w:val="28"/>
          <w:szCs w:val="28"/>
        </w:rPr>
        <w:t>ечет за собой экспоненциальный рост вычислительных затрат. Кроме того, сохраняется критическая зависимость итоговой точности от корректной предопределенности количества кластеров: ошибка на этапе сегментации данных может быть усилена бустингом, что приведе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к искажению финального прогноза. Еще одним фундаментальным аспектом при работе с гетерогенными медицинскими данными является проблема взаимного пересечения (оверлаппинга) классов. В алгоритме, предложенном в работе </w:t>
      </w:r>
      <w:hyperlink r:id="rId25">
        <w:r>
          <w:rPr>
            <w:rFonts w:ascii="Times New Roman" w:eastAsia="Times New Roman" w:hAnsi="Times New Roman" w:cs="Times New Roman"/>
            <w:sz w:val="28"/>
            <w:szCs w:val="28"/>
          </w:rPr>
          <w:t>[7]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реализован механизм динамического регулирования порога принадлежности экземпляров к их истинным классам. Этот метод позволяет более гибко обрабатывать «серые зоны» в диагностических выборках, где биомаркеры здоровых и заболевших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пациентов могут частично совпадать. Однако такая гибкость имеет обратную сторону: алгоритм становится крайне уязвимым к зашумленным данным и случайным выбросам в пограничных областях. Любая аномалия, ошибочно принятая за информативный граничный объект, мо</w:t>
      </w:r>
      <w:r>
        <w:rPr>
          <w:rFonts w:ascii="Times New Roman" w:eastAsia="Times New Roman" w:hAnsi="Times New Roman" w:cs="Times New Roman"/>
          <w:sz w:val="28"/>
          <w:szCs w:val="28"/>
        </w:rPr>
        <w:t>жет сместить порог классификации, увеличивая риск постановки ошибочного диагноза в клинических условиях.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Проблема чувствительности к пограничному шуму диктует необходимость поиска более устойчивых механизмов фильтрации, которые способны эффективно отделять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информативный сигнал от случайных статистических артефактов в сложных биологических выборках. В этом контексте значительное развитие получили подходы, базирующиеся на анализе локальной плотности и метрических расстояний. Например, на прецизионное удаление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шума направлен алгоритм, представленный в работе </w:t>
      </w:r>
      <w:hyperlink r:id="rId26">
        <w:r>
          <w:rPr>
            <w:rFonts w:ascii="Times New Roman" w:eastAsia="Times New Roman" w:hAnsi="Times New Roman" w:cs="Times New Roman"/>
            <w:sz w:val="28"/>
            <w:szCs w:val="28"/>
          </w:rPr>
          <w:t>[8]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где с помощью метода k-ближайших соседей (KNN) вычисляется локальная значимость каждой точки в зависимости от присутствия в ее окружении представителей конкурирующего класса. Однако практическая ценность данного метода снижается в условиях экстремального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дисбаланса: при критически малом объеме миноритарного класса алгоритм теряет ориентиры для корректной оценки значимости, что может привести к неоправданному удалению важных клинических случаев. Ближайшие соседи легли в основу и исследования </w:t>
      </w:r>
      <w:hyperlink r:id="rId27">
        <w:r>
          <w:rPr>
            <w:rFonts w:ascii="Times New Roman" w:eastAsia="Times New Roman" w:hAnsi="Times New Roman" w:cs="Times New Roman"/>
            <w:sz w:val="28"/>
            <w:szCs w:val="28"/>
          </w:rPr>
          <w:t>[9]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авторы которого разработали четыре вариации стратегий недостаточной выборки (undersampling). Эти методы позволяют гибко адаптировать процесс сокращения данных в зависимости от выбранного числа соседей, н</w:t>
      </w:r>
      <w:r>
        <w:rPr>
          <w:rFonts w:ascii="Times New Roman" w:eastAsia="Times New Roman" w:hAnsi="Times New Roman" w:cs="Times New Roman"/>
          <w:sz w:val="28"/>
          <w:szCs w:val="28"/>
        </w:rPr>
        <w:t>о одновременно с этим накладывают на исследователя ответственность за калибровку этого параметра, от которого напрямую зависит сохранение уникальных паттернов заболевания. Параллельно с метрическими подходами развиваются и более специфические концепции,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кие как интеграция технологий моделирования прироста. В статье </w:t>
      </w:r>
      <w:hyperlink r:id="rId28">
        <w:r>
          <w:rPr>
            <w:rFonts w:ascii="Times New Roman" w:eastAsia="Times New Roman" w:hAnsi="Times New Roman" w:cs="Times New Roman"/>
            <w:sz w:val="28"/>
            <w:szCs w:val="28"/>
          </w:rPr>
          <w:t>[10]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предложена комбинированная методология, объединяющая uplift modeling с процедурами недостаточной выборки в рамках четырех разл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ичных сценариев. Несмотря на свою инновационность, данная система требует исключительно тщательного подбора гиперпараметров, что сближает её с подходом из работы </w:t>
      </w:r>
      <w:hyperlink r:id="rId29">
        <w:r>
          <w:rPr>
            <w:rFonts w:ascii="Times New Roman" w:eastAsia="Times New Roman" w:hAnsi="Times New Roman" w:cs="Times New Roman"/>
            <w:sz w:val="28"/>
            <w:szCs w:val="28"/>
          </w:rPr>
          <w:t>[11]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где авторы фокусируются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оптимизации пороговых значений в процессе случайного undersampling-а. Поиск оптимального порога становится критической задачей, так как любая неточность в настройках может привести либо к потере ценной информации, либо к сохранению избыточного шума. К кат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егории методов, чувствительных к настройкам гиперпараметров и размерности признакового пространства, относится и алгоритм, описанный в статье </w:t>
      </w:r>
      <w:hyperlink r:id="rId30">
        <w:r>
          <w:rPr>
            <w:rFonts w:ascii="Times New Roman" w:eastAsia="Times New Roman" w:hAnsi="Times New Roman" w:cs="Times New Roman"/>
            <w:sz w:val="28"/>
            <w:szCs w:val="28"/>
          </w:rPr>
          <w:t>[12]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В нем используется функция Гауссова радиальног</w:t>
      </w:r>
      <w:r>
        <w:rPr>
          <w:rFonts w:ascii="Times New Roman" w:eastAsia="Times New Roman" w:hAnsi="Times New Roman" w:cs="Times New Roman"/>
          <w:sz w:val="28"/>
          <w:szCs w:val="28"/>
        </w:rPr>
        <w:t>о базиса (Gaussian RBF) для математического расчета степени влияния каждого наблюдения на итоговую модель. Использование ядерных функций позволяет строить более сложные, нелинейные границы разделения, однако высокая размерность биоинформатических признаков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 риск «проклятия размерности», требуя от исследователя точной настройки радиуса влияния и весовых коэффициентов для обеспечения устойчивости классификации.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Логическим продолжением развития методов фильтрации и оптимизации стало использование ансамб</w:t>
      </w:r>
      <w:r>
        <w:rPr>
          <w:rFonts w:ascii="Times New Roman" w:eastAsia="Times New Roman" w:hAnsi="Times New Roman" w:cs="Times New Roman"/>
          <w:sz w:val="28"/>
          <w:szCs w:val="28"/>
        </w:rPr>
        <w:t>левых стратегий, которые позволяют компенсировать недостатки одиночных алгоритмов за счет коллективного принятия решений. В рамках этого направления особую популярность приобрели методы, интегрирующие интеллектуальный отбор данных непосредственно в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 классификатора. Ярким примером такой модернизации служит работа авторов </w:t>
      </w:r>
      <w:hyperlink r:id="rId31">
        <w:r>
          <w:rPr>
            <w:rFonts w:ascii="Times New Roman" w:eastAsia="Times New Roman" w:hAnsi="Times New Roman" w:cs="Times New Roman"/>
            <w:sz w:val="28"/>
            <w:szCs w:val="28"/>
          </w:rPr>
          <w:t>[13]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усовершенствовали классический метод недостаточной выборки PSU (Partitioning-based Undersampling)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интегрировали его в процедуру бустинга. Это позволило алгоритму динамически адаптироваться к структуре данных, концентрируясь на наиболее трудноклассифицируемых примерах. Схожим принципом обладает и алгоритм </w:t>
      </w:r>
      <w:hyperlink r:id="rId32">
        <w:r>
          <w:rPr>
            <w:rFonts w:ascii="Times New Roman" w:eastAsia="Times New Roman" w:hAnsi="Times New Roman" w:cs="Times New Roman"/>
            <w:sz w:val="28"/>
            <w:szCs w:val="28"/>
          </w:rPr>
          <w:t>[14]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где статус объекта как «информационного шума» определяется на основе итеративного анализа: если конкретное наблюдение систематически классифицируется неверно в различных подвыборках, оно маркируется как аномалия и исключается из дальн</w:t>
      </w:r>
      <w:r>
        <w:rPr>
          <w:rFonts w:ascii="Times New Roman" w:eastAsia="Times New Roman" w:hAnsi="Times New Roman" w:cs="Times New Roman"/>
          <w:sz w:val="28"/>
          <w:szCs w:val="28"/>
        </w:rPr>
        <w:t>ейшего рассмотрения. Такой подход позволяет самоочищать датасет в процессе обучения, однако, как и большинство ансамблевых решений, он сопряжен с серьезными вычислительными нагрузками. Обучение множества моделей для оценки каждого экземпляра требует значит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ельных мощностей, что может стать критическим барьером при обработке сверхбольших массивов биоинформационных данных. Более специфическую метрику сходства предложили исследователи в работе </w:t>
      </w:r>
      <w:hyperlink r:id="rId33">
        <w:r>
          <w:rPr>
            <w:rFonts w:ascii="Times New Roman" w:eastAsia="Times New Roman" w:hAnsi="Times New Roman" w:cs="Times New Roman"/>
            <w:sz w:val="28"/>
            <w:szCs w:val="28"/>
          </w:rPr>
          <w:t>[15]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внедрив индекс сходства Тверского (Tversky Similarity) для анализа взаимосвязей между объектами перед применением AdaBoost. Использование этой функции позволяет гибко настраивать значимость ложноположительных и ложноотрицательных результатов еще на этапе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змерения близости объектов, что крайне важно для медицинских задач. Тем не менее, эффективность такой модели по-прежнему ограничена ресурсоемкостью ансамблевого подхода. В качестве альтернативы, минимизирующей затраты на обучение, выступает алгоритм </w:t>
      </w:r>
      <w:hyperlink r:id="rId34">
        <w:r>
          <w:rPr>
            <w:rFonts w:ascii="Times New Roman" w:eastAsia="Times New Roman" w:hAnsi="Times New Roman" w:cs="Times New Roman"/>
            <w:sz w:val="28"/>
            <w:szCs w:val="28"/>
          </w:rPr>
          <w:t>[16]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акцентирующий внимание на геометрическом создании подвыборок. В отличие от тяжеловесных ансамблей, данный метод маркирует объекты на основе концепции связей Томека (Tomek links), что позволяет в</w:t>
      </w:r>
      <w:r>
        <w:rPr>
          <w:rFonts w:ascii="Times New Roman" w:eastAsia="Times New Roman" w:hAnsi="Times New Roman" w:cs="Times New Roman"/>
          <w:sz w:val="28"/>
          <w:szCs w:val="28"/>
        </w:rPr>
        <w:t>ыявлять пары ближайших соседей из разных классов и удалять представителей мажоритарной группы, создающих неопределенность на границе. Ключевым преимуществом здесь является отсутствие необходимости в предварительном обучении модели, однако такая независимос</w:t>
      </w:r>
      <w:r>
        <w:rPr>
          <w:rFonts w:ascii="Times New Roman" w:eastAsia="Times New Roman" w:hAnsi="Times New Roman" w:cs="Times New Roman"/>
          <w:sz w:val="28"/>
          <w:szCs w:val="28"/>
        </w:rPr>
        <w:t>ть делает метод крайне уязвимым к шуму: любое случайное попадание аномального объекта в пограничную зону может привести к необоснованному удалению значимых данных, критически важных для точной диагностики.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neltkt3eanul" w:colFirst="0" w:colLast="0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1.2 Модели прогнозирования выживаемости почечного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трансплантата: от классической статистики к алгоритмам машинного обучения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Описанные ранее вызовы биоинформатики, связанные с гетерогенностью и дисбалансом данных, находят свое наиболее острое проявление в сфере трансплантологии. Эффективная обработка мед</w:t>
      </w:r>
      <w:r>
        <w:rPr>
          <w:rFonts w:ascii="Times New Roman" w:eastAsia="Times New Roman" w:hAnsi="Times New Roman" w:cs="Times New Roman"/>
          <w:sz w:val="28"/>
          <w:szCs w:val="28"/>
        </w:rPr>
        <w:t>ицинской информации становится критически важной, когда речь идет о дефицитных ресурсах и сохранении жизни пациентов с тяжелыми патологиями. Одной из таких глобальных проблем является хроническая болезнь почек (ХБП), которая на текущий момент поражает 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9,1% населения мира </w:t>
      </w:r>
      <w:hyperlink r:id="rId35">
        <w:r>
          <w:rPr>
            <w:rFonts w:ascii="Times New Roman" w:eastAsia="Times New Roman" w:hAnsi="Times New Roman" w:cs="Times New Roman"/>
            <w:sz w:val="28"/>
            <w:szCs w:val="28"/>
          </w:rPr>
          <w:t>[17]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Однако эксперты сходятся во мнении, что реальная распространенность заболевания значительно выше: из-за дефицита программ массового скрининга и бессимптомного протека</w:t>
      </w:r>
      <w:r>
        <w:rPr>
          <w:rFonts w:ascii="Times New Roman" w:eastAsia="Times New Roman" w:hAnsi="Times New Roman" w:cs="Times New Roman"/>
          <w:sz w:val="28"/>
          <w:szCs w:val="28"/>
        </w:rPr>
        <w:t>ния ранних стадий, огромное количество случаев остается недиагностированным до момента наступления критических осложнений. Без своевременного высокотехнологичного вмешательства ХБП неизбежно прогрессирует до терминальной стадии почечной недостаточности (ES</w:t>
      </w:r>
      <w:r>
        <w:rPr>
          <w:rFonts w:ascii="Times New Roman" w:eastAsia="Times New Roman" w:hAnsi="Times New Roman" w:cs="Times New Roman"/>
          <w:sz w:val="28"/>
          <w:szCs w:val="28"/>
        </w:rPr>
        <w:t>KD), что не только радикально снижает качество жизни пациентов, но и ложится тяжелым финансовым бременем на системы здравоохранения</w:t>
      </w:r>
      <w:hyperlink r:id="rId36">
        <w:r>
          <w:rPr>
            <w:rFonts w:ascii="Times New Roman" w:eastAsia="Times New Roman" w:hAnsi="Times New Roman" w:cs="Times New Roman"/>
            <w:sz w:val="28"/>
            <w:szCs w:val="28"/>
          </w:rPr>
          <w:t>[18,19]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 число людей, нуждающихся в замести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тельной почечной терапии, превышает 2,5 млн и, согласно экспертным прогнозам, вырастет до 5,4 млн к 2030 году </w:t>
      </w:r>
      <w:hyperlink r:id="rId37">
        <w:r>
          <w:rPr>
            <w:rFonts w:ascii="Times New Roman" w:eastAsia="Times New Roman" w:hAnsi="Times New Roman" w:cs="Times New Roman"/>
            <w:sz w:val="28"/>
            <w:szCs w:val="28"/>
          </w:rPr>
          <w:t>[17]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Несмотря на то что трансплантация признана наиболее эффективным и экономически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оправданным методом лечения по сравнению с диализом, мир сталкивается с критическим и растущим дефицитом донорских органов. Статистика развитых стран подчеркивает масштаб проблемы: например, в США, лидирующих по числу проводимых операций (более 46 000 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023 году), лист ожидания по-прежнему насчитывает более 103 000 человек. Ежедневно в ожидании операции умирают в среднем 17 человек </w:t>
      </w:r>
      <w:hyperlink r:id="rId38">
        <w:r>
          <w:rPr>
            <w:rFonts w:ascii="Times New Roman" w:eastAsia="Times New Roman" w:hAnsi="Times New Roman" w:cs="Times New Roman"/>
            <w:sz w:val="28"/>
            <w:szCs w:val="28"/>
          </w:rPr>
          <w:t>[20]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этих условиях медицина переходит от парадигмы реактивно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лечения к стратегии максимально эффективного использования каждого имеющегося органа. Прогнозирование долгосрочного функционирования трансплантата позволяет врачам не только оптимизировать распределение органов из листа ожидания, но и заранее подбирать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персонализированную иммуносупрессивную терапию.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Традиционно золотым стандартом для прогнозирования выживаемости трансплантата выступает модель пропорциональных рисков Кокса (Cox PH). Её доминирование в крупных клинических исследованиях на протяжении десяти</w:t>
      </w:r>
      <w:r>
        <w:rPr>
          <w:rFonts w:ascii="Times New Roman" w:eastAsia="Times New Roman" w:hAnsi="Times New Roman" w:cs="Times New Roman"/>
          <w:sz w:val="28"/>
          <w:szCs w:val="28"/>
        </w:rPr>
        <w:t>летий объясняется не только надежностью, но и высокой интерпретируемостью коэффициентов, позволяющей врачам четко понимать влияние каждого фактора на риск потери органа.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недавнем исследовании </w:t>
      </w:r>
      <w:hyperlink r:id="rId39">
        <w:r>
          <w:rPr>
            <w:rFonts w:ascii="Times New Roman" w:eastAsia="Times New Roman" w:hAnsi="Times New Roman" w:cs="Times New Roman"/>
            <w:sz w:val="28"/>
            <w:szCs w:val="28"/>
          </w:rPr>
          <w:t>[21]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классическая Cox-регрессия в сочетании с анализом кривых Каплана–Майера была использована для определения ключевых детерминант выживаемости на критическом 10-летнем интервале, что позволило выявить долгосрочные паттерны износа графта. Дальнейшее 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тие статистического анализа в работах </w:t>
      </w:r>
      <w:hyperlink r:id="rId40">
        <w:r>
          <w:rPr>
            <w:rFonts w:ascii="Times New Roman" w:eastAsia="Times New Roman" w:hAnsi="Times New Roman" w:cs="Times New Roman"/>
            <w:sz w:val="28"/>
            <w:szCs w:val="28"/>
          </w:rPr>
          <w:t>[22]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показало эффективность модели Fine-Gray. Этот метод стал необходимым дополнением, так как он позволяет учитывать конкурирующие риски – ситуации, когда смерть пациента от причин, не связанных с почками, наступает раньше, чем происходит отторжение самого тр</w:t>
      </w:r>
      <w:r>
        <w:rPr>
          <w:rFonts w:ascii="Times New Roman" w:eastAsia="Times New Roman" w:hAnsi="Times New Roman" w:cs="Times New Roman"/>
          <w:sz w:val="28"/>
          <w:szCs w:val="28"/>
        </w:rPr>
        <w:t>ансплантата, что особенно актуально при сравнении исходов у пожилых и молодых групп населения.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Даже в наиболее актуальных работах текущего года, таких как исследование </w:t>
      </w:r>
      <w:hyperlink r:id="rId41">
        <w:r>
          <w:rPr>
            <w:rFonts w:ascii="Times New Roman" w:eastAsia="Times New Roman" w:hAnsi="Times New Roman" w:cs="Times New Roman"/>
            <w:sz w:val="28"/>
            <w:szCs w:val="28"/>
          </w:rPr>
          <w:t>[23]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наблюдается гибридны</w:t>
      </w:r>
      <w:r>
        <w:rPr>
          <w:rFonts w:ascii="Times New Roman" w:eastAsia="Times New Roman" w:hAnsi="Times New Roman" w:cs="Times New Roman"/>
          <w:sz w:val="28"/>
          <w:szCs w:val="28"/>
        </w:rPr>
        <w:t>й подход: анализ Кокса остается фундаментом для построения долгосрочных индексов, в то время как логистическая регрессия эффективно применяется для краткосрочной оценки вероятности задержки функции трансплантата (DGF) непосредственно в послеоперационный пе</w:t>
      </w:r>
      <w:r>
        <w:rPr>
          <w:rFonts w:ascii="Times New Roman" w:eastAsia="Times New Roman" w:hAnsi="Times New Roman" w:cs="Times New Roman"/>
          <w:sz w:val="28"/>
          <w:szCs w:val="28"/>
        </w:rPr>
        <w:t>риод.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 на прочный статистический фундамент, классические методы сталкиваются с «потолком» эффективности при работе с нелинейными зависимостями и сложными взаимодействиями признаков «донор-реципиент». Биологические системы редко подчиняются линейным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законам, и именно здесь методы машинного обучения (МО) демонстрируют свое превосходство. В отличие от жестко заданных статистических формул, алгоритмы МО способны к самообучению на огромных массивах гетерогенных данных, выявляя скрытые закономерности, кот</w:t>
      </w:r>
      <w:r>
        <w:rPr>
          <w:rFonts w:ascii="Times New Roman" w:eastAsia="Times New Roman" w:hAnsi="Times New Roman" w:cs="Times New Roman"/>
          <w:sz w:val="28"/>
          <w:szCs w:val="28"/>
        </w:rPr>
        <w:t>орые могут ускользать от традиционного анализа.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</w:t>
      </w:r>
      <w:hyperlink r:id="rId42">
        <w:r>
          <w:rPr>
            <w:rFonts w:ascii="Times New Roman" w:eastAsia="Times New Roman" w:hAnsi="Times New Roman" w:cs="Times New Roman"/>
            <w:sz w:val="28"/>
            <w:szCs w:val="28"/>
          </w:rPr>
          <w:t>[24]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стало важной вехой в этом переходе. Авторы успешно применили ансамблевые методы, такие как Random Forest и AdaBoost, а также ней</w:t>
      </w:r>
      <w:r>
        <w:rPr>
          <w:rFonts w:ascii="Times New Roman" w:eastAsia="Times New Roman" w:hAnsi="Times New Roman" w:cs="Times New Roman"/>
          <w:sz w:val="28"/>
          <w:szCs w:val="28"/>
        </w:rPr>
        <w:t>ронные сети и метод опорных векторов (SVM) для предикции рисков отторжения. В их работе логистическая регрессия использовалась уже не как основной инструмент, а как «baseline» – базовая точка отсчета, которую современные ML-модели стабильно превосходили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метрикам точности и полноты.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Современная трансплантология движется в сторону динамического мониторинга. Исследование </w:t>
      </w:r>
      <w:hyperlink r:id="rId43">
        <w:r>
          <w:rPr>
            <w:rFonts w:ascii="Times New Roman" w:eastAsia="Times New Roman" w:hAnsi="Times New Roman" w:cs="Times New Roman"/>
            <w:sz w:val="28"/>
            <w:szCs w:val="28"/>
          </w:rPr>
          <w:t>[25]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предложило инновационную двухэтапную ML-модель, которая отходит от стат</w:t>
      </w:r>
      <w:r>
        <w:rPr>
          <w:rFonts w:ascii="Times New Roman" w:eastAsia="Times New Roman" w:hAnsi="Times New Roman" w:cs="Times New Roman"/>
          <w:sz w:val="28"/>
          <w:szCs w:val="28"/>
        </w:rPr>
        <w:t>ичного прогноза «в момент операции». Используя передовые градиентные бустинги, такие как LightGBM, и специализированные архитектуры для табличных данных, такие как TabPFN, исследователи реализовали систему ежегодного обновления прогноза. Такая модель учиты</w:t>
      </w:r>
      <w:r>
        <w:rPr>
          <w:rFonts w:ascii="Times New Roman" w:eastAsia="Times New Roman" w:hAnsi="Times New Roman" w:cs="Times New Roman"/>
          <w:sz w:val="28"/>
          <w:szCs w:val="28"/>
        </w:rPr>
        <w:t>вает меняющиеся показатели здоровья пациента в течение всей жизни с трансплантатом, позволяя в реальном времени корректировать стратегию терапии при малейшем повышении риска потери органа или смерти пациента.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 к динамическому моделированию знаменует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собой качественный сдвиг в клинической практике, превращая статический прогноз в гибкий инструмент сопровождения пациента. В отличие от традиционных калькуляторов рисков, которые опираются исключительно на стационарные данные, зафиксированные в момент хир</w:t>
      </w:r>
      <w:r>
        <w:rPr>
          <w:rFonts w:ascii="Times New Roman" w:eastAsia="Times New Roman" w:hAnsi="Times New Roman" w:cs="Times New Roman"/>
          <w:sz w:val="28"/>
          <w:szCs w:val="28"/>
        </w:rPr>
        <w:t>ургического вмешательства, современный искусственный интеллект учитывает лабильность состояния реципиента. В посттрансплантационном периоде критически важные показатели – такие как скорость клубочковой фильтрации, концентрация иммуносупрессивных препаратов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крови и появление специфических антител – постоянно флуктуируют. Интеграция ИИ в медицинские информационные системы позволяет проводить непрерывный мониторинг этих изменений, обновляя прогностические оценки в режиме реального времени и сигнализируя врач</w:t>
      </w:r>
      <w:r>
        <w:rPr>
          <w:rFonts w:ascii="Times New Roman" w:eastAsia="Times New Roman" w:hAnsi="Times New Roman" w:cs="Times New Roman"/>
          <w:sz w:val="28"/>
          <w:szCs w:val="28"/>
        </w:rPr>
        <w:t>у о малейших отклонениях от нормы еще до манифестации клинических симптомов отторжения.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 этот вектор развития воплотился в ряде высокотехнологичных систем, которые уже находят применение в ведущих мировых клиниках. Одной из наиболее прод</w:t>
      </w:r>
      <w:r>
        <w:rPr>
          <w:rFonts w:ascii="Times New Roman" w:eastAsia="Times New Roman" w:hAnsi="Times New Roman" w:cs="Times New Roman"/>
          <w:sz w:val="28"/>
          <w:szCs w:val="28"/>
        </w:rPr>
        <w:t>винутых разработок является универсальная система iBox, которая интегрирует клинические, иммунологические и гистологические данные. Благодаря глубокому анализу морфологических изменений в ткани трансплантата, эта платформа обеспечивает беспрецедентную точн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ость долгосрочного прогнозирования, позволяя планировать стратегию ведения пациента на десятилетия вперед. Параллельно с ней функционирует инструмент OrganPredict </w:t>
      </w:r>
      <w:hyperlink r:id="rId44">
        <w:r>
          <w:rPr>
            <w:rFonts w:ascii="Times New Roman" w:eastAsia="Times New Roman" w:hAnsi="Times New Roman" w:cs="Times New Roman"/>
            <w:sz w:val="28"/>
            <w:szCs w:val="28"/>
          </w:rPr>
          <w:t>[26]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чья мощь базируется на ан</w:t>
      </w:r>
      <w:r>
        <w:rPr>
          <w:rFonts w:ascii="Times New Roman" w:eastAsia="Times New Roman" w:hAnsi="Times New Roman" w:cs="Times New Roman"/>
          <w:sz w:val="28"/>
          <w:szCs w:val="28"/>
        </w:rPr>
        <w:t>ализе колоссальных массивов данных из национальных регистров. Эта система специализируется на оценке рисков отторжения, выявляя тонкие статистические корреляции между характеристиками донора и реципиента, которые недоступны для человеческого восприятия.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просы оперативного контроля решаются с помощью системы поддержки принятия решений NephroCage </w:t>
      </w:r>
      <w:hyperlink r:id="rId45">
        <w:r>
          <w:rPr>
            <w:rFonts w:ascii="Times New Roman" w:eastAsia="Times New Roman" w:hAnsi="Times New Roman" w:cs="Times New Roman"/>
            <w:sz w:val="28"/>
            <w:szCs w:val="28"/>
          </w:rPr>
          <w:t>[27]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Ее архитектура сфокусирована на мониторинге функционального состояния графта, что позволяет вра</w:t>
      </w:r>
      <w:r>
        <w:rPr>
          <w:rFonts w:ascii="Times New Roman" w:eastAsia="Times New Roman" w:hAnsi="Times New Roman" w:cs="Times New Roman"/>
          <w:sz w:val="28"/>
          <w:szCs w:val="28"/>
        </w:rPr>
        <w:t>чам выявлять латентные осложнения на самых ранних этапах. В то же время технологическое развитие затрагивает не только клинический, но и коммуникативный аспект медицины. Интерактивное веб-приложение iChoose Kidney служит мостом между специалистом и пациент</w:t>
      </w:r>
      <w:r>
        <w:rPr>
          <w:rFonts w:ascii="Times New Roman" w:eastAsia="Times New Roman" w:hAnsi="Times New Roman" w:cs="Times New Roman"/>
          <w:sz w:val="28"/>
          <w:szCs w:val="28"/>
        </w:rPr>
        <w:t>ом, предоставляя возможность наглядного сравнения рисков и преимуществ трансплантации в прямой корреляции с альтернативным сценарием – продолжением диализа. Такая визуализация данных способствует принятию осознанных совместных решений, повышая приверженнос</w:t>
      </w:r>
      <w:r>
        <w:rPr>
          <w:rFonts w:ascii="Times New Roman" w:eastAsia="Times New Roman" w:hAnsi="Times New Roman" w:cs="Times New Roman"/>
          <w:sz w:val="28"/>
          <w:szCs w:val="28"/>
        </w:rPr>
        <w:t>ть пациента к лечению.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совокупности эти инструменты формируют экосистему прецизионной трансплантологии, где каждый орган используется с максимальной эффективностью, а риски минимизируются за счет предиктивного анализа данных. Однако внедрение таких систе</w:t>
      </w:r>
      <w:r>
        <w:rPr>
          <w:rFonts w:ascii="Times New Roman" w:eastAsia="Times New Roman" w:hAnsi="Times New Roman" w:cs="Times New Roman"/>
          <w:sz w:val="28"/>
          <w:szCs w:val="28"/>
        </w:rPr>
        <w:t>м в широкую практику требует решения тех самых проблем гетерогенности и дисбаланса данных, о которых шла речь в предыдущем разделе, поскольку точность любой из этих платформ напрямую зависит от качества обучающей выборки.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itudsmnc2kbb" w:colFirst="0" w:colLast="0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 Организация распределения и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ониторинга в соответствии с мировыми стандартами ведения трансплантационных баз данных 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современной трансплантации почки невозможна без глубокой интеграции специализированных информационных систем, обеспечивающих бесшовное сопровождение пациента на всех этапах: от момента первичной постановки в лист ожидания до пожизненного мони</w:t>
      </w:r>
      <w:r>
        <w:rPr>
          <w:rFonts w:ascii="Times New Roman" w:eastAsia="Times New Roman" w:hAnsi="Times New Roman" w:cs="Times New Roman"/>
          <w:sz w:val="28"/>
          <w:szCs w:val="28"/>
        </w:rPr>
        <w:t>торинга функции графта в посттрансплантационном периоде. Такие платформы представляют собой гибрид логистических инструментов и мощных аналитических модулей, что позволяет трансплантологам отслеживать клиническую траекторию пациента «от начала до конца»,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рактически исключая влияние субъективного человеческого фактора при распределении дефицитного донорского ресурса </w:t>
      </w:r>
      <w:hyperlink r:id="rId46">
        <w:r>
          <w:rPr>
            <w:rFonts w:ascii="Times New Roman" w:eastAsia="Times New Roman" w:hAnsi="Times New Roman" w:cs="Times New Roman"/>
            <w:sz w:val="28"/>
            <w:szCs w:val="28"/>
          </w:rPr>
          <w:t>[28]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Цифровизация этого процесса решает ряд критических задач. Во-первых, систем</w:t>
      </w:r>
      <w:r>
        <w:rPr>
          <w:rFonts w:ascii="Times New Roman" w:eastAsia="Times New Roman" w:hAnsi="Times New Roman" w:cs="Times New Roman"/>
          <w:sz w:val="28"/>
          <w:szCs w:val="28"/>
        </w:rPr>
        <w:t>ы автоматизируют сложнейшие протоколы тканевого типирования и перекрестного сопоставления (cross-match), обеспечивая мгновенный поиск оптимальных пар «донор-реципиент» среди тысяч кандидатов. Это не только ускоряет время принятия решения, которое в транспл</w:t>
      </w:r>
      <w:r>
        <w:rPr>
          <w:rFonts w:ascii="Times New Roman" w:eastAsia="Times New Roman" w:hAnsi="Times New Roman" w:cs="Times New Roman"/>
          <w:sz w:val="28"/>
          <w:szCs w:val="28"/>
        </w:rPr>
        <w:t>антологии измеряется часами, но и повышает биологическую совместимость, снижая риск первичного отторжения.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Во-вторых, информационные системы становятся фундаментом для реализации принципа «прозрачного листа ожидания». Централизованный учет клинических пока</w:t>
      </w:r>
      <w:r>
        <w:rPr>
          <w:rFonts w:ascii="Times New Roman" w:eastAsia="Times New Roman" w:hAnsi="Times New Roman" w:cs="Times New Roman"/>
          <w:sz w:val="28"/>
          <w:szCs w:val="28"/>
        </w:rPr>
        <w:t>зателей (уровень креатинина, степень сенсибилизации, наличие сопутствующих патологий) в режиме реального времени позволяет динамически пересчитывать приоритетность пациентов, основываясь на объективной тяжести их состояния и прогнозируемой пользе от операц</w:t>
      </w:r>
      <w:r>
        <w:rPr>
          <w:rFonts w:ascii="Times New Roman" w:eastAsia="Times New Roman" w:hAnsi="Times New Roman" w:cs="Times New Roman"/>
          <w:sz w:val="28"/>
          <w:szCs w:val="28"/>
        </w:rPr>
        <w:t>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В-третьих, в долгосрочной перспективе такие системы превращаются в «цифровую память» клиники. Накапливая огромные массивы данных о режимах иммуносупрессивной терапии и динамике функции почек у тысяч пациентов, они формируют уникальную базу для предикти</w:t>
      </w:r>
      <w:r>
        <w:rPr>
          <w:rFonts w:ascii="Times New Roman" w:eastAsia="Times New Roman" w:hAnsi="Times New Roman" w:cs="Times New Roman"/>
          <w:sz w:val="28"/>
          <w:szCs w:val="28"/>
        </w:rPr>
        <w:t>вной аналитики. Это создает условия для перехода от реактивного наблюдения к проактивному: система способна сигнализировать о скрытом ухудшении функции трансплантата еще до того, как изменения станут критическими и необратимыми.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Мировая практика выработала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несколько успешных моделей управления трансплантационными процессами, каждая из которых опирается на собственные высокотехнологичные базы данных:</w:t>
      </w:r>
    </w:p>
    <w:p w:rsidR="006B6DA6" w:rsidRDefault="005343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OrganMatch </w:t>
      </w:r>
      <w:hyperlink r:id="rId47">
        <w:r>
          <w:rPr>
            <w:rFonts w:ascii="Times New Roman" w:eastAsia="Times New Roman" w:hAnsi="Times New Roman" w:cs="Times New Roman"/>
            <w:sz w:val="28"/>
            <w:szCs w:val="28"/>
          </w:rPr>
          <w:t>[29]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(Австралия): Данная система пре</w:t>
      </w:r>
      <w:r>
        <w:rPr>
          <w:rFonts w:ascii="Times New Roman" w:eastAsia="Times New Roman" w:hAnsi="Times New Roman" w:cs="Times New Roman"/>
          <w:sz w:val="28"/>
          <w:szCs w:val="28"/>
        </w:rPr>
        <w:t>дставляет собой передовой национальный портал, обеспечивающий бесшовную интеграцию между клиническими центрами и лабораториями тканевого типирования по всей стране. Ключевой особенностью OrganMatch является сквозная автоматизация: данные о реципиенте импор</w:t>
      </w:r>
      <w:r>
        <w:rPr>
          <w:rFonts w:ascii="Times New Roman" w:eastAsia="Times New Roman" w:hAnsi="Times New Roman" w:cs="Times New Roman"/>
          <w:sz w:val="28"/>
          <w:szCs w:val="28"/>
        </w:rPr>
        <w:t>тируются из клинических систем напрямую, после чего профиль в реальном времени дополняется результатами лабораторных тестов (высокоточное HLA-типирование, мониторинг уровня специфических антител, группа крови).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Технологическое преимущество системы заключае</w:t>
      </w:r>
      <w:r>
        <w:rPr>
          <w:rFonts w:ascii="Times New Roman" w:eastAsia="Times New Roman" w:hAnsi="Times New Roman" w:cs="Times New Roman"/>
          <w:sz w:val="28"/>
          <w:szCs w:val="28"/>
        </w:rPr>
        <w:t>тся в способности проводить виртуальный кросс-матч (VXM). Вместо длительных физических тестов алгоритм мгновенно сопоставляет цифровой иммунологический профиль донора с характеристиками тысяч потенциальных реципиентов в базе. Это критически сокращает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холодовой ишемии органа и позволяет находить совместимые пары даже в самых сложных клинических случаях (например, для высокосенсибилизированных пациентов), что существенно снижает риск сверхострого отторжения.</w:t>
      </w:r>
    </w:p>
    <w:p w:rsidR="006B6DA6" w:rsidRDefault="005343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Eurotransplant </w:t>
      </w:r>
      <w:hyperlink r:id="rId48">
        <w:r>
          <w:rPr>
            <w:rFonts w:ascii="Times New Roman" w:eastAsia="Times New Roman" w:hAnsi="Times New Roman" w:cs="Times New Roman"/>
            <w:sz w:val="28"/>
            <w:szCs w:val="28"/>
          </w:rPr>
          <w:t>[30]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(Международная сеть): Это пример наиболее успешной трансграничной интеграции, координирующей обмен органами между восемью европейскими странами. Фундаментом организации служит централизованная база данных ENIS (Eurotran</w:t>
      </w:r>
      <w:r>
        <w:rPr>
          <w:rFonts w:ascii="Times New Roman" w:eastAsia="Times New Roman" w:hAnsi="Times New Roman" w:cs="Times New Roman"/>
          <w:sz w:val="28"/>
          <w:szCs w:val="28"/>
        </w:rPr>
        <w:t>splant Network Information System). В ней реализован принцип единого виртуального листа ожидания, что стирает государственные границы в вопросах спасения жизни.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Eurotransplant обеспечивает абсолютную прозрачность и этическую объективность: при появ</w:t>
      </w:r>
      <w:r>
        <w:rPr>
          <w:rFonts w:ascii="Times New Roman" w:eastAsia="Times New Roman" w:hAnsi="Times New Roman" w:cs="Times New Roman"/>
          <w:sz w:val="28"/>
          <w:szCs w:val="28"/>
        </w:rPr>
        <w:t>лении донора алгоритм автоматически генерирует «match-list» (список соответствия). Уникальность этого процесса в том, что приоритетность определяется не только временем ожидания, но и математически обоснованным «ожидаемым результатом»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expected outcome</w:t>
      </w:r>
      <w:r>
        <w:rPr>
          <w:rFonts w:ascii="Times New Roman" w:eastAsia="Times New Roman" w:hAnsi="Times New Roman" w:cs="Times New Roman"/>
          <w:sz w:val="28"/>
          <w:szCs w:val="28"/>
        </w:rPr>
        <w:t>). Система прогнозирует, какому реципиенту данный конкретный орган принесет максимальное количество лет качественной жизни. Такой подход позволяет достичь синергии между принципами справедливости (равный доступ) и эффективности (максимальная выживаемость г</w:t>
      </w:r>
      <w:r>
        <w:rPr>
          <w:rFonts w:ascii="Times New Roman" w:eastAsia="Times New Roman" w:hAnsi="Times New Roman" w:cs="Times New Roman"/>
          <w:sz w:val="28"/>
          <w:szCs w:val="28"/>
        </w:rPr>
        <w:t>рафта), что было бы невозможно без анализа колоссальных массивов исторических данных, накопленных в ENIS.</w:t>
      </w:r>
    </w:p>
    <w:p w:rsidR="006B6DA6" w:rsidRDefault="005343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Scandiatransplant </w:t>
      </w:r>
      <w:hyperlink r:id="rId49">
        <w:r>
          <w:rPr>
            <w:rFonts w:ascii="Times New Roman" w:eastAsia="Times New Roman" w:hAnsi="Times New Roman" w:cs="Times New Roman"/>
            <w:sz w:val="28"/>
            <w:szCs w:val="28"/>
          </w:rPr>
          <w:t>[31]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(Северная Европа): Подобно Eurotransplant, эта система объединяет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 Скандинавии, делая упор на открытость данных для научных исследований. Информационная платформа системы позволяет проводить глубокий ретроспективный анализ исходов, что помогает постоянно совершенствовать алгоритмы подбора. Благодаря высокому уровн</w:t>
      </w:r>
      <w:r>
        <w:rPr>
          <w:rFonts w:ascii="Times New Roman" w:eastAsia="Times New Roman" w:hAnsi="Times New Roman" w:cs="Times New Roman"/>
          <w:sz w:val="28"/>
          <w:szCs w:val="28"/>
        </w:rPr>
        <w:t>ю цифровизации, страны-участницы достигли одних из самых высоких показателей выживаемости трансплантатов в мире, так как база данных позволяет учитывать редкие генетические комбинации, характерные для северных популяций.</w:t>
      </w:r>
    </w:p>
    <w:p w:rsidR="006B6DA6" w:rsidRDefault="00534340">
      <w:pPr>
        <w:numPr>
          <w:ilvl w:val="0"/>
          <w:numId w:val="2"/>
        </w:num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в мировой архитектуре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занимает OPTN (Organ Procurement and Transplantation Network) </w:t>
      </w:r>
      <w:hyperlink r:id="rId50">
        <w:r>
          <w:rPr>
            <w:rFonts w:ascii="Times New Roman" w:eastAsia="Times New Roman" w:hAnsi="Times New Roman" w:cs="Times New Roman"/>
            <w:sz w:val="28"/>
            <w:szCs w:val="28"/>
          </w:rPr>
          <w:t>[32]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- это не просто логистическая система распределения, но и крупнейшая в мире специализированная база данных в области тра</w:t>
      </w:r>
      <w:r>
        <w:rPr>
          <w:rFonts w:ascii="Times New Roman" w:eastAsia="Times New Roman" w:hAnsi="Times New Roman" w:cs="Times New Roman"/>
          <w:sz w:val="28"/>
          <w:szCs w:val="28"/>
        </w:rPr>
        <w:t>нсплантологии. Находясь под управлением некоммерческой организации UNOS (United Network for Organ Sharing), она аккумулирует исчерпывающую информацию о каждой операции по пересадке органов, произведенной в США с 1987 года. Благодаря высокотехнологичной обл</w:t>
      </w:r>
      <w:r>
        <w:rPr>
          <w:rFonts w:ascii="Times New Roman" w:eastAsia="Times New Roman" w:hAnsi="Times New Roman" w:cs="Times New Roman"/>
          <w:sz w:val="28"/>
          <w:szCs w:val="28"/>
        </w:rPr>
        <w:t>ачной платформе UNet, OPTN обеспечивает непрерывный сквозной контроль за состоянием пациента на всех ключевых этапах:</w:t>
      </w:r>
    </w:p>
    <w:p w:rsidR="006B6DA6" w:rsidRDefault="00534340">
      <w:pPr>
        <w:numPr>
          <w:ilvl w:val="0"/>
          <w:numId w:val="8"/>
        </w:num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этапе ожидания (Waiting List): Система осуществляет глубокий сбор клинических данных, включая детализированные сведения о тяжести состо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яния пациента и уровне его иммунологической сенсибилизации. Ключевым параметром здесь выступает индекс CPRA (Calculated Panel Reactive Antibody) </w:t>
      </w:r>
      <w:hyperlink r:id="rId51">
        <w:r>
          <w:rPr>
            <w:rFonts w:ascii="Times New Roman" w:eastAsia="Times New Roman" w:hAnsi="Times New Roman" w:cs="Times New Roman"/>
            <w:sz w:val="28"/>
            <w:szCs w:val="28"/>
          </w:rPr>
          <w:t>[33]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Он позволяет математически оценить вероятно</w:t>
      </w:r>
      <w:r>
        <w:rPr>
          <w:rFonts w:ascii="Times New Roman" w:eastAsia="Times New Roman" w:hAnsi="Times New Roman" w:cs="Times New Roman"/>
          <w:sz w:val="28"/>
          <w:szCs w:val="28"/>
        </w:rPr>
        <w:t>сть нахождения совместимого донора для высокосенсибилизированных пациентов, чья иммунная система вырабатывает антитела против широкого спектра донорских белков. Это гарантирует, что даже самые сложные категории пациентов получают справедливый шанс на опера</w:t>
      </w:r>
      <w:r>
        <w:rPr>
          <w:rFonts w:ascii="Times New Roman" w:eastAsia="Times New Roman" w:hAnsi="Times New Roman" w:cs="Times New Roman"/>
          <w:sz w:val="28"/>
          <w:szCs w:val="28"/>
        </w:rPr>
        <w:t>цию.</w:t>
      </w:r>
    </w:p>
    <w:p w:rsidR="006B6DA6" w:rsidRDefault="00534340">
      <w:pPr>
        <w:numPr>
          <w:ilvl w:val="0"/>
          <w:numId w:val="8"/>
        </w:num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подбора (Matching process): Внедрение предиктивных метрик позволяет превратить процесс распределения органов в высокоточную научную задачу. Инструмент KDPI (Kidney Donor Profile Index) </w:t>
      </w:r>
      <w:hyperlink r:id="rId52">
        <w:r>
          <w:rPr>
            <w:rFonts w:ascii="Times New Roman" w:eastAsia="Times New Roman" w:hAnsi="Times New Roman" w:cs="Times New Roman"/>
            <w:sz w:val="28"/>
            <w:szCs w:val="28"/>
          </w:rPr>
          <w:t>[34]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дает комплексную оценку качества донорской почки, суммируя возраст, показатели функции почек и наличие сопутствующих заболеваний у донора. Параллельно рассчитывается индекс EPTS (Estimated Post-Transplant Survival) </w:t>
      </w:r>
      <w:hyperlink r:id="rId53">
        <w:r>
          <w:rPr>
            <w:rFonts w:ascii="Times New Roman" w:eastAsia="Times New Roman" w:hAnsi="Times New Roman" w:cs="Times New Roman"/>
            <w:sz w:val="28"/>
            <w:szCs w:val="28"/>
          </w:rPr>
          <w:t>[35]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прогнозирующий выживаемость самого реципиента. Сопоставление этих данных позволяет реализовать стратегию «лучший орган – пациенту с наибольшим потенциалом долголетия», что максимизирует общественную пользу от каждого </w:t>
      </w:r>
      <w:r>
        <w:rPr>
          <w:rFonts w:ascii="Times New Roman" w:eastAsia="Times New Roman" w:hAnsi="Times New Roman" w:cs="Times New Roman"/>
          <w:sz w:val="28"/>
          <w:szCs w:val="28"/>
        </w:rPr>
        <w:t>доступного ресурса.</w:t>
      </w:r>
    </w:p>
    <w:p w:rsidR="006B6DA6" w:rsidRDefault="00534340">
      <w:pPr>
        <w:numPr>
          <w:ilvl w:val="0"/>
          <w:numId w:val="8"/>
        </w:num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посттрансплантационном периоде (Follow-up): Система ведет строгий пожизненный учет клинических исходов. Это позволяет исследователям проводить крупномасштабные ретроспективные анализы, оценивать эффективность инновационных схем иммуно</w:t>
      </w:r>
      <w:r>
        <w:rPr>
          <w:rFonts w:ascii="Times New Roman" w:eastAsia="Times New Roman" w:hAnsi="Times New Roman" w:cs="Times New Roman"/>
          <w:sz w:val="28"/>
          <w:szCs w:val="28"/>
        </w:rPr>
        <w:t>супрессивной терапии и выявлять латентные факторы риска, влияющие на долгосрочную работу графта. База данных UNOS/OPTN фактически служит «золотым стандартом» для мирового научного сообщества: именно на её основе разрабатываются и тестируются новые 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ы машинного обучения, способные предсказывать отторжение на ранних стадиях.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таких глобальных регистров, как OPTN, Eurotransplant, Scandiatransplant, и высокотехнологичных информационных систем уровня OrganMatch, знаменует собой переход от фрагмента</w:t>
      </w:r>
      <w:r>
        <w:rPr>
          <w:rFonts w:ascii="Times New Roman" w:eastAsia="Times New Roman" w:hAnsi="Times New Roman" w:cs="Times New Roman"/>
          <w:sz w:val="28"/>
          <w:szCs w:val="28"/>
        </w:rPr>
        <w:t>рного накопления медицинских записей к формированию единых структурированных потоков «больших данных». Для научного сообщества эти базы данных становятся бесценным фундаментом для обучения и валидации алгоритмов машинного обучения, подробно рассмотренных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предыдущих разделах. Благодаря стандартизации переменных и огромному объему выборок, охватывающему десятилетия наблюдений, исследователи получают возможность видеть целостную «клиническую биографию» пациента – от генетического профиля и факторов риска дон</w:t>
      </w:r>
      <w:r>
        <w:rPr>
          <w:rFonts w:ascii="Times New Roman" w:eastAsia="Times New Roman" w:hAnsi="Times New Roman" w:cs="Times New Roman"/>
          <w:sz w:val="28"/>
          <w:szCs w:val="28"/>
        </w:rPr>
        <w:t>ора до отдаленных исходов спустя 20–30 лет после операции.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подобных массивов данных позволяет переходить от статичных прогностических моделей к динамическим системам поддержки принятия врачебных решений. Современные алгоритмы, обученные на базе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регистров, способны:</w:t>
      </w:r>
    </w:p>
    <w:p w:rsidR="006B6DA6" w:rsidRDefault="00534340">
      <w:pPr>
        <w:numPr>
          <w:ilvl w:val="0"/>
          <w:numId w:val="9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Идентифицировать скрытые предикторы отторжения: выявлять тонкие корреляции между редкими комбинациями HLA-антигенов и долгосрочной выживаемостью, которые невозможно обнаружить на малых клинических выборках.</w:t>
      </w:r>
    </w:p>
    <w:p w:rsidR="006B6DA6" w:rsidRDefault="00534340">
      <w:pPr>
        <w:numPr>
          <w:ilvl w:val="0"/>
          <w:numId w:val="9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Оптимизировать протоколы имм</w:t>
      </w:r>
      <w:r>
        <w:rPr>
          <w:rFonts w:ascii="Times New Roman" w:eastAsia="Times New Roman" w:hAnsi="Times New Roman" w:cs="Times New Roman"/>
          <w:sz w:val="28"/>
          <w:szCs w:val="28"/>
        </w:rPr>
        <w:t>уносупрессии: на основе исторического опыта тысяч пациентов подбирать персонализированную дозировку препаратов, минимизирующую побочные эффекты (нефротоксичность, инфекции) при сохранении функции графта.</w:t>
      </w:r>
    </w:p>
    <w:p w:rsidR="006B6DA6" w:rsidRDefault="00534340">
      <w:pPr>
        <w:numPr>
          <w:ilvl w:val="0"/>
          <w:numId w:val="9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Прогнозировать «вторичные» риски: предсказывать веро</w:t>
      </w:r>
      <w:r>
        <w:rPr>
          <w:rFonts w:ascii="Times New Roman" w:eastAsia="Times New Roman" w:hAnsi="Times New Roman" w:cs="Times New Roman"/>
          <w:sz w:val="28"/>
          <w:szCs w:val="28"/>
        </w:rPr>
        <w:t>ятность развития сердечно-сосудистых осложнений или посттрансплантационного диабета, что позволяет врачу начать профилактическую терапию задолго до манифестации симптомов.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того, глобальные регистры обеспечивают беспрецедентный уровень доказательности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 Они позволяют проводить сравнительный анализ различных национальных стратегий распределения органов, выявляя наиболее эффективные практики и способствуя их внедрению во всем мире.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современные системы мониторинга и международные базы данных формируют цифровую экосистему персонализированной трансплантологии. В этой системе информационные технологии перестают быть просто инструментами учета, становясь активным гарантом с</w:t>
      </w:r>
      <w:r>
        <w:rPr>
          <w:rFonts w:ascii="Times New Roman" w:eastAsia="Times New Roman" w:hAnsi="Times New Roman" w:cs="Times New Roman"/>
          <w:sz w:val="28"/>
          <w:szCs w:val="28"/>
        </w:rPr>
        <w:t>праведливости распределения дефицитных ресурсов, биотехнологической безопасности и достижения максимально возможной выживаемости и качества жизни пациентов. Это создает надежную базу для дальнейшего внедрения ИИ-решений, делая процесс лечения прозрачным, п</w:t>
      </w:r>
      <w:r>
        <w:rPr>
          <w:rFonts w:ascii="Times New Roman" w:eastAsia="Times New Roman" w:hAnsi="Times New Roman" w:cs="Times New Roman"/>
          <w:sz w:val="28"/>
          <w:szCs w:val="28"/>
        </w:rPr>
        <w:t>редсказуемым и высокоэффективным.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v5s9tn3q3ssn" w:colFirst="0" w:colLast="0"/>
      <w:bookmarkEnd w:id="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 Заключение по первому разделу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Проведенный обзор существующих методов и программных пакетов подтверждает, что внедрение систем предиктивной аналитики и обработки больших медицинских данных является стратегически приор</w:t>
      </w:r>
      <w:r>
        <w:rPr>
          <w:rFonts w:ascii="Times New Roman" w:eastAsia="Times New Roman" w:hAnsi="Times New Roman" w:cs="Times New Roman"/>
          <w:sz w:val="28"/>
          <w:szCs w:val="28"/>
        </w:rPr>
        <w:t>итетным направлением для развития современного здравоохранения. Анализ подходов к балансировке классов показал, что естественный дисбаланс и высокая гетерогенность медицинских данных требуют перехода от механических методов обработки к интеллектуальным алг</w:t>
      </w:r>
      <w:r>
        <w:rPr>
          <w:rFonts w:ascii="Times New Roman" w:eastAsia="Times New Roman" w:hAnsi="Times New Roman" w:cs="Times New Roman"/>
          <w:sz w:val="28"/>
          <w:szCs w:val="28"/>
        </w:rPr>
        <w:t>оритмам отбора, таким как кластерная субдискретизация, гибридные архитектуры и ансамблевое обучение. Использование данных методов позволяет минимизировать риски предвзятости моделей и сохранять редкие, но биологически значимые закономерности, что критическ</w:t>
      </w:r>
      <w:r>
        <w:rPr>
          <w:rFonts w:ascii="Times New Roman" w:eastAsia="Times New Roman" w:hAnsi="Times New Roman" w:cs="Times New Roman"/>
          <w:sz w:val="28"/>
          <w:szCs w:val="28"/>
        </w:rPr>
        <w:t>и важно для точности клинической диагностики.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сфере трансплантологии наблюдается эволюционный переход от классических статистических моделей выживаемости (модель Кокса, анализ Каплана–Майера) к алгоритмам динамического машинного обучения и высокотехнолог</w:t>
      </w:r>
      <w:r>
        <w:rPr>
          <w:rFonts w:ascii="Times New Roman" w:eastAsia="Times New Roman" w:hAnsi="Times New Roman" w:cs="Times New Roman"/>
          <w:sz w:val="28"/>
          <w:szCs w:val="28"/>
        </w:rPr>
        <w:t>ичным системам поддержки принятия решений (iBox, OrganPredict, NephroCage). Применение нейронных сетей и градиентного бустинга позволяет учитывать нелинейные зависимости и лабильность состояния реципиента в посттрансплантационном периоде, превращая статиче</w:t>
      </w:r>
      <w:r>
        <w:rPr>
          <w:rFonts w:ascii="Times New Roman" w:eastAsia="Times New Roman" w:hAnsi="Times New Roman" w:cs="Times New Roman"/>
          <w:sz w:val="28"/>
          <w:szCs w:val="28"/>
        </w:rPr>
        <w:t>ский прогноз в гибкий инструмент непрерывного мониторинга.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Фундаментом для реализации этих инноваций выступает глобальная цифровая инфраструктура — международные регистры и информационные системы (OPTN, Eurotransplant, Scandiatransplant, OrganMatch). Они о</w:t>
      </w:r>
      <w:r>
        <w:rPr>
          <w:rFonts w:ascii="Times New Roman" w:eastAsia="Times New Roman" w:hAnsi="Times New Roman" w:cs="Times New Roman"/>
          <w:sz w:val="28"/>
          <w:szCs w:val="28"/>
        </w:rPr>
        <w:t>беспечивают бесшовную интеграцию клинических данных, автоматизацию подбора пар «донор-реципиент» и формирование стандартизированных «больших данных», необходимых для обучения прецизионных моделей искусственного интеллекта.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54"/>
          <w:footerReference w:type="default" r:id="rId55"/>
          <w:headerReference w:type="first" r:id="rId56"/>
          <w:footerReference w:type="first" r:id="rId57"/>
          <w:pgSz w:w="11909" w:h="16834"/>
          <w:pgMar w:top="1133" w:right="566" w:bottom="1133" w:left="17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В совокупности рассмотренные технологии и стандарты формируют единую цифровую экосистему персонализированной трансплантологии. В этой системе информационные технологии становятся гарантом справедливости распределения дефицитных донорских ресурсов, прозрачн</w:t>
      </w:r>
      <w:r>
        <w:rPr>
          <w:rFonts w:ascii="Times New Roman" w:eastAsia="Times New Roman" w:hAnsi="Times New Roman" w:cs="Times New Roman"/>
          <w:sz w:val="28"/>
          <w:szCs w:val="28"/>
        </w:rPr>
        <w:t>ости лечебного процесса и достижения максимально возможной выживаемости и качества жизни пациентов.</w:t>
      </w:r>
    </w:p>
    <w:p w:rsidR="006B6DA6" w:rsidRPr="00CA4A2E" w:rsidRDefault="00534340">
      <w:pPr>
        <w:pStyle w:val="1"/>
        <w:keepNext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8" w:name="_g2yq06uoh1tr" w:colFirst="0" w:colLast="0"/>
      <w:bookmarkEnd w:id="8"/>
      <w:r w:rsidRPr="00CA4A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</w:t>
      </w:r>
      <w:r w:rsidRPr="00CA4A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МЕТОДА</w:t>
      </w:r>
      <w:r w:rsidRPr="00CA4A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БАЛАНСИРОВКИ</w:t>
      </w:r>
      <w:r w:rsidRPr="00CA4A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КЛАССОВ</w:t>
      </w:r>
      <w:r w:rsidRPr="00CA4A2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NAUS (NOISE-AWARE UNDERSAMPLING WITH SUBSAMPLING) </w:t>
      </w:r>
    </w:p>
    <w:p w:rsidR="006B6DA6" w:rsidRPr="00CA4A2E" w:rsidRDefault="006B6DA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6B6DA6" w:rsidRDefault="00534340">
      <w:pPr>
        <w:pStyle w:val="2"/>
        <w:spacing w:before="0"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207svgtq92li" w:colFirst="0" w:colLast="0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Методология и архитектура алгоритма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метода Noise-Aware Undersampling with Subsampling (NAUS) была продиктована необходимостью создания устойчивого алгоритма, способного эффективно работать в условиях «загрязненных» данных </w:t>
      </w:r>
      <w:hyperlink r:id="rId58">
        <w:r>
          <w:rPr>
            <w:rFonts w:ascii="Times New Roman" w:eastAsia="Times New Roman" w:hAnsi="Times New Roman" w:cs="Times New Roman"/>
            <w:sz w:val="28"/>
            <w:szCs w:val="28"/>
          </w:rPr>
          <w:t>[36]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Основная проблема классических методов субдискретизации (например, Random Undersampling) заключается в риске удаления важных информативных объектов, в то время как более сложные методы часто игнорируют наличие шума и перекрывающихся границ классов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Архитектура NAUS представляет собой конвейерную обработку данных (pipeline), состоящую из трех последовательных этапов. Его ключевая особенность заключается в многоуровневом анализе данных: от фильтрации шума на основе вероятностных характеристик до оцен</w:t>
      </w:r>
      <w:r>
        <w:rPr>
          <w:rFonts w:ascii="Times New Roman" w:eastAsia="Times New Roman" w:hAnsi="Times New Roman" w:cs="Times New Roman"/>
          <w:sz w:val="28"/>
          <w:szCs w:val="28"/>
        </w:rPr>
        <w:t>ки значимости объектов в различных подпространствах признаков. Такое разделение помогает поэтапно устранять негативные факторы, влияющие на классификацию. Визуальное представление структуры метода представлено на рисунке 1.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630662" cy="3133342"/>
            <wp:effectExtent l="0" t="0" r="0" b="0"/>
            <wp:docPr id="28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0662" cy="31333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Pr="00CA4A2E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1.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</w:t>
      </w:r>
      <w:r w:rsidRPr="00CA4A2E">
        <w:rPr>
          <w:rFonts w:ascii="Times New Roman" w:eastAsia="Times New Roman" w:hAnsi="Times New Roman" w:cs="Times New Roman"/>
          <w:sz w:val="28"/>
          <w:szCs w:val="28"/>
          <w:lang w:val="en-US"/>
        </w:rPr>
        <w:t>ise-Aware Undersampling with Subsampling (NAUS)</w:t>
      </w:r>
    </w:p>
    <w:p w:rsidR="006B6DA6" w:rsidRPr="00CA4A2E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удаления шума предназначен для исключения аномалий и ошибочно размеченных наблюдений, которые могут искажать границы классификационных моделей. В основе данного этапа лежит идея метода фильтрации апос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териорной вероятности, предложенный Van Hulse et al. </w:t>
      </w:r>
      <w:hyperlink r:id="rId60">
        <w:r>
          <w:rPr>
            <w:rFonts w:ascii="Times New Roman" w:eastAsia="Times New Roman" w:hAnsi="Times New Roman" w:cs="Times New Roman"/>
            <w:sz w:val="28"/>
            <w:szCs w:val="28"/>
          </w:rPr>
          <w:t>[37]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Для каждого объекта вычисляются апостериорная вероятность принадлежности к противоположному классу. Вычисление априорной вероятности уч</w:t>
      </w:r>
      <w:r>
        <w:rPr>
          <w:rFonts w:ascii="Times New Roman" w:eastAsia="Times New Roman" w:hAnsi="Times New Roman" w:cs="Times New Roman"/>
          <w:sz w:val="28"/>
          <w:szCs w:val="28"/>
        </w:rPr>
        <w:t>итывает исходные показатели размера классов на соотношении по формуле 1.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6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15"/>
        <w:gridCol w:w="585"/>
      </w:tblGrid>
      <w:tr w:rsidR="006B6DA6">
        <w:tc>
          <w:tcPr>
            <w:tcW w:w="90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P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58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(1)</w:t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рассматриваемый класс,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N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все элементы набора данных,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элементы принадлежащие определенному классу, i - мажоритарный или миноритарный класс.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свою очередь условные вероятности с предположением о принадлежности элемента к классу рассматриваются методом максимального правдоподобия по формуле 2.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6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15"/>
        <w:gridCol w:w="585"/>
      </w:tblGrid>
      <w:tr w:rsidR="006B6DA6">
        <w:tc>
          <w:tcPr>
            <w:tcW w:w="90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P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|</m:t>
                </m:r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π</m:t>
                        </m:r>
                        <m:sSubSup>
                          <m:sSubSup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e>
                    </m:rad>
                  </m:den>
                </m:f>
                <m:sSup>
                  <m:sSup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sup>
                </m:sSup>
              </m:oMath>
            </m:oMathPara>
          </w:p>
        </w:tc>
        <w:tc>
          <w:tcPr>
            <w:tcW w:w="58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(2)</w:t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элемент набора данных,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рассматриваемый класс, (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) - параметры распределения класса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Вычисление апостериорной вероятности рассмотрено методом Байеса по формуле 3.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6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15"/>
        <w:gridCol w:w="585"/>
      </w:tblGrid>
      <w:tr w:rsidR="006B6DA6">
        <w:tc>
          <w:tcPr>
            <w:tcW w:w="90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P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|</m:t>
                </m:r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)⋅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|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)⋅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|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)+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bar>
                          <m:bar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bar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j</m:t>
                            </m:r>
                          </m:e>
                        </m:ba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)⋅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P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|</m:t>
                    </m:r>
                    <m:sSub>
                      <m:sSub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bar>
                          <m:bar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barPr>
                          <m:e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j</m:t>
                            </m:r>
                          </m:e>
                        </m:bar>
                      </m:sub>
                    </m:s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58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(3)</w:t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элемент набора данных,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рассматриваемый класс,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bar>
              <m:barPr>
                <m:ctrl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j</m:t>
                </m:r>
              </m:e>
            </m:ba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противоположный рассматриваемому класс,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P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|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j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)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P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|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C</m:t>
            </m:r>
          </m:e>
          <m:sub>
            <m:bar>
              <m:barPr>
                <m:ctrl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j</m:t>
                </m:r>
              </m:e>
            </m:ba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)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априорные вероятности для элемента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Полученные наблюдения проходят сортировку, после которой в зависимости от типа распределения данные исключаютс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по пороговым значениям, представленным либо в формате стандартного отклонения </w:t>
      </w:r>
      <m:oMath>
        <m:r>
          <w:rPr>
            <w:rFonts w:ascii="Cambria Math" w:hAnsi="Cambria Math"/>
          </w:rPr>
          <m:t>σ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>, либо в процентном соотношении к общему количеству объектов. При наличии нормального распределения применяется стандартное отклонение и в зависимости от качества данных могу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рассматриваться следующие пороги принятия решения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{3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σ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;2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σ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;1.5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σ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}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превышение которых приводит к исключению из выборки. Использование процентного подхода обеспечивает независимость от вида распределения и более точный контроль над степенью очистки. Подбор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пороговых значений осуществляется и с учетом уровня зашумленности данных, что обеспечивает адаптивность и устойчивость процедуры фильтрации. Схематичное представление модуля очистки и визуализация критериев подбора гиперпараметров представлена на рисунке 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504063" cy="3286406"/>
            <wp:effectExtent l="0" t="0" r="0" b="0"/>
            <wp:docPr id="12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4063" cy="32864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2. Визуализация модуля очистки данных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первичной балансировки классов реализует исключение объектов мажоритарного класса, находящихся в зонах перекрытия групп, и базируется на методе Local Granularity Subspaces в сочетании с идентифик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ацией пар Tomek-links из метода Dai et al. </w:t>
      </w:r>
      <w:hyperlink r:id="rId62">
        <w:r>
          <w:rPr>
            <w:rFonts w:ascii="Times New Roman" w:eastAsia="Times New Roman" w:hAnsi="Times New Roman" w:cs="Times New Roman"/>
            <w:sz w:val="28"/>
            <w:szCs w:val="28"/>
          </w:rPr>
          <w:t>[16]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Данный подход направлен на повышение разнообразия данных, что способствует повышению обобщающей способности последующих классификационных моделей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Первым шагом является принцип Local Granularity Subspaces заключается в последовательном формировании подпространств признаков для анализа локальной структуры данных.Пусть исходный набор данных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X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={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, ... ,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}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содержит пространство признаков 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мерностью n. При создании подвыборок каждый признак поочередно исключается: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={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 xml:space="preserve">, ..., 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}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={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 xml:space="preserve">, ..., 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}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, …,  </w:t>
      </w:r>
      <m:oMath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={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 xml:space="preserve">, ..., </m:t>
        </m:r>
        <m:sSub>
          <m:sSubPr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n</m:t>
            </m:r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-1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</w:rPr>
          <m:t>}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>. В итоге создается n выборок с одинаковым количеством но разным составом признаков, что полезно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избежания переобучения и увеличивает разнообразие данных.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следующем этапе для каждой подвыборки независимо применяется процедура идентификации пар Tomek-link, представляющие собой пары взаимно ближайших объектов, принадлежащих к различным классам. Такие пары рассматриваются как индикаторы областей перекрытия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лассов. При данных парах, те что относятся к классу большинству маркируются </w:t>
      </w:r>
      <m:oMath>
        <m:r>
          <w:rPr>
            <w:rFonts w:ascii="Cambria Math" w:hAnsi="Cambria Math"/>
          </w:rPr>
          <m:t>λ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=1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, а все остальные </w:t>
      </w:r>
      <m:oMath>
        <m:r>
          <w:rPr>
            <w:rFonts w:ascii="Cambria Math" w:hAnsi="Cambria Math"/>
          </w:rPr>
          <m:t>λ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=0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. При поиске по всем подвыборкам составляется список с маркерами каждого наблюдения по принципу данного </w:t>
      </w:r>
      <m:oMath>
        <m:r>
          <w:rPr>
            <w:rFonts w:ascii="Cambria Math" w:hAnsi="Cambria Math"/>
          </w:rPr>
          <m:t>δ</m:t>
        </m:r>
        <m:r>
          <w:rPr>
            <w:rFonts w:ascii="Times New Roman" w:eastAsia="Times New Roman" w:hAnsi="Times New Roman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Times New Roman" w:eastAsia="Times New Roman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Times New Roman" w:eastAsia="Times New Roman" w:hAnsi="Times New Roman" w:cs="Times New Roman"/>
                <w:sz w:val="28"/>
                <w:szCs w:val="28"/>
              </w:rPr>
              <m:t xml:space="preserve">, ..., </m:t>
            </m:r>
            <m:sSub>
              <m:sSubPr>
                <m:ctrl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m</m:t>
                </m:r>
              </m:sub>
            </m:sSub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осуществляется агрег</w:t>
      </w:r>
      <w:r>
        <w:rPr>
          <w:rFonts w:ascii="Times New Roman" w:eastAsia="Times New Roman" w:hAnsi="Times New Roman" w:cs="Times New Roman"/>
          <w:sz w:val="28"/>
          <w:szCs w:val="28"/>
        </w:rPr>
        <w:t>ация локальных маркеров по всем подвыборкам. При выявлении конечных маркеров необходимо суммировать значения по всем подвыборкам по формуле.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96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15"/>
        <w:gridCol w:w="585"/>
      </w:tblGrid>
      <w:tr w:rsidR="006B6DA6">
        <w:tc>
          <w:tcPr>
            <w:tcW w:w="90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M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n</m:t>
                    </m:r>
                  </m:sup>
                  <m:e/>
                </m:nary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8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(4)</w:t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/>
          </w:rPr>
          <m:t>δ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списки с локальными маркерами для каждой подвыборки,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n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подвыборок.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 превышении итоговым маркером заранее заданного порогового значения наблюдение считается нестабильным и подлежащим удалению из обучающей выборки. Такой механизм обеспечив</w:t>
      </w:r>
      <w:r>
        <w:rPr>
          <w:rFonts w:ascii="Times New Roman" w:eastAsia="Times New Roman" w:hAnsi="Times New Roman" w:cs="Times New Roman"/>
          <w:sz w:val="28"/>
          <w:szCs w:val="28"/>
        </w:rPr>
        <w:t>ает селективное извлечение преимущественно тех объектов мажоритарного класса, которые схематически попадают в зоны перекрытия, тем самым способствуя формированию более четкой границы между классами. На рисунке 3 схематично представлен модуль балансировки к</w:t>
      </w:r>
      <w:r>
        <w:rPr>
          <w:rFonts w:ascii="Times New Roman" w:eastAsia="Times New Roman" w:hAnsi="Times New Roman" w:cs="Times New Roman"/>
          <w:sz w:val="28"/>
          <w:szCs w:val="28"/>
        </w:rPr>
        <w:t>лассов при помощи Local Granularity Subspaces в сочетании с Tomek-links.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554890" cy="4473777"/>
            <wp:effectExtent l="0" t="0" r="0" b="0"/>
            <wp:docPr id="42" name="image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890" cy="4473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3. Визуализация первого модуля балансировки классов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Модуль вторичной балансировки применим для случаев, когда после первого этапа сохраняется дисбаланс данных и заданное </w:t>
      </w:r>
      <w:r>
        <w:rPr>
          <w:rFonts w:ascii="Times New Roman" w:eastAsia="Times New Roman" w:hAnsi="Times New Roman" w:cs="Times New Roman"/>
          <w:sz w:val="28"/>
          <w:szCs w:val="28"/>
        </w:rPr>
        <w:t>соотношение не достигается. В отличие от первого метода, сфокусированного на областях перекрытия классов, второй придерживается стратегии разреживания областей высокой плотности наблюдений мажоритарного класса, что позволяет более равномерно распределить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бъекты в пространстве признаков и снизить локальную избыточность. Данный этап основан на вычислении взаимного классового потенциала, предложенного Koziarski et al. </w:t>
      </w:r>
      <w:hyperlink r:id="rId64">
        <w:r>
          <w:rPr>
            <w:rFonts w:ascii="Times New Roman" w:eastAsia="Times New Roman" w:hAnsi="Times New Roman" w:cs="Times New Roman"/>
            <w:sz w:val="28"/>
            <w:szCs w:val="28"/>
          </w:rPr>
          <w:t>[12]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где для каждого экземпля</w:t>
      </w:r>
      <w:r>
        <w:rPr>
          <w:rFonts w:ascii="Times New Roman" w:eastAsia="Times New Roman" w:hAnsi="Times New Roman" w:cs="Times New Roman"/>
          <w:sz w:val="28"/>
          <w:szCs w:val="28"/>
        </w:rPr>
        <w:t>ра мажоритарного класса рассчитывается показатель потенциальной близости к объектам своего и противоположного классов, учитывающий радиальные расстояния в пространстве признаков по формуле 5.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6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15"/>
        <w:gridCol w:w="585"/>
      </w:tblGrid>
      <w:tr w:rsidR="006B6DA6">
        <w:tc>
          <w:tcPr>
            <w:tcW w:w="90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>Φ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(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x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,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K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,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k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,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γ</m:t>
                </m:r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)=</m:t>
                </m:r>
                <m:nary>
                  <m:naryPr>
                    <m:chr m:val="∑"/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d>
                      <m:dPr>
                        <m:begChr m:val="|"/>
                        <m:endChr m:val="|"/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K</m:t>
                        </m:r>
                      </m:e>
                    </m:d>
                  </m:sup>
                  <m:e/>
                </m:nary>
                <m:sSup>
                  <m:sSup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-(</m:t>
                    </m:r>
                    <m:f>
                      <m:f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γ</m:t>
                        </m:r>
                      </m:den>
                    </m:f>
                    <m:sSup>
                      <m:sSup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-</m:t>
                </m:r>
                <m:nary>
                  <m:naryPr>
                    <m:chr m:val="∑"/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j</m:t>
                    </m:r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d>
                      <m:dPr>
                        <m:begChr m:val="|"/>
                        <m:endChr m:val="|"/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k</m:t>
                        </m:r>
                      </m:e>
                    </m:d>
                  </m:sup>
                  <m:e/>
                </m:nary>
                <m:sSup>
                  <m:sSupPr>
                    <m:ctrl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m:t>-(</m:t>
                    </m:r>
                    <m:f>
                      <m:f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Times New Roman" w:eastAsia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γ</m:t>
                        </m:r>
                      </m:den>
                    </m:f>
                    <m:sSup>
                      <m:sSupPr>
                        <m:ctrl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sup>
                </m:sSup>
              </m:oMath>
            </m:oMathPara>
          </w:p>
        </w:tc>
        <w:tc>
          <w:tcPr>
            <w:tcW w:w="58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x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наблюдение мажоритарного класса;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K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мажоритарный класс; </w:t>
      </w:r>
      <m:oMath>
        <m:r>
          <w:rPr>
            <w:rFonts w:ascii="Times New Roman" w:eastAsia="Times New Roman" w:hAnsi="Times New Roman" w:cs="Times New Roman"/>
            <w:sz w:val="28"/>
            <w:szCs w:val="28"/>
          </w:rPr>
          <m:t>k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миноритарный класс; </w:t>
      </w:r>
      <m:oMath>
        <m:r>
          <w:rPr>
            <w:rFonts w:ascii="Cambria Math" w:hAnsi="Cambria Math"/>
          </w:rPr>
          <m:t>γ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- параметр чувствительности функции.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Высокие значения функции потенциала указывают на то, что рассматриваемое наблюдение расположено в области плотного скопления объектов своего класса и одновременно удалено от представителей миноритарного класса, что интерпретируется как избыточность 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экземпляра для построения разделяющей поверхности. Соответственно, такие объекты являются приоритетными кандидатами для исключения. Напротив, низкие значения потенциала свидетельствуют о близости к границе классов и высокой информативности точки, вследств</w:t>
      </w:r>
      <w:r>
        <w:rPr>
          <w:rFonts w:ascii="Times New Roman" w:eastAsia="Times New Roman" w:hAnsi="Times New Roman" w:cs="Times New Roman"/>
          <w:sz w:val="28"/>
          <w:szCs w:val="28"/>
        </w:rPr>
        <w:t>ие чего подобные наблюдения сохраняются в выборке.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вычисления значений потенциала для всех экземпляров мажоритарного класса выполняется их ранжирование, на основе которого производится итеративное удаление наиболее избыточных наблюдений до достижения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заданного соотношения между классами. Такой адаптивный механизм позволяет гибко регулировать степень разреживания данных и минимизировать потери.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рисунке 4 представлено схематичное изображение принципа функционирования данного модуля, иллюстрирующее п</w:t>
      </w:r>
      <w:r>
        <w:rPr>
          <w:rFonts w:ascii="Times New Roman" w:eastAsia="Times New Roman" w:hAnsi="Times New Roman" w:cs="Times New Roman"/>
          <w:sz w:val="28"/>
          <w:szCs w:val="28"/>
        </w:rPr>
        <w:t>роцесс выявления областей повышенной плотности мажоритарного класса, вычисление потенциала для отдельных наблюдений и последующее селективное исключение наиболее избыточных точек. В совокупности данный этап способствует формированию более сбалансированно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информативной обучающей выборки, обеспечивая повышение устойчивости и обобщающей способности классификационных моделей.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6056040" cy="3406522"/>
            <wp:effectExtent l="0" t="0" r="0" b="0"/>
            <wp:docPr id="14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65"/>
                    <a:srcRect l="4188" t="4763" r="5420" b="5268"/>
                    <a:stretch>
                      <a:fillRect/>
                    </a:stretch>
                  </pic:blipFill>
                  <pic:spPr>
                    <a:xfrm>
                      <a:off x="0" y="0"/>
                      <a:ext cx="6056040" cy="34065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4. Визуализация второго модуля балансировки классов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рисунке 5 представлена блок-схема, иллюстрирующая общую архитектуру алгоритма NAUS и последовательности выполнения ключевых этапов до достижения заданного соотношения классов. Схема отражает полный цикл обработки данных, начиная с входного не сбалансиро</w:t>
      </w:r>
      <w:r>
        <w:rPr>
          <w:rFonts w:ascii="Times New Roman" w:eastAsia="Times New Roman" w:hAnsi="Times New Roman" w:cs="Times New Roman"/>
          <w:sz w:val="28"/>
          <w:szCs w:val="28"/>
        </w:rPr>
        <w:t>ванного набора данных и заканчивая формированием сбалансированной обучающей выборки. В ней наглядно показаны стадии первичной балансировки направленные в устранение областей перекрытия классов, вторичной балансировки, ориентированной на разреживание плотны</w:t>
      </w:r>
      <w:r>
        <w:rPr>
          <w:rFonts w:ascii="Times New Roman" w:eastAsia="Times New Roman" w:hAnsi="Times New Roman" w:cs="Times New Roman"/>
          <w:sz w:val="28"/>
          <w:szCs w:val="28"/>
        </w:rPr>
        <w:t>х кластеров мажоритарного класса, а также механизм итеративного контроля достижения целевого баланса. Такое представление позволяет четко проследить логику алгоритма и взаимосвязь между компонентами, обеспечивая целостное понимание принципов функционирован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метода. 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114162" cy="7158038"/>
            <wp:effectExtent l="0" t="0" r="0" b="0"/>
            <wp:docPr id="15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4162" cy="7158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5. Блок схема алгоритма NAUS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псевдокоде 1 подробно представлена формальная логика алгоритма NAUS, описывающая последовательность вычислительных операций и условий принятия решений на каждом этапе обработки данных. Псевдокод включ</w:t>
      </w:r>
      <w:r>
        <w:rPr>
          <w:rFonts w:ascii="Times New Roman" w:eastAsia="Times New Roman" w:hAnsi="Times New Roman" w:cs="Times New Roman"/>
          <w:sz w:val="28"/>
          <w:szCs w:val="28"/>
        </w:rPr>
        <w:t>ает процедуры формирования локальных подпространств признаков, идентификацию Tomek-links, вычисления маркеров нестабильности, оценки взаимного классового потенциала и исключение наблюдений мажоритарного класса. Такое формализованное описание обеспечивает в</w:t>
      </w:r>
      <w:r>
        <w:rPr>
          <w:rFonts w:ascii="Times New Roman" w:eastAsia="Times New Roman" w:hAnsi="Times New Roman" w:cs="Times New Roman"/>
          <w:sz w:val="28"/>
          <w:szCs w:val="28"/>
        </w:rPr>
        <w:t>оспроизводимость метода, прозрачность вычислительных процедур и возможность его практической реализации в программных системах машинного обучения.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060" w:type="dxa"/>
        <w:jc w:val="center"/>
        <w:tblInd w:w="0" w:type="dxa"/>
        <w:tblBorders>
          <w:top w:val="single" w:sz="12" w:space="0" w:color="000000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505"/>
      </w:tblGrid>
      <w:tr w:rsidR="006B6DA6" w:rsidRPr="00CA4A2E">
        <w:trPr>
          <w:trHeight w:val="375"/>
          <w:jc w:val="center"/>
        </w:trPr>
        <w:tc>
          <w:tcPr>
            <w:tcW w:w="9060" w:type="dxa"/>
            <w:gridSpan w:val="2"/>
            <w:vAlign w:val="center"/>
          </w:tcPr>
          <w:p w:rsidR="006B6DA6" w:rsidRPr="00CA4A2E" w:rsidRDefault="0053434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Algorithm 1: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Noise-Aware Undersampling with Subsampling </w:t>
            </w:r>
          </w:p>
        </w:tc>
      </w:tr>
      <w:tr w:rsidR="006B6DA6">
        <w:trPr>
          <w:trHeight w:val="336"/>
          <w:jc w:val="center"/>
        </w:trPr>
        <w:tc>
          <w:tcPr>
            <w:tcW w:w="555" w:type="dxa"/>
            <w:vMerge w:val="restart"/>
            <w:tcBorders>
              <w:bottom w:val="single" w:sz="4" w:space="0" w:color="FFFFFF"/>
            </w:tcBorders>
          </w:tcPr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</w:rPr>
              <w:t>4: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</w:rPr>
              <w:t>5: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6: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8: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</w:rPr>
              <w:t>9: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</w:rPr>
              <w:t>10: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</w:rPr>
              <w:t>11: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12: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13: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</w:rPr>
              <w:t>14: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15: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</w:rPr>
              <w:t>16: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>18: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</w:rPr>
              <w:t>19: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>20: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31:</w:t>
            </w:r>
          </w:p>
          <w:p w:rsidR="006B6DA6" w:rsidRDefault="00534340">
            <w:pPr>
              <w:spacing w:before="60" w:after="60"/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32:</w:t>
            </w:r>
          </w:p>
        </w:tc>
        <w:tc>
          <w:tcPr>
            <w:tcW w:w="8505" w:type="dxa"/>
            <w:vMerge w:val="restart"/>
            <w:tcBorders>
              <w:bottom w:val="single" w:sz="4" w:space="0" w:color="FFFFFF"/>
            </w:tcBorders>
          </w:tcPr>
          <w:p w:rsidR="006B6DA6" w:rsidRPr="00CA4A2E" w:rsidRDefault="00534340">
            <w:pPr>
              <w:spacing w:before="60" w:after="60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Input: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Dataset </w:t>
            </w:r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D,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target column name</w:t>
            </w:r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target,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features columns names</w:t>
            </w:r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features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, classes ratio </w:t>
            </w:r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ratio</w:t>
            </w:r>
          </w:p>
          <w:p w:rsidR="006B6DA6" w:rsidRPr="00CA4A2E" w:rsidRDefault="00534340">
            <w:pPr>
              <w:spacing w:before="60" w:after="60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Output: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Balanced dataset</w:t>
            </w:r>
          </w:p>
          <w:p w:rsidR="006B6DA6" w:rsidRPr="00CA4A2E" w:rsidRDefault="00534340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Function for Outlier Removal: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>Calculate posterior probability</w:t>
            </w: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Times New Roman" w:eastAsia="Times New Roman" w:hAnsi="Times New Roman" w:cs="Times New Roman"/>
                    </w:rPr>
                    <m:t>prob</m:t>
                  </m:r>
                </m:sub>
              </m:sSub>
            </m:oMath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if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threshold type is percent</w:t>
            </w:r>
          </w:p>
          <w:p w:rsidR="006B6DA6" w:rsidRPr="00CA4A2E" w:rsidRDefault="00534340">
            <w:pPr>
              <w:spacing w:before="60" w:after="60"/>
              <w:ind w:left="283" w:firstLine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Removing the last </w:t>
            </w:r>
            <m:oMath>
              <m:r>
                <w:rPr>
                  <w:rFonts w:ascii="Times New Roman" w:eastAsia="Times New Roman" w:hAnsi="Times New Roman" w:cs="Times New Roman"/>
                </w:rPr>
                <m:t>t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res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ol</m:t>
              </m:r>
              <m:sSub>
                <m:sSubPr>
                  <m:ctrlPr>
                    <w:rPr>
                      <w:rFonts w:ascii="Times New Roman" w:eastAsia="Times New Roman" w:hAnsi="Times New Roman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</m:sSub>
            </m:oMath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%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from a sorted </w:t>
            </w: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</w:rPr>
                    <m:t>prob</m:t>
                  </m:r>
                </m:sub>
              </m:sSub>
            </m:oMath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else</w:t>
            </w:r>
          </w:p>
          <w:p w:rsidR="006B6DA6" w:rsidRPr="00CA4A2E" w:rsidRDefault="00534340">
            <w:pPr>
              <w:spacing w:before="60" w:after="60"/>
              <w:ind w:left="566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Removing from </w:t>
            </w: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</w:rPr>
                    <m:t>prob</m:t>
                  </m:r>
                </m:sub>
              </m:sSub>
            </m:oMath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values above the </w:t>
            </w:r>
            <m:oMath>
              <m:r>
                <w:rPr>
                  <w:rFonts w:ascii="Times New Roman" w:eastAsia="Times New Roman" w:hAnsi="Times New Roman" w:cs="Times New Roman"/>
                </w:rPr>
                <m:t>t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res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ol</m:t>
              </m:r>
              <m:sSub>
                <m:sSubPr>
                  <m:ctrlPr>
                    <w:rPr>
                      <w:rFonts w:ascii="Times New Roman" w:eastAsia="Times New Roman" w:hAnsi="Times New Roman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</m:sSub>
            </m:oMath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standard deviation.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Function for Undersampling: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Apply Local Granularity Subspaces method to divide </w:t>
            </w:r>
            <w:r w:rsidRPr="00CA4A2E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into subsets </w:t>
            </w:r>
            <m:oMath>
              <m:r>
                <w:rPr>
                  <w:rFonts w:ascii="Times New Roman" w:eastAsia="Times New Roman" w:hAnsi="Times New Roman" w:cs="Times New Roman"/>
                </w:rPr>
                <m:t>X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=[</m:t>
              </m:r>
              <m:sSub>
                <m:sSubPr>
                  <m:ctrlPr>
                    <w:rPr>
                      <w:rFonts w:ascii="Times New Roman" w:eastAsia="Times New Roman" w:hAnsi="Times New Roman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X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</m:sSub>
              <m:r>
                <w:rPr>
                  <w:rFonts w:ascii="Times New Roman" w:eastAsia="Times New Roman" w:hAnsi="Times New Roman" w:cs="Times New Roman"/>
                  <w:lang w:val="en-US"/>
                </w:rPr>
                <m:t>, ...,</m:t>
              </m:r>
              <m:sSub>
                <m:sSubPr>
                  <m:ctrlPr>
                    <w:rPr>
                      <w:rFonts w:ascii="Times New Roman" w:eastAsia="Times New Roman" w:hAnsi="Times New Roman" w:cs="Times New Roman"/>
                      <w:i/>
                      <w:iCs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X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</w:rPr>
                    <m:t>n</m:t>
                  </m:r>
                </m:sub>
              </m:sSub>
              <m:r>
                <w:rPr>
                  <w:rFonts w:ascii="Times New Roman" w:eastAsia="Times New Roman" w:hAnsi="Times New Roman" w:cs="Times New Roman"/>
                  <w:lang w:val="en-US"/>
                </w:rPr>
                <m:t>]</m:t>
              </m:r>
            </m:oMath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for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each data subset do</w:t>
            </w:r>
          </w:p>
          <w:p w:rsidR="006B6DA6" w:rsidRPr="00CA4A2E" w:rsidRDefault="00534340">
            <w:pPr>
              <w:spacing w:before="60" w:after="60"/>
              <w:ind w:left="566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Find Tomek-link pairs </w:t>
            </w: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T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(1,2)</m:t>
                  </m:r>
                </m:sub>
              </m:sSub>
            </m:oMath>
          </w:p>
          <w:p w:rsidR="006B6DA6" w:rsidRPr="00CA4A2E" w:rsidRDefault="00534340">
            <w:pPr>
              <w:spacing w:before="60" w:after="60"/>
              <w:ind w:left="566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if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T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</m:sSub>
            </m:oMath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is majority</w:t>
            </w:r>
          </w:p>
          <w:p w:rsidR="006B6DA6" w:rsidRPr="00CA4A2E" w:rsidRDefault="00534340">
            <w:pPr>
              <w:spacing w:before="60" w:after="60"/>
              <w:ind w:left="850"/>
              <w:rPr>
                <w:rFonts w:ascii="Times New Roman" w:eastAsia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</m:sSub>
              <m:r>
                <w:rPr>
                  <w:rFonts w:ascii="Times New Roman" w:eastAsia="Times New Roman" w:hAnsi="Times New Roman" w:cs="Times New Roman"/>
                  <w:lang w:val="en-US"/>
                </w:rPr>
                <m:t>=1</m:t>
              </m:r>
            </m:oMath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6B6DA6" w:rsidRPr="00CA4A2E" w:rsidRDefault="00534340">
            <w:pPr>
              <w:spacing w:before="60" w:after="60"/>
              <w:ind w:left="566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else</w:t>
            </w:r>
          </w:p>
          <w:p w:rsidR="006B6DA6" w:rsidRPr="00CA4A2E" w:rsidRDefault="00534340">
            <w:pPr>
              <w:spacing w:before="60" w:after="60"/>
              <w:ind w:left="850"/>
              <w:rPr>
                <w:rFonts w:ascii="Times New Roman" w:eastAsia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2</m:t>
                  </m:r>
                </m:sub>
              </m:sSub>
              <m:r>
                <w:rPr>
                  <w:rFonts w:ascii="Times New Roman" w:eastAsia="Times New Roman" w:hAnsi="Times New Roman" w:cs="Times New Roman"/>
                  <w:lang w:val="en-US"/>
                </w:rPr>
                <m:t>=1</m:t>
              </m:r>
            </m:oMath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6B6DA6" w:rsidRPr="00CA4A2E" w:rsidRDefault="00534340">
            <w:pPr>
              <w:spacing w:before="60" w:after="60"/>
              <w:ind w:left="566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Collect all labels into </w:t>
            </w:r>
            <m:oMath>
              <m:r>
                <w:rPr>
                  <w:rFonts w:ascii="Cambria Math" w:hAnsi="Cambria Math"/>
                </w:rPr>
                <m:t>δ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Times New Roman" w:eastAsia="Times New Roman" w:hAnsi="Times New Roman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Times New Roman" w:eastAsia="Times New Roman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Times New Roman" w:eastAsia="Times New Roman" w:hAnsi="Times New Roman" w:cs="Times New Roman"/>
                        </w:rPr>
                        <m:t>λ</m:t>
                      </m:r>
                    </m:e>
                    <m:sub>
                      <m:r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Times New Roman" w:eastAsia="Times New Roman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Times New Roman" w:eastAsia="Times New Roman" w:hAnsi="Times New Roman" w:cs="Times New Roman"/>
                        </w:rPr>
                        <m:t>λ</m:t>
                      </m:r>
                    </m:e>
                    <m:sub>
                      <m:r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 xml:space="preserve">, ..., </m:t>
                  </m:r>
                  <m:sSub>
                    <m:sSubPr>
                      <m:ctrlPr>
                        <w:rPr>
                          <w:rFonts w:ascii="Times New Roman" w:eastAsia="Times New Roman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Times New Roman" w:eastAsia="Times New Roman" w:hAnsi="Times New Roman" w:cs="Times New Roman"/>
                        </w:rPr>
                        <m:t>λ</m:t>
                      </m:r>
                    </m:e>
                    <m:sub>
                      <m:r>
                        <w:rPr>
                          <w:rFonts w:ascii="Times New Roman" w:eastAsia="Times New Roman" w:hAnsi="Times New Roman" w:cs="Times New Roman"/>
                        </w:rPr>
                        <m:t>m</m:t>
                      </m:r>
                    </m:sub>
                  </m:sSub>
                </m:e>
              </m:d>
            </m:oMath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 for each subsample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Obtaining the final marks </w:t>
            </w:r>
            <m:oMath>
              <m:r>
                <w:rPr>
                  <w:rFonts w:ascii="Times New Roman" w:eastAsia="Times New Roman" w:hAnsi="Times New Roman" w:cs="Times New Roman"/>
                </w:rPr>
                <m:t>M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=</m:t>
              </m:r>
              <m:nary>
                <m:naryPr>
                  <m:chr m:val="∑"/>
                  <m:ctrlPr>
                    <w:rPr>
                      <w:rFonts w:ascii="Times New Roman" w:eastAsia="Times New Roman" w:hAnsi="Times New Roman" w:cs="Times New Roman"/>
                    </w:rPr>
                  </m:ctrlPr>
                </m:naryPr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1</m:t>
                  </m:r>
                </m:sub>
                <m:sup>
                  <m:r>
                    <w:rPr>
                      <w:rFonts w:ascii="Times New Roman" w:eastAsia="Times New Roman" w:hAnsi="Times New Roman" w:cs="Times New Roman"/>
                    </w:rPr>
                    <m:t>n</m:t>
                  </m:r>
                </m:sup>
                <m:e/>
              </m:nary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δ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</w:rPr>
                    <m:t>n</m:t>
                  </m:r>
                </m:sub>
              </m:sSub>
            </m:oMath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Remove all majority points with marks exceeding the </w:t>
            </w:r>
            <m:oMath>
              <m:r>
                <w:rPr>
                  <w:rFonts w:ascii="Times New Roman" w:eastAsia="Times New Roman" w:hAnsi="Times New Roman" w:cs="Times New Roman"/>
                </w:rPr>
                <m:t>t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res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h</m:t>
              </m:r>
              <m:r>
                <w:rPr>
                  <w:rFonts w:ascii="Times New Roman" w:eastAsia="Times New Roman" w:hAnsi="Times New Roman" w:cs="Times New Roman"/>
                </w:rPr>
                <m:t>ol</m:t>
              </m:r>
              <m:sSub>
                <m:sSubPr>
                  <m:ctrlPr>
                    <w:rPr>
                      <w:rFonts w:ascii="Times New Roman" w:eastAsia="Times New Roman" w:hAnsi="Times New Roman" w:cs="Times New Roman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</w:rPr>
                    <m:t>d</m:t>
                  </m:r>
                </m:e>
                <m:sub>
                  <m:r>
                    <w:rPr>
                      <w:rFonts w:ascii="Times New Roman" w:eastAsia="Times New Roman" w:hAnsi="Times New Roman" w:cs="Times New Roman"/>
                      <w:lang w:val="en-US"/>
                    </w:rPr>
                    <m:t>2</m:t>
                  </m:r>
                </m:sub>
              </m:sSub>
            </m:oMath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if </w:t>
            </w:r>
            <w:r w:rsidRPr="00CA4A2E">
              <w:rPr>
                <w:rFonts w:ascii="Times New Roman" w:eastAsia="Times New Roman" w:hAnsi="Times New Roman" w:cs="Times New Roman"/>
                <w:lang w:val="en-US"/>
              </w:rPr>
              <w:t>majority * ratio &gt; minority</w:t>
            </w:r>
          </w:p>
          <w:p w:rsidR="006B6DA6" w:rsidRPr="00CA4A2E" w:rsidRDefault="00534340">
            <w:pPr>
              <w:spacing w:before="60" w:after="60"/>
              <w:ind w:left="283" w:firstLine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 xml:space="preserve">Mutual class potential calculation </w:t>
            </w:r>
            <m:oMath>
              <m:r>
                <w:rPr>
                  <w:rFonts w:ascii="Cambria Math" w:hAnsi="Cambria Math"/>
                </w:rPr>
                <m:t>Φ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(</m:t>
              </m:r>
              <m:r>
                <w:rPr>
                  <w:rFonts w:ascii="Times New Roman" w:eastAsia="Times New Roman" w:hAnsi="Times New Roman" w:cs="Times New Roman"/>
                </w:rPr>
                <m:t>x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,</m:t>
              </m:r>
              <m:r>
                <w:rPr>
                  <w:rFonts w:ascii="Times New Roman" w:eastAsia="Times New Roman" w:hAnsi="Times New Roman" w:cs="Times New Roman"/>
                </w:rPr>
                <m:t>K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,</m:t>
              </m:r>
              <m:r>
                <w:rPr>
                  <w:rFonts w:ascii="Times New Roman" w:eastAsia="Times New Roman" w:hAnsi="Times New Roman" w:cs="Times New Roman"/>
                </w:rPr>
                <m:t>k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,</m:t>
              </m:r>
              <m:r>
                <w:rPr>
                  <w:rFonts w:ascii="Times New Roman" w:eastAsia="Times New Roman" w:hAnsi="Times New Roman" w:cs="Times New Roman"/>
                </w:rPr>
                <m:t>γ</m:t>
              </m:r>
              <m:r>
                <w:rPr>
                  <w:rFonts w:ascii="Times New Roman" w:eastAsia="Times New Roman" w:hAnsi="Times New Roman" w:cs="Times New Roman"/>
                  <w:lang w:val="en-US"/>
                </w:rPr>
                <m:t>)</m:t>
              </m:r>
            </m:oMath>
          </w:p>
          <w:p w:rsidR="006B6DA6" w:rsidRPr="00CA4A2E" w:rsidRDefault="00534340">
            <w:pPr>
              <w:spacing w:before="60" w:after="60"/>
              <w:ind w:left="283" w:firstLine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>Remove instances with high potential values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Tra</w:t>
            </w:r>
            <w:r w:rsidRPr="00CA4A2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ining the model: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>Train a Random forest, LightGBM or Multilayer Perceptron on obtained data</w:t>
            </w:r>
          </w:p>
          <w:p w:rsidR="006B6DA6" w:rsidRPr="00CA4A2E" w:rsidRDefault="00534340">
            <w:pPr>
              <w:spacing w:before="60" w:after="60"/>
              <w:ind w:left="283"/>
              <w:rPr>
                <w:rFonts w:ascii="Times New Roman" w:eastAsia="Times New Roman" w:hAnsi="Times New Roman" w:cs="Times New Roman"/>
                <w:lang w:val="en-US"/>
              </w:rPr>
            </w:pPr>
            <w:r w:rsidRPr="00CA4A2E">
              <w:rPr>
                <w:rFonts w:ascii="Times New Roman" w:eastAsia="Times New Roman" w:hAnsi="Times New Roman" w:cs="Times New Roman"/>
                <w:lang w:val="en-US"/>
              </w:rPr>
              <w:t>Model performance evaluation (Accuracy, AUC, Precision, Recall)</w:t>
            </w:r>
          </w:p>
          <w:p w:rsidR="006B6DA6" w:rsidRDefault="00534340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return </w:t>
            </w:r>
            <w:r>
              <w:rPr>
                <w:rFonts w:ascii="Times New Roman" w:eastAsia="Times New Roman" w:hAnsi="Times New Roman" w:cs="Times New Roman"/>
              </w:rPr>
              <w:t>Undersampled dataset</w:t>
            </w: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350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540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350"/>
          <w:jc w:val="center"/>
        </w:trPr>
        <w:tc>
          <w:tcPr>
            <w:tcW w:w="55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bottom w:val="single" w:sz="4" w:space="0" w:color="FFFFFF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B6DA6">
        <w:trPr>
          <w:trHeight w:val="276"/>
          <w:jc w:val="center"/>
        </w:trPr>
        <w:tc>
          <w:tcPr>
            <w:tcW w:w="555" w:type="dxa"/>
            <w:vMerge/>
            <w:tcBorders>
              <w:top w:val="single" w:sz="4" w:space="0" w:color="FFFFFF"/>
              <w:bottom w:val="single" w:sz="4" w:space="0" w:color="000000"/>
            </w:tcBorders>
          </w:tcPr>
          <w:p w:rsidR="006B6DA6" w:rsidRDefault="006B6DA6">
            <w:pPr>
              <w:ind w:right="113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vMerge/>
            <w:tcBorders>
              <w:top w:val="single" w:sz="4" w:space="0" w:color="FFFFFF"/>
              <w:bottom w:val="single" w:sz="4" w:space="0" w:color="000000"/>
            </w:tcBorders>
          </w:tcPr>
          <w:p w:rsidR="006B6DA6" w:rsidRDefault="006B6DA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Псевдокод 1. Принцип работы алгоритма NAUS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a9upobybslng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 Экспериментальное исследование и верификация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Алгоритм был протестирован на 5 наборах данных, находящихся в открытом доступе: chronic kidney disease </w:t>
      </w:r>
      <w:hyperlink r:id="rId67">
        <w:r>
          <w:rPr>
            <w:rFonts w:ascii="Times New Roman" w:eastAsia="Times New Roman" w:hAnsi="Times New Roman" w:cs="Times New Roman"/>
            <w:sz w:val="28"/>
            <w:szCs w:val="28"/>
          </w:rPr>
          <w:t>[38]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diabetes </w:t>
      </w:r>
      <w:hyperlink r:id="rId68">
        <w:r>
          <w:rPr>
            <w:rFonts w:ascii="Times New Roman" w:eastAsia="Times New Roman" w:hAnsi="Times New Roman" w:cs="Times New Roman"/>
            <w:sz w:val="28"/>
            <w:szCs w:val="28"/>
          </w:rPr>
          <w:t>[39]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liver disease </w:t>
      </w:r>
      <w:hyperlink r:id="rId69">
        <w:r>
          <w:rPr>
            <w:rFonts w:ascii="Times New Roman" w:eastAsia="Times New Roman" w:hAnsi="Times New Roman" w:cs="Times New Roman"/>
            <w:sz w:val="28"/>
            <w:szCs w:val="28"/>
          </w:rPr>
          <w:t>[40]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heart disease </w:t>
      </w:r>
      <w:hyperlink r:id="rId70">
        <w:r>
          <w:rPr>
            <w:rFonts w:ascii="Times New Roman" w:eastAsia="Times New Roman" w:hAnsi="Times New Roman" w:cs="Times New Roman"/>
            <w:sz w:val="28"/>
            <w:szCs w:val="28"/>
          </w:rPr>
          <w:t>[41]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mammog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raphy </w:t>
      </w:r>
      <w:hyperlink r:id="rId71">
        <w:r>
          <w:rPr>
            <w:rFonts w:ascii="Times New Roman" w:eastAsia="Times New Roman" w:hAnsi="Times New Roman" w:cs="Times New Roman"/>
            <w:sz w:val="28"/>
            <w:szCs w:val="28"/>
          </w:rPr>
          <w:t>[42]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Подробное описание представлено в таблице 1 с указанием размерности, степени дисбаланса и соотношения классов в целевой переменной. Выбор представленных наборов данных был продиктова</w:t>
      </w:r>
      <w:r>
        <w:rPr>
          <w:rFonts w:ascii="Times New Roman" w:eastAsia="Times New Roman" w:hAnsi="Times New Roman" w:cs="Times New Roman"/>
          <w:sz w:val="28"/>
          <w:szCs w:val="28"/>
        </w:rPr>
        <w:t>н необходимостью проведения всесторонней апробации разработанного алгоритма в условиях, максимально приближенных к реальной клинической практике. Первоначально фокус исследования был сосредоточен исключительно на данных по хронической болезни почек и сахар</w:t>
      </w:r>
      <w:r>
        <w:rPr>
          <w:rFonts w:ascii="Times New Roman" w:eastAsia="Times New Roman" w:hAnsi="Times New Roman" w:cs="Times New Roman"/>
          <w:sz w:val="28"/>
          <w:szCs w:val="28"/>
        </w:rPr>
        <w:t>ному диабету , что обусловлено их непосредственной патофизиологической связью с терминальными состояниями, требующими трансплантации почки. Однако в процессе разработки возникла необходимость подтверждения гипотезы об универсальности предлагаемого метода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устойчивости к различным типам признаков и распределений. Для этого экспериментальная база была расширена за счет включения данных о заболеваниях печени, сердца и результатов маммографии.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Такое расширение выборки позволило протестировать алгоритм на д</w:t>
      </w:r>
      <w:r>
        <w:rPr>
          <w:rFonts w:ascii="Times New Roman" w:eastAsia="Times New Roman" w:hAnsi="Times New Roman" w:cs="Times New Roman"/>
          <w:sz w:val="28"/>
          <w:szCs w:val="28"/>
        </w:rPr>
        <w:t>анных с различной природой возникновения и структурой шума, сохраняя при этом акцент на нозологиях с высокой клинической и социальной значимостью. Хроническая болезнь почек, затрагивающая свыше 800 миллионов человек, демонстрирует устойчивый рост смертност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за последние два десятилетия </w:t>
      </w:r>
      <w:hyperlink r:id="rId72">
        <w:r>
          <w:rPr>
            <w:rFonts w:ascii="Times New Roman" w:eastAsia="Times New Roman" w:hAnsi="Times New Roman" w:cs="Times New Roman"/>
            <w:sz w:val="28"/>
            <w:szCs w:val="28"/>
          </w:rPr>
          <w:t>[43]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а сахарный диабет показывает более чем двукратный рост летальности от второго типа заболевания в период с 1990 по 2019 год, что подчеркивает глобальный масшт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 проблемы </w:t>
      </w:r>
      <w:hyperlink r:id="rId73">
        <w:r>
          <w:rPr>
            <w:rFonts w:ascii="Times New Roman" w:eastAsia="Times New Roman" w:hAnsi="Times New Roman" w:cs="Times New Roman"/>
            <w:sz w:val="28"/>
            <w:szCs w:val="28"/>
          </w:rPr>
          <w:t>[44]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Включение смежных областей, таких как заболевания печени, приводящие к 2 миллионам смертей ежегодно </w:t>
      </w:r>
      <w:hyperlink r:id="rId74">
        <w:r>
          <w:rPr>
            <w:rFonts w:ascii="Times New Roman" w:eastAsia="Times New Roman" w:hAnsi="Times New Roman" w:cs="Times New Roman"/>
            <w:sz w:val="28"/>
            <w:szCs w:val="28"/>
          </w:rPr>
          <w:t>[45]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и сердеч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но-сосудистые патологии, являющиеся ведущей причиной мировой смертности с показателем более 20 миллионов случаев в год </w:t>
      </w:r>
      <w:hyperlink r:id="rId75">
        <w:r>
          <w:rPr>
            <w:rFonts w:ascii="Times New Roman" w:eastAsia="Times New Roman" w:hAnsi="Times New Roman" w:cs="Times New Roman"/>
            <w:sz w:val="28"/>
            <w:szCs w:val="28"/>
          </w:rPr>
          <w:t>[46]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позволило оценить потенциал алгоритма в диагностике критических состо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яний. Особое внимание было уделено набору данных по раку молочной железы, который характеризуется не только ростом заболеваемости, но и выраженным дисбалансом классов в диагностических выборках </w:t>
      </w:r>
      <w:hyperlink r:id="rId76">
        <w:r>
          <w:rPr>
            <w:rFonts w:ascii="Times New Roman" w:eastAsia="Times New Roman" w:hAnsi="Times New Roman" w:cs="Times New Roman"/>
            <w:sz w:val="28"/>
            <w:szCs w:val="28"/>
          </w:rPr>
          <w:t>[47]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 Использование данных с различной степенью несбалансированности позволило объективно верифицировать способность алгоритма сохранять высокую предсказательную точность в условиях дефицита примеров целевого класса. Таким образом, переход от узкоспециали</w:t>
      </w:r>
      <w:r>
        <w:rPr>
          <w:rFonts w:ascii="Times New Roman" w:eastAsia="Times New Roman" w:hAnsi="Times New Roman" w:cs="Times New Roman"/>
          <w:sz w:val="28"/>
          <w:szCs w:val="28"/>
        </w:rPr>
        <w:t>зированных выборок по почечным патологиям к расширенному пулу открытых клинических данных обеспечил репрезентативную базу для комплексной оценки эффективности алгоритма NAUS, подтвердив его применимость для широкого спектра задач современной биомедицинской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информатики.</w:t>
      </w:r>
    </w:p>
    <w:p w:rsidR="006B6DA6" w:rsidRDefault="006B6DA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1. Характеристики использованных наборов данных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355"/>
        <w:gridCol w:w="1335"/>
        <w:gridCol w:w="1590"/>
        <w:gridCol w:w="1875"/>
        <w:gridCol w:w="1665"/>
      </w:tblGrid>
      <w:tr w:rsidR="006B6DA6">
        <w:trPr>
          <w:trHeight w:val="465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Набор данных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Объекты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52" w:lineRule="auto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Признаки 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Соотношение классов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52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Целевой признак</w:t>
            </w:r>
          </w:p>
        </w:tc>
      </w:tr>
      <w:tr w:rsidR="006B6DA6">
        <w:trPr>
          <w:trHeight w:val="163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Chronic Kidney Disease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1 659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11:1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1524:135</w:t>
            </w:r>
          </w:p>
        </w:tc>
      </w:tr>
      <w:tr w:rsidR="006B6DA6">
        <w:trPr>
          <w:trHeight w:val="351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Diabetes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947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8:1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844:103</w:t>
            </w:r>
          </w:p>
        </w:tc>
      </w:tr>
      <w:tr w:rsidR="006B6DA6">
        <w:trPr>
          <w:trHeight w:val="351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Indian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Liver Patient Records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5:2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414:165</w:t>
            </w:r>
          </w:p>
        </w:tc>
      </w:tr>
      <w:tr w:rsidR="006B6DA6">
        <w:trPr>
          <w:trHeight w:val="177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8" w:lineRule="auto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Heart Disease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4 238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5:1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9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3594:644</w:t>
            </w:r>
          </w:p>
        </w:tc>
      </w:tr>
      <w:tr w:rsidR="006B6DA6">
        <w:trPr>
          <w:trHeight w:val="142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mammography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11 183</w:t>
            </w:r>
          </w:p>
        </w:tc>
        <w:tc>
          <w:tcPr>
            <w:tcW w:w="15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42:1</w:t>
            </w: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10 923:260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Визуальное представление данных после каждого этапа работы алгоритма продемонстрировано на рисунках  6-10. Для снижения размерности данных был применен метод Uniform Manifold Approximation and Projection (UMAP), обеспечивающая сохранение как локальной, 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глобальной структуры данных в низкоразмерном пространстве. Для обеспечения сопоставимости визуальных результатов и исключения влияния параметрических факторов, для всех наборов данных использовались фиксированные значения гиперпараметров UMAP, включая ч</w:t>
      </w:r>
      <w:r>
        <w:rPr>
          <w:rFonts w:ascii="Times New Roman" w:eastAsia="Times New Roman" w:hAnsi="Times New Roman" w:cs="Times New Roman"/>
          <w:sz w:val="28"/>
          <w:szCs w:val="28"/>
        </w:rPr>
        <w:t>исло соседей, минимальное расстояние и метрику расстояния.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643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rPr>
          <w:trHeight w:val="2505"/>
        </w:trPr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53712" cy="1529794"/>
                  <wp:effectExtent l="0" t="0" r="0" b="0"/>
                  <wp:docPr id="35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77"/>
                          <a:srcRect t="4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712" cy="1529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59998" cy="1534715"/>
                  <wp:effectExtent l="0" t="0" r="0" b="0"/>
                  <wp:docPr id="16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78"/>
                          <a:srcRect t="4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998" cy="1534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60353" cy="1544240"/>
                  <wp:effectExtent l="0" t="0" r="0" b="0"/>
                  <wp:docPr id="26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79"/>
                          <a:srcRect t="4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353" cy="15442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</w:tr>
      <w:tr w:rsidR="006B6DA6">
        <w:trPr>
          <w:trHeight w:val="280"/>
        </w:trPr>
        <w:tc>
          <w:tcPr>
            <w:tcW w:w="96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6B6D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6. Визуализация набора данных Diabetes по модулям: (A) очистки данных; (B) первого этапа балансировки; (C) второго этапа балансировки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e"/>
        <w:tblW w:w="9643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rPr>
          <w:trHeight w:val="2505"/>
        </w:trPr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49505" cy="1535695"/>
                  <wp:effectExtent l="0" t="0" r="0" b="0"/>
                  <wp:docPr id="1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80"/>
                          <a:srcRect t="4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505" cy="1535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37414" cy="1526170"/>
                  <wp:effectExtent l="0" t="0" r="0" b="0"/>
                  <wp:docPr id="1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1"/>
                          <a:srcRect t="4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414" cy="15261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928365" cy="1507120"/>
                  <wp:effectExtent l="0" t="0" r="0" b="0"/>
                  <wp:docPr id="46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82"/>
                          <a:srcRect t="4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365" cy="1507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</w:tr>
      <w:tr w:rsidR="006B6DA6">
        <w:trPr>
          <w:trHeight w:val="280"/>
        </w:trPr>
        <w:tc>
          <w:tcPr>
            <w:tcW w:w="96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6B6D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7. Визуализация набора данных liver по модулям: (A) очистки данных; (B) первого этапа балансировки; (C) второго этапа балансировки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9643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rPr>
          <w:trHeight w:val="2505"/>
        </w:trPr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603293"/>
                  <wp:effectExtent l="0" t="0" r="0" b="0"/>
                  <wp:docPr id="18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3"/>
                          <a:srcRect t="3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032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593768"/>
                  <wp:effectExtent l="0" t="0" r="0" b="0"/>
                  <wp:docPr id="17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84"/>
                          <a:srcRect t="4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93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593768"/>
                  <wp:effectExtent l="0" t="0" r="0" b="0"/>
                  <wp:docPr id="41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85"/>
                          <a:srcRect t="4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93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</w:tr>
      <w:tr w:rsidR="006B6DA6">
        <w:trPr>
          <w:trHeight w:val="280"/>
        </w:trPr>
        <w:tc>
          <w:tcPr>
            <w:tcW w:w="96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6B6D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8. Визуализация набора данных heart по модулям: (A) очистки данных; (B) первого этапа балансировки; (C) второго этапа балансировки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643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rPr>
          <w:trHeight w:val="2505"/>
        </w:trPr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592788"/>
                  <wp:effectExtent l="0" t="0" r="0" b="0"/>
                  <wp:docPr id="48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86"/>
                          <a:srcRect t="4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92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592788"/>
                  <wp:effectExtent l="0" t="0" r="0" b="0"/>
                  <wp:docPr id="25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87"/>
                          <a:srcRect t="4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92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592788"/>
                  <wp:effectExtent l="0" t="0" r="0" b="0"/>
                  <wp:docPr id="22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8"/>
                          <a:srcRect t="4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92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</w:tr>
      <w:tr w:rsidR="006B6DA6">
        <w:trPr>
          <w:trHeight w:val="280"/>
        </w:trPr>
        <w:tc>
          <w:tcPr>
            <w:tcW w:w="96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6B6D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9. Визуализация набора данных kidney по модулям: (A) очистки данных; (B) первого этапа балансировки; (C) второго этапа балансировки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643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rPr>
          <w:trHeight w:val="2505"/>
        </w:trPr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601333"/>
                  <wp:effectExtent l="0" t="0" r="0" b="0"/>
                  <wp:docPr id="24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89"/>
                          <a:srcRect t="3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013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601333"/>
                  <wp:effectExtent l="0" t="0" r="0" b="0"/>
                  <wp:docPr id="30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90"/>
                          <a:srcRect t="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013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019300" cy="1601333"/>
                  <wp:effectExtent l="0" t="0" r="0" b="0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1"/>
                          <a:srcRect t="3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013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(A)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(B)</w:t>
            </w:r>
          </w:p>
        </w:tc>
        <w:tc>
          <w:tcPr>
            <w:tcW w:w="3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(C)</w:t>
            </w:r>
          </w:p>
        </w:tc>
      </w:tr>
      <w:tr w:rsidR="006B6DA6">
        <w:trPr>
          <w:trHeight w:val="280"/>
        </w:trPr>
        <w:tc>
          <w:tcPr>
            <w:tcW w:w="96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DA6" w:rsidRDefault="006B6DA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10. Визуализация набора данных mammography по модулям: (A) очистки данных; (B) первого этапа балансировки; (C) второго этапа балансировки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чувствительности параметров модуля удаления шума представлен в таблице 2, где приведены значения основных метрик классификации при различных значениях стандартного отклонения σ. Эксперименты показали, что увеличение σ с 1,5 до 2 приводит к устойчиво</w:t>
      </w:r>
      <w:r>
        <w:rPr>
          <w:rFonts w:ascii="Times New Roman" w:eastAsia="Times New Roman" w:hAnsi="Times New Roman" w:cs="Times New Roman"/>
          <w:sz w:val="28"/>
          <w:szCs w:val="28"/>
        </w:rPr>
        <w:t>му росту качества классификации, особенно по метрикам Recall и F1-score, что свидетельствует о более эффективном подавлении шума и улучшении разделимости классов. Дальнейшее увеличение параметра до σ = 3 не дает существенного прироста в отдельных случаях с</w:t>
      </w:r>
      <w:r>
        <w:rPr>
          <w:rFonts w:ascii="Times New Roman" w:eastAsia="Times New Roman" w:hAnsi="Times New Roman" w:cs="Times New Roman"/>
          <w:sz w:val="28"/>
          <w:szCs w:val="28"/>
        </w:rPr>
        <w:t>опровождается снижением показателей.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2. Анализ чувствительности параметров модуля удаления шума 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942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725"/>
        <w:gridCol w:w="1095"/>
        <w:gridCol w:w="1200"/>
        <w:gridCol w:w="1260"/>
        <w:gridCol w:w="1200"/>
        <w:gridCol w:w="1200"/>
      </w:tblGrid>
      <w:tr w:rsidR="006B6DA6">
        <w:trPr>
          <w:trHeight w:val="525"/>
          <w:jc w:val="center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Стандартное отклонение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σ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Алгоритм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 score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classifier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0.7879</w:t>
            </w:r>
          </w:p>
        </w:tc>
      </w:tr>
      <w:tr w:rsidR="006B6DA6">
        <w:trPr>
          <w:trHeight w:val="24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0.8789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0.7647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81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Multilayer Perceptron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0.8633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0.7368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0.8000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classifier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0.8438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0.7969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0.7895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0.8571</w:t>
            </w:r>
          </w:p>
        </w:tc>
      </w:tr>
      <w:tr w:rsidR="006B6DA6">
        <w:trPr>
          <w:trHeight w:val="24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0.8438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0.8906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0.8649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141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Multilayer Perceptron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0.8242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0.7368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0.8000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classifier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0.8438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0.8359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0.7895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0.8571</w:t>
            </w:r>
          </w:p>
        </w:tc>
      </w:tr>
      <w:tr w:rsidR="006B6DA6">
        <w:trPr>
          <w:trHeight w:val="24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0.9023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0.7273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0.8421</w:t>
            </w:r>
          </w:p>
        </w:tc>
      </w:tr>
      <w:tr w:rsidR="006B6DA6">
        <w:trPr>
          <w:trHeight w:val="480"/>
          <w:jc w:val="center"/>
        </w:trPr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ind w:left="-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141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Multilayer Perceptron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0.8555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-220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0.8235</w:t>
            </w:r>
          </w:p>
        </w:tc>
      </w:tr>
    </w:tbl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весь исходный набор данных был разделен на обучающую и тестовую выборки с сохранением одинакового количества элементов, что обеспечивало объективность и корректность последующего сравнительного анализа. Тестовая выборка, составляющая 10%,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использовалась исключительно для финальной оценки качества классификации моделей и не участвовала ни в одном из этапов балансировки и обучения. Такой подход позволил исключить эффект утечки данных и гарантировать честность экспериментальной процедуры. Полу</w:t>
      </w:r>
      <w:r>
        <w:rPr>
          <w:rFonts w:ascii="Times New Roman" w:eastAsia="Times New Roman" w:hAnsi="Times New Roman" w:cs="Times New Roman"/>
          <w:sz w:val="28"/>
          <w:szCs w:val="28"/>
        </w:rPr>
        <w:t>ченные выборки применялись единообразно для всех алгоритмов балансировки и моделей классификации, что обеспечивало сопоставимость результатов и исключило влияние случайных факторов, связанных с различиями в разбиении данных. Данные валидировались при помощ</w:t>
      </w:r>
      <w:r>
        <w:rPr>
          <w:rFonts w:ascii="Times New Roman" w:eastAsia="Times New Roman" w:hAnsi="Times New Roman" w:cs="Times New Roman"/>
          <w:sz w:val="28"/>
          <w:szCs w:val="28"/>
        </w:rPr>
        <w:t>и StratifiedKFold с разбивкой на 5 фолдов.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обучения моделей классификации были применены алгоритмы Random forest, LightGBM и Multilayer Perceptron со скрытыми слоями размерности 64 и 32 нейрона. Оценка моделей проводилась при помощи метрик  Accuracy, P</w:t>
      </w:r>
      <w:r>
        <w:rPr>
          <w:rFonts w:ascii="Times New Roman" w:eastAsia="Times New Roman" w:hAnsi="Times New Roman" w:cs="Times New Roman"/>
          <w:sz w:val="28"/>
          <w:szCs w:val="28"/>
        </w:rPr>
        <w:t>recision, Recall, AUC, F1 score, AUCPR и Brier. Данный подбор показателей качества предоставляет возможность разнообразной оценки моделей. Усредненные по всем наборам данных результаты классификации продемонстрированы в таблице 3. Более подробные метрики к</w:t>
      </w:r>
      <w:r>
        <w:rPr>
          <w:rFonts w:ascii="Times New Roman" w:eastAsia="Times New Roman" w:hAnsi="Times New Roman" w:cs="Times New Roman"/>
          <w:sz w:val="28"/>
          <w:szCs w:val="28"/>
        </w:rPr>
        <w:t>ачества классификационных моделей по каждому набору данных представлены в таблицах 4-8.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3. Усредненные результаты по всем наборам данных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470"/>
        <w:gridCol w:w="1155"/>
        <w:gridCol w:w="870"/>
        <w:gridCol w:w="990"/>
        <w:gridCol w:w="990"/>
        <w:gridCol w:w="1005"/>
        <w:gridCol w:w="990"/>
        <w:gridCol w:w="840"/>
      </w:tblGrid>
      <w:tr w:rsidR="006B6DA6">
        <w:tc>
          <w:tcPr>
            <w:tcW w:w="127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forest classifier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0.7779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0.8685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0.8580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0.7413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0.7579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0.8627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0.1637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0.7793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0.8569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0.8537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0.7284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0.7383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0.8588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0.1720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0.8153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0.8884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0.8512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0.7942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0.7866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0.8869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0.1440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0.7734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0.8832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0.8798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0.7411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0.7233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0.8799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0.1815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0.8772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0.8101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0.8695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0.8375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0.8656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0.1177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0.7668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0.8840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0.7214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0.8701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0.1871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0.7775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0.9125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0.8880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0.7339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0.7269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0.9163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0.1850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0.6927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0.8921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0.8435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0.6296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0.6165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0.8759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0.1836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0.6274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0.6744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0.6092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0.6738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0.6381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0.7426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0.2845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0.8319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0.8901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0.7913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0.9411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0.8535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0.8878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0.1498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0.6622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0.7753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0.5912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0.8051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0.2487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0.7716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0.8480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0.7658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0.8377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0.7862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0.8093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0.1664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0.7650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0.8252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0.7479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0.8627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0.7755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0.7934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0.1796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0.7914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0.8598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0.7673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0.9190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0.8376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0.1624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0.7967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0.8471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0.7461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0.7713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0.8203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0.1601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0.7104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0.8826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0.7977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0.6260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0.6288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0.8625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0.2106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0.6796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0.8444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0.7559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0.5745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0.5610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0.8132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0.2231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0.7724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0.7305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0.7373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0.8887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0.1729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0.6010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0.6500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0.5800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0.6632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0.7235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0.3224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0.7950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0.7856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0.7525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0.9344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0.8261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0.7398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0.1851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0.7909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0.8783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0.8091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0.8082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0.7923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0.8446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0.1338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0.7971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0.8621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0.8071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0.8048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0.7919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0.8498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0.1324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0.8099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0.8819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0.8146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0.8488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0.8158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0.1259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0.7308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0.8876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0.6800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0.6740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0.6505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0.8673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0.1903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0.8368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0.8894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0.8151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0.8909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0.8493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0.8598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0.1233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0.6760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0.9054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0.6600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0.5769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0.5675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0.8929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0.2157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0.6876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0.9017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0.8538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0.6127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0.5963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0.2163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0.7191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0.8660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0.7841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0.7272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0.6773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0.8502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0.1963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0.6200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0.6613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0.6377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0.6270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0.6288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0.7417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0.2950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0.8811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0.9008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0.8427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0.9565</w:t>
            </w:r>
          </w:p>
        </w:tc>
        <w:tc>
          <w:tcPr>
            <w:tcW w:w="100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0.8937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0.8657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0.1281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усредненных результатов, представленных в таблице 3, демонстрирует, что NAUS обеспечивает наилучший баланс между точностью и полнотой классификации для всех трех моделей. В частности можно заметить высокие значения Recall и F1-score, что ук</w:t>
      </w:r>
      <w:r>
        <w:rPr>
          <w:rFonts w:ascii="Times New Roman" w:eastAsia="Times New Roman" w:hAnsi="Times New Roman" w:cs="Times New Roman"/>
          <w:sz w:val="28"/>
          <w:szCs w:val="28"/>
        </w:rPr>
        <w:t>азывает на эффективное распознавание миноритарного класса, при этом сохраняя конкурентоспособные показатели Precision и AUC. Классические методы undersampling и oversampling улучшают некоторые метрики, но не ведут к компромиссу между точностью и полнотой к</w:t>
      </w:r>
      <w:r>
        <w:rPr>
          <w:rFonts w:ascii="Times New Roman" w:eastAsia="Times New Roman" w:hAnsi="Times New Roman" w:cs="Times New Roman"/>
          <w:sz w:val="28"/>
          <w:szCs w:val="28"/>
        </w:rPr>
        <w:t>ак устойчивый подход NAUS.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4. Результаты по набору данных Liver Patient Records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470"/>
        <w:gridCol w:w="1155"/>
        <w:gridCol w:w="870"/>
        <w:gridCol w:w="990"/>
        <w:gridCol w:w="990"/>
        <w:gridCol w:w="1005"/>
        <w:gridCol w:w="990"/>
        <w:gridCol w:w="840"/>
      </w:tblGrid>
      <w:tr w:rsidR="006B6DA6">
        <w:tc>
          <w:tcPr>
            <w:tcW w:w="127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15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4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forest classifier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0.7929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0.7143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0.7559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0.1792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0.7273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0.5926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0.7197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0.1978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0.7527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0.1624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0.9063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0.8765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0.1783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0.7895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0.1406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0.1685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0.7188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0.6896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0.8491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0.1705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0.8329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0.1784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0.7059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0.8352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0.1960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0.7969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0.7895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0.6870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0.1684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0.8555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0.8918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0.1664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0.2389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0.9736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0.0759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0.9539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0.1101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0.8823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0.9303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0.0923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0.9805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0.8965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0.9821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0.0611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0.9779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0.0712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0.8828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0.8945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0.1599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0.7656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0.6190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0.8265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0.2203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0.8906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0.7619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0.8648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0.8871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0.1398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0.4688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0.7734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0.6859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0.2215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0.1836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0.8203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0.7143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0.5489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0.2140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0.8398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0.8235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0.6993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0.1612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0.7895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0.1660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0.7782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0.1987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0.7365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0.2119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0.7188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0.8148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0.1720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0.6836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0.7742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0.2262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0.8242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0.7368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0.7425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0.1839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основе таблицы 4 видно, что NAUS демонстрирует высокую эффективность для набора данных Liver Patient Records, который характеризуется относительно малым числом наблюдений в 583 пациента. В отличие от SMOTE и ADASYN, ориентированных на генерацию синтетич</w:t>
      </w:r>
      <w:r>
        <w:rPr>
          <w:rFonts w:ascii="Times New Roman" w:eastAsia="Times New Roman" w:hAnsi="Times New Roman" w:cs="Times New Roman"/>
          <w:sz w:val="28"/>
          <w:szCs w:val="28"/>
        </w:rPr>
        <w:t>еских образцов, NAUS снижает риск добавления шумовых или не репрезентативных точек, что критично для медицинских наборов данных с ограниченным числом пациентов.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5. Результаты по набору данных Heart Disease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5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45"/>
        <w:gridCol w:w="1110"/>
        <w:gridCol w:w="870"/>
        <w:gridCol w:w="990"/>
        <w:gridCol w:w="990"/>
        <w:gridCol w:w="1005"/>
        <w:gridCol w:w="990"/>
        <w:gridCol w:w="840"/>
      </w:tblGrid>
      <w:tr w:rsidR="006B6DA6">
        <w:tc>
          <w:tcPr>
            <w:tcW w:w="124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54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11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4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forest classifier</w:t>
            </w: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0.8088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0.7727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0.5313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0.6296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0.1966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0.7319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0.5714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0.7169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0.2120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0.6406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0.7045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0.5741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0.7165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0.2107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0.8169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0.7981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0.3157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0.7031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0.7813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0.7246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0.7668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0.1901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0.8206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0.7882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0.3114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0.5078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0.8044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0.3136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0.5234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0.0469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0.0896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0.2585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0.7188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0.7954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0.7121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0.7231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0.8167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0.1908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0.7734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0.9219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0.7487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0.1789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0.7590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0.7457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0.2421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0.7095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0.2813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0.4286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0.7079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0.2762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0.5859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0.6938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0.7619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0.3765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0.2803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0.5547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0.1094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0.1972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0.7097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0.3401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0.6406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0.6406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0.6406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0.6406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0.6778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0.2299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0.7161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0.1406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0.2432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0.7087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0.3311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0.5703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0.1406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0.3198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0.5781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0.2836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0.6016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0.6140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0.5469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0.5785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0.2407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0.7578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0.7876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0.7143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0.8594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0.7801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0.7419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0.1984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0.5234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0.7385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0.0469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0.0896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0.7191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0.3532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0.6797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0.6716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0.6795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0.2132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0.6172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0.7143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0.3906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0.5051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0.2341</w:t>
            </w:r>
          </w:p>
        </w:tc>
      </w:tr>
      <w:tr w:rsidR="006B6DA6"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0.6714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0.7510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0.2009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0.6724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0.6094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0.6393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0.7048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0.2067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0.5469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0.7180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0.1250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0.2162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0.7173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0.3467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0.5390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0.1690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0.7482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0.3363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0.7551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0.1406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0.2432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0.7486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0.3087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0.6953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0.7773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0.7451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0.8057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0.1994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0.7656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0.8242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0.7237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0.8594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0.8085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0.1729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таблицы 5 показывает, что NAUS показывает заметное преимущество на наборе данных Heart Disease по сравнению с другими методами балансировки. В отличие от классических методов демонстрирующих низкие показатели Recall и F1-score, разработанный метод с</w:t>
      </w:r>
      <w:r>
        <w:rPr>
          <w:rFonts w:ascii="Times New Roman" w:eastAsia="Times New Roman" w:hAnsi="Times New Roman" w:cs="Times New Roman"/>
          <w:sz w:val="28"/>
          <w:szCs w:val="28"/>
        </w:rPr>
        <w:t>очетает высокую полноту с хорошей точностью, что делает классификаторы более надежными для выявления заболеваний.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6. Результаты по набору данных Chronic Kidney Disease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topFromText="180" w:bottomFromText="180" w:horzAnchor="margin" w:tblpXSpec="center" w:tblpYSpec="center"/>
        <w:tblW w:w="95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560"/>
        <w:gridCol w:w="1110"/>
        <w:gridCol w:w="870"/>
        <w:gridCol w:w="990"/>
        <w:gridCol w:w="990"/>
        <w:gridCol w:w="1005"/>
        <w:gridCol w:w="990"/>
        <w:gridCol w:w="840"/>
      </w:tblGrid>
      <w:tr w:rsidR="006B6DA6">
        <w:trPr>
          <w:jc w:val="center"/>
        </w:trPr>
        <w:tc>
          <w:tcPr>
            <w:tcW w:w="123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56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11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7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4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forest classifier</w:t>
            </w: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0.7988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0.5909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0.7002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0.2287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0.8107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0.6190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0.7647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0.8138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0.2099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0.8521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0.2078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0.7337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0.6749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0.3784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0.6989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0.2114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0.8074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0.3683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0.8343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0.8056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0.3811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0.8284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0.7554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0.2944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0.7988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0.7059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0.7538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0.1877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0.8077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0.8994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0.8276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0.8955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0.1696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0.7869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0.7159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0.3057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0.8047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0.7831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0.3085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0.8284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0.6190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0.7647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0.2980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0.5769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0.3793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0.7409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0.2069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0.5385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0.6829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0.3921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0.8698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0.8547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0.3668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0.8698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0.8723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0.3059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0.7059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0.1764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0.8462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0.9231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0.8462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0.8462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0.9279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0.1193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 w:val="restart"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0.5769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0.6597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0.4112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0.6886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0.3293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0.7840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0.7265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0.3368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0.5769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0.7869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0.5417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0.7496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0.3833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0.3846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0.5263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0.3227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0.8432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0.8172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0.3482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0.6302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0.5978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0.3858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0.7899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0.7133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0.2954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0.7751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0.8031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0.2589</w:t>
            </w:r>
          </w:p>
        </w:tc>
      </w:tr>
      <w:tr w:rsidR="006B6DA6">
        <w:trPr>
          <w:trHeight w:val="480"/>
          <w:jc w:val="center"/>
        </w:trPr>
        <w:tc>
          <w:tcPr>
            <w:tcW w:w="1230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0.8077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0.7988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0.7857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0.8148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0.6972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0.1712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набора данных Chronic Kidney Disease в таблице 6 с выраженным дисбалансом классов соотношения 11:1, NAUS показал сбалансированные результаты по ключевым метрикам. В сравнении с SMOTE, ADASYN и другими методами уменьшения большинства, NAUS демонстрирует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относительно высокие показатели Precision и F1-меры, сохраняя при этом хорошую точность и AUC. Такая характеристика особенно важна для медицинских данных с редкими случаями заболевания, где акцент на правильное выявление объектов миноритарного класса позв</w:t>
      </w:r>
      <w:r>
        <w:rPr>
          <w:rFonts w:ascii="Times New Roman" w:eastAsia="Times New Roman" w:hAnsi="Times New Roman" w:cs="Times New Roman"/>
          <w:sz w:val="28"/>
          <w:szCs w:val="28"/>
        </w:rPr>
        <w:t>оляет минимизировать риск пропуска критических наблюдений, обеспечивая более надежную оценку моделей классификации.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7. Результаты по набору данных Mammography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7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575"/>
        <w:gridCol w:w="1095"/>
        <w:gridCol w:w="915"/>
        <w:gridCol w:w="900"/>
        <w:gridCol w:w="990"/>
        <w:gridCol w:w="1005"/>
        <w:gridCol w:w="990"/>
        <w:gridCol w:w="840"/>
      </w:tblGrid>
      <w:tr w:rsidR="006B6DA6">
        <w:tc>
          <w:tcPr>
            <w:tcW w:w="127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57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90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9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40" w:type="dxa"/>
            <w:tcBorders>
              <w:bottom w:val="single" w:sz="6" w:space="0" w:color="000000"/>
            </w:tcBorders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andom forest classifier</w:t>
            </w: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0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0.9423</w:t>
            </w:r>
          </w:p>
        </w:tc>
        <w:tc>
          <w:tcPr>
            <w:tcW w:w="9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0.9911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0.8846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0.9388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0.9928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0.0511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0.9808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0.9804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0.0309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0.8846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0.9388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0.9934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0.9038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0.8077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0.8936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0.9869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0.0677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0.9867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0.9872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0.3846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0.5556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0.2002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0.5946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0.1853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0.5385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0.9986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0.1421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0.9923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0.0482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right w:val="single" w:sz="6" w:space="0" w:color="000000"/>
            </w:tcBorders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0.9808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0.9629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0.9811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0.9971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0.1011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0.8846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0.7692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0.8696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0.0982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0.9647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0.0655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0.0781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0.9038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0.9689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0.8889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0.9057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0.9791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0.8269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0.7907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0.1489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0.8269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0.9659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0.7907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0.1652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0.8654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0.7308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0.8444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0.9893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0.1029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0.9286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0.9630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0.0224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0.7115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0.8491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0.6341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0.7761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0.8823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0.2912</w:t>
            </w:r>
          </w:p>
        </w:tc>
      </w:tr>
      <w:tr w:rsidR="006B6DA6">
        <w:trPr>
          <w:trHeight w:val="480"/>
        </w:trPr>
        <w:tc>
          <w:tcPr>
            <w:tcW w:w="127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0.9956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0.8182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0.1206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0.9857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0.0428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0.0433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0.9879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0.9778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0.9259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0.9434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0.9758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0.0507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0.8462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0.8182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0.1193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0.8269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0.9763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0.7907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0.1273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0.8269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0.6538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0.7907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0.0951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0.0256</w:t>
            </w:r>
          </w:p>
        </w:tc>
      </w:tr>
      <w:tr w:rsidR="006B6DA6">
        <w:trPr>
          <w:trHeight w:val="480"/>
        </w:trPr>
        <w:tc>
          <w:tcPr>
            <w:tcW w:w="127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0.6538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0.4985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0.5909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0.7429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0.4651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0.3519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таблице 8 с набором данных Mammography, где соотношение классов составляет 42:1, наблюдается крайне высокий дисбаланс. В этих условиях применение NAUS приводит к высокому значению Recall, однако показатели точности и AUC при этом оказываются ниж</w:t>
      </w:r>
      <w:r>
        <w:rPr>
          <w:rFonts w:ascii="Times New Roman" w:eastAsia="Times New Roman" w:hAnsi="Times New Roman" w:cs="Times New Roman"/>
          <w:sz w:val="28"/>
          <w:szCs w:val="28"/>
        </w:rPr>
        <w:t>е, чем у SMOTE, ADASYN и методов, основанных на oversampling. Другие методы обеспечивают более сбалансированные результаты между точностью и полнотой, тогда как NAUS демонстрирует смещение в пользу полноты. Эти результаты подчеркивают, что при экстремально</w:t>
      </w:r>
      <w:r>
        <w:rPr>
          <w:rFonts w:ascii="Times New Roman" w:eastAsia="Times New Roman" w:hAnsi="Times New Roman" w:cs="Times New Roman"/>
          <w:sz w:val="28"/>
          <w:szCs w:val="28"/>
        </w:rPr>
        <w:t>м дисбалансе NAUS может быть полезен для улучшения выявления редких событий, хотя это сопровождается снижением общей точности классификации.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 Результаты по набору данных Diabetes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30"/>
        <w:gridCol w:w="1125"/>
        <w:gridCol w:w="840"/>
        <w:gridCol w:w="1095"/>
        <w:gridCol w:w="915"/>
        <w:gridCol w:w="1020"/>
        <w:gridCol w:w="960"/>
        <w:gridCol w:w="885"/>
      </w:tblGrid>
      <w:tr w:rsidR="006B6DA6">
        <w:tc>
          <w:tcPr>
            <w:tcW w:w="124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ML Algorithm</w:t>
            </w:r>
          </w:p>
        </w:tc>
        <w:tc>
          <w:tcPr>
            <w:tcW w:w="153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Balancing Algorithm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F1 score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AUCPR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Brier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forest classifier</w:t>
            </w: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0.9677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0.9836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0.0114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0.0114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0.9667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0.9831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0.0301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0.0312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0.9677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0.9836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0.0446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0.3151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0.7998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0.0225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LightGBM</w:t>
            </w: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0.9677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0.9836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0.9677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0.9836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0.0125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0.0323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0.0333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0.0328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0.3151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0.9520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0.0002</w:t>
            </w:r>
          </w:p>
        </w:tc>
      </w:tr>
      <w:tr w:rsidR="006B6DA6">
        <w:trPr>
          <w:trHeight w:val="480"/>
        </w:trPr>
        <w:tc>
          <w:tcPr>
            <w:tcW w:w="1245" w:type="dxa"/>
            <w:vMerge w:val="restart"/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Multilayer Perceptron</w:t>
            </w: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Original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0.9522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0.7632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0.9667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0.8529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0.9646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0.1370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SMOTE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0.9811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0.8824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0.0632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ADASYN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0.9967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0.8333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0.9091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0.9970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0.0699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LoRAS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0.9091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0.9524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0.0341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Random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0.9256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0.9474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0.9567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0.0544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Sided Selection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0.9091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0.9524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0.0400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TomekLinks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0.9167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0.8571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0.9231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0.0542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Cluster-based undersampling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0.8333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0.9722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0.7632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0.9667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0.8529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0.9741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0.1103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SDUS 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0.1500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0.0733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0.1818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0.2000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0.1905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0.3280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0.7649</w:t>
            </w:r>
          </w:p>
        </w:tc>
      </w:tr>
      <w:tr w:rsidR="006B6DA6">
        <w:trPr>
          <w:trHeight w:val="480"/>
        </w:trPr>
        <w:tc>
          <w:tcPr>
            <w:tcW w:w="1245" w:type="dxa"/>
            <w:vMerge/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B6DA6" w:rsidRDefault="005343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NAUS</w:t>
            </w:r>
          </w:p>
        </w:tc>
        <w:tc>
          <w:tcPr>
            <w:tcW w:w="112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0.9667</w:t>
            </w:r>
          </w:p>
        </w:tc>
        <w:tc>
          <w:tcPr>
            <w:tcW w:w="84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0.9822</w:t>
            </w:r>
          </w:p>
        </w:tc>
        <w:tc>
          <w:tcPr>
            <w:tcW w:w="109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0.9667</w:t>
            </w:r>
          </w:p>
        </w:tc>
        <w:tc>
          <w:tcPr>
            <w:tcW w:w="91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0.9667</w:t>
            </w:r>
          </w:p>
        </w:tc>
        <w:tc>
          <w:tcPr>
            <w:tcW w:w="102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0.9667</w:t>
            </w:r>
          </w:p>
        </w:tc>
        <w:tc>
          <w:tcPr>
            <w:tcW w:w="960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0.9858</w:t>
            </w:r>
          </w:p>
        </w:tc>
        <w:tc>
          <w:tcPr>
            <w:tcW w:w="885" w:type="dxa"/>
            <w:vAlign w:val="center"/>
          </w:tcPr>
          <w:p w:rsidR="006B6DA6" w:rsidRDefault="00534340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0.0456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наборе данных Diabetes таблицы 8 большинство методов балансировки демонстрируют почти идеальные показатели для Random Forest и LightGBM, что связано с высокой информативностью признаков и относительно равномерным распределением целевого признака</w:t>
      </w:r>
      <w:r>
        <w:rPr>
          <w:rFonts w:ascii="Times New Roman" w:eastAsia="Times New Roman" w:hAnsi="Times New Roman" w:cs="Times New Roman"/>
          <w:sz w:val="28"/>
          <w:szCs w:val="28"/>
        </w:rPr>
        <w:t>. NAUS показывает сопоставимые результаты с другими подходами, обеспечивая устойчивую полноту и точность.</w:t>
      </w:r>
    </w:p>
    <w:p w:rsidR="006B6DA6" w:rsidRDefault="0053434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количественной оценки статистической значимости различий в результатах работы алгоритма NAUS по сравнению с альтернативными методами балансировки </w:t>
      </w:r>
      <w:r>
        <w:rPr>
          <w:rFonts w:ascii="Times New Roman" w:eastAsia="Times New Roman" w:hAnsi="Times New Roman" w:cs="Times New Roman"/>
          <w:sz w:val="28"/>
          <w:szCs w:val="28"/>
        </w:rPr>
        <w:t>классов применялись парные t-тесты на идентичных фолдах кросс-валидации для каждого классификатора и метрики. Такой подход позволяет определить, являются ли наблюдаемые различия следствием выбранного метода ресемплинга, а не случайной вариативности разбиен</w:t>
      </w:r>
      <w:r>
        <w:rPr>
          <w:rFonts w:ascii="Times New Roman" w:eastAsia="Times New Roman" w:hAnsi="Times New Roman" w:cs="Times New Roman"/>
          <w:sz w:val="28"/>
          <w:szCs w:val="28"/>
        </w:rPr>
        <w:t>ий данных. Для контроля роста вероятности ошибки первого рода при множественных сравнениях использовалась процедура Холма-Бонферрони, обеспечивающая более высокую статистическую мощность по сравнению с классической корректировкой Бонферрони. Для оценки пра</w:t>
      </w:r>
      <w:r>
        <w:rPr>
          <w:rFonts w:ascii="Times New Roman" w:eastAsia="Times New Roman" w:hAnsi="Times New Roman" w:cs="Times New Roman"/>
          <w:sz w:val="28"/>
          <w:szCs w:val="28"/>
        </w:rPr>
        <w:t>ктической значимости различий рассчитывалась мера эффекта Cliff’s δ, позволяющая интерпретировать доминирование одного метода над другим независимо от распределения данных. Результаты статистической обработки представлены в таблице 9.</w:t>
      </w:r>
    </w:p>
    <w:p w:rsidR="006B6DA6" w:rsidRDefault="006B6DA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9.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ы статистических тестов при сравнении с NAUS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455"/>
        <w:gridCol w:w="2100"/>
        <w:gridCol w:w="1125"/>
        <w:gridCol w:w="1575"/>
        <w:gridCol w:w="1845"/>
      </w:tblGrid>
      <w:tr w:rsidR="006B6DA6">
        <w:trPr>
          <w:trHeight w:val="49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Algorithm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Metric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Comparator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 (adjusted)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Сliff delta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classifier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0.0249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0.0267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0.6172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0.0715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0.3792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0.4289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0.6458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0.9622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0.5485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0.9570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0.6977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0.6999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0.0093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0.3957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0.7819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AUCPR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0.1712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0.8562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0.2469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0.9877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0.0428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0.2998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0.0695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0.4170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0.9379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0.9982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0.9949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0.9933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0.9949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Brier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0.2115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0.8458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0.0774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0.4641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0.1030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0.5148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-0.88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0.1465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0.4335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0.2234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0.2234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0.9090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0.0589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0.4123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0.1854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0.5769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0.8666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0.9597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0.9572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-0.56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0.9747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0.6165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0.8941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0.1138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AUCPR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0.7255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0.1508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0.9048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0.9586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0.7492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0.1222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0.8553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0.6850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0.9971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-0.82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0.0788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0.6304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0.3749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spacing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Brier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0.9467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0.9989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0.0730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Multilayer Perceptron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0.9949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0.5518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0.8889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0.9170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0.9286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0.9708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0.9607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0.9985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-0.64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0.9977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-0.98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0.9973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0.3839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0.7677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0.8152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0.8152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-0.38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0.0437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0.1312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0.4906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AUCPR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0.9831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0.9969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Brier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-0.98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SMOTE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ADASYN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0.0234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One Sided Selection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-0.88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TomekLinks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0.9977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</w:t>
            </w:r>
          </w:p>
        </w:tc>
      </w:tr>
      <w:tr w:rsidR="006B6DA6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Cluster-based undersampling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0.5329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</w:tr>
      <w:tr w:rsidR="006B6DA6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DA6" w:rsidRDefault="006B6DA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SDUS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6B6DA6" w:rsidRDefault="00534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Для оценки функциональности и вклада каждого модуля метода NAUS была проведена абляция, при которой поочередно исключались отдельные составляющие алгоритма с последующей оценкой влияния на результаты классификации. Такой подход позволяет выявить относитель</w:t>
      </w:r>
      <w:r>
        <w:rPr>
          <w:rFonts w:ascii="Times New Roman" w:eastAsia="Times New Roman" w:hAnsi="Times New Roman" w:cs="Times New Roman"/>
          <w:sz w:val="28"/>
          <w:szCs w:val="28"/>
        </w:rPr>
        <w:t>ную значимость каждого компонента и определить, насколько каждый модуль улучшает разделимость классов и качество прогнозирования. В таблице 10 показана абляция для набора данных Chronic Kidney Disease.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10. Результаты абляции Chronic Kidney Disease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a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305"/>
        <w:gridCol w:w="1170"/>
        <w:gridCol w:w="855"/>
        <w:gridCol w:w="1125"/>
        <w:gridCol w:w="945"/>
        <w:gridCol w:w="1095"/>
        <w:gridCol w:w="1095"/>
        <w:gridCol w:w="780"/>
      </w:tblGrid>
      <w:tr w:rsidR="006B6DA6">
        <w:trPr>
          <w:trHeight w:val="315"/>
        </w:trPr>
        <w:tc>
          <w:tcPr>
            <w:tcW w:w="123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ML Algorithm</w:t>
            </w: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 score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AUCPR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Brier</w:t>
            </w:r>
          </w:p>
        </w:tc>
      </w:tr>
      <w:tr w:rsidR="006B6DA6">
        <w:trPr>
          <w:trHeight w:val="525"/>
        </w:trPr>
        <w:tc>
          <w:tcPr>
            <w:tcW w:w="1230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 classifier</w:t>
            </w: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0.6538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0.7988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0.5909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0.7429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0.7002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0.2287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0.5000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0.7929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0.7392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0.3705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second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0.5000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0.7516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0.2876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third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0.8077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0.7988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0.9231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0.8276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0.7960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0.1774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0.7308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0.8107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0.7143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0.7692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0.7407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0.7629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0.1889</w:t>
            </w:r>
          </w:p>
        </w:tc>
      </w:tr>
      <w:tr w:rsidR="006B6DA6">
        <w:trPr>
          <w:trHeight w:val="31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algorithm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0.8077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0.8994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0.9231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0.8276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0.8955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0.1696</w:t>
            </w:r>
          </w:p>
        </w:tc>
      </w:tr>
      <w:tr w:rsidR="006B6DA6">
        <w:trPr>
          <w:trHeight w:val="315"/>
        </w:trPr>
        <w:tc>
          <w:tcPr>
            <w:tcW w:w="1230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LightGBM</w:t>
            </w: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0.6154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0.7869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0.5652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0.7222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0.7159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0.3057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0.6538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0.8402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0.5909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0.7429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0.7525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0.3183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second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0.6923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0.8343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0.6190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0.7647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0.7859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0.2608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third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0.8639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0.9231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0.8571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0.8580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0.1316</w:t>
            </w:r>
          </w:p>
        </w:tc>
      </w:tr>
      <w:tr w:rsidR="006B6DA6">
        <w:trPr>
          <w:trHeight w:val="853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0.7308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0.8521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0.6923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0.8297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0.1753</w:t>
            </w:r>
          </w:p>
        </w:tc>
      </w:tr>
      <w:tr w:rsidR="006B6DA6">
        <w:trPr>
          <w:trHeight w:val="31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algorithm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0.9231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0.9279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0.1193</w:t>
            </w:r>
          </w:p>
        </w:tc>
      </w:tr>
      <w:tr w:rsidR="006B6DA6">
        <w:trPr>
          <w:trHeight w:val="525"/>
        </w:trPr>
        <w:tc>
          <w:tcPr>
            <w:tcW w:w="1230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Multilayer</w:t>
            </w:r>
          </w:p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Perceptron</w:t>
            </w: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0.5769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0.7012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0.5417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0.7027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0.6597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0.4112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Only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0.5769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0.7456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0.5417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0.7027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0.7431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0.3989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second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0.6923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0.8254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0.6190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1.2000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0.7647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0.7838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0.2739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third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0.8077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0.7929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0.9231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0.8276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0.7402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0.1931</w:t>
            </w:r>
          </w:p>
        </w:tc>
      </w:tr>
      <w:tr w:rsidR="006B6DA6">
        <w:trPr>
          <w:trHeight w:val="52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Without first module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0.6538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0.7397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0.6250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0.7692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0.6897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0.6604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0.2666</w:t>
            </w:r>
          </w:p>
        </w:tc>
      </w:tr>
      <w:tr w:rsidR="006B6DA6">
        <w:trPr>
          <w:trHeight w:val="315"/>
        </w:trPr>
        <w:tc>
          <w:tcPr>
            <w:tcW w:w="1230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6B6DA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 algorithm</w:t>
            </w:r>
          </w:p>
        </w:tc>
        <w:tc>
          <w:tcPr>
            <w:tcW w:w="11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0.8077</w:t>
            </w:r>
          </w:p>
        </w:tc>
        <w:tc>
          <w:tcPr>
            <w:tcW w:w="8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0.7988</w:t>
            </w:r>
          </w:p>
        </w:tc>
        <w:tc>
          <w:tcPr>
            <w:tcW w:w="112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0.7857</w:t>
            </w:r>
          </w:p>
        </w:tc>
        <w:tc>
          <w:tcPr>
            <w:tcW w:w="9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0.8462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0.8148</w:t>
            </w:r>
          </w:p>
        </w:tc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0.6972</w:t>
            </w:r>
          </w:p>
        </w:tc>
        <w:tc>
          <w:tcPr>
            <w:tcW w:w="7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B6DA6" w:rsidRDefault="0053434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0.1712</w:t>
            </w:r>
          </w:p>
        </w:tc>
      </w:tr>
    </w:tbl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_42ryvg7ieh0d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2.3 Заключение по второму разделу</w:t>
      </w:r>
    </w:p>
    <w:p w:rsidR="006B6DA6" w:rsidRDefault="006B6DA6"/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выполнения данного раздела был разработан и теоретически обоснован инновационный метод балансировки классов — Noise-Aware Undersampling with Subsampling (NAUS), предназначенный для работы в условиях высокой зашумленности и дисбаланса медицинских дан</w:t>
      </w:r>
      <w:r>
        <w:rPr>
          <w:rFonts w:ascii="Times New Roman" w:eastAsia="Times New Roman" w:hAnsi="Times New Roman" w:cs="Times New Roman"/>
          <w:sz w:val="28"/>
          <w:szCs w:val="28"/>
        </w:rPr>
        <w:t>ных. Ключевым отличием предложенного подхода от классических методов субдискретизации является его трехэтапная архитектура, которая сочетает в себе фильтрацию шума на основе апостериорных вероятностей, многоуровневый анализ признаковых подпространств и оце</w:t>
      </w:r>
      <w:r>
        <w:rPr>
          <w:rFonts w:ascii="Times New Roman" w:eastAsia="Times New Roman" w:hAnsi="Times New Roman" w:cs="Times New Roman"/>
          <w:sz w:val="28"/>
          <w:szCs w:val="28"/>
        </w:rPr>
        <w:t>нку статистической значимости объектов. Такая структура позволяет эффективно очищать выборку от аномалий и пограничных наблюдений, сохраняя при этом наиболее информативные примеры мажоритарного класса, что критически важно для построения устойчивых диагнос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тических моделей.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Экспериментальная проверка метода на наборе данных Chronic Kidney Disease (Хроническая болезнь почек) подтвердила его высокую эффективность. Результаты абляционного анализа наглядно продемонстрировали, что только полная интеграция всех т</w:t>
      </w:r>
      <w:r>
        <w:rPr>
          <w:rFonts w:ascii="Times New Roman" w:eastAsia="Times New Roman" w:hAnsi="Times New Roman" w:cs="Times New Roman"/>
          <w:sz w:val="28"/>
          <w:szCs w:val="28"/>
        </w:rPr>
        <w:t>рех модулей алгоритма обеспечивает достижение наилучших показателей качества. Использование полнофункционального алгоритма NAUS позволило достичь высоких значений метрик (AUC 0.8994 и AUCPR 0.8955), а также существенно снизить ошибку калибровки (Brier scor</w:t>
      </w:r>
      <w:r>
        <w:rPr>
          <w:rFonts w:ascii="Times New Roman" w:eastAsia="Times New Roman" w:hAnsi="Times New Roman" w:cs="Times New Roman"/>
          <w:sz w:val="28"/>
          <w:szCs w:val="28"/>
        </w:rPr>
        <w:t>e 0.1696) по сравнению с базовыми моделями и усеченными версиями алгоритма. Это свидетельствует о том, что поэтапное устранение негативных факторов — от шума до избыточности — позволяет сформировать более качественную обучающую выборку.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92"/>
          <w:footerReference w:type="default" r:id="rId93"/>
          <w:headerReference w:type="first" r:id="rId94"/>
          <w:footerReference w:type="first" r:id="rId95"/>
          <w:pgSz w:w="11909" w:h="16834"/>
          <w:pgMar w:top="1133" w:right="566" w:bottom="1133" w:left="17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разработанный метод NAUS представляет собой эффективный инструмент предобработки данных, который минимизирует риски переобучения и повышает надежность классификации в условиях «загрязненных» медицинских выборок. Полученные резу</w:t>
      </w:r>
      <w:r>
        <w:rPr>
          <w:rFonts w:ascii="Times New Roman" w:eastAsia="Times New Roman" w:hAnsi="Times New Roman" w:cs="Times New Roman"/>
          <w:sz w:val="28"/>
          <w:szCs w:val="28"/>
        </w:rPr>
        <w:t>льтаты создают прочную методологическую базу для дальнейшего внедрения предиктивных моделей в клиническую практику, гарантируя точность распознавания патологических состояний даже при существенном количественном преобладании здоровых пациентов в исходных д</w:t>
      </w:r>
      <w:r>
        <w:rPr>
          <w:rFonts w:ascii="Times New Roman" w:eastAsia="Times New Roman" w:hAnsi="Times New Roman" w:cs="Times New Roman"/>
          <w:sz w:val="28"/>
          <w:szCs w:val="28"/>
        </w:rPr>
        <w:t>анных.</w:t>
      </w:r>
    </w:p>
    <w:p w:rsidR="006B6DA6" w:rsidRDefault="00534340">
      <w:pPr>
        <w:pStyle w:val="1"/>
        <w:keepNext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8ckof8s7fmsr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РЕАЛИЗАЦИЯ МОДЕЛИ ПРОГНОЗИРОВАНИЯ ОТТОРЖЕНИЯ ТРАНСПЛАНТАТА ПОЧКИ ПОСЛЕ ОПЕРАЦИИ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fniwnyjmuukj" w:colFirst="0" w:colLast="0"/>
      <w:bookmarkEnd w:id="1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 Источники данных и формирование когорт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Фундаментом исследования послужил массив идентифицированных данных из научно-исследовательского файла (Standard Transplant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Analysis and Research, STAR), предоставленного Объединенной сетью по обмену органами (UNOS). Выбор периода 2015–2021 гг. обусловлен не только актуальностью протоколов иммуносупрессии, но и переходом на систему распределения почек KAS (Kidney Allocation Sy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stem), что радикально изменило структуру сопоставления пар «донор-реципиент». Использование данного временного окна минимизирует влияние устаревших методов хирургического вмешательства на целевую переменную. Для анализа данных мы включили предоперационные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пациентов и доноров (записи в листе ожидания), а также данные последующего наблюдения за реципиентами </w:t>
      </w:r>
      <w:hyperlink r:id="rId96">
        <w:r>
          <w:rPr>
            <w:rFonts w:ascii="Times New Roman" w:eastAsia="Times New Roman" w:hAnsi="Times New Roman" w:cs="Times New Roman"/>
            <w:sz w:val="28"/>
            <w:szCs w:val="28"/>
          </w:rPr>
          <w:t>[48]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высокой статистической мощности и минимизации «шума» в данных, </w:t>
      </w:r>
      <w:r>
        <w:rPr>
          <w:rFonts w:ascii="Times New Roman" w:eastAsia="Times New Roman" w:hAnsi="Times New Roman" w:cs="Times New Roman"/>
          <w:sz w:val="28"/>
          <w:szCs w:val="28"/>
        </w:rPr>
        <w:t>процесс формирования когорты базировался на строгих клинических протоколах. Ограничение возраста диапазоном от 18 до 80 лет продиктовано необходимостью исключения специфических возрастных патологий. Исключение педиатрической группы (пациенты младше 18 лет)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обусловлено фундаментальными различиями в иммунном ответе, дозировании иммуносупрессивной терапии и особенностях хирургической техники у детей, что требует построения отдельных прогностических моделей.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уделено исключению случаев повторной </w:t>
      </w:r>
      <w:r>
        <w:rPr>
          <w:rFonts w:ascii="Times New Roman" w:eastAsia="Times New Roman" w:hAnsi="Times New Roman" w:cs="Times New Roman"/>
          <w:sz w:val="28"/>
          <w:szCs w:val="28"/>
        </w:rPr>
        <w:t>трансплантации и мультиорганных операций. Повторная пересадка характеризуется повышенным уровнем предсуществующей сенсибилизации организма к антигенам HLA, что делает риск отторжения априори выше по сравнению с первичными реципиентами. Аналогично, симульта</w:t>
      </w:r>
      <w:r>
        <w:rPr>
          <w:rFonts w:ascii="Times New Roman" w:eastAsia="Times New Roman" w:hAnsi="Times New Roman" w:cs="Times New Roman"/>
          <w:sz w:val="28"/>
          <w:szCs w:val="28"/>
        </w:rPr>
        <w:t>нные операции вносят дополнительные переменные в процесс послеоперационного восстановления и метаболического контроля, что могло бы привести к смещению оценок эффективности стандартной терапии.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Исключение летальных исходов, не связанных напрямую с дисфункц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ией трансплантата, необходимо для корректного обучения модели именно на биологических факторах отторжения. Такой подход позволяет изолировать переменные, влияющие на иммунологическую толерантность, от факторов общей смертности. Кроме того, сужение выборки </w:t>
      </w:r>
      <w:r>
        <w:rPr>
          <w:rFonts w:ascii="Times New Roman" w:eastAsia="Times New Roman" w:hAnsi="Times New Roman" w:cs="Times New Roman"/>
          <w:sz w:val="28"/>
          <w:szCs w:val="28"/>
        </w:rPr>
        <w:t>в контексте этнической принадлежности в рамках данного этапа исследования позволяет снизить влияние генетического полиморфизма на результаты, концентрируя внимание на наиболее однородной группе для выявления базовых закономерностей. В совокупности данные ф</w:t>
      </w:r>
      <w:r>
        <w:rPr>
          <w:rFonts w:ascii="Times New Roman" w:eastAsia="Times New Roman" w:hAnsi="Times New Roman" w:cs="Times New Roman"/>
          <w:sz w:val="28"/>
          <w:szCs w:val="28"/>
        </w:rPr>
        <w:t>ильтры позволили сформировать когорту, где вариативность исходов максимально коррелирует с качеством донорского органа и особенностями иммунного статуса реципиента.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предварительной обработки данных был направлен на сохранение максимального объема инфо</w:t>
      </w:r>
      <w:r>
        <w:rPr>
          <w:rFonts w:ascii="Times New Roman" w:eastAsia="Times New Roman" w:hAnsi="Times New Roman" w:cs="Times New Roman"/>
          <w:sz w:val="28"/>
          <w:szCs w:val="28"/>
        </w:rPr>
        <w:t>рмации при минимизации статистического шума. Удаление признаков с долей пропусков свыше 30% продиктовано риском внесения ложных корреляций: при превышении данного порога синтетические данные начинают доминировать над эмпирическими, что нивелирует биологиче</w:t>
      </w:r>
      <w:r>
        <w:rPr>
          <w:rFonts w:ascii="Times New Roman" w:eastAsia="Times New Roman" w:hAnsi="Times New Roman" w:cs="Times New Roman"/>
          <w:sz w:val="28"/>
          <w:szCs w:val="28"/>
        </w:rPr>
        <w:t>скую значимость переменной. Для оставшихся векторов данных был применен алгоритм MICE (Multiple Imputation by Chained Equations), реализованный через библиотеку miceforest. В отличие от простого заполнения средним значением, MICE использует итеративный про</w:t>
      </w:r>
      <w:r>
        <w:rPr>
          <w:rFonts w:ascii="Times New Roman" w:eastAsia="Times New Roman" w:hAnsi="Times New Roman" w:cs="Times New Roman"/>
          <w:sz w:val="28"/>
          <w:szCs w:val="28"/>
        </w:rPr>
        <w:t>цесс, где каждая переменная с пропусками моделируется как функция от других переменных. Использование случайных лесов (Random Forest) в качестве базовых моделей импутации позволило учесть нелинейные зависимости между клиническими показателями.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Проблема выр</w:t>
      </w:r>
      <w:r>
        <w:rPr>
          <w:rFonts w:ascii="Times New Roman" w:eastAsia="Times New Roman" w:hAnsi="Times New Roman" w:cs="Times New Roman"/>
          <w:sz w:val="28"/>
          <w:szCs w:val="28"/>
        </w:rPr>
        <w:t>аженного классового дисбаланса – преобладания случаев успешного приживления над случаями отторжения – решалась с помощью стратегии RandomUnderSampler. Применение этого метода позволило сбалансировать обучающую выборку, предотвращая склонность модели к ложн</w:t>
      </w:r>
      <w:r>
        <w:rPr>
          <w:rFonts w:ascii="Times New Roman" w:eastAsia="Times New Roman" w:hAnsi="Times New Roman" w:cs="Times New Roman"/>
          <w:sz w:val="28"/>
          <w:szCs w:val="28"/>
        </w:rPr>
        <w:t>оотрицательным прогнозам. Для нивелирования риска потери ценной информации, присущего методу уменьшения выборки (undersampling), процедура была интегрирована в итерационный цикл из 100 повторений. Это позволило обучить ансамбль моделей на различных подмнож</w:t>
      </w:r>
      <w:r>
        <w:rPr>
          <w:rFonts w:ascii="Times New Roman" w:eastAsia="Times New Roman" w:hAnsi="Times New Roman" w:cs="Times New Roman"/>
          <w:sz w:val="28"/>
          <w:szCs w:val="28"/>
        </w:rPr>
        <w:t>ествах мажоритарного класса, обеспечив более устойчивое обобщение признаков.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завершения этапа очистки и импутации данных (раздел 3.2), следующим критическим шагом стала временная сегментация данных. Поскольку риск отторжения трансплантата и факторы, </w:t>
      </w:r>
      <w:r>
        <w:rPr>
          <w:rFonts w:ascii="Times New Roman" w:eastAsia="Times New Roman" w:hAnsi="Times New Roman" w:cs="Times New Roman"/>
          <w:sz w:val="28"/>
          <w:szCs w:val="28"/>
        </w:rPr>
        <w:t>его обуславливающие, динамически меняются в зависимости от срока, прошедшего после операции, единый массив данных был преобразован в лонгитюдную структуру. Это позволило перейти от статического прогноза к анализу выживаемости на конкретных этапах послеопер</w:t>
      </w:r>
      <w:r>
        <w:rPr>
          <w:rFonts w:ascii="Times New Roman" w:eastAsia="Times New Roman" w:hAnsi="Times New Roman" w:cs="Times New Roman"/>
          <w:sz w:val="28"/>
          <w:szCs w:val="28"/>
        </w:rPr>
        <w:t>ационного наблюдения.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детального анализа краткосрочных и долгосрочных рисков набор данных был разделен на пять специфических временных интервалов (эпох): 0–3, 3–9, 9–15, 15–39 и 39–72 месяца после проведения трансплантации. Такое деление обусловлено кл</w:t>
      </w:r>
      <w:r>
        <w:rPr>
          <w:rFonts w:ascii="Times New Roman" w:eastAsia="Times New Roman" w:hAnsi="Times New Roman" w:cs="Times New Roman"/>
          <w:sz w:val="28"/>
          <w:szCs w:val="28"/>
        </w:rPr>
        <w:t>инической периодизацией: первые три месяца характеризуются рисками острого клеточного отторжения, в то время как интервалы после 15 месяцев чаще отражают процессы хронической трансплантационной нефропатии.Методология формирования выборок внутри этих период</w:t>
      </w:r>
      <w:r>
        <w:rPr>
          <w:rFonts w:ascii="Times New Roman" w:eastAsia="Times New Roman" w:hAnsi="Times New Roman" w:cs="Times New Roman"/>
          <w:sz w:val="28"/>
          <w:szCs w:val="28"/>
        </w:rPr>
        <w:t>ов опиралась на использование случайных визитов для ранних когорт и множественных записей для поздних. Включение трех записей на каждого участника для интервалов 15–39 и 39–72 месяца позволило скомпенсировать естественную убыль данных (attrition bias) и по</w:t>
      </w:r>
      <w:r>
        <w:rPr>
          <w:rFonts w:ascii="Times New Roman" w:eastAsia="Times New Roman" w:hAnsi="Times New Roman" w:cs="Times New Roman"/>
          <w:sz w:val="28"/>
          <w:szCs w:val="28"/>
        </w:rPr>
        <w:t>высить плотность информации в долгосрочном периоде, где клиническая картина становится более размытой. Итоговое распределение пациентов по когортам (N = 298, 362, 828, 617, 452 соответственно) обеспечивает достаточную статистическую мощность для применения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алгоритмов машинного обучения в каждом сегменте.Анализ базовых характеристик сформированных групп подтвердил однородность выборки. Средний возраст реципиентов от 51 ± 14 до 54 ± 13 лет) и доноров (от 40 ± 13 до 43 ± 13 лет) демонстрирует стабильность демо</w:t>
      </w:r>
      <w:r>
        <w:rPr>
          <w:rFonts w:ascii="Times New Roman" w:eastAsia="Times New Roman" w:hAnsi="Times New Roman" w:cs="Times New Roman"/>
          <w:sz w:val="28"/>
          <w:szCs w:val="28"/>
        </w:rPr>
        <w:t>графического профиля на всех этапах наблюдения, что исключает возрастное смещение при оценке рисков. Показатели индекса массы тела (ИМТ), варьирующиеся в пределах 28–29 кг/м², также свидетельствуют о метаболической идентичности групп. Статистическая незнач</w:t>
      </w:r>
      <w:r>
        <w:rPr>
          <w:rFonts w:ascii="Times New Roman" w:eastAsia="Times New Roman" w:hAnsi="Times New Roman" w:cs="Times New Roman"/>
          <w:sz w:val="28"/>
          <w:szCs w:val="28"/>
        </w:rPr>
        <w:t>имость различий в этих параметрах подтверждает, что выявленные в дальнейшем предикторы отторжения будут связаны именно с иммунологическими и терапевтическими факторами, а не с исходными демографическими перекосами между временными когортами.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Этот многоэтап</w:t>
      </w:r>
      <w:r>
        <w:rPr>
          <w:rFonts w:ascii="Times New Roman" w:eastAsia="Times New Roman" w:hAnsi="Times New Roman" w:cs="Times New Roman"/>
          <w:sz w:val="28"/>
          <w:szCs w:val="28"/>
        </w:rPr>
        <w:t>ный аналитический подход позволил выявить скрытые закономерности, которые могли бы остаться незамеченными при анализе в одной временной точке. По сути, эта методология служит формой динамического прогнозирования, позволяющей непрерывно корректировать прогн</w:t>
      </w:r>
      <w:r>
        <w:rPr>
          <w:rFonts w:ascii="Times New Roman" w:eastAsia="Times New Roman" w:hAnsi="Times New Roman" w:cs="Times New Roman"/>
          <w:sz w:val="28"/>
          <w:szCs w:val="28"/>
        </w:rPr>
        <w:t>остические модели в режиме реального времени с учетом колебаний состояния пациента.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2u8pzgx444jp" w:colFirst="0" w:colLast="0"/>
      <w:bookmarkEnd w:id="1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 Реализация и оценка модели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методологической процедурой, визуализированной на рисунке 11 (A), процесс разработки прогностических инструментов был разд</w:t>
      </w:r>
      <w:r>
        <w:rPr>
          <w:rFonts w:ascii="Times New Roman" w:eastAsia="Times New Roman" w:hAnsi="Times New Roman" w:cs="Times New Roman"/>
          <w:sz w:val="28"/>
          <w:szCs w:val="28"/>
        </w:rPr>
        <w:t>елен на четыре последовательных этапа: сбор данных из реестров UNOS/OPTN за период 2015–2020 гг., их комплексную предобработку, непосредственное моделирование и финальную оценку качества. В рамках данного исследования были детально изучены и протестированы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четыре различных подхода к моделированию, включающие как классические статистические методы выживаемости, так и современные алгоритмы машинного обучения. Реализация автономных моделей машинного обучения осуществлялась в рамках строго последовательного про</w:t>
      </w:r>
      <w:r>
        <w:rPr>
          <w:rFonts w:ascii="Times New Roman" w:eastAsia="Times New Roman" w:hAnsi="Times New Roman" w:cs="Times New Roman"/>
          <w:sz w:val="28"/>
          <w:szCs w:val="28"/>
        </w:rPr>
        <w:t>цесса, направленного на обеспечение воспроизводимости и достоверности полученных результатов.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начальном этапе подготовки архитектуры исследования исходный массив данных был разделен на обучающую и независимую тестовую подгруппы, при этом 10% общего объе</w:t>
      </w:r>
      <w:r>
        <w:rPr>
          <w:rFonts w:ascii="Times New Roman" w:eastAsia="Times New Roman" w:hAnsi="Times New Roman" w:cs="Times New Roman"/>
          <w:sz w:val="28"/>
          <w:szCs w:val="28"/>
        </w:rPr>
        <w:t>ма данных было превентивно зарезервировано исключительно для финального тестирования. Подобная стратегия «отложенной выборки» позволяет провести объективную, непредвзятую оценку обобщающей способности моделей на данных, которые не участвовали в процессе на</w:t>
      </w:r>
      <w:r>
        <w:rPr>
          <w:rFonts w:ascii="Times New Roman" w:eastAsia="Times New Roman" w:hAnsi="Times New Roman" w:cs="Times New Roman"/>
          <w:sz w:val="28"/>
          <w:szCs w:val="28"/>
        </w:rPr>
        <w:t>стройки параметров. Оставшаяся часть обучающей выборки подверглась процедуре стратифицированной пятикратной перекрестной проверки (Stratified K-Fold), что критически важно в условиях потенциального дисбаланса целевых классов.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Данный механизм предполагал разделение обучающего множества на пять равных по размеру блоков (фолдов) с обязательным сохранением исходных пропорций целевого признака в каждом из них. В ходе каждой из пяти итераций один из блоков последовательно выступал в </w:t>
      </w:r>
      <w:r>
        <w:rPr>
          <w:rFonts w:ascii="Times New Roman" w:eastAsia="Times New Roman" w:hAnsi="Times New Roman" w:cs="Times New Roman"/>
          <w:sz w:val="28"/>
          <w:szCs w:val="28"/>
        </w:rPr>
        <w:t>роли проверочного набора, тогда как остальные четыре использовались для непосредственного обучения алгоритма. Применение такого циклического подхода гарантирует получение надежной и статистически значимой оценки производительности системы, а также минимизи</w:t>
      </w:r>
      <w:r>
        <w:rPr>
          <w:rFonts w:ascii="Times New Roman" w:eastAsia="Times New Roman" w:hAnsi="Times New Roman" w:cs="Times New Roman"/>
          <w:sz w:val="28"/>
          <w:szCs w:val="28"/>
        </w:rPr>
        <w:t>рует риски переобучения, позволяя модели выявлять истинные закономерности, а не специфический шум в данных. Кроме того, предложенная структура исследования учитывает различные временные периоды: краткосрочный, среднесрочный и долгосрочный.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b"/>
        <w:tblW w:w="96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5"/>
        <w:gridCol w:w="9105"/>
      </w:tblGrid>
      <w:tr w:rsidR="006B6DA6">
        <w:tc>
          <w:tcPr>
            <w:tcW w:w="495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A.</w:t>
            </w:r>
          </w:p>
        </w:tc>
        <w:tc>
          <w:tcPr>
            <w:tcW w:w="9105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5313863" cy="2190236"/>
                  <wp:effectExtent l="0" t="0" r="0" b="0"/>
                  <wp:docPr id="47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863" cy="21902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DA6">
        <w:tc>
          <w:tcPr>
            <w:tcW w:w="495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9105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5056688" cy="2139719"/>
                  <wp:effectExtent l="0" t="0" r="0" b="0"/>
                  <wp:docPr id="2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6688" cy="21397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11. А) Процесс ML; Б) Прогнозные интервалы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этапа первичной подготовки данных процедура отбора наиболее значимых признаков была реализована на объединенном обучающем и проверочном наборах. Для обеспечения высокой прогностической точности и 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явления нелинейных зависимостей в данных были применены три репрезентативных алгоритма градиентного бустинга и случайных лесов: Random Forest (RF), XGBoost (XGB) и LightGBM (LGBM). Выбор данных методов обусловлен их доказанной эффективностью при работе со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структурированными медицинскими данными большой размерности.  Программная реализация данных решений осуществлялась в среде разработки Python версии 3.11.5 с привлечением актуальных версий специализированных библиотек, включая Scikit-learn (v.1.5.2) для пос</w:t>
      </w:r>
      <w:r>
        <w:rPr>
          <w:rFonts w:ascii="Times New Roman" w:eastAsia="Times New Roman" w:hAnsi="Times New Roman" w:cs="Times New Roman"/>
          <w:sz w:val="28"/>
          <w:szCs w:val="28"/>
        </w:rPr>
        <w:t>троения конвейеров машинного обучения, а также оптимизированных фреймворков XGBoost (v.2.1.2) и LightGBM (v.4.3.0).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фундаментального статистического базиса для анализа времени до наступления целевого события (Time-to-Event) была интегрирована ав</w:t>
      </w:r>
      <w:r>
        <w:rPr>
          <w:rFonts w:ascii="Times New Roman" w:eastAsia="Times New Roman" w:hAnsi="Times New Roman" w:cs="Times New Roman"/>
          <w:sz w:val="28"/>
          <w:szCs w:val="28"/>
        </w:rPr>
        <w:t>тономная модель регрессии пропорциональных рисков Кокса (Cox PHR). Данный подход позволил не только оценить вероятность наступления события, но и интерпретировать влияние ковариат на функцию риска в разные временные интервалы, представленные в когортах Sho</w:t>
      </w:r>
      <w:r>
        <w:rPr>
          <w:rFonts w:ascii="Times New Roman" w:eastAsia="Times New Roman" w:hAnsi="Times New Roman" w:cs="Times New Roman"/>
          <w:sz w:val="28"/>
          <w:szCs w:val="28"/>
        </w:rPr>
        <w:t>rt-term, Mid-term и Long-term. Для достижения максимальной точности аппроксимации процесс обучения модели сопровождался тонкой настройкой гиперпараметров с использованием метода исчерпывающего поиска по сетке (GridSearchCV) в сочетании со стратифицированно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й пятикратной перекрестной проверкой. В качестве ключевого критерия оптимизации и оценки дискриминантной способности моделей использовалось среднее значение площади под ROC-кривой (ROC-AUC), которое в рамках данной работы выступает гарантом надежности и ст</w:t>
      </w:r>
      <w:r>
        <w:rPr>
          <w:rFonts w:ascii="Times New Roman" w:eastAsia="Times New Roman" w:hAnsi="Times New Roman" w:cs="Times New Roman"/>
          <w:sz w:val="28"/>
          <w:szCs w:val="28"/>
        </w:rPr>
        <w:t>атистической достоверности прогнозных значений. Дополнительно, для комплексного контроля качества классификации в условиях возможного дисбаланса классов, вычислялись гармоническое среднее между точностью и полнотой (F1-score), а также показатель G-Mean, ха</w:t>
      </w:r>
      <w:r>
        <w:rPr>
          <w:rFonts w:ascii="Times New Roman" w:eastAsia="Times New Roman" w:hAnsi="Times New Roman" w:cs="Times New Roman"/>
          <w:sz w:val="28"/>
          <w:szCs w:val="28"/>
        </w:rPr>
        <w:t>рактеризующий баланс между чувствительностью и специфичностью.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проведения более глубокого биостатистического анализа модель регрессии Кокса была использована для вычисления индекса согласованности (C-index или CI), который является общепринятым ста</w:t>
      </w:r>
      <w:r>
        <w:rPr>
          <w:rFonts w:ascii="Times New Roman" w:eastAsia="Times New Roman" w:hAnsi="Times New Roman" w:cs="Times New Roman"/>
          <w:sz w:val="28"/>
          <w:szCs w:val="28"/>
        </w:rPr>
        <w:t>ндартом для оценки качества моделей выживаемости и отражает долю пар объектов, для которых порядок наступления событий был предсказан верно. Статистическая верификация полученных результатов базировалась на проверке нулевых гипотез с установленным пороговы</w:t>
      </w:r>
      <w:r>
        <w:rPr>
          <w:rFonts w:ascii="Times New Roman" w:eastAsia="Times New Roman" w:hAnsi="Times New Roman" w:cs="Times New Roman"/>
          <w:sz w:val="28"/>
          <w:szCs w:val="28"/>
        </w:rPr>
        <w:t>м уровнем значимости p&lt;0,05. Данный уровень критической значимости является общепринятым в доказательной медицине и клинической статистике. Все статистические анализы и разработка модели машинного обучения проводились с использованием Python версии 3.11.5.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5" w:name="_umk8tg6brrgg" w:colFirst="0" w:colLast="0"/>
      <w:bookmarkEnd w:id="15"/>
      <w:r>
        <w:rPr>
          <w:rFonts w:ascii="Times New Roman" w:eastAsia="Times New Roman" w:hAnsi="Times New Roman" w:cs="Times New Roman"/>
          <w:b/>
          <w:bCs/>
          <w:color w:val="000000"/>
        </w:rPr>
        <w:t>3.2.1 В течение первых трех месяцев (0–3 месяца)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разделе рассматривается эффективность прогнозирования отторжения трансплантата в краткосрочном периоде. Исследование сопоставляет классический статистический подход (регрессия Кокса) и современные алгоритмы машинного обучения. На рисунке 12 показа</w:t>
      </w:r>
      <w:r>
        <w:rPr>
          <w:rFonts w:ascii="Times New Roman" w:eastAsia="Times New Roman" w:hAnsi="Times New Roman" w:cs="Times New Roman"/>
          <w:sz w:val="28"/>
          <w:szCs w:val="28"/>
        </w:rPr>
        <w:t>но, что среди моделей машинного обучения классификатор LightGBM (LGBM) достиг наилучшей точности прогнозирования отторжения трансплантата в течение периода 0–3 месяца.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обучающей выборке модель продемонстрировала высокие показатели эффективности со средн</w:t>
      </w:r>
      <w:r>
        <w:rPr>
          <w:rFonts w:ascii="Times New Roman" w:eastAsia="Times New Roman" w:hAnsi="Times New Roman" w:cs="Times New Roman"/>
          <w:sz w:val="28"/>
          <w:szCs w:val="28"/>
        </w:rPr>
        <w:t>им значением ROC AUC 0,97 ± 0,01, средним значением F1-меры 0,93 ± 0,01 и средним значением G-среднего 0,93 ± 0,01. При оценке на тестовой выборке модель достигла среднего значения ROC AUC 0,73 ± 0,07, среднего значения F1-меры 0,68 ± 0,06 и среднего значе</w:t>
      </w:r>
      <w:r>
        <w:rPr>
          <w:rFonts w:ascii="Times New Roman" w:eastAsia="Times New Roman" w:hAnsi="Times New Roman" w:cs="Times New Roman"/>
          <w:sz w:val="28"/>
          <w:szCs w:val="28"/>
        </w:rPr>
        <w:t>ния G-среднего 0,67 ± 0,07.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c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c>
          <w:tcPr>
            <w:tcW w:w="3214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40" name="image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/>
                          <pic:cNvPicPr preferRelativeResize="0"/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21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34" name="image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12. ROC кривая ML для периода 0–3 месяца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то же время классическая модель Кокса не смогла показать сопоставимых результатов на данном наборе данных. Визуализация ROC-кривых наглядно подтверждает это различие: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график модели Кокса (рисунок 13) демонстрирует низкую разделительную способность, в то время как кривые моделей машинного обучения, особенно LGBM (рисунок 12), существенно выше диагональной линии, что свидетельствует об их более высокой прогностической це</w:t>
      </w:r>
      <w:r>
        <w:rPr>
          <w:rFonts w:ascii="Times New Roman" w:eastAsia="Times New Roman" w:hAnsi="Times New Roman" w:cs="Times New Roman"/>
          <w:sz w:val="28"/>
          <w:szCs w:val="28"/>
        </w:rPr>
        <w:t>нности в течение первых трех месяцев после операции.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603600" cy="2883607"/>
            <wp:effectExtent l="0" t="0" r="0" b="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2883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13. ROC кривая Кокс для периода 0–3 месяца</w:t>
      </w:r>
    </w:p>
    <w:p w:rsidR="006B6DA6" w:rsidRDefault="00534340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6" w:name="_bwa849h86jdu" w:colFirst="0" w:colLast="0"/>
      <w:bookmarkEnd w:id="16"/>
      <w:r>
        <w:rPr>
          <w:rFonts w:ascii="Times New Roman" w:eastAsia="Times New Roman" w:hAnsi="Times New Roman" w:cs="Times New Roman"/>
          <w:b/>
          <w:bCs/>
          <w:color w:val="000000"/>
        </w:rPr>
        <w:t>3.2.2 В течение с 3 до 9 месяцев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Аналогичная тенденция лидерства алгоритмов машинного обучения сохранилась и в следующем интервале от 3 до 9 месяцев. Классификатор LightGBM вновь продемонстрировал превосходную прогностическую способность при прогнозировании отторжения трансплантата по сра</w:t>
      </w:r>
      <w:r>
        <w:rPr>
          <w:rFonts w:ascii="Times New Roman" w:eastAsia="Times New Roman" w:hAnsi="Times New Roman" w:cs="Times New Roman"/>
          <w:sz w:val="28"/>
          <w:szCs w:val="28"/>
        </w:rPr>
        <w:t>внению с альтернативными моделями. На рисунке 14 представлены результаты сравнительного анализа эффективности моделей.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обучающих данных модель показала стабильные высокие результаты со средним значением F1-меры 0,95 ± 0,01, средним значением G-среднего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0,95 ± 0,01 и средним значением ROC AUC 0,98 ± 0,00. При оценке на внешней валидационной тестовой выборке прогностическая способность модели оставалась устойчивой и характеризовалась средним значением F1-меры 0,64 ± 0,05, средним значением G-среднего 0,67 </w:t>
      </w:r>
      <w:r>
        <w:rPr>
          <w:rFonts w:ascii="Times New Roman" w:eastAsia="Times New Roman" w:hAnsi="Times New Roman" w:cs="Times New Roman"/>
          <w:sz w:val="28"/>
          <w:szCs w:val="28"/>
        </w:rPr>
        <w:t>± 0,05 и средним значением ROC AUC 0,72 ± 0,04.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d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c>
          <w:tcPr>
            <w:tcW w:w="3214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33" name="imag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37" name="image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14. ROC кривая ML для периода 3–9 месяца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рисунке 15 представлена ROC-кривая для модели регрессии пропорциональных рисков Кокса, которая наглядно демонстрирует ее ограниченную прогностичес</w:t>
      </w:r>
      <w:r>
        <w:rPr>
          <w:rFonts w:ascii="Times New Roman" w:eastAsia="Times New Roman" w:hAnsi="Times New Roman" w:cs="Times New Roman"/>
          <w:sz w:val="28"/>
          <w:szCs w:val="28"/>
        </w:rPr>
        <w:t>кую способность в данный период. График модели практически совпадает с диагональной линией (линией случайного угадывания), что указывает на крайне низкую чувствительность и специфичность метода при работе с данными этого набора. В отличие от алгоритмов маш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инного обучения, таких как LightGBM, модель Кокса оказалась неспособна эффективно выявить сложные нелинейные зависимости в характеристиках пациентов, что делает ее использование для среднесрочного прогнозирования отторжения трансплантата в данных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нецелесообразным. 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531600" cy="2825993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1600" cy="2825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15. ROC кривая Кокс для периода 3–9 месяца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7" w:name="_8gba9rm3zyqf" w:colFirst="0" w:colLast="0"/>
      <w:bookmarkEnd w:id="17"/>
      <w:r>
        <w:rPr>
          <w:rFonts w:ascii="Times New Roman" w:eastAsia="Times New Roman" w:hAnsi="Times New Roman" w:cs="Times New Roman"/>
          <w:b/>
          <w:bCs/>
          <w:color w:val="000000"/>
        </w:rPr>
        <w:t>3.2.3 В течение с 9 до 15 месяцев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Модель машинного обучения, в частности классификатор LightGBM, продемонстрировала высокую точность прогнозирования отторжения трансплантата в течение периода 9–15 месяцев. На рисунке 16 представлены результаты оценки прогностической эффективности модели.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 обучающих данных модель показала исключительные результаты со средним значением F1-меры 0,97 ± 0,01, средним значением G-среднего 0,97 ± 0,01 и средним значением ROC AUC 0,99 ± 0,00. На независимой тестовой выборке модель сохраняла высокую прогностическу</w:t>
      </w:r>
      <w:r>
        <w:rPr>
          <w:rFonts w:ascii="Times New Roman" w:eastAsia="Times New Roman" w:hAnsi="Times New Roman" w:cs="Times New Roman"/>
          <w:sz w:val="28"/>
          <w:szCs w:val="28"/>
        </w:rPr>
        <w:t>ю способность, достигнув среднего значения F1-меры 0,85 ± 0,03, среднего значения G-среднего 0,86 ± 0,03 и среднего значения ROC AUC 0,92 ± 0,02.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Полученные результаты свидетельствуют о повышенной прогностической способности моделей машинного обучения для </w:t>
      </w:r>
      <w:r>
        <w:rPr>
          <w:rFonts w:ascii="Times New Roman" w:eastAsia="Times New Roman" w:hAnsi="Times New Roman" w:cs="Times New Roman"/>
          <w:sz w:val="28"/>
          <w:szCs w:val="28"/>
        </w:rPr>
        <w:t>прогнозирования отторжения почечного трансплантата в данном временном интервале.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e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c>
          <w:tcPr>
            <w:tcW w:w="3214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23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44" name="image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/>
                          <pic:cNvPicPr preferRelativeResize="0"/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8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16. ROC кривая ML для периода 9–15 месяцев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противоположность этому, результаты классической модели регрессии Кокса для данного периода остаются неудовлетво</w:t>
      </w:r>
      <w:r>
        <w:rPr>
          <w:rFonts w:ascii="Times New Roman" w:eastAsia="Times New Roman" w:hAnsi="Times New Roman" w:cs="Times New Roman"/>
          <w:sz w:val="28"/>
          <w:szCs w:val="28"/>
        </w:rPr>
        <w:t>рительными. Как показано на рисунке 17, ROC-кривая модели Кокса практически полностью совпадает с диагональной линией случайного угадывания. Это отсутствие выраженной кривизны графика указывает на то, что традиционный статистический метод не обладает доста</w:t>
      </w:r>
      <w:r>
        <w:rPr>
          <w:rFonts w:ascii="Times New Roman" w:eastAsia="Times New Roman" w:hAnsi="Times New Roman" w:cs="Times New Roman"/>
          <w:sz w:val="28"/>
          <w:szCs w:val="28"/>
        </w:rPr>
        <w:t>точной прогностической способностью для интервала 9–15 месяцев на данном наборе данных.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600000" cy="2880000"/>
            <wp:effectExtent l="0" t="0" r="0" b="0"/>
            <wp:docPr id="36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17. ROC кривая Кокс для периода 9–15 месяцев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8" w:name="_htsi93n1qwcp" w:colFirst="0" w:colLast="0"/>
      <w:bookmarkEnd w:id="18"/>
      <w:r>
        <w:rPr>
          <w:rFonts w:ascii="Times New Roman" w:eastAsia="Times New Roman" w:hAnsi="Times New Roman" w:cs="Times New Roman"/>
          <w:b/>
          <w:bCs/>
          <w:color w:val="000000"/>
        </w:rPr>
        <w:t>3.2.4 В течение с 15 до 39 месяцев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выявления базовых взаимосвязей между переменными в интервале от 15 до 39 месяцев была внедрена стратегия динамического мониторинга пациентов. Данный динамический прогностический подход продемонстрировал высокую эффективность в прогнозировании отторжени</w:t>
      </w:r>
      <w:r>
        <w:rPr>
          <w:rFonts w:ascii="Times New Roman" w:eastAsia="Times New Roman" w:hAnsi="Times New Roman" w:cs="Times New Roman"/>
          <w:sz w:val="28"/>
          <w:szCs w:val="28"/>
        </w:rPr>
        <w:t>я трансплантата с использованием модели машинного обучения.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обучающем наборе данных модель достигла среднего значения F1-меры, равного 0,94 ± 0,01, среднего значения G-среднего, равного 0,94 ± 0,01, и среднего значения ROC AUC, равного 0,98 ± 0,00. На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естовом наборе данных модель достигла среднего значения F1-меры, равного 0,76 ± 0,04, среднего значения G-среднего, равного 0,75 ± 0,04, и среднего значения ROC AUC, равного 0,84 ± 0,04.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Модель машинного обучения продемонстрировала высокую прогностическую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ценность, а включение динамических данных значительно повысило точность прогнозирования на срок до трех лет, что визуализировано на Рисунке 18.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c>
          <w:tcPr>
            <w:tcW w:w="3214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49" name="image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/>
                          <pic:cNvPicPr preferRelativeResize="0"/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29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18. ROC кривая ML для периода 15–39 месяцев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Напротив, представленный на рисунке 19 график модели регрессии Кокса для этого же интервала (15–39 месяцев) представляет собой практически прямую диагональную линию. Такое положение ROC-кривой свидетельствует о том, что традиционная статистическая модель н</w:t>
      </w:r>
      <w:r>
        <w:rPr>
          <w:rFonts w:ascii="Times New Roman" w:eastAsia="Times New Roman" w:hAnsi="Times New Roman" w:cs="Times New Roman"/>
          <w:sz w:val="28"/>
          <w:szCs w:val="28"/>
        </w:rPr>
        <w:t>е справляется с выявлением закономерностей в данных на сроке до трех лет и фактически показывает результат, близкий к случайному угадыванию.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600000" cy="2880000"/>
            <wp:effectExtent l="0" t="0" r="0" b="0"/>
            <wp:docPr id="38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9" w:name="_gkjm1pjhxu0c" w:colFirst="0" w:colLast="0"/>
      <w:bookmarkEnd w:id="19"/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19. ROC кривая Кокс для периода 15–39 месяцев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3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0" w:name="_9dgnp299uh71" w:colFirst="0" w:colLast="0"/>
      <w:bookmarkEnd w:id="20"/>
      <w:r>
        <w:rPr>
          <w:rFonts w:ascii="Times New Roman" w:eastAsia="Times New Roman" w:hAnsi="Times New Roman" w:cs="Times New Roman"/>
          <w:b/>
          <w:bCs/>
          <w:color w:val="000000"/>
        </w:rPr>
        <w:t>3.2.5 В течение с 39 до 72 месяцев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на тестов</w:t>
      </w:r>
      <w:r>
        <w:rPr>
          <w:rFonts w:ascii="Times New Roman" w:eastAsia="Times New Roman" w:hAnsi="Times New Roman" w:cs="Times New Roman"/>
          <w:sz w:val="28"/>
          <w:szCs w:val="28"/>
        </w:rPr>
        <w:t>ом наборе данных прогностическая эффективность модели характеризовалась средним значением F1-меры, равным 0,65 ± 0,06, средним значением G-среднего, равным 0,65 ± 0,07, и средним значением ROC AUC, равным 0,70 ± 0,07. Эти результаты дополнительно подтвержд</w:t>
      </w:r>
      <w:r>
        <w:rPr>
          <w:rFonts w:ascii="Times New Roman" w:eastAsia="Times New Roman" w:hAnsi="Times New Roman" w:cs="Times New Roman"/>
          <w:sz w:val="28"/>
          <w:szCs w:val="28"/>
        </w:rPr>
        <w:t>ают полезность подхода машинного обучения для прогнозирования долгосрочной несостоятельности трансплантата.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анализе данных за период от 39 до 72 месяцев модель машинного обучения продолжала демонстрировать свои прогностические возможности. На обучающих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модель достигла среднего значения F1-меры, равного 0,92 ± 0,01, среднего значения G-среднего, равного 0,92 ± 0,01, и среднего значения ROC AUC, равного 0,96 ± 0,01. На тестовой выборке показатели составили: среднее значение F1-меры 0,65 ± 0,06, сре</w:t>
      </w:r>
      <w:r>
        <w:rPr>
          <w:rFonts w:ascii="Times New Roman" w:eastAsia="Times New Roman" w:hAnsi="Times New Roman" w:cs="Times New Roman"/>
          <w:sz w:val="28"/>
          <w:szCs w:val="28"/>
        </w:rPr>
        <w:t>днее значение G-среднего 0,65 ± 0,07 и среднее значение ROC AUC 0,70 ± 0,07. Визуализация на рисунке 20 демонстрирует, что ROC-кривые для моделей LGBM, XGBM и RF по-прежнему располагаются выше диагональной линии, подтверждая сохранение их прогностических в</w:t>
      </w:r>
      <w:r>
        <w:rPr>
          <w:rFonts w:ascii="Times New Roman" w:eastAsia="Times New Roman" w:hAnsi="Times New Roman" w:cs="Times New Roman"/>
          <w:sz w:val="28"/>
          <w:szCs w:val="28"/>
        </w:rPr>
        <w:t>озможностей в долгосрочном периоде.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0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215"/>
        <w:gridCol w:w="3214"/>
        <w:gridCol w:w="3214"/>
      </w:tblGrid>
      <w:tr w:rsidR="006B6DA6">
        <w:tc>
          <w:tcPr>
            <w:tcW w:w="3214" w:type="dxa"/>
          </w:tcPr>
          <w:p w:rsidR="006B6DA6" w:rsidRDefault="005343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31" name="imag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1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4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895475" cy="1536700"/>
                  <wp:effectExtent l="0" t="0" r="0" b="0"/>
                  <wp:docPr id="3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3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20. ROC кривая ML для периода 39–72 месяцев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отличие от подходов машинного обучения, классическая модель регрессии пропорциональных рисков Кокса в этом интервале не показала удовлетворительной эффективности. Как видно на рисунке 21, ROC-кривая модели Кокса для периода 39–72 месяца представляет собо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прямую диагональную линию. Такое графическое отображение свидетельствует об отсутствии у модели реальной предсказательной способности, так как она не позволяет отличить истинно положительные результаты от ложноположительных. 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600000" cy="2880000"/>
            <wp:effectExtent l="0" t="0" r="0" b="0"/>
            <wp:docPr id="43" name="image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/>
                    <pic:cNvPicPr preferRelativeResize="0"/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21. ROC кривая Ко</w:t>
      </w:r>
      <w:r>
        <w:rPr>
          <w:rFonts w:ascii="Times New Roman" w:eastAsia="Times New Roman" w:hAnsi="Times New Roman" w:cs="Times New Roman"/>
          <w:sz w:val="28"/>
          <w:szCs w:val="28"/>
        </w:rPr>
        <w:t>кс для периода 39–72 месяцев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_38p0ucsdzhnv" w:colFirst="0" w:colLast="0"/>
      <w:bookmarkEnd w:id="2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3.3 Выявление важных признаков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определения наиболее значимых предикторов выживаемости почечного трансплантата был проведен анализ важности признаков с использованием алгоритма LightGBM (LGBM). Данный метод позволил ранжир</w:t>
      </w:r>
      <w:r>
        <w:rPr>
          <w:rFonts w:ascii="Times New Roman" w:eastAsia="Times New Roman" w:hAnsi="Times New Roman" w:cs="Times New Roman"/>
          <w:sz w:val="28"/>
          <w:szCs w:val="28"/>
        </w:rPr>
        <w:t>овать переменные по их вкладу в точность прогноза на разных временных интервалах. С целью выявления наиболее стабильных факторов риска была использована диаграмма Венна, которая наглядно демонстрирует пересечение ключевых признаков между тремя временными к</w:t>
      </w:r>
      <w:r>
        <w:rPr>
          <w:rFonts w:ascii="Times New Roman" w:eastAsia="Times New Roman" w:hAnsi="Times New Roman" w:cs="Times New Roman"/>
          <w:sz w:val="28"/>
          <w:szCs w:val="28"/>
        </w:rPr>
        <w:t>огортами: краткосрочной (0–15 месяцев), среднесрочной (15–39 месяцев) и долгосрочной (39–72 месяца).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показал, что 6 признаков являются универсальными предикторами и сохраняют свою значимость на протяжении всего периода наблюдения (39–72 месяца). К н</w:t>
      </w:r>
      <w:r>
        <w:rPr>
          <w:rFonts w:ascii="Times New Roman" w:eastAsia="Times New Roman" w:hAnsi="Times New Roman" w:cs="Times New Roman"/>
          <w:sz w:val="28"/>
          <w:szCs w:val="28"/>
        </w:rPr>
        <w:t>им относятся возраст реципиента, показатели функции почек и специфические клинические маркеры, зафиксированные в базе UNOS/OPTN. Пересечение множеств на диаграмме подтверждает, что хотя каждый период имеет свои уникальные предикторы (например, острые ослож</w:t>
      </w:r>
      <w:r>
        <w:rPr>
          <w:rFonts w:ascii="Times New Roman" w:eastAsia="Times New Roman" w:hAnsi="Times New Roman" w:cs="Times New Roman"/>
          <w:sz w:val="28"/>
          <w:szCs w:val="28"/>
        </w:rPr>
        <w:t>нения в краткосрочном периоде), существует устойчивое ядро признаков, определяющее долгосрочный прогноз. Использование диаграммы Венна позволило математически обосновать отбор наиболее информативных переменных для оптимизации финальных прогностических моде</w:t>
      </w:r>
      <w:r>
        <w:rPr>
          <w:rFonts w:ascii="Times New Roman" w:eastAsia="Times New Roman" w:hAnsi="Times New Roman" w:cs="Times New Roman"/>
          <w:sz w:val="28"/>
          <w:szCs w:val="28"/>
        </w:rPr>
        <w:t>лей.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1"/>
        <w:tblW w:w="964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821"/>
        <w:gridCol w:w="4822"/>
      </w:tblGrid>
      <w:tr w:rsidR="006B6DA6">
        <w:tc>
          <w:tcPr>
            <w:tcW w:w="4821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2914650" cy="2959100"/>
                  <wp:effectExtent l="0" t="0" r="0" b="0"/>
                  <wp:docPr id="45" name="image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/>
                          <pic:cNvPicPr preferRelativeResize="0"/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95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</w:tcPr>
          <w:p w:rsidR="006B6DA6" w:rsidRDefault="0053434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3037388" cy="2610565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388" cy="2610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22. Диаграмма Венна, демонстрирующая распределение и пересечение наиболее значимых признаков, отобранных моделью LightGBM для пяти временных интервалов прогнозирования.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2" w:name="_duzznyd5szut" w:colFirst="0" w:colLast="0"/>
      <w:bookmarkEnd w:id="2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3.4 Заключение по третьему разделу</w:t>
      </w:r>
    </w:p>
    <w:p w:rsidR="006B6DA6" w:rsidRDefault="006B6D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ходе реализации третьего раздела была р</w:t>
      </w:r>
      <w:r>
        <w:rPr>
          <w:rFonts w:ascii="Times New Roman" w:eastAsia="Times New Roman" w:hAnsi="Times New Roman" w:cs="Times New Roman"/>
          <w:sz w:val="28"/>
          <w:szCs w:val="28"/>
        </w:rPr>
        <w:t>азработана и научно обоснована комплексная методология предиктивного моделирования рисков отторжения почечного трансплантата, базирующаяся на анализе больших деидентифицированных данных из научно-исследовательского файла STAR (UNOS/OPTN). Использование вре</w:t>
      </w:r>
      <w:r>
        <w:rPr>
          <w:rFonts w:ascii="Times New Roman" w:eastAsia="Times New Roman" w:hAnsi="Times New Roman" w:cs="Times New Roman"/>
          <w:sz w:val="28"/>
          <w:szCs w:val="28"/>
        </w:rPr>
        <w:t>менного окна 2015–2021 гг. обеспечило актуальность исследования за счет учета современных протоколов иммуносупрессии и перехода на новую систему распределения органов KAS, что позволило минимизировать влияние устаревших клинических практик на результаты мо</w:t>
      </w:r>
      <w:r>
        <w:rPr>
          <w:rFonts w:ascii="Times New Roman" w:eastAsia="Times New Roman" w:hAnsi="Times New Roman" w:cs="Times New Roman"/>
          <w:sz w:val="28"/>
          <w:szCs w:val="28"/>
        </w:rPr>
        <w:t>делирования.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Ключевым достижением этапа формирования когорты стала строгая фильтрация данных, направленная на изоляцию биологических факторов иммунологической толерантности. Исключение педиатрической группы, случаев повторной трансплантации и мультиорганны</w:t>
      </w:r>
      <w:r>
        <w:rPr>
          <w:rFonts w:ascii="Times New Roman" w:eastAsia="Times New Roman" w:hAnsi="Times New Roman" w:cs="Times New Roman"/>
          <w:sz w:val="28"/>
          <w:szCs w:val="28"/>
        </w:rPr>
        <w:t>х операций позволило сформировать однородную выборку, в которой вариативность исходов максимально коррелирует с качеством донорского органа и иммунным статусом реципиента. Примененные методы предварительной обработки данных, такие как итеративная импутация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пропусков алгоритмом MICE и балансировка классов через цикл итерационного субдискретизации (RandomUnderSampler), обеспечили высокую чистоту и статистическую устойчивость обучающих массивов, предотвращая смещение моделей в сторону ложноотрицательных прогно</w:t>
      </w:r>
      <w:r>
        <w:rPr>
          <w:rFonts w:ascii="Times New Roman" w:eastAsia="Times New Roman" w:hAnsi="Times New Roman" w:cs="Times New Roman"/>
          <w:sz w:val="28"/>
          <w:szCs w:val="28"/>
        </w:rPr>
        <w:t>зов.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Методологически значимым решением стал переход от статического прогноза к динамическому анализу через временную сегментацию данных на пять специфических эпох от 0 до 72 месяцев. Такое деление, соответствующее клинической периодизации острых и хроничес</w:t>
      </w:r>
      <w:r>
        <w:rPr>
          <w:rFonts w:ascii="Times New Roman" w:eastAsia="Times New Roman" w:hAnsi="Times New Roman" w:cs="Times New Roman"/>
          <w:sz w:val="28"/>
          <w:szCs w:val="28"/>
        </w:rPr>
        <w:t>ких осложнений, позволило построить специализированные модели для каждого этапа послеоперационного наблюдения. Использование современных алгоритмов градиентного бустинга (LightGBM, XGBoost) и случайных лесов в сочетании с классической регрессией Кокса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печило высокую прогностическую точность и возможность глубокой интерпретации нелинейных зависимостей между клиническими показателями.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Проведенная валидация моделей на «отложенной выборке» и применение процедуры стратифицированной перекрестной проверки подт</w:t>
      </w:r>
      <w:r>
        <w:rPr>
          <w:rFonts w:ascii="Times New Roman" w:eastAsia="Times New Roman" w:hAnsi="Times New Roman" w:cs="Times New Roman"/>
          <w:sz w:val="28"/>
          <w:szCs w:val="28"/>
        </w:rPr>
        <w:t>вердили высокую обобщающую способность созданных инструментов. Выявление универсальных предикторов выживаемости (возраст, функция почек, специфические маркеры) с помощью анализа важности признаков и диаграмм Венна математически обосновало структуру финальн</w:t>
      </w:r>
      <w:r>
        <w:rPr>
          <w:rFonts w:ascii="Times New Roman" w:eastAsia="Times New Roman" w:hAnsi="Times New Roman" w:cs="Times New Roman"/>
          <w:sz w:val="28"/>
          <w:szCs w:val="28"/>
        </w:rPr>
        <w:t>ых моделей. Таким образом, реализованный в разделе подход закладывает надежный аналитический фундамент для создания персонализированных систем поддержки принятия врачебных решений, способных адаптироваться к динамически меняющемуся состоянию пациента в дол</w:t>
      </w:r>
      <w:r>
        <w:rPr>
          <w:rFonts w:ascii="Times New Roman" w:eastAsia="Times New Roman" w:hAnsi="Times New Roman" w:cs="Times New Roman"/>
          <w:sz w:val="28"/>
          <w:szCs w:val="28"/>
        </w:rPr>
        <w:t>госрочном периоде.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119"/>
          <w:footerReference w:type="default" r:id="rId120"/>
          <w:headerReference w:type="first" r:id="rId121"/>
          <w:footerReference w:type="first" r:id="rId122"/>
          <w:pgSz w:w="11909" w:h="16834"/>
          <w:pgMar w:top="1133" w:right="566" w:bottom="1133" w:left="1700" w:header="720" w:footer="720" w:gutter="0"/>
          <w:cols w:space="720"/>
        </w:sectPr>
      </w:pPr>
    </w:p>
    <w:p w:rsidR="006B6DA6" w:rsidRDefault="00534340">
      <w:pPr>
        <w:pStyle w:val="1"/>
        <w:keepNext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7vsregatxfmc" w:colFirst="0" w:colLast="0"/>
      <w:bookmarkEnd w:id="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 РАЗРАБОТКА ПРОГРАММНОГО ПАКЕТА ОБРАБОТКИ БОЛЬШИХ МЕДИЦИНСКИХ ДАННЫХ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keepNext w:val="0"/>
        <w:keepLines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4" w:name="_pijkckcumbcp" w:colFirst="0" w:colLast="0"/>
      <w:bookmarkEnd w:id="2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 Проектирование архитектуры и программная реализация SOTAI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Проектирование архитектуры программного пакета SOTAI (Solid Organ Transplantation Artificial Intelligence) всецело базируется на создании надежной, масштабируемой и безопасной монолитной системы. Подобный архитектурный подход был осознанно выбран разработч</w:t>
      </w:r>
      <w:r>
        <w:rPr>
          <w:rFonts w:ascii="Times New Roman" w:eastAsia="Times New Roman" w:hAnsi="Times New Roman" w:cs="Times New Roman"/>
          <w:sz w:val="28"/>
          <w:szCs w:val="28"/>
        </w:rPr>
        <w:t>иками с целью обеспечения высочайшей степени целостности хранимой информации, а также для достижения максимальной скорости взаимодействия между всеми внутренними вычислительными компонентами при проведении комплексного анализа данных трансплантации органов</w:t>
      </w:r>
      <w:r>
        <w:rPr>
          <w:rFonts w:ascii="Times New Roman" w:eastAsia="Times New Roman" w:hAnsi="Times New Roman" w:cs="Times New Roman"/>
          <w:sz w:val="28"/>
          <w:szCs w:val="28"/>
        </w:rPr>
        <w:t>. В условиях работы с критически важными медицинскими данными монолитная архитектура позволяет избежать накладных расходов на сетевое взаимодействие между микросервисами, минимизирует риски потери данных при транзакциях и обеспечивает единый контур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ности для всей платформы.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Концептуально архитектура SOTAI выстроена на базе веб-фреймворка Django. Данный фреймворк реализует классический паттерн проектирования MVT (Model-View-Template), который в контексте медицинской информационной системы приобретает </w:t>
      </w:r>
      <w:r>
        <w:rPr>
          <w:rFonts w:ascii="Times New Roman" w:eastAsia="Times New Roman" w:hAnsi="Times New Roman" w:cs="Times New Roman"/>
          <w:sz w:val="28"/>
          <w:szCs w:val="28"/>
        </w:rPr>
        <w:t>специфическое звучание. Серверная часть платформы представляет собой многоуровневую систему обработки данных, где каждый уровень выполняет строго отведенную ему функцию, обеспечивая тем самым высокую модульность внутри самого монолита.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фундаментальн</w:t>
      </w:r>
      <w:r>
        <w:rPr>
          <w:rFonts w:ascii="Times New Roman" w:eastAsia="Times New Roman" w:hAnsi="Times New Roman" w:cs="Times New Roman"/>
          <w:sz w:val="28"/>
          <w:szCs w:val="28"/>
        </w:rPr>
        <w:t>ый уровень — это уровень данных, или слой Model. Взаимодействие веб-сервера с реляционной базой данных осуществляется исключительно посредством абстракции Object-Relational Mapping (ORM). Использование парадигмы ORM обеспечивает разработчикам высокую скоро</w:t>
      </w:r>
      <w:r>
        <w:rPr>
          <w:rFonts w:ascii="Times New Roman" w:eastAsia="Times New Roman" w:hAnsi="Times New Roman" w:cs="Times New Roman"/>
          <w:sz w:val="28"/>
          <w:szCs w:val="28"/>
        </w:rPr>
        <w:t>сть создания нового функционала и гарантирует непревзойденную надежность при выполнении любых манипуляций с данными. База данных, функционирующая под управлением системы управления базами данных PostgreSQL, бережно аккумулирует ценную ретроспективную инфор</w:t>
      </w:r>
      <w:r>
        <w:rPr>
          <w:rFonts w:ascii="Times New Roman" w:eastAsia="Times New Roman" w:hAnsi="Times New Roman" w:cs="Times New Roman"/>
          <w:sz w:val="28"/>
          <w:szCs w:val="28"/>
        </w:rPr>
        <w:t>мацию о различных нозологических формах, которые обуславливают жизненную потребность пациентов в трансплантации почки за значительный пятилетний период. PostgreSQL была выбрана благодаря своей строгой поддержке транзакционной целостности, механизмов структ</w:t>
      </w:r>
      <w:r>
        <w:rPr>
          <w:rFonts w:ascii="Times New Roman" w:eastAsia="Times New Roman" w:hAnsi="Times New Roman" w:cs="Times New Roman"/>
          <w:sz w:val="28"/>
          <w:szCs w:val="28"/>
        </w:rPr>
        <w:t>урирования данных, таких как внешние ключи и сложные ограничения, а также способности эффективно обрабатывать сложные аналитические запросы.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Слой моделей в Django не только кодирует структуру таблиц, описывая доменные сущности и их связи, но и формирует у</w:t>
      </w:r>
      <w:r>
        <w:rPr>
          <w:rFonts w:ascii="Times New Roman" w:eastAsia="Times New Roman" w:hAnsi="Times New Roman" w:cs="Times New Roman"/>
          <w:sz w:val="28"/>
          <w:szCs w:val="28"/>
        </w:rPr>
        <w:t>нифицированный язык работы с данными в бизнес-логике. Это существенно снижает вероятность возникновения ошибочных SQL-операций при частом развитии схемы данных. Кроме того, встроенная валидация на уровне приложения позволяет реализовывать часть периметра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ачества данных еще до этапа сохранения информации в базу. Сформированная база данных включает в себя тщательно структурированные реестры как потенциальных доноров, так и ожидающих операции реципиентов, а также содержит синтетически сгенерированные выборки </w:t>
      </w:r>
      <w:r>
        <w:rPr>
          <w:rFonts w:ascii="Times New Roman" w:eastAsia="Times New Roman" w:hAnsi="Times New Roman" w:cs="Times New Roman"/>
          <w:sz w:val="28"/>
          <w:szCs w:val="28"/>
        </w:rPr>
        <w:t>для исследовательских целей.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Второй уровень — это слой представлений и маршрутизации (View и URL-маршрутизация). Серверный уровень Django детально описывает внутреннюю логику спроектированного монолита, в котором четко выделяются компоненты диспетчеризаци</w:t>
      </w:r>
      <w:r>
        <w:rPr>
          <w:rFonts w:ascii="Times New Roman" w:eastAsia="Times New Roman" w:hAnsi="Times New Roman" w:cs="Times New Roman"/>
          <w:sz w:val="28"/>
          <w:szCs w:val="28"/>
        </w:rPr>
        <w:t>и URL-адресов и слои бизнес-логики View. Слои View отвечают за сложную агрегацию и фильтрацию данных, необходимых для формирования ответов пользователю. В системе реализована строгая декомпозиция конечных точек, образующих контракт между клиентом и серверо</w:t>
      </w:r>
      <w:r>
        <w:rPr>
          <w:rFonts w:ascii="Times New Roman" w:eastAsia="Times New Roman" w:hAnsi="Times New Roman" w:cs="Times New Roman"/>
          <w:sz w:val="28"/>
          <w:szCs w:val="28"/>
        </w:rPr>
        <w:t>м. Эндпоинты разделены на несколько функциональных групп. Во-первых, это маршруты /pages, отвечающие за выдачу полноценных HTML-страниц, включая панель управления, страницы реестров и справочных материалов. Во-вторых, маршруты /data, предназначенные для вы</w:t>
      </w:r>
      <w:r>
        <w:rPr>
          <w:rFonts w:ascii="Times New Roman" w:eastAsia="Times New Roman" w:hAnsi="Times New Roman" w:cs="Times New Roman"/>
          <w:sz w:val="28"/>
          <w:szCs w:val="28"/>
        </w:rPr>
        <w:t>дачи агрегированных данных в форматах JSON и пространственных данных в формате GeoJSON. В-третьих, специализированный вычислительный эндпоинт /ml/calc, принимающий POST-запросы с набором предикторов и возвращающий прогнозную оценку от встроенного модуля ма</w:t>
      </w:r>
      <w:r>
        <w:rPr>
          <w:rFonts w:ascii="Times New Roman" w:eastAsia="Times New Roman" w:hAnsi="Times New Roman" w:cs="Times New Roman"/>
          <w:sz w:val="28"/>
          <w:szCs w:val="28"/>
        </w:rPr>
        <w:t>шинного обучения. Такая декомпозиция является методологически значимой, поскольку она облегчает тестирование, повышает наблюдаемость системы и поддерживает принцип минимальных привилегий.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Третий уровень — это слой шаблонов (Template) и клиентского интерфе</w:t>
      </w:r>
      <w:r>
        <w:rPr>
          <w:rFonts w:ascii="Times New Roman" w:eastAsia="Times New Roman" w:hAnsi="Times New Roman" w:cs="Times New Roman"/>
          <w:sz w:val="28"/>
          <w:szCs w:val="28"/>
        </w:rPr>
        <w:t>йса. Уровень пользователя охватывает всю клиентскую часть приложения, где непосредственное взаимодействие происходит через интерактивные географические карты Leaflet, различные формы ввода медицинских параметров и динамические панели визуализации статистик</w:t>
      </w:r>
      <w:r>
        <w:rPr>
          <w:rFonts w:ascii="Times New Roman" w:eastAsia="Times New Roman" w:hAnsi="Times New Roman" w:cs="Times New Roman"/>
          <w:sz w:val="28"/>
          <w:szCs w:val="28"/>
        </w:rPr>
        <w:t>и. Клиентский интерфейс, основанный на обработке полученных от сервера сведений, активно применяет популярную JavaScript-библиотеку Leaflet.js. Данный инструмент обеспечивает плавную отрисовку географических контуров всех областей и грамотное управление кл</w:t>
      </w:r>
      <w:r>
        <w:rPr>
          <w:rFonts w:ascii="Times New Roman" w:eastAsia="Times New Roman" w:hAnsi="Times New Roman" w:cs="Times New Roman"/>
          <w:sz w:val="28"/>
          <w:szCs w:val="28"/>
        </w:rPr>
        <w:t>астерами маркеров на электронной карте. Асинхронное взаимодействие клиентской части с сервером базы данных происходит посредством современного интерфейса Fetch API. Фронтенд-часть платформы самостоятельно инициирует динамические запросы к серверу, моментал</w:t>
      </w:r>
      <w:r>
        <w:rPr>
          <w:rFonts w:ascii="Times New Roman" w:eastAsia="Times New Roman" w:hAnsi="Times New Roman" w:cs="Times New Roman"/>
          <w:sz w:val="28"/>
          <w:szCs w:val="28"/>
        </w:rPr>
        <w:t>ьно транслируя пользователю актуальную информацию, которая строго соответствует заданным параметрам фильтрации.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Важнейшей отличительной особенностью серверной архитектуры системы SOTAI является интегрированный модуль машинного обучения, расположенный непо</w:t>
      </w:r>
      <w:r>
        <w:rPr>
          <w:rFonts w:ascii="Times New Roman" w:eastAsia="Times New Roman" w:hAnsi="Times New Roman" w:cs="Times New Roman"/>
          <w:sz w:val="28"/>
          <w:szCs w:val="28"/>
        </w:rPr>
        <w:t>средственно внутри серверной структуры. В рамках выбранной монолитной архитектуры все аналитические модели интегрированы в глубинную структуру Django-проекта, что полностью исключает необходимость обращения к сторонним внешним сервисам и API. Технически пр</w:t>
      </w:r>
      <w:r>
        <w:rPr>
          <w:rFonts w:ascii="Times New Roman" w:eastAsia="Times New Roman" w:hAnsi="Times New Roman" w:cs="Times New Roman"/>
          <w:sz w:val="28"/>
          <w:szCs w:val="28"/>
        </w:rPr>
        <w:t>оцесс интеграции реализован через прямой импорт предобученных алгоритмов машинного обучения, сохраненных в форматах .pkl или .joblib, прямо в модули бизнес-логики основного сервера. Этот компонент использует передовой ансамблевый алгоритм LightGBM для пров</w:t>
      </w:r>
      <w:r>
        <w:rPr>
          <w:rFonts w:ascii="Times New Roman" w:eastAsia="Times New Roman" w:hAnsi="Times New Roman" w:cs="Times New Roman"/>
          <w:sz w:val="28"/>
          <w:szCs w:val="28"/>
        </w:rPr>
        <w:t>едения точной оценки клинических вероятностей и рисков. Применение закрытого локального подхода гарантирует абсолютную автономность функционирования системы, уменьшает количество точек отказа и надежно ограничивает использование мощных инструментов поддерж</w:t>
      </w:r>
      <w:r>
        <w:rPr>
          <w:rFonts w:ascii="Times New Roman" w:eastAsia="Times New Roman" w:hAnsi="Times New Roman" w:cs="Times New Roman"/>
          <w:sz w:val="28"/>
          <w:szCs w:val="28"/>
        </w:rPr>
        <w:t>ки принятия врачебных решений рамками защищенного контура.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Архитектура безопасности системы SOTAI всецело базируется на строгом и логичном разграничении прав доступа пользователей, выстроенном вокруг трех основных ролей: </w:t>
      </w:r>
    </w:p>
    <w:p w:rsidR="006B6DA6" w:rsidRDefault="0053434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администратора; </w:t>
      </w:r>
    </w:p>
    <w:p w:rsidR="006B6DA6" w:rsidRDefault="0053434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медицинского пер</w:t>
      </w:r>
      <w:r>
        <w:rPr>
          <w:rFonts w:ascii="Times New Roman" w:eastAsia="Times New Roman" w:hAnsi="Times New Roman" w:cs="Times New Roman"/>
          <w:sz w:val="28"/>
          <w:szCs w:val="28"/>
        </w:rPr>
        <w:t>сонала;</w:t>
      </w:r>
    </w:p>
    <w:p w:rsidR="006B6DA6" w:rsidRDefault="0053434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пациентов.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пользователей, авторизующихся с ролью пациента, платформа функционирует исключительно в безопасном информационном режиме, открывая доступ только к обезличенной общей статистике по стране и к визуальному изучению картографической инф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ормации.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Специализированный административный интерфейс предназначен для глобального управления учетными записями, тонкой конфигурации системных параметров и постоянного контроля за технической целостностью базы данных. 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Наиболее расширенный и сложный функ</w:t>
      </w:r>
      <w:r>
        <w:rPr>
          <w:rFonts w:ascii="Times New Roman" w:eastAsia="Times New Roman" w:hAnsi="Times New Roman" w:cs="Times New Roman"/>
          <w:sz w:val="28"/>
          <w:szCs w:val="28"/>
        </w:rPr>
        <w:t>ционал платформы, включая полный защищенный доступ к передовым инструментам предиктивной аналитики, предусмотрен исключительно для авторизованного медицинского персонала. На уровне архитектуры это задает минимально необходимый каркас контроля доступа, вклю</w:t>
      </w:r>
      <w:r>
        <w:rPr>
          <w:rFonts w:ascii="Times New Roman" w:eastAsia="Times New Roman" w:hAnsi="Times New Roman" w:cs="Times New Roman"/>
          <w:sz w:val="28"/>
          <w:szCs w:val="28"/>
        </w:rPr>
        <w:t>чающий проверку прав на уровне маршрутизации, разнесение функциональных модулей по группам и журналирование обращений к критичным вычислительным функциям.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рисунке 23 представлен детализированный главный экран разработанной веб-платформы.</w:t>
      </w: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6248400"/>
            <wp:effectExtent l="0" t="0" r="0" b="0"/>
            <wp:docPr id="32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/>
                    <pic:cNvPicPr preferRelativeResize="0"/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4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23. </w:t>
      </w:r>
      <w:r>
        <w:rPr>
          <w:rFonts w:ascii="Times New Roman" w:eastAsia="Times New Roman" w:hAnsi="Times New Roman" w:cs="Times New Roman"/>
          <w:sz w:val="28"/>
          <w:szCs w:val="28"/>
        </w:rPr>
        <w:t>SOTAI</w:t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верхней части экрана располагается навигационная панель. Центральную область занимает интерактивный модуль «Transplant Map»  детализированная цифровая карта Республики Казахстан с цветовой индикацией трансплантационной активности. Справа от карты </w:t>
      </w:r>
      <w:r>
        <w:rPr>
          <w:rFonts w:ascii="Times New Roman" w:eastAsia="Times New Roman" w:hAnsi="Times New Roman" w:cs="Times New Roman"/>
          <w:sz w:val="28"/>
          <w:szCs w:val="28"/>
        </w:rPr>
        <w:t>интегрирован виджет оперативной статистики листа ожидания с разделением пациентов на взрослых и детей. В нижней части страницы логично сгруппированы гиперссылки на узкоспециализированные разделы платформы, такие как аналитические калькуляторы и блоки преди</w:t>
      </w:r>
      <w:r>
        <w:rPr>
          <w:rFonts w:ascii="Times New Roman" w:eastAsia="Times New Roman" w:hAnsi="Times New Roman" w:cs="Times New Roman"/>
          <w:sz w:val="28"/>
          <w:szCs w:val="28"/>
        </w:rPr>
        <w:t>ктивной аналитики.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рисунке 24 представлена структурная схема архитектуры, которая наглядно демонстрирует полный цикл прохождения информационных потоков.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keepNext w:val="0"/>
        <w:spacing w:before="0"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n0bi9g84msdt" w:colFirst="0" w:colLast="0"/>
      <w:bookmarkEnd w:id="25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2637527" cy="4605338"/>
            <wp:effectExtent l="0" t="0" r="0" b="0"/>
            <wp:docPr id="3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7527" cy="4605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24. Структурная схема архитектуры программного пакета SOTAI 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Показано взаимодействие пользовательского инт</w:t>
      </w:r>
      <w:r>
        <w:rPr>
          <w:rFonts w:ascii="Times New Roman" w:eastAsia="Times New Roman" w:hAnsi="Times New Roman" w:cs="Times New Roman"/>
          <w:sz w:val="28"/>
          <w:szCs w:val="28"/>
        </w:rPr>
        <w:t>ерфейса с серверным контуром, включающим URL-маршрутизацию, слой представлений, механизм ORM для доступа к базе PostgreSQL и встроенный локальный ML-модуль. Направления движения потоков данных обозначены стрелками, подтверждая высокую автономность системы.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keepNext w:val="0"/>
        <w:keepLines w:val="0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_3kzrm7lhvli3" w:colFirst="0" w:colLast="0"/>
      <w:bookmarkEnd w:id="2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4.2 Методология формирования информационного массива и управление геоданными</w:t>
      </w:r>
    </w:p>
    <w:p w:rsidR="006B6DA6" w:rsidRDefault="006B6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Основополагающим элементом любой аналитической медицинской платформы является качество и репрезентативность обрабатываемых данных. Сформированная в рамках проекта SOTAI база да</w:t>
      </w:r>
      <w:r>
        <w:rPr>
          <w:rFonts w:ascii="Times New Roman" w:eastAsia="Times New Roman" w:hAnsi="Times New Roman" w:cs="Times New Roman"/>
          <w:sz w:val="28"/>
          <w:szCs w:val="28"/>
        </w:rPr>
        <w:t>нных включает в себя два основных информационных потока: динамически обновляемые реестры актуальной очереди на трансплантацию и массивы синтетически сгенерированных данных для ретроспективного анализа и моделирования.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рабочую систему регулярно поступают </w:t>
      </w:r>
      <w:r>
        <w:rPr>
          <w:rFonts w:ascii="Times New Roman" w:eastAsia="Times New Roman" w:hAnsi="Times New Roman" w:cs="Times New Roman"/>
          <w:sz w:val="28"/>
          <w:szCs w:val="28"/>
        </w:rPr>
        <w:t>абсолютно достоверные данные о пациентах, находящихся в актуальной очереди на трансплантацию. В отличие от всех остальных разделов платформы, в этом модуле применяется не статичная локальная база, а реализована прямая трансляция официальной государственной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статистики. Для обеспечения этого функционала был разработан специальный программный скрипт, который один раз в месяц в полностью автоматическом режиме считывает новую информацию с официального ресурса «transplant.kz», проводит ее программную валидацию и </w:t>
      </w:r>
      <w:r>
        <w:rPr>
          <w:rFonts w:ascii="Times New Roman" w:eastAsia="Times New Roman" w:hAnsi="Times New Roman" w:cs="Times New Roman"/>
          <w:sz w:val="28"/>
          <w:szCs w:val="28"/>
        </w:rPr>
        <w:t>обновляет соответствующие записи в базе данных. Именно это техническое решение позволяет постоянно поддерживать высокую актуальность главной панели мониторинга без необходимости какого-либо ручного ввода данных операторами. Хранимые срезы включают дату агр</w:t>
      </w:r>
      <w:r>
        <w:rPr>
          <w:rFonts w:ascii="Times New Roman" w:eastAsia="Times New Roman" w:hAnsi="Times New Roman" w:cs="Times New Roman"/>
          <w:sz w:val="28"/>
          <w:szCs w:val="28"/>
        </w:rPr>
        <w:t>егации и значения по типам органов и возрастным группам, при этом логика валидации скрипта подразумевает контроль резких скачков показателей и проверку отсутствия отрицательных значений.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начальных этапах разработки, а также для обеспечения математическо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 моделирования, информационный массив платформы базировался на применении методов синтетической генерации данных. Процесс синтетической генерации был детерминирован реальными демографическими показателями и актуальной плотностью населения в исследуемых р</w:t>
      </w:r>
      <w:r>
        <w:rPr>
          <w:rFonts w:ascii="Times New Roman" w:eastAsia="Times New Roman" w:hAnsi="Times New Roman" w:cs="Times New Roman"/>
          <w:sz w:val="28"/>
          <w:szCs w:val="28"/>
        </w:rPr>
        <w:t>егионах страны. Такой научный подход надежно верифицирует репрезентативность проводимого моделирования, позволяя системе отражать реалистичную эпидемиологическую и клиническую картину.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Алгоритмическая основа синтетической генерации выстроена вокруг региона</w:t>
      </w:r>
      <w:r>
        <w:rPr>
          <w:rFonts w:ascii="Times New Roman" w:eastAsia="Times New Roman" w:hAnsi="Times New Roman" w:cs="Times New Roman"/>
          <w:sz w:val="28"/>
          <w:szCs w:val="28"/>
        </w:rPr>
        <w:t>льной стратификации. Для каждого региона фиксируются базовые демографические параметры, такие как численность населения, плотность и возрастная структура. Плотность населения используется в качестве весового коэффициента или множителя интенсивности медицин</w:t>
      </w:r>
      <w:r>
        <w:rPr>
          <w:rFonts w:ascii="Times New Roman" w:eastAsia="Times New Roman" w:hAnsi="Times New Roman" w:cs="Times New Roman"/>
          <w:sz w:val="28"/>
          <w:szCs w:val="28"/>
        </w:rPr>
        <w:t>ских событий. На основе этих детерминант для каждого региона рассчитывается ожидаемое количество синтетических реципиентов, потенциальных доноров и клинических наблюдений.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алгоритм формирует распределение по нозологиям, присваивая каждому синтетическ</w:t>
      </w:r>
      <w:r>
        <w:rPr>
          <w:rFonts w:ascii="Times New Roman" w:eastAsia="Times New Roman" w:hAnsi="Times New Roman" w:cs="Times New Roman"/>
          <w:sz w:val="28"/>
          <w:szCs w:val="28"/>
        </w:rPr>
        <w:t>ому реципиенту диагноз, обуславливающий потребность в трансплантации почки. Это реализуется через многомерное распределение, параметры которого зависят от региональной специфики и возрастной когорты. Для поддержки аналитики в различных временных интервалах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операции генерируется временная компонента, связывающая пациента с набором показателей, релевантных конкретному периоду наблюдения.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Валидация сформированного синтетического массива проводится на двух уровнях. Первый уровень - это валидация качества </w:t>
      </w:r>
      <w:r>
        <w:rPr>
          <w:rFonts w:ascii="Times New Roman" w:eastAsia="Times New Roman" w:hAnsi="Times New Roman" w:cs="Times New Roman"/>
          <w:sz w:val="28"/>
          <w:szCs w:val="28"/>
        </w:rPr>
        <w:t>данных, подразумевающая проверку соблюдения допустимых диапазонов, отсутствия неправомерных пропусков, уникальности идентификаторов и ссылочной целостности между сущностями. Второй уровень - валидация репрезентативности, при которой осуществляется сравнени</w:t>
      </w:r>
      <w:r>
        <w:rPr>
          <w:rFonts w:ascii="Times New Roman" w:eastAsia="Times New Roman" w:hAnsi="Times New Roman" w:cs="Times New Roman"/>
          <w:sz w:val="28"/>
          <w:szCs w:val="28"/>
        </w:rPr>
        <w:t>е целевых и полученных статистических распределений. Маргинальные распределения по регионам, возрастным группам и нозологиям должны совпадать с заданными демографическими весами в пределах допустимых статистических отклонений.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обеспечения возможности о</w:t>
      </w:r>
      <w:r>
        <w:rPr>
          <w:rFonts w:ascii="Times New Roman" w:eastAsia="Times New Roman" w:hAnsi="Times New Roman" w:cs="Times New Roman"/>
          <w:sz w:val="28"/>
          <w:szCs w:val="28"/>
        </w:rPr>
        <w:t>перативного мониторинга территориального распределения медицинских объектов в систему была внедрена интеллектуальная картографическая визуализация пространственных данных. Методологически важным аспектом является использование общепринятых форматов передач</w:t>
      </w:r>
      <w:r>
        <w:rPr>
          <w:rFonts w:ascii="Times New Roman" w:eastAsia="Times New Roman" w:hAnsi="Times New Roman" w:cs="Times New Roman"/>
          <w:sz w:val="28"/>
          <w:szCs w:val="28"/>
        </w:rPr>
        <w:t>и данных. Все выходные аналитические сведения агрегируются системой в форматах JSON и GeoJSON. Формат GeoJSON позволяет кодировать не только геометрические контуры регионов, но и привязывать к ним обширные коллекции атрибутов, таких как уровень заболеваемо</w:t>
      </w:r>
      <w:r>
        <w:rPr>
          <w:rFonts w:ascii="Times New Roman" w:eastAsia="Times New Roman" w:hAnsi="Times New Roman" w:cs="Times New Roman"/>
          <w:sz w:val="28"/>
          <w:szCs w:val="28"/>
        </w:rPr>
        <w:t>сти или количество ожидающих пациентов.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Отрисовка полученных геоданных на клиенте осуществляется механизмом библиотеки Leaflet, который напрямую разбирает объекты GeoJSON и преобразует их в интерактивные слои электронной карты. Использование единого формат</w:t>
      </w:r>
      <w:r>
        <w:rPr>
          <w:rFonts w:ascii="Times New Roman" w:eastAsia="Times New Roman" w:hAnsi="Times New Roman" w:cs="Times New Roman"/>
          <w:sz w:val="28"/>
          <w:szCs w:val="28"/>
        </w:rPr>
        <w:t>а исключает семантическую рассинхронизацию: атрибуты, используемые для цветового кодирования интенсивности, передаются в едином пакете с географическими координатами. Таким образом, географическое пространство в интерфейсе SOTAI становится не просто статич</w:t>
      </w:r>
      <w:r>
        <w:rPr>
          <w:rFonts w:ascii="Times New Roman" w:eastAsia="Times New Roman" w:hAnsi="Times New Roman" w:cs="Times New Roman"/>
          <w:sz w:val="28"/>
          <w:szCs w:val="28"/>
        </w:rPr>
        <w:t>ной картинкой, а глубоко индексированной информационной средой, где каждому субъекту сопоставлен массив структурированных клинико-статистических показателей.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7" w:name="_a7cw4s8i2jjv" w:colFirst="0" w:colLast="0"/>
      <w:bookmarkEnd w:id="27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4.3 Функциональные возможности и эргономика пользовательского интерфейса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Пользовательский интерфейс разработанной веб-платформы SOTAI по своей сути представляет собой высокотехнологичную централизованную панель управления (dashboard). Эта многофункциональная панель была тщательно спроектирована с главной целью обеспечения макси</w:t>
      </w:r>
      <w:r>
        <w:rPr>
          <w:rFonts w:ascii="Times New Roman" w:eastAsia="Times New Roman" w:hAnsi="Times New Roman" w:cs="Times New Roman"/>
          <w:sz w:val="28"/>
          <w:szCs w:val="28"/>
        </w:rPr>
        <w:t>мально оперативного, эргономичного и интуитивно понятного доступа медицинских специалистов к критически важной аналитической информации. Дизайн интерфейса призван гарантировать высокую эффективность повседневной работы персонала при взаимодействии с больши</w:t>
      </w:r>
      <w:r>
        <w:rPr>
          <w:rFonts w:ascii="Times New Roman" w:eastAsia="Times New Roman" w:hAnsi="Times New Roman" w:cs="Times New Roman"/>
          <w:sz w:val="28"/>
          <w:szCs w:val="28"/>
        </w:rPr>
        <w:t>ми массивами клинических данных, снижая когнитивную нагрузку на пользователя.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Визуальная композиция главного экрана логически разделена на четыре взаимосвязанные смысловые зоны. Первая зона — это эргономичная навигационная панель, расположенная в верхней ч</w:t>
      </w:r>
      <w:r>
        <w:rPr>
          <w:rFonts w:ascii="Times New Roman" w:eastAsia="Times New Roman" w:hAnsi="Times New Roman" w:cs="Times New Roman"/>
          <w:sz w:val="28"/>
          <w:szCs w:val="28"/>
        </w:rPr>
        <w:t>асти экрана, благодаря которой пользователь получает возможность свободно переключаться по различным информационным разделам системы, нормативно-справочной документации и базам данных. Вторая функциональная область предназначена для оперативного переключен</w:t>
      </w:r>
      <w:r>
        <w:rPr>
          <w:rFonts w:ascii="Times New Roman" w:eastAsia="Times New Roman" w:hAnsi="Times New Roman" w:cs="Times New Roman"/>
          <w:sz w:val="28"/>
          <w:szCs w:val="28"/>
        </w:rPr>
        <w:t>ия между тематическими слоями интерактивной карты. С помощью специальных кнопок интерфейс позволяет мгновенно менять аналитическую проекцию, переходя от визуализации распределения донорских органов к анализу плотности ожидающих реципиентов или распростране</w:t>
      </w:r>
      <w:r>
        <w:rPr>
          <w:rFonts w:ascii="Times New Roman" w:eastAsia="Times New Roman" w:hAnsi="Times New Roman" w:cs="Times New Roman"/>
          <w:sz w:val="28"/>
          <w:szCs w:val="28"/>
        </w:rPr>
        <w:t>нности специфических заболеваний, при этом сохраняя общий географический контекст.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Третья, наиболее крупная область интерфейса, отведена под основной интерактивный картографический модуль «Transplant Map». Данный программный модуль, реализованный на базе т</w:t>
      </w:r>
      <w:r>
        <w:rPr>
          <w:rFonts w:ascii="Times New Roman" w:eastAsia="Times New Roman" w:hAnsi="Times New Roman" w:cs="Times New Roman"/>
          <w:sz w:val="28"/>
          <w:szCs w:val="28"/>
        </w:rPr>
        <w:t>очных пространственных данных, позволяет прямо в режиме реального времени визуализировать плотность распределения медицинских объектов по всем областям республики. Использование интуитивно понятной цветовой шкалы интенсивности, работающей по принципу хороп</w:t>
      </w:r>
      <w:r>
        <w:rPr>
          <w:rFonts w:ascii="Times New Roman" w:eastAsia="Times New Roman" w:hAnsi="Times New Roman" w:cs="Times New Roman"/>
          <w:sz w:val="28"/>
          <w:szCs w:val="28"/>
        </w:rPr>
        <w:t>лет-карты (где заливка региона отражает интегральный количественный показатель), значительно облегчает визуальную идентификацию дефицитных зон и позволяет быстро находить медицинские центры с высокой хирургической активностью.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Четвертая область представляе</w:t>
      </w:r>
      <w:r>
        <w:rPr>
          <w:rFonts w:ascii="Times New Roman" w:eastAsia="Times New Roman" w:hAnsi="Times New Roman" w:cs="Times New Roman"/>
          <w:sz w:val="28"/>
          <w:szCs w:val="28"/>
        </w:rPr>
        <w:t>т собой информативную боковую панель оперативной статистики по трансплантологии, интегрированную непосредственно справа от картографического модуля. Эта панель предназначена для наглядной визуализации агрегированных числовых метрик в режиме реального време</w:t>
      </w:r>
      <w:r>
        <w:rPr>
          <w:rFonts w:ascii="Times New Roman" w:eastAsia="Times New Roman" w:hAnsi="Times New Roman" w:cs="Times New Roman"/>
          <w:sz w:val="28"/>
          <w:szCs w:val="28"/>
        </w:rPr>
        <w:t>ни. На ней отображается критически важная информация о количестве пациентов, нуждающихся в пересадке жизненно важных органов, при этом данные скрупулезно сегментированы по возрастным категориям (взрослые и дети). Такое грамотное разделение позволяет профил</w:t>
      </w:r>
      <w:r>
        <w:rPr>
          <w:rFonts w:ascii="Times New Roman" w:eastAsia="Times New Roman" w:hAnsi="Times New Roman" w:cs="Times New Roman"/>
          <w:sz w:val="28"/>
          <w:szCs w:val="28"/>
        </w:rPr>
        <w:t>ьным специалистам и администраторам здравоохранения проводить мгновенную оценку текущей нагрузки на систему в разрезе уязвимых демографических групп.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Нижняя часть главной страницы организована по строгому модульному принципу в виде современного плиточного </w:t>
      </w:r>
      <w:r>
        <w:rPr>
          <w:rFonts w:ascii="Times New Roman" w:eastAsia="Times New Roman" w:hAnsi="Times New Roman" w:cs="Times New Roman"/>
          <w:sz w:val="28"/>
          <w:szCs w:val="28"/>
        </w:rPr>
        <w:t>интерфейса. Там логично сгруппированы гиперссылки, обеспечивающие быстрый переход к узкоспециализированным разделам платформы, таким как аналитические калькуляторы справедливого распределения органов, модули управления терапией иммуносупрессии и инновацион</w:t>
      </w:r>
      <w:r>
        <w:rPr>
          <w:rFonts w:ascii="Times New Roman" w:eastAsia="Times New Roman" w:hAnsi="Times New Roman" w:cs="Times New Roman"/>
          <w:sz w:val="28"/>
          <w:szCs w:val="28"/>
        </w:rPr>
        <w:t>ные блоки предиктивной аналитики. Такое структурное разделение информационной архитектуры подтверждает позицию, что система SOTAI не сводится исключительно к инструменту машинного обучения, а представляет собой комплексную среду, гармонично интегрирующую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еестры, справочные материалы и аналитические функции. На рисунке 25 детально представлена композиция экрана, условно состоящая из четырех частей: (1) главное меню навигации; (2) кнопки переключения тематических карт доноров, реципиентов и заболеваний; (3)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информативная панель статистики листа ожидания; (4) основная область интерактивной карты, отображающая регионы и интенсивность выбранного показателя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2794000"/>
            <wp:effectExtent l="0" t="0" r="0" b="0"/>
            <wp:docPr id="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25. Интерфейс веб-платформы SOTAI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внимание в архитектуре SOTAI уделено разделу интеллек</w:t>
      </w:r>
      <w:r>
        <w:rPr>
          <w:rFonts w:ascii="Times New Roman" w:eastAsia="Times New Roman" w:hAnsi="Times New Roman" w:cs="Times New Roman"/>
          <w:sz w:val="28"/>
          <w:szCs w:val="28"/>
        </w:rPr>
        <w:t>туального прогнозирования. Доступ к этому высокотехнологичному разделу строго регламентирован в соответствии с утвержденной ролевой моделью и открыт исключительно для авторизованного медицинского персонала. Интерфейс подсистемы интеллектуального анализа сп</w:t>
      </w:r>
      <w:r>
        <w:rPr>
          <w:rFonts w:ascii="Times New Roman" w:eastAsia="Times New Roman" w:hAnsi="Times New Roman" w:cs="Times New Roman"/>
          <w:sz w:val="28"/>
          <w:szCs w:val="28"/>
        </w:rPr>
        <w:t>роектирован как изолированное и полностью защищенное рабочее пространство, обеспечивающее предельно высокую точность прогнозирования рисков развития осложнений в зависимости от длительности протекания послеоперационного периода у конкретного пациента.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ной технологической особенностью данного аналитического модуля является активное использование мощного ансамблевого метода машинного обучения на базе градиентного бустинга над решающими деревьями — алгоритма LightGBM. Выбор данного алгоритма обусловлен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высокой вычислительной эффективностью, устойчивостью к дисбалансу классов и способностью активно обрабатывать пропущенные значения, что является критически важным фактором при анализе реальных медицинских данных.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 в системе полностью ре</w:t>
      </w:r>
      <w:r>
        <w:rPr>
          <w:rFonts w:ascii="Times New Roman" w:eastAsia="Times New Roman" w:hAnsi="Times New Roman" w:cs="Times New Roman"/>
          <w:sz w:val="28"/>
          <w:szCs w:val="28"/>
        </w:rPr>
        <w:t>ализовано и успешно функционирует пять независимых прогностических ML-калькуляторов. Важнейшим методологическим решением стала дифференциация моделей в зависимости от времени, прошедшего после трансплантации. Каждый калькулятор строго соответствует определ</w:t>
      </w:r>
      <w:r>
        <w:rPr>
          <w:rFonts w:ascii="Times New Roman" w:eastAsia="Times New Roman" w:hAnsi="Times New Roman" w:cs="Times New Roman"/>
          <w:sz w:val="28"/>
          <w:szCs w:val="28"/>
        </w:rPr>
        <w:t>енной временной когорте клинических наблюдений: от 0 до 3 месяцев (оценка ранних острых рисков), от 3 до 9 месяцев, от 9 до 15 месяцев, от 15 до 39 месяцев и от 39 до 72 месяцев (оценка долгосрочных рисков). Подобная дискретизация временной оси снижает рис</w:t>
      </w:r>
      <w:r>
        <w:rPr>
          <w:rFonts w:ascii="Times New Roman" w:eastAsia="Times New Roman" w:hAnsi="Times New Roman" w:cs="Times New Roman"/>
          <w:sz w:val="28"/>
          <w:szCs w:val="28"/>
        </w:rPr>
        <w:t>к смешивания клинически неоднородных периодов в одну общую модель, где ранние и поздние факторы риска могли бы конкурировать, снижая общую интерпретируемость результатов.</w:t>
      </w:r>
    </w:p>
    <w:p w:rsidR="006B6DA6" w:rsidRDefault="0053434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 взаимодействия лечащего врача с интеллектуальным модулем начинается с экрана </w:t>
      </w:r>
      <w:r>
        <w:rPr>
          <w:rFonts w:ascii="Times New Roman" w:eastAsia="Times New Roman" w:hAnsi="Times New Roman" w:cs="Times New Roman"/>
          <w:sz w:val="28"/>
          <w:szCs w:val="28"/>
        </w:rPr>
        <w:t>выбора необходимого временного окна. После выбора соответствующего интервала специалист переходит к интерфейсу прямого взаимодействия с обученной моделью. На рисунке 26 проиллюстрирован интерфейс списка прогностических калькуляторов. Представлен перечень и</w:t>
      </w:r>
      <w:r>
        <w:rPr>
          <w:rFonts w:ascii="Times New Roman" w:eastAsia="Times New Roman" w:hAnsi="Times New Roman" w:cs="Times New Roman"/>
          <w:sz w:val="28"/>
          <w:szCs w:val="28"/>
        </w:rPr>
        <w:t>з пяти временных окон после трансплантации.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3111500"/>
            <wp:effectExtent l="0" t="0" r="0" b="0"/>
            <wp:docPr id="10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1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26. Список калькуляторов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Рассмотрим детально процесс работы на примере калькулятора, предназначенного для оценки рисков в период от девяти до пятнадцати месяцев. Данный интерфейс реализован в виде уд</w:t>
      </w:r>
      <w:r>
        <w:rPr>
          <w:rFonts w:ascii="Times New Roman" w:eastAsia="Times New Roman" w:hAnsi="Times New Roman" w:cs="Times New Roman"/>
          <w:sz w:val="28"/>
          <w:szCs w:val="28"/>
        </w:rPr>
        <w:t>обной, четко структурированной формы ручного ввода медицинских данных. Для снижения вероятности ошибок при вводе и облегчения верификации, диагностические параметры логично разделены на несколько независимых смысловых блоков. Первый блок включает в себя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ючевые индивидуальные параметры реципиента, такие как возраст, индекс массы тела, уровень креатинина к концу первого года наблюдения и уровень общего сывороточного альбумина. Второй блок содержит специфические параметры донора: возраст, индекс массы тела, </w:t>
      </w:r>
      <w:r>
        <w:rPr>
          <w:rFonts w:ascii="Times New Roman" w:eastAsia="Times New Roman" w:hAnsi="Times New Roman" w:cs="Times New Roman"/>
          <w:sz w:val="28"/>
          <w:szCs w:val="28"/>
        </w:rPr>
        <w:t>базовый уровень креатинина и гематокрит. Третий блок отведен под сложные композитные индексы, необходимые для комплексной оценки качества трансплантата и ожидаемой выживаемости (KDPI и END_EPTS).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заполнении всех необходимых клинических полей и активаци</w:t>
      </w:r>
      <w:r>
        <w:rPr>
          <w:rFonts w:ascii="Times New Roman" w:eastAsia="Times New Roman" w:hAnsi="Times New Roman" w:cs="Times New Roman"/>
          <w:sz w:val="28"/>
          <w:szCs w:val="28"/>
        </w:rPr>
        <w:t>и функции расчета, система мгновенно и безопасно передает введенные предикторы на сервер через POST-запрос к эндпоинту /ml/calc. На стороне сервера внедренная модель LightGBM выполняет быструю математическую классификацию. Алгоритм не просто выдает бинарны</w:t>
      </w:r>
      <w:r>
        <w:rPr>
          <w:rFonts w:ascii="Times New Roman" w:eastAsia="Times New Roman" w:hAnsi="Times New Roman" w:cs="Times New Roman"/>
          <w:sz w:val="28"/>
          <w:szCs w:val="28"/>
        </w:rPr>
        <w:t>й ответ, а использует вероятностный вывод для формирования комплексного результата.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результат возвращается клиенту и наглядно отображается на экране врача. Он включает в себя несколько критически важных компонентов. Во-первых, выводится присвоенна</w:t>
      </w:r>
      <w:r>
        <w:rPr>
          <w:rFonts w:ascii="Times New Roman" w:eastAsia="Times New Roman" w:hAnsi="Times New Roman" w:cs="Times New Roman"/>
          <w:sz w:val="28"/>
          <w:szCs w:val="28"/>
        </w:rPr>
        <w:t>я общая категория риска (например, «Low risk») и предсказанный класс при заданном пороге отсечения. Во-вторых, предоставляется точная вероятностная оценка наступления неблагоприятного исхода (например, вероятность отторжения органа на уровне 5.22%), что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зволяет врачу оценить индивидуализированный уровень угрозы. В-третьих, для обеспечения транспарентности работы искусственного интеллекта, на экран выводятся дополнительные статистические метрики надежности проведенного вычисления, в частности, усредненное </w:t>
      </w:r>
      <w:r>
        <w:rPr>
          <w:rFonts w:ascii="Times New Roman" w:eastAsia="Times New Roman" w:hAnsi="Times New Roman" w:cs="Times New Roman"/>
          <w:sz w:val="28"/>
          <w:szCs w:val="28"/>
        </w:rPr>
        <w:t>значение площади под ROC-кривой (ROC AUC) на тестовой выборке с указанием разброса (например, 0.92 ± 0.02). При этом в интерфейсе предусмотрено обязательное этическое предупреждение о том, что данный инструмент предназначен исключительно для поддержки прин</w:t>
      </w:r>
      <w:r>
        <w:rPr>
          <w:rFonts w:ascii="Times New Roman" w:eastAsia="Times New Roman" w:hAnsi="Times New Roman" w:cs="Times New Roman"/>
          <w:sz w:val="28"/>
          <w:szCs w:val="28"/>
        </w:rPr>
        <w:t>ятия врачебных решений и ни при каких обстоятельствах не заменяет самостоятельное клиническое суждение медицинского специалиста. На рисунке 27 продемонстрирован интерфейс ML-калькулятора. Показана структурированная форма ввода топ-10 предикторов, разделенн</w:t>
      </w:r>
      <w:r>
        <w:rPr>
          <w:rFonts w:ascii="Times New Roman" w:eastAsia="Times New Roman" w:hAnsi="Times New Roman" w:cs="Times New Roman"/>
          <w:sz w:val="28"/>
          <w:szCs w:val="28"/>
        </w:rPr>
        <w:t>ая на блоки признаков реципиента, донора и композитных индексов. В правой части расположен блок результата, отображающий категорию низкого риска, предсказанный класс, оценку вероятности отторжения и усредненную метрику ROC AUC. Также присутствует предупреж</w:t>
      </w:r>
      <w:r>
        <w:rPr>
          <w:rFonts w:ascii="Times New Roman" w:eastAsia="Times New Roman" w:hAnsi="Times New Roman" w:cs="Times New Roman"/>
          <w:sz w:val="28"/>
          <w:szCs w:val="28"/>
        </w:rPr>
        <w:t>дение о том, что инструмент не заменяет клиническое суждение.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596498" cy="3895237"/>
            <wp:effectExtent l="0" t="0" r="0" b="0"/>
            <wp:docPr id="20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6498" cy="3895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27. Калькулятор для периода от 9 до 15 месяцев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обеспечения клинической безопасности и надежности рекомендаций, генерируемых платформой SOTAI, к модулям машинного обучения применяются строгие протоколы валидации. Поскольку система содержит пять независимых калькуляторов, валидационные процедуры выпо</w:t>
      </w:r>
      <w:r>
        <w:rPr>
          <w:rFonts w:ascii="Times New Roman" w:eastAsia="Times New Roman" w:hAnsi="Times New Roman" w:cs="Times New Roman"/>
          <w:sz w:val="28"/>
          <w:szCs w:val="28"/>
        </w:rPr>
        <w:t>лняются обособленно для каждого временного окна.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Даже при достижении высоких значений метрики ROC AUC на этапе первичного тестирования, внедрение требует многоуровневой проверки. Внутрицентровая валидация (internal validation) базируется на методе стратифи</w:t>
      </w:r>
      <w:r>
        <w:rPr>
          <w:rFonts w:ascii="Times New Roman" w:eastAsia="Times New Roman" w:hAnsi="Times New Roman" w:cs="Times New Roman"/>
          <w:sz w:val="28"/>
          <w:szCs w:val="28"/>
        </w:rPr>
        <w:t>цированной k-fold кросс-валидации на данных обучающего набора. Для оценки вариативности получаемых метрик применяется повторная кросс-валидация, а для расчета интерпретируемых доверительных интервалов используется статистический метод bootstrap. В ходе про</w:t>
      </w:r>
      <w:r>
        <w:rPr>
          <w:rFonts w:ascii="Times New Roman" w:eastAsia="Times New Roman" w:hAnsi="Times New Roman" w:cs="Times New Roman"/>
          <w:sz w:val="28"/>
          <w:szCs w:val="28"/>
        </w:rPr>
        <w:t>цедуры bootstrap на тестовой выборке многократно формируются подвыборки с возвращением, для каждой из которых вычисляется метрика качества, что позволяет определить 95% доверительные интервалы.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Межцентровая валидация (external validation) направлена на про</w:t>
      </w:r>
      <w:r>
        <w:rPr>
          <w:rFonts w:ascii="Times New Roman" w:eastAsia="Times New Roman" w:hAnsi="Times New Roman" w:cs="Times New Roman"/>
          <w:sz w:val="28"/>
          <w:szCs w:val="28"/>
        </w:rPr>
        <w:t>верку способности модели обобщать знания на данных, полученных из других медицинских учреждений. Этот процесс включает обучение алгоритма на одном наборе регионов и последующее слепое тестирование на данных независимого центра. На этом этапе критически важ</w:t>
      </w:r>
      <w:r>
        <w:rPr>
          <w:rFonts w:ascii="Times New Roman" w:eastAsia="Times New Roman" w:hAnsi="Times New Roman" w:cs="Times New Roman"/>
          <w:sz w:val="28"/>
          <w:szCs w:val="28"/>
        </w:rPr>
        <w:t>но не только подтвердить стабильность дискриминационной способности модели, но и провести анализ возможного «дрейфа признаков», выявляя статистически значимые отличия в распределениях входных клинических параметров между различными госпиталями.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каче</w:t>
      </w:r>
      <w:r>
        <w:rPr>
          <w:rFonts w:ascii="Times New Roman" w:eastAsia="Times New Roman" w:hAnsi="Times New Roman" w:cs="Times New Roman"/>
          <w:sz w:val="28"/>
          <w:szCs w:val="28"/>
        </w:rPr>
        <w:t>ства моделей не ограничивается исключительно способностью ранжировать пациентов (метрика ROC AUC). В условиях типичного для медицинских данных дисбаланса классов, когда частота наступления неблагоприятного события (например, отторжения) значительно ниже ча</w:t>
      </w:r>
      <w:r>
        <w:rPr>
          <w:rFonts w:ascii="Times New Roman" w:eastAsia="Times New Roman" w:hAnsi="Times New Roman" w:cs="Times New Roman"/>
          <w:sz w:val="28"/>
          <w:szCs w:val="28"/>
        </w:rPr>
        <w:t>стоты благоприятных исходов, метрика ROC AUC может давать излишне оптимистичную картину. Поэтому в арсенал обязательных оценок включена площадь под кривой «точность-полнота» (PR AUC), которая обладает высокой чувствительностью к редкости выявляемого событи</w:t>
      </w:r>
      <w:r>
        <w:rPr>
          <w:rFonts w:ascii="Times New Roman" w:eastAsia="Times New Roman" w:hAnsi="Times New Roman" w:cs="Times New Roman"/>
          <w:sz w:val="28"/>
          <w:szCs w:val="28"/>
        </w:rPr>
        <w:t>я. Кроме того, первостепенное значение приобретает анализ калибровки модели (Brier score / calibration error). Калибровочный анализ позволяет оценить, насколько математически предсказанные вероятности согласуются с фактически наблюдаемыми эмпирическими час</w:t>
      </w:r>
      <w:r>
        <w:rPr>
          <w:rFonts w:ascii="Times New Roman" w:eastAsia="Times New Roman" w:hAnsi="Times New Roman" w:cs="Times New Roman"/>
          <w:sz w:val="28"/>
          <w:szCs w:val="28"/>
        </w:rPr>
        <w:t>тотами исходов в реальной клинической практике.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моделей особое внимание уделяется обработке неизбежных пропусков в медицинских данных. Политика платформы SOTAI подразумевает жесткую проверку заполненности обязательных полей на этапе вво</w:t>
      </w:r>
      <w:r>
        <w:rPr>
          <w:rFonts w:ascii="Times New Roman" w:eastAsia="Times New Roman" w:hAnsi="Times New Roman" w:cs="Times New Roman"/>
          <w:sz w:val="28"/>
          <w:szCs w:val="28"/>
        </w:rPr>
        <w:t>да в интерфейсе, в то время как для необязательных параметров алгоритм LightGBM способен нативно использовать факт отсутствия значения как самостоятельный информативный сигнал. Также проводится анализ чувствительности моделей: проверяется устойчивость каче</w:t>
      </w:r>
      <w:r>
        <w:rPr>
          <w:rFonts w:ascii="Times New Roman" w:eastAsia="Times New Roman" w:hAnsi="Times New Roman" w:cs="Times New Roman"/>
          <w:sz w:val="28"/>
          <w:szCs w:val="28"/>
        </w:rPr>
        <w:t>ства прогноза при изменении порогов классификации, анализируется деградация метрик при искусственном увеличении доли пропущенных данных, а также тестируется реакция системы на введение некорректных или физиологически невозможных значений.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мной эксплуатации и развертывания интеллектуальных модулей соблюдается жесткая инженерная дисциплина. Поскольку ML-алгоритмы интегрируются в сервер посредством загрузки артефактов .pkl или .joblib, в системе реализовано строгое версионирование. Функциониру</w:t>
      </w:r>
      <w:r>
        <w:rPr>
          <w:rFonts w:ascii="Times New Roman" w:eastAsia="Times New Roman" w:hAnsi="Times New Roman" w:cs="Times New Roman"/>
          <w:sz w:val="28"/>
          <w:szCs w:val="28"/>
        </w:rPr>
        <w:t>ет внутренний реестр артефактов, где для каждой версии сохраненного алгоритма фиксируются сам бинарный файл модели, точное описание требуемых признаков и их единиц измерения, зафиксированные метрики качества на момент обучения, а также криптографическая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нтрольная сумма (hash). Наличие контрольной суммы гарантирует защиту от несанкционированной подмены или случайного повреждения файла модели в процессе переноса между серверами. Автоматизированный конвейер CI/CD (непрерывная интеграция и доставка) отвечает </w:t>
      </w:r>
      <w:r>
        <w:rPr>
          <w:rFonts w:ascii="Times New Roman" w:eastAsia="Times New Roman" w:hAnsi="Times New Roman" w:cs="Times New Roman"/>
          <w:sz w:val="28"/>
          <w:szCs w:val="28"/>
        </w:rPr>
        <w:t>за прогон интеграционных тестов эндпоинтов, валидацию загружаемых артефактов на синтетических тестовых выборках и публикацию новых версий с автоматическим обновлением системных метаданных. Параллельно с этим осуществляется непрерывный технический мониторин</w:t>
      </w:r>
      <w:r>
        <w:rPr>
          <w:rFonts w:ascii="Times New Roman" w:eastAsia="Times New Roman" w:hAnsi="Times New Roman" w:cs="Times New Roman"/>
          <w:sz w:val="28"/>
          <w:szCs w:val="28"/>
        </w:rPr>
        <w:t>г производительности вычислительных модулей (контроль времени ответа эндпоинта /ml/calc) и мониторинг возможной постепенной деградации качества прогнозов на новых поступающих данных.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разработанный программный пакет SOTAI представляет собой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лубоко интегрированную, надежную и научно обоснованную экосистему. Использование монолитной архитектуры Django в сочетании с передовыми картографическими технологиями Leaflet и мощными ансамблевыми алгоритмами машинного обучения LightGBM позволяет создать </w:t>
      </w:r>
      <w:r>
        <w:rPr>
          <w:rFonts w:ascii="Times New Roman" w:eastAsia="Times New Roman" w:hAnsi="Times New Roman" w:cs="Times New Roman"/>
          <w:sz w:val="28"/>
          <w:szCs w:val="28"/>
        </w:rPr>
        <w:t>высокоэффективный инструмент для централизованного мониторинга трансплантационной активности, анализа больших медицинских данных и прецизионной персонализированной поддержки принятия сложнейших клинических решений.</w:t>
      </w:r>
    </w:p>
    <w:p w:rsidR="006B6DA6" w:rsidRDefault="006B6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u4zhxgwjvgmm" w:colFirst="0" w:colLast="0"/>
      <w:bookmarkEnd w:id="2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4.4 Заключение по четвертому разделу</w:t>
      </w:r>
    </w:p>
    <w:p w:rsidR="006B6DA6" w:rsidRDefault="006B6DA6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sod267jiedi9" w:colFirst="0" w:colLast="0"/>
      <w:bookmarkEnd w:id="29"/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дводя итог разработке программного пакета SOTAI, необходимо подчеркнуть, что созданная система представляет собой завершенное технологическое решение для интеграции и анализа больших медицинских данных в области трансплантологии. Выбор монолитной архитекту</w:t>
      </w:r>
      <w:r>
        <w:rPr>
          <w:rFonts w:ascii="Times New Roman" w:eastAsia="Times New Roman" w:hAnsi="Times New Roman" w:cs="Times New Roman"/>
          <w:sz w:val="28"/>
          <w:szCs w:val="28"/>
        </w:rPr>
        <w:t>ры на базе фреймворка Django полностью оправдал себя, позволив объединить в едином защищенном контуре реляционные базы данных PostgreSQL, интерактивные картографические модули и высокопроизводительные аналитические компоненты. Такой подход обеспечил не тол</w:t>
      </w:r>
      <w:r>
        <w:rPr>
          <w:rFonts w:ascii="Times New Roman" w:eastAsia="Times New Roman" w:hAnsi="Times New Roman" w:cs="Times New Roman"/>
          <w:sz w:val="28"/>
          <w:szCs w:val="28"/>
        </w:rPr>
        <w:t>ько высокую скорость обработки транзакций, но и гарантировал строгую целостность информации, что является критически важным аспектом при работе с листами ожидания и данными о донорских органах.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Разработанный пользовательский интерфейс, сочетающий в себе эл</w:t>
      </w:r>
      <w:r>
        <w:rPr>
          <w:rFonts w:ascii="Times New Roman" w:eastAsia="Times New Roman" w:hAnsi="Times New Roman" w:cs="Times New Roman"/>
          <w:sz w:val="28"/>
          <w:szCs w:val="28"/>
        </w:rPr>
        <w:t>ементы геоинформационных систем и классических медицинских панелей управления, вывел визуализацию трансплантационной активности на качественно новый уровень. Использование библиотеки Leaflet.js и формата GeoJSON позволило трансформировать сухие статистичес</w:t>
      </w:r>
      <w:r>
        <w:rPr>
          <w:rFonts w:ascii="Times New Roman" w:eastAsia="Times New Roman" w:hAnsi="Times New Roman" w:cs="Times New Roman"/>
          <w:sz w:val="28"/>
          <w:szCs w:val="28"/>
        </w:rPr>
        <w:t>кие показатели в наглядную интерактивную среду, обеспечивающую мгновенную оценку региональных потребностей здравоохранения. Интеграция динамических данных с ресурса transplant.kz наряду с использованием научно обоснованных алгоритмов синтетической генераци</w:t>
      </w:r>
      <w:r>
        <w:rPr>
          <w:rFonts w:ascii="Times New Roman" w:eastAsia="Times New Roman" w:hAnsi="Times New Roman" w:cs="Times New Roman"/>
          <w:sz w:val="28"/>
          <w:szCs w:val="28"/>
        </w:rPr>
        <w:t>и обеспечила системе высокую степень репрезентативности и практической применимости в условиях реального клинического планирования.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научно-практическое значение имеют внедренные модули машинного обучения на основе ансамблевого метода LightGBM. Разде</w:t>
      </w:r>
      <w:r>
        <w:rPr>
          <w:rFonts w:ascii="Times New Roman" w:eastAsia="Times New Roman" w:hAnsi="Times New Roman" w:cs="Times New Roman"/>
          <w:sz w:val="28"/>
          <w:szCs w:val="28"/>
        </w:rPr>
        <w:t>ление прогностических моделей на пять временных когорт позволило учесть специфику рисков, характерных для различных этапов послеоперационного периода. Примененная методология валидации, включающая оценку дискриминации через ROC AUC и PR AUC, а также 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калибровки и расчет доверительных интервалов, подтверждает математическую надежность выносимых предиктивных суждений. Созданный архитектурный каркас и дисциплина эксплуатации моделей, основанная на версионировании и автоматизированном тестировании, создаю</w:t>
      </w:r>
      <w:r>
        <w:rPr>
          <w:rFonts w:ascii="Times New Roman" w:eastAsia="Times New Roman" w:hAnsi="Times New Roman" w:cs="Times New Roman"/>
          <w:sz w:val="28"/>
          <w:szCs w:val="28"/>
        </w:rPr>
        <w:t>т надежный фундамент для дальнейшего масштабирования системы и её интеграции в цифровую экосистему национального здравоохранения. Таким образом, программный пакет SOTAI выступает не просто как информационный ресурс, а как интеллектуальная среда поддержки п</w:t>
      </w:r>
      <w:r>
        <w:rPr>
          <w:rFonts w:ascii="Times New Roman" w:eastAsia="Times New Roman" w:hAnsi="Times New Roman" w:cs="Times New Roman"/>
          <w:sz w:val="28"/>
          <w:szCs w:val="28"/>
        </w:rPr>
        <w:t>ринятия решений, способствующая повышению эффективности и прозрачности процессов трансплантации органов.</w:t>
      </w:r>
    </w:p>
    <w:p w:rsidR="006B6DA6" w:rsidRDefault="006B6DA6">
      <w:pPr>
        <w:pStyle w:val="2"/>
        <w:spacing w:before="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128"/>
          <w:footerReference w:type="default" r:id="rId129"/>
          <w:headerReference w:type="first" r:id="rId130"/>
          <w:footerReference w:type="first" r:id="rId131"/>
          <w:pgSz w:w="11909" w:h="16834"/>
          <w:pgMar w:top="1133" w:right="566" w:bottom="1133" w:left="1700" w:header="720" w:footer="720" w:gutter="0"/>
          <w:cols w:space="720"/>
        </w:sectPr>
      </w:pPr>
      <w:bookmarkStart w:id="30" w:name="_f11f2lx23onn" w:colFirst="0" w:colLast="0"/>
      <w:bookmarkEnd w:id="30"/>
    </w:p>
    <w:p w:rsidR="006B6DA6" w:rsidRDefault="00534340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1" w:name="_g3z9mkq9g3uf" w:colFirst="0" w:colLast="0"/>
      <w:bookmarkEnd w:id="3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6B6DA6" w:rsidRDefault="006B6DA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проведенного диссертационного исследования была решена важная научно-практическая задача: разработана методология и программные средства для обработки и анализа больших медицинских данных в сфере трансплантации органов. Работа охватывает полны</w:t>
      </w:r>
      <w:r>
        <w:rPr>
          <w:rFonts w:ascii="Times New Roman" w:eastAsia="Times New Roman" w:hAnsi="Times New Roman" w:cs="Times New Roman"/>
          <w:sz w:val="28"/>
          <w:szCs w:val="28"/>
        </w:rPr>
        <w:t>й цикл — от теоретического обоснования методов обработки несбалансированных выборок до создания действующей системы поддержки принятия решений.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первом разделе диссертации был выполнен системный анализ существующих подходов к обработке гетерогенных медици</w:t>
      </w:r>
      <w:r>
        <w:rPr>
          <w:rFonts w:ascii="Times New Roman" w:eastAsia="Times New Roman" w:hAnsi="Times New Roman" w:cs="Times New Roman"/>
          <w:sz w:val="28"/>
          <w:szCs w:val="28"/>
        </w:rPr>
        <w:t>нских данных. Обзор научной литературы и мирового опыта эксплуатации информационных систем (таких как UNOS/OPTN и Eurotransplant) показал, что ключевым фактором, ограничивающим точность предиктивных моделей в медицине, является естественный дисбаланс класс</w:t>
      </w:r>
      <w:r>
        <w:rPr>
          <w:rFonts w:ascii="Times New Roman" w:eastAsia="Times New Roman" w:hAnsi="Times New Roman" w:cs="Times New Roman"/>
          <w:sz w:val="28"/>
          <w:szCs w:val="28"/>
        </w:rPr>
        <w:t>ов. Было установлено, что стандартные статистические методы часто не позволяют учитывать динамический характер изменений состояния пациента в посттрансплантационном периоде. Это подтвердило необходимость разработки специализированных алгоритмов предобработ</w:t>
      </w:r>
      <w:r>
        <w:rPr>
          <w:rFonts w:ascii="Times New Roman" w:eastAsia="Times New Roman" w:hAnsi="Times New Roman" w:cs="Times New Roman"/>
          <w:sz w:val="28"/>
          <w:szCs w:val="28"/>
        </w:rPr>
        <w:t>ки данных и создания многоуровневых аналитических систем.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втором разделе был разработан метод Noise-Aware Undersampling with Subsampling (NAUS), предназначенный для повышения качества обучающих выборок. В отличие от существующих подходов, данный метод о</w:t>
      </w:r>
      <w:r>
        <w:rPr>
          <w:rFonts w:ascii="Times New Roman" w:eastAsia="Times New Roman" w:hAnsi="Times New Roman" w:cs="Times New Roman"/>
          <w:sz w:val="28"/>
          <w:szCs w:val="28"/>
        </w:rPr>
        <w:t>снован на трехэтапной архитектуре, включающей фильтрацию «шумных» объектов на основе апостериорных вероятностей, анализ признаковых подпространств и оценку статистической значимости клинических записей. Экспериментальная проверка метода на наборах данных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хронической болезни почек показала значительное улучшение метрик AUC и AUCPR. Разработанный метод NAUS является важным методологическим вкладом исследования, позволяя эффективно готовить данные для обучения моделей в условиях высокого уровня шума и дефици</w:t>
      </w:r>
      <w:r>
        <w:rPr>
          <w:rFonts w:ascii="Times New Roman" w:eastAsia="Times New Roman" w:hAnsi="Times New Roman" w:cs="Times New Roman"/>
          <w:sz w:val="28"/>
          <w:szCs w:val="28"/>
        </w:rPr>
        <w:t>та целевых событий. Важно отметить, что данный алгоритм позиционируется как исследовательский инструмент предварительной подготовки данных, обеспечивающий объективность последующего моделирования.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Третий раздел был посвящен масштабному анализу больших данн</w:t>
      </w:r>
      <w:r>
        <w:rPr>
          <w:rFonts w:ascii="Times New Roman" w:eastAsia="Times New Roman" w:hAnsi="Times New Roman" w:cs="Times New Roman"/>
          <w:sz w:val="28"/>
          <w:szCs w:val="28"/>
        </w:rPr>
        <w:t>ых, извлеченных из научно-исследовательского файла STAR (UNOS/OPTN) за период с 2015 по 2021 годы. В ходе работы была сформирована репрезентативная когорта реципиентов почки, прошедшая процедуру деидентификации и строгой клинической фильтрации. Научно обос</w:t>
      </w:r>
      <w:r>
        <w:rPr>
          <w:rFonts w:ascii="Times New Roman" w:eastAsia="Times New Roman" w:hAnsi="Times New Roman" w:cs="Times New Roman"/>
          <w:sz w:val="28"/>
          <w:szCs w:val="28"/>
        </w:rPr>
        <w:t>новано разделение процесса прогнозирования на пять временных интервалов (от момента операции до 72 месяцев наблюдения). Это позволило выявить специфические предикторы, влияющие на выживаемость трансплантата в разные периоды: от острых иммунологических реак</w:t>
      </w:r>
      <w:r>
        <w:rPr>
          <w:rFonts w:ascii="Times New Roman" w:eastAsia="Times New Roman" w:hAnsi="Times New Roman" w:cs="Times New Roman"/>
          <w:sz w:val="28"/>
          <w:szCs w:val="28"/>
        </w:rPr>
        <w:t>ций в первые месяцы до факторов хронической дисфункции в долгосрочной перспективе. Использование ансамблевых алгоритмов (LightGBM) обеспечило высокую точность прогнозов, подтвержденную процедурами кросс-валидации.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четвертом разделе диссертации описана ра</w:t>
      </w:r>
      <w:r>
        <w:rPr>
          <w:rFonts w:ascii="Times New Roman" w:eastAsia="Times New Roman" w:hAnsi="Times New Roman" w:cs="Times New Roman"/>
          <w:sz w:val="28"/>
          <w:szCs w:val="28"/>
        </w:rPr>
        <w:t>зработка программного пакета SOTAI (Solid Organ Transplantation Artificial Intelligence). Система реализована на базе монолитной архитектуры с использованием фреймворка Django и базы данных PostgreSQL. Программный комплекс включает в себя:</w:t>
      </w:r>
    </w:p>
    <w:p w:rsidR="006B6DA6" w:rsidRDefault="00534340">
      <w:pPr>
        <w:numPr>
          <w:ilvl w:val="0"/>
          <w:numId w:val="7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Интерактивный мо</w:t>
      </w:r>
      <w:r>
        <w:rPr>
          <w:rFonts w:ascii="Times New Roman" w:eastAsia="Times New Roman" w:hAnsi="Times New Roman" w:cs="Times New Roman"/>
          <w:sz w:val="28"/>
          <w:szCs w:val="28"/>
        </w:rPr>
        <w:t>дуль геовизуализации «Transplant Map» на базе библиотеки Leaflet, отображающий распределение ресурсов и активность центров трансплантации;</w:t>
      </w:r>
    </w:p>
    <w:p w:rsidR="006B6DA6" w:rsidRDefault="00534340">
      <w:pPr>
        <w:numPr>
          <w:ilvl w:val="0"/>
          <w:numId w:val="7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Автоматизированные инструменты сбора и отображения официальной статистики из открытых источников (transplant.kz);</w:t>
      </w:r>
    </w:p>
    <w:p w:rsidR="006B6DA6" w:rsidRDefault="00534340">
      <w:pPr>
        <w:numPr>
          <w:ilvl w:val="0"/>
          <w:numId w:val="7"/>
        </w:num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</w:t>
      </w:r>
      <w:r>
        <w:rPr>
          <w:rFonts w:ascii="Times New Roman" w:eastAsia="Times New Roman" w:hAnsi="Times New Roman" w:cs="Times New Roman"/>
          <w:sz w:val="28"/>
          <w:szCs w:val="28"/>
        </w:rPr>
        <w:t>ор предиктивных калькуляторов, позволяющих врачу на основе клинических параметров реципиента и донора получать вероятностную оценку риска отторжения органа в конкретном временном окне.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подчеркнуть разделение результатов исследования: алгоритм 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лансировки NAUS был использован как аналитический инструмент на этапе подготовки данных и разработки моделей, в то время как программный пакет SOTAI является прикладным интерфейсом для конечного пользователя, интегрирующим уже обученные и верифицированные </w:t>
      </w:r>
      <w:r>
        <w:rPr>
          <w:rFonts w:ascii="Times New Roman" w:eastAsia="Times New Roman" w:hAnsi="Times New Roman" w:cs="Times New Roman"/>
          <w:sz w:val="28"/>
          <w:szCs w:val="28"/>
        </w:rPr>
        <w:t>модели. Это разделение обеспечивает стабильность работы программного комплекса и высокую скорость отклика при проведении расчетов.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Внедрение результатов исследования в практику работы медицинских организаций позволит формализовать процесс оценки рисков, по</w:t>
      </w:r>
      <w:r>
        <w:rPr>
          <w:rFonts w:ascii="Times New Roman" w:eastAsia="Times New Roman" w:hAnsi="Times New Roman" w:cs="Times New Roman"/>
          <w:sz w:val="28"/>
          <w:szCs w:val="28"/>
        </w:rPr>
        <w:t>высить прозрачность мониторинга листов ожидания и обеспечить врачей объективными данными для корректировки терапии. Теоретические выводы работы и предложенные алгоритмические решения могут быть масштабированы на другие области медицины, характеризующиеся н</w:t>
      </w:r>
      <w:r>
        <w:rPr>
          <w:rFonts w:ascii="Times New Roman" w:eastAsia="Times New Roman" w:hAnsi="Times New Roman" w:cs="Times New Roman"/>
          <w:sz w:val="28"/>
          <w:szCs w:val="28"/>
        </w:rPr>
        <w:t>аличием больших массивов несбалансированных данных.</w:t>
      </w:r>
    </w:p>
    <w:p w:rsidR="006B6DA6" w:rsidRDefault="0053434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в диссертации представлено завершенное исследование, имеющее как теоретическую ценность в области биоинформатики, так и прикладное значение для системы цифрового здравоохранения. Основные з</w:t>
      </w:r>
      <w:r>
        <w:rPr>
          <w:rFonts w:ascii="Times New Roman" w:eastAsia="Times New Roman" w:hAnsi="Times New Roman" w:cs="Times New Roman"/>
          <w:sz w:val="28"/>
          <w:szCs w:val="28"/>
        </w:rPr>
        <w:t>адачи работы выполнены в полном объеме, а полученные результаты подтверждены экспериментальными данными и программной реализацией.</w:t>
      </w:r>
    </w:p>
    <w:p w:rsidR="006B6DA6" w:rsidRDefault="006B6DA6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6DA6">
          <w:headerReference w:type="default" r:id="rId132"/>
          <w:footerReference w:type="default" r:id="rId133"/>
          <w:headerReference w:type="first" r:id="rId134"/>
          <w:footerReference w:type="first" r:id="rId135"/>
          <w:pgSz w:w="11909" w:h="16834"/>
          <w:pgMar w:top="1133" w:right="566" w:bottom="1133" w:left="1700" w:header="720" w:footer="720" w:gutter="0"/>
          <w:cols w:space="720"/>
        </w:sectPr>
      </w:pPr>
    </w:p>
    <w:p w:rsidR="006B6DA6" w:rsidRDefault="00534340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2" w:name="_47gub3vi75j2" w:colFirst="0" w:colLast="0"/>
      <w:bookmarkEnd w:id="3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</w:p>
    <w:p w:rsidR="006B6DA6" w:rsidRDefault="006B6DA6">
      <w:p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6">
        <w:r>
          <w:rPr>
            <w:rFonts w:ascii="Times New Roman" w:eastAsia="Times New Roman" w:hAnsi="Times New Roman" w:cs="Times New Roman"/>
            <w:sz w:val="28"/>
            <w:szCs w:val="28"/>
          </w:rPr>
          <w:t>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37">
        <w:r>
          <w:rPr>
            <w:rFonts w:ascii="Times New Roman" w:eastAsia="Times New Roman" w:hAnsi="Times New Roman" w:cs="Times New Roman"/>
            <w:sz w:val="28"/>
            <w:szCs w:val="28"/>
          </w:rPr>
          <w:t>Majilis approves Law on Republican Budget for 2025-2027 - Official Information Source of the Prime minister of the Republic of Kazakhstan [Электронный ресурс]. URL: https://primeminister.kz/en/news/mazhilis-odobril-zakon-o-respublikanskom-byudzhete-na-2025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-2027-gody-29247 (дата обращения: 20.03.2025).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8">
        <w:r>
          <w:rPr>
            <w:rFonts w:ascii="Times New Roman" w:eastAsia="Times New Roman" w:hAnsi="Times New Roman" w:cs="Times New Roman"/>
            <w:sz w:val="28"/>
            <w:szCs w:val="28"/>
          </w:rPr>
          <w:t>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39">
        <w:r>
          <w:rPr>
            <w:rFonts w:ascii="Times New Roman" w:eastAsia="Times New Roman" w:hAnsi="Times New Roman" w:cs="Times New Roman"/>
            <w:sz w:val="28"/>
            <w:szCs w:val="28"/>
          </w:rPr>
          <w:t>Mathew R. M., Gunasundari R. A Cluster-based Undersampling Technique for Multicla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ss Skewed Datasets // Eng. Technol. Appl. Sci. Res. Gastouni: Eos Assoc, 2023. Т. 13, № 3. С. 10785–107906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0">
        <w:r>
          <w:rPr>
            <w:rFonts w:ascii="Times New Roman" w:eastAsia="Times New Roman" w:hAnsi="Times New Roman" w:cs="Times New Roman"/>
            <w:sz w:val="28"/>
            <w:szCs w:val="28"/>
          </w:rPr>
          <w:t>3.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1">
        <w:r>
          <w:rPr>
            <w:rFonts w:ascii="Times New Roman" w:eastAsia="Times New Roman" w:hAnsi="Times New Roman" w:cs="Times New Roman"/>
            <w:sz w:val="28"/>
            <w:szCs w:val="28"/>
          </w:rPr>
          <w:t>Zuo Y. и др. PreML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S: The undersampling technique based on ClusterCentroids to predict multiple lysine sites // PLoS Comput. Biol. San Francisco: Public Library Science, 2024. Т. 20, № 10. С. e101254421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2">
        <w:r>
          <w:rPr>
            <w:rFonts w:ascii="Times New Roman" w:eastAsia="Times New Roman" w:hAnsi="Times New Roman" w:cs="Times New Roman"/>
            <w:sz w:val="28"/>
            <w:szCs w:val="28"/>
          </w:rPr>
          <w:t>4.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Onan A. Consensus Clustering-Based Undersampling Approach to Imbalanced Learning // Sci. Program. London: Hindawi Ltd, 2019. Т. 2019. С. 590108714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4">
        <w:r>
          <w:rPr>
            <w:rFonts w:ascii="Times New Roman" w:eastAsia="Times New Roman" w:hAnsi="Times New Roman" w:cs="Times New Roman"/>
            <w:sz w:val="28"/>
            <w:szCs w:val="28"/>
          </w:rPr>
          <w:t>5.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Jiang L. и др. Undersampling of approaching the classification boundary for imbalance problem // Concurr. Comput.-Pract. Exp. Hoboken: Wiley, 2023. Т. 35, № 6. 17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6">
        <w:r>
          <w:rPr>
            <w:rFonts w:ascii="Times New Roman" w:eastAsia="Times New Roman" w:hAnsi="Times New Roman" w:cs="Times New Roman"/>
            <w:sz w:val="28"/>
            <w:szCs w:val="28"/>
          </w:rPr>
          <w:t>6.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7">
        <w:r>
          <w:rPr>
            <w:rFonts w:ascii="Times New Roman" w:eastAsia="Times New Roman" w:hAnsi="Times New Roman" w:cs="Times New Roman"/>
            <w:sz w:val="28"/>
            <w:szCs w:val="28"/>
          </w:rPr>
          <w:t>Zhou W. и др. An Undersampling Method Approaching the Ideal Classification Boundary for Imbalance Problems // Appl. Sci.-Basel. Basel: MD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PI, 2024. Т. 14, № 13. С. 542119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8">
        <w:r>
          <w:rPr>
            <w:rFonts w:ascii="Times New Roman" w:eastAsia="Times New Roman" w:hAnsi="Times New Roman" w:cs="Times New Roman"/>
            <w:sz w:val="28"/>
            <w:szCs w:val="28"/>
          </w:rPr>
          <w:t>7.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9">
        <w:r>
          <w:rPr>
            <w:rFonts w:ascii="Times New Roman" w:eastAsia="Times New Roman" w:hAnsi="Times New Roman" w:cs="Times New Roman"/>
            <w:sz w:val="28"/>
            <w:szCs w:val="28"/>
          </w:rPr>
          <w:t>Vuttipittayamongkol P., Elyan E. Improved Overlap-based Undersampling for Imbalanced Dataset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Classification with Application to Epilepsy and Parkinson’s Disease // Int. J. Neural Syst. Singapore: World Scientific Publ Co Pte Ltd, 2020. Т. 30, № 8. С. 205004321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0">
        <w:r>
          <w:rPr>
            <w:rFonts w:ascii="Times New Roman" w:eastAsia="Times New Roman" w:hAnsi="Times New Roman" w:cs="Times New Roman"/>
            <w:sz w:val="28"/>
            <w:szCs w:val="28"/>
          </w:rPr>
          <w:t>8.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5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Kang Q. и др. A Noise-Filtered Under-Sampling Scheme for Imbalanced Classification // IEEE T. Cybern. Piscataway: Ieee-Inst Electrical Electronics Engineers Inc, 2017. Т. 47, № 12. С. 4263–427412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2">
        <w:r>
          <w:rPr>
            <w:rFonts w:ascii="Times New Roman" w:eastAsia="Times New Roman" w:hAnsi="Times New Roman" w:cs="Times New Roman"/>
            <w:sz w:val="28"/>
            <w:szCs w:val="28"/>
          </w:rPr>
          <w:t>9.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53">
        <w:r>
          <w:rPr>
            <w:rFonts w:ascii="Times New Roman" w:eastAsia="Times New Roman" w:hAnsi="Times New Roman" w:cs="Times New Roman"/>
            <w:sz w:val="28"/>
            <w:szCs w:val="28"/>
          </w:rPr>
          <w:t>Vuttipittayamongkol P., Elyan E. Neighbourhood-based undersampling approach for handling imbalanced and overlapped data // Inf. Sci. New York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: Elsevier Science Inc, 2020. Т. 509. С. 47–7024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4">
        <w:r>
          <w:rPr>
            <w:rFonts w:ascii="Times New Roman" w:eastAsia="Times New Roman" w:hAnsi="Times New Roman" w:cs="Times New Roman"/>
            <w:sz w:val="28"/>
            <w:szCs w:val="28"/>
          </w:rPr>
          <w:t>10.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5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Nyberg O., Klami A. Exploring uplift modeling with high class imbalance //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Data Min. Knowl. Discov. Dordrecht: Springer, 2023. Т. 37, № 2. С. 736–76631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6">
        <w:r>
          <w:rPr>
            <w:rFonts w:ascii="Times New Roman" w:eastAsia="Times New Roman" w:hAnsi="Times New Roman" w:cs="Times New Roman"/>
            <w:sz w:val="28"/>
            <w:szCs w:val="28"/>
          </w:rPr>
          <w:t>11.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5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Leevy J. L. L. и др. Threshold optimization and random undersampling for imbalanced credit card data // J. Big Data. London: Springernature, 2023. Т. 10, № 1. С. 5822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8">
        <w:r>
          <w:rPr>
            <w:rFonts w:ascii="Times New Roman" w:eastAsia="Times New Roman" w:hAnsi="Times New Roman" w:cs="Times New Roman"/>
            <w:sz w:val="28"/>
            <w:szCs w:val="28"/>
          </w:rPr>
          <w:t>12.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59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Koziarski M. Radial-Based Undersampling for imbalanced data classification // Pattern Recognit. London: Elsevier Sci Ltd, 2020. Т. 102. С. 10726211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0">
        <w:r>
          <w:rPr>
            <w:rFonts w:ascii="Times New Roman" w:eastAsia="Times New Roman" w:hAnsi="Times New Roman" w:cs="Times New Roman"/>
            <w:sz w:val="28"/>
            <w:szCs w:val="28"/>
          </w:rPr>
          <w:t>13.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6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Kim S.-J., Lim D.-J. MPSUBoost: A Modified Particle Stacking Undersampling Boosting Method // IEEE Access. Piscataway: Ieee-Inst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Electrical Electronics Engineers Inc, 2022. Т. 10. С. 125458–12546811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2">
        <w:r>
          <w:rPr>
            <w:rFonts w:ascii="Times New Roman" w:eastAsia="Times New Roman" w:hAnsi="Times New Roman" w:cs="Times New Roman"/>
            <w:sz w:val="28"/>
            <w:szCs w:val="28"/>
          </w:rPr>
          <w:t>14.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63">
        <w:r>
          <w:rPr>
            <w:rFonts w:ascii="Times New Roman" w:eastAsia="Times New Roman" w:hAnsi="Times New Roman" w:cs="Times New Roman"/>
            <w:sz w:val="28"/>
            <w:szCs w:val="28"/>
          </w:rPr>
          <w:t>Zhou S. и др. RUE: A robust personalized cost assignme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nt strategy for class imbalance cost-sensitive learning // J. King Saud Univ.-Comput. Inf. Sci. Amsterdam: Elsevier, 2023. Т. 35, № 4. С. 36–4914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4">
        <w:r>
          <w:rPr>
            <w:rFonts w:ascii="Times New Roman" w:eastAsia="Times New Roman" w:hAnsi="Times New Roman" w:cs="Times New Roman"/>
            <w:sz w:val="28"/>
            <w:szCs w:val="28"/>
          </w:rPr>
          <w:t>15.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65">
        <w:r>
          <w:rPr>
            <w:rFonts w:ascii="Times New Roman" w:eastAsia="Times New Roman" w:hAnsi="Times New Roman" w:cs="Times New Roman"/>
            <w:sz w:val="28"/>
            <w:szCs w:val="28"/>
          </w:rPr>
          <w:t>Kamaladevi M., Venkatraman V. Tversky Similarity based Under Sampling with Gaussian Kernelized Decision Stump Adaboost Algorithm for Imbalanced Medical Data Classification // Int. J. Comput. Commun. Control. Bihor: Ccc Publ-Agora Univ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, 2021. Т. 16, № 6. С. 429116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6">
        <w:r>
          <w:rPr>
            <w:rFonts w:ascii="Times New Roman" w:eastAsia="Times New Roman" w:hAnsi="Times New Roman" w:cs="Times New Roman"/>
            <w:sz w:val="28"/>
            <w:szCs w:val="28"/>
          </w:rPr>
          <w:t>16.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67">
        <w:r>
          <w:rPr>
            <w:rFonts w:ascii="Times New Roman" w:eastAsia="Times New Roman" w:hAnsi="Times New Roman" w:cs="Times New Roman"/>
            <w:sz w:val="28"/>
            <w:szCs w:val="28"/>
          </w:rPr>
          <w:t>Dai Q., Liu J., Liu Y. Multi-granularity relabeled under-sampling algorithm for imbalanced dat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a // Appl. Soft. Comput. Amsterdam: Elsevier, 2022. Т. 124. С. 10908316 с.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8">
        <w:r>
          <w:rPr>
            <w:rFonts w:ascii="Times New Roman" w:eastAsia="Times New Roman" w:hAnsi="Times New Roman" w:cs="Times New Roman"/>
            <w:sz w:val="28"/>
            <w:szCs w:val="28"/>
          </w:rPr>
          <w:t>17.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69">
        <w:r>
          <w:rPr>
            <w:rFonts w:ascii="Times New Roman" w:eastAsia="Times New Roman" w:hAnsi="Times New Roman" w:cs="Times New Roman"/>
            <w:sz w:val="28"/>
            <w:szCs w:val="28"/>
          </w:rPr>
          <w:t>Bikbov B. и др. Global, regional, and national burden of chronic kidney disease, 1990–2017: a systematic analysis for the Global Burden of Disease Study 2017 // The Lancet. Elsevier, 2020. Т. 395,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№ 10225. С. 709–733.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0">
        <w:r>
          <w:rPr>
            <w:rFonts w:ascii="Times New Roman" w:eastAsia="Times New Roman" w:hAnsi="Times New Roman" w:cs="Times New Roman"/>
            <w:sz w:val="28"/>
            <w:szCs w:val="28"/>
          </w:rPr>
          <w:t>18.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71">
        <w:r>
          <w:rPr>
            <w:rFonts w:ascii="Times New Roman" w:eastAsia="Times New Roman" w:hAnsi="Times New Roman" w:cs="Times New Roman"/>
            <w:sz w:val="28"/>
            <w:szCs w:val="28"/>
          </w:rPr>
          <w:t>Jha V. и др. Global Economic Burden Associated with Chronic Kidney Disease: A Pragmatic Review of Medical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Costs for the Inside CKD Research Programme // Adv Ther. 2023. Т. 40, № 10. С. 4405–4420.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2">
        <w:r>
          <w:rPr>
            <w:rFonts w:ascii="Times New Roman" w:eastAsia="Times New Roman" w:hAnsi="Times New Roman" w:cs="Times New Roman"/>
            <w:sz w:val="28"/>
            <w:szCs w:val="28"/>
          </w:rPr>
          <w:t>19.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73">
        <w:r>
          <w:rPr>
            <w:rFonts w:ascii="Times New Roman" w:eastAsia="Times New Roman" w:hAnsi="Times New Roman" w:cs="Times New Roman"/>
            <w:sz w:val="28"/>
            <w:szCs w:val="28"/>
          </w:rPr>
          <w:t>Zhang Y. и др. Healthcare costs afte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r kidney transplantation compared to dialysis based on propensity score methods and real world longitudinal register data from Sweden // Sci Rep. 2023. Т. 13, № 1. С. 10730.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4">
        <w:r>
          <w:rPr>
            <w:rFonts w:ascii="Times New Roman" w:eastAsia="Times New Roman" w:hAnsi="Times New Roman" w:cs="Times New Roman"/>
            <w:sz w:val="28"/>
            <w:szCs w:val="28"/>
          </w:rPr>
          <w:t>20.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7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Organ Donation Statistics | organdonor.gov [Электронный ресурс]. URL: https://www.organdonor.gov/learn/organ-donation-statistics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6">
        <w:r>
          <w:rPr>
            <w:rFonts w:ascii="Times New Roman" w:eastAsia="Times New Roman" w:hAnsi="Times New Roman" w:cs="Times New Roman"/>
            <w:sz w:val="28"/>
            <w:szCs w:val="28"/>
          </w:rPr>
          <w:t>21.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77">
        <w:r>
          <w:rPr>
            <w:rFonts w:ascii="Times New Roman" w:eastAsia="Times New Roman" w:hAnsi="Times New Roman" w:cs="Times New Roman"/>
            <w:sz w:val="28"/>
            <w:szCs w:val="28"/>
          </w:rPr>
          <w:t>Beviá-Romero Á. и др. Kidney Transplant: Survival Analysis and Prognostic Factors after 10 Years of Follow-Up // Mathematics. publ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isher, 2023. Т. 11, № 7.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8">
        <w:r>
          <w:rPr>
            <w:rFonts w:ascii="Times New Roman" w:eastAsia="Times New Roman" w:hAnsi="Times New Roman" w:cs="Times New Roman"/>
            <w:sz w:val="28"/>
            <w:szCs w:val="28"/>
          </w:rPr>
          <w:t>22.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79">
        <w:r>
          <w:rPr>
            <w:rFonts w:ascii="Times New Roman" w:eastAsia="Times New Roman" w:hAnsi="Times New Roman" w:cs="Times New Roman"/>
            <w:sz w:val="28"/>
            <w:szCs w:val="28"/>
          </w:rPr>
          <w:t>González Serrano A. и др. Comparative Analysis of Graft Survival in Older and Younger Kidney Transplan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t Recipients: A Single-Center Cohort Study // J Clin Med. 2025. Т. 14, № 24. С. 8953.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0">
        <w:r>
          <w:rPr>
            <w:rFonts w:ascii="Times New Roman" w:eastAsia="Times New Roman" w:hAnsi="Times New Roman" w:cs="Times New Roman"/>
            <w:sz w:val="28"/>
            <w:szCs w:val="28"/>
          </w:rPr>
          <w:t>23.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81">
        <w:r>
          <w:rPr>
            <w:rFonts w:ascii="Times New Roman" w:eastAsia="Times New Roman" w:hAnsi="Times New Roman" w:cs="Times New Roman"/>
            <w:sz w:val="28"/>
            <w:szCs w:val="28"/>
          </w:rPr>
          <w:t>Potluri V. S. и др. Assessing Deceased-Do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nor Kidneys Through Posttransplant Survival Prediction Algorithms // Am J Kidney Dis. 2026. Т. 87, № 1. С. 18–30.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2">
        <w:r>
          <w:rPr>
            <w:rFonts w:ascii="Times New Roman" w:eastAsia="Times New Roman" w:hAnsi="Times New Roman" w:cs="Times New Roman"/>
            <w:sz w:val="28"/>
            <w:szCs w:val="28"/>
          </w:rPr>
          <w:t>24.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83">
        <w:r>
          <w:rPr>
            <w:rFonts w:ascii="Times New Roman" w:eastAsia="Times New Roman" w:hAnsi="Times New Roman" w:cs="Times New Roman"/>
            <w:sz w:val="28"/>
            <w:szCs w:val="28"/>
          </w:rPr>
          <w:t>Naqvi S. A. A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. и др. Predicting Kidney Graft Survival Using Machine Learning Methods: Prediction Model Development and Feature Significance Analysis Study // J Med Internet Res. 2021. Т. 23, № 8. С. e26843.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4">
        <w:r>
          <w:rPr>
            <w:rFonts w:ascii="Times New Roman" w:eastAsia="Times New Roman" w:hAnsi="Times New Roman" w:cs="Times New Roman"/>
            <w:sz w:val="28"/>
            <w:szCs w:val="28"/>
          </w:rPr>
          <w:t>25.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8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Fan B. и др. Enhancing post-kidney transplant prognostication: an interpretable machine learning approach for longitudinal outcome prediction // NPJ Digit Med. 2025. Т. 8. С. 684.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6">
        <w:r>
          <w:rPr>
            <w:rFonts w:ascii="Times New Roman" w:eastAsia="Times New Roman" w:hAnsi="Times New Roman" w:cs="Times New Roman"/>
            <w:sz w:val="28"/>
            <w:szCs w:val="28"/>
          </w:rPr>
          <w:t>26.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8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OrganPredict – AI for Organ Transplant Prediction [Электронный ресурс]. URL: https://organpredict.ai/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8">
        <w:r>
          <w:rPr>
            <w:rFonts w:ascii="Times New Roman" w:eastAsia="Times New Roman" w:hAnsi="Times New Roman" w:cs="Times New Roman"/>
            <w:sz w:val="28"/>
            <w:szCs w:val="28"/>
          </w:rPr>
          <w:t>27.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89">
        <w:r>
          <w:rPr>
            <w:rFonts w:ascii="Times New Roman" w:eastAsia="Times New Roman" w:hAnsi="Times New Roman" w:cs="Times New Roman"/>
            <w:sz w:val="28"/>
            <w:szCs w:val="28"/>
          </w:rPr>
          <w:t>Schapranow M.-P. и др. NephroCAGE—German-Canadian Consortium on AI for Improved Kidney Transplantation Outcome: Protocol for an Alg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orithm Development and Validation Study // JMIR Res Protoc. 2023. Т. 12. С. e48892.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0">
        <w:r>
          <w:rPr>
            <w:rFonts w:ascii="Times New Roman" w:eastAsia="Times New Roman" w:hAnsi="Times New Roman" w:cs="Times New Roman"/>
            <w:sz w:val="28"/>
            <w:szCs w:val="28"/>
          </w:rPr>
          <w:t>28.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91">
        <w:r>
          <w:rPr>
            <w:rFonts w:ascii="Times New Roman" w:eastAsia="Times New Roman" w:hAnsi="Times New Roman" w:cs="Times New Roman"/>
            <w:sz w:val="28"/>
            <w:szCs w:val="28"/>
          </w:rPr>
          <w:t>Salybekov A. A. и др. Ethics and Algorithms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to Navigate AI’s Emerging Role in Organ Transplantation // J Clin Med. 2025. Т. 14, № 8. С. 2775.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2">
        <w:r>
          <w:rPr>
            <w:rFonts w:ascii="Times New Roman" w:eastAsia="Times New Roman" w:hAnsi="Times New Roman" w:cs="Times New Roman"/>
            <w:sz w:val="28"/>
            <w:szCs w:val="28"/>
          </w:rPr>
          <w:t>29.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93">
        <w:r>
          <w:rPr>
            <w:rFonts w:ascii="Times New Roman" w:eastAsia="Times New Roman" w:hAnsi="Times New Roman" w:cs="Times New Roman"/>
            <w:sz w:val="28"/>
            <w:szCs w:val="28"/>
          </w:rPr>
          <w:t>OrganMatch</w:t>
        </w:r>
      </w:hyperlink>
      <w:hyperlink r:id="rId194">
        <w:r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TM</w:t>
        </w:r>
      </w:hyperlink>
      <w:hyperlink r:id="rId19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| Find and License Organoid Models | Organthis [Электронный ресурс]. 2026. URL: https://organthis.com/organmatch/ (дата обращения: 16.03.2026).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6">
        <w:r>
          <w:rPr>
            <w:rFonts w:ascii="Times New Roman" w:eastAsia="Times New Roman" w:hAnsi="Times New Roman" w:cs="Times New Roman"/>
            <w:sz w:val="28"/>
            <w:szCs w:val="28"/>
          </w:rPr>
          <w:t>30.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9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Cooperating saves lives - Eurotransplant [Электронный ресурс]. URL: https://www.eurotransplant.org/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8">
        <w:r>
          <w:rPr>
            <w:rFonts w:ascii="Times New Roman" w:eastAsia="Times New Roman" w:hAnsi="Times New Roman" w:cs="Times New Roman"/>
            <w:sz w:val="28"/>
            <w:szCs w:val="28"/>
          </w:rPr>
          <w:t>31.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99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Home | Scandiatransplant [Электронный ресурс]. URL: https://www.scandiatransplant.org/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0">
        <w:r>
          <w:rPr>
            <w:rFonts w:ascii="Times New Roman" w:eastAsia="Times New Roman" w:hAnsi="Times New Roman" w:cs="Times New Roman"/>
            <w:sz w:val="28"/>
            <w:szCs w:val="28"/>
          </w:rPr>
          <w:t>32.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0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Organ Procurement &amp; Transplantation Network (OPTN) | HRSA [Электронный ресурс]. URL: https://www.hrsa.gov/optn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2">
        <w:r>
          <w:rPr>
            <w:rFonts w:ascii="Times New Roman" w:eastAsia="Times New Roman" w:hAnsi="Times New Roman" w:cs="Times New Roman"/>
            <w:sz w:val="28"/>
            <w:szCs w:val="28"/>
          </w:rPr>
          <w:t>33.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0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CPRA calculator - OPTN [Электронный ресурс]. URL: https://hrsa.unos.org/data/allocation-calculators/cpra-calculator/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4">
        <w:r>
          <w:rPr>
            <w:rFonts w:ascii="Times New Roman" w:eastAsia="Times New Roman" w:hAnsi="Times New Roman" w:cs="Times New Roman"/>
            <w:sz w:val="28"/>
            <w:szCs w:val="28"/>
          </w:rPr>
          <w:t>34.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0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KDPI calculator - OPTN [Электронный ресурс]. URL: https://hrsa.unos.org/data/allocation-calculators/kdpi-calculator/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6">
        <w:r>
          <w:rPr>
            <w:rFonts w:ascii="Times New Roman" w:eastAsia="Times New Roman" w:hAnsi="Times New Roman" w:cs="Times New Roman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5.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07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EPTS calculator - OPTN [Электронный ресурс]. URL: https://hrsa.unos.org/data/allocation-calculators/epts-calculator/ (дата обращения: 02.02.2026).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8">
        <w:r>
          <w:rPr>
            <w:rFonts w:ascii="Times New Roman" w:eastAsia="Times New Roman" w:hAnsi="Times New Roman" w:cs="Times New Roman"/>
            <w:sz w:val="28"/>
            <w:szCs w:val="28"/>
          </w:rPr>
          <w:t>36.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09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Buribayev Z. и др. Noise-Aware Undersampling for imbalanced medical data (NAUS) // Informatics in Medicine Unlocked. 2026. Т. 60. С. 101731.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0">
        <w:r>
          <w:rPr>
            <w:rFonts w:ascii="Times New Roman" w:eastAsia="Times New Roman" w:hAnsi="Times New Roman" w:cs="Times New Roman"/>
            <w:sz w:val="28"/>
            <w:szCs w:val="28"/>
          </w:rPr>
          <w:t>37.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11">
        <w:r>
          <w:rPr>
            <w:rFonts w:ascii="Times New Roman" w:eastAsia="Times New Roman" w:hAnsi="Times New Roman" w:cs="Times New Roman"/>
            <w:sz w:val="28"/>
            <w:szCs w:val="28"/>
          </w:rPr>
          <w:t>Van Hulse J., Khoshgoftaar T. M., Napolitano A. A Novel Noise Filtering Algorithm for Imbalanced Data // 2010 Ninth International Conference on Machine Learn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ing and Applications. 2010. С. 9–14.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2">
        <w:r>
          <w:rPr>
            <w:rFonts w:ascii="Times New Roman" w:eastAsia="Times New Roman" w:hAnsi="Times New Roman" w:cs="Times New Roman"/>
            <w:sz w:val="28"/>
            <w:szCs w:val="28"/>
          </w:rPr>
          <w:t>38.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13">
        <w:r>
          <w:rPr>
            <w:rFonts w:ascii="Times New Roman" w:eastAsia="Times New Roman" w:hAnsi="Times New Roman" w:cs="Times New Roman"/>
            <w:sz w:val="28"/>
            <w:szCs w:val="28"/>
          </w:rPr>
          <w:t>🩺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Chronic Kidney Disease Dataset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🩺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[Электронный ресурс]. URL: https://www.kaggle.com/datasets/rabieelkharoua/chronic-kidney-disease-dataset-analysis (дата обращения: 10.11.2024).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4">
        <w:r>
          <w:rPr>
            <w:rFonts w:ascii="Times New Roman" w:eastAsia="Times New Roman" w:hAnsi="Times New Roman" w:cs="Times New Roman"/>
            <w:sz w:val="28"/>
            <w:szCs w:val="28"/>
          </w:rPr>
          <w:t>39.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1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Rashid A. Diabetes Dataset. Mendeley Data, 2020. Т. 1.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6">
        <w:r>
          <w:rPr>
            <w:rFonts w:ascii="Times New Roman" w:eastAsia="Times New Roman" w:hAnsi="Times New Roman" w:cs="Times New Roman"/>
            <w:sz w:val="28"/>
            <w:szCs w:val="28"/>
          </w:rPr>
          <w:t>40.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17">
        <w:r>
          <w:rPr>
            <w:rFonts w:ascii="Times New Roman" w:eastAsia="Times New Roman" w:hAnsi="Times New Roman" w:cs="Times New Roman"/>
            <w:sz w:val="28"/>
            <w:szCs w:val="28"/>
          </w:rPr>
          <w:t>Indian Liver Patie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nt Records [Электронный ресурс]. URL: https://www.kaggle.com/datasets/uciml/indian-liver-patient-records (дата обращения: 10.11.2024).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8">
        <w:r>
          <w:rPr>
            <w:rFonts w:ascii="Times New Roman" w:eastAsia="Times New Roman" w:hAnsi="Times New Roman" w:cs="Times New Roman"/>
            <w:sz w:val="28"/>
            <w:szCs w:val="28"/>
          </w:rPr>
          <w:t>41.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19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Heart Disease Dataset [Электронный ресурс]. URL: https://www.kaggle.com/datasets/mirzahasnine/heart-disease-dataset (дата обращения: 09.11.2024).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0">
        <w:r>
          <w:rPr>
            <w:rFonts w:ascii="Times New Roman" w:eastAsia="Times New Roman" w:hAnsi="Times New Roman" w:cs="Times New Roman"/>
            <w:sz w:val="28"/>
            <w:szCs w:val="28"/>
          </w:rPr>
          <w:t>42.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2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9. Dataset loading utilities — Version 0.13.0 [Электронный ресурс]. URL: https://imbalanced-learn.org/stable/datasets/index.html (дата обращения: 05.04.2025).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2">
        <w:r>
          <w:rPr>
            <w:rFonts w:ascii="Times New Roman" w:eastAsia="Times New Roman" w:hAnsi="Times New Roman" w:cs="Times New Roman"/>
            <w:sz w:val="28"/>
            <w:szCs w:val="28"/>
          </w:rPr>
          <w:t>43.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2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Kovesdy C. P. Epidemiology of chronic kidney disease: an update 2022 // Kidney Int Suppl. Elsevier, 2022. Т. 12, № 1. С. 7–11.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4">
        <w:r>
          <w:rPr>
            <w:rFonts w:ascii="Times New Roman" w:eastAsia="Times New Roman" w:hAnsi="Times New Roman" w:cs="Times New Roman"/>
            <w:sz w:val="28"/>
            <w:szCs w:val="28"/>
          </w:rPr>
          <w:t>44.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25">
        <w:r>
          <w:rPr>
            <w:rFonts w:ascii="Times New Roman" w:eastAsia="Times New Roman" w:hAnsi="Times New Roman" w:cs="Times New Roman"/>
            <w:sz w:val="28"/>
            <w:szCs w:val="28"/>
          </w:rPr>
          <w:t>Dong C. и др. Type 1 and type 2 diabetes mortality burden: Predictions for 2030 based on Bayesian age-period-cohort analysis of Ch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ina and global mortality burden from 1990 to 2019 // J Diabetes Investig. 2024. Т. 15, № 5. С. 623–633.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6">
        <w:r>
          <w:rPr>
            <w:rFonts w:ascii="Times New Roman" w:eastAsia="Times New Roman" w:hAnsi="Times New Roman" w:cs="Times New Roman"/>
            <w:sz w:val="28"/>
            <w:szCs w:val="28"/>
          </w:rPr>
          <w:t>45.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27">
        <w:r>
          <w:rPr>
            <w:rFonts w:ascii="Times New Roman" w:eastAsia="Times New Roman" w:hAnsi="Times New Roman" w:cs="Times New Roman"/>
            <w:sz w:val="28"/>
            <w:szCs w:val="28"/>
          </w:rPr>
          <w:t>Devarbhavi H. и др. Glo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bal burden of liver disease: 2023 update // J Hepatol. 2023. Т. 79, № 2. С. 516–537.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28">
        <w:r>
          <w:rPr>
            <w:rFonts w:ascii="Times New Roman" w:eastAsia="Times New Roman" w:hAnsi="Times New Roman" w:cs="Times New Roman"/>
            <w:sz w:val="28"/>
            <w:szCs w:val="28"/>
          </w:rPr>
          <w:t>46.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29">
        <w:r>
          <w:rPr>
            <w:rFonts w:ascii="Times New Roman" w:eastAsia="Times New Roman" w:hAnsi="Times New Roman" w:cs="Times New Roman"/>
            <w:sz w:val="28"/>
            <w:szCs w:val="28"/>
          </w:rPr>
          <w:t>Timmis A. и др. European Society of Cardio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logy: the 2023 Atlas of Cardiovascular Disease Statistics // Eur Heart J. 2024. Т. 45, № 38. С. 4019–4062.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0">
        <w:r>
          <w:rPr>
            <w:rFonts w:ascii="Times New Roman" w:eastAsia="Times New Roman" w:hAnsi="Times New Roman" w:cs="Times New Roman"/>
            <w:sz w:val="28"/>
            <w:szCs w:val="28"/>
          </w:rPr>
          <w:t>47.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31">
        <w:r>
          <w:rPr>
            <w:rFonts w:ascii="Times New Roman" w:eastAsia="Times New Roman" w:hAnsi="Times New Roman" w:cs="Times New Roman"/>
            <w:sz w:val="28"/>
            <w:szCs w:val="28"/>
          </w:rPr>
          <w:t>Giaquinto A. N. и др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. Breast cancer statistics 2024 // CA Cancer J Clin. 2024. Т. 74, № 6. С. 477–495. </w:t>
        </w:r>
      </w:hyperlink>
    </w:p>
    <w:p w:rsidR="006B6DA6" w:rsidRDefault="00534340">
      <w:pPr>
        <w:spacing w:line="240" w:lineRule="auto"/>
        <w:ind w:left="384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2">
        <w:r>
          <w:rPr>
            <w:rFonts w:ascii="Times New Roman" w:eastAsia="Times New Roman" w:hAnsi="Times New Roman" w:cs="Times New Roman"/>
            <w:sz w:val="28"/>
            <w:szCs w:val="28"/>
          </w:rPr>
          <w:t>48.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23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Salybekov A. A. и др. Phase-specific kidney graft failure prediction with machine learning model // Front Artif Intell. 2025. Т. 8. С. 1682639. </w:t>
        </w:r>
      </w:hyperlink>
    </w:p>
    <w:sectPr w:rsidR="006B6DA6">
      <w:headerReference w:type="default" r:id="rId234"/>
      <w:footerReference w:type="default" r:id="rId235"/>
      <w:headerReference w:type="first" r:id="rId236"/>
      <w:footerReference w:type="first" r:id="rId237"/>
      <w:pgSz w:w="11909" w:h="16834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4340" w:rsidRDefault="00534340">
      <w:pPr>
        <w:spacing w:line="240" w:lineRule="auto"/>
      </w:pPr>
      <w:r>
        <w:separator/>
      </w:r>
    </w:p>
  </w:endnote>
  <w:endnote w:type="continuationSeparator" w:id="0">
    <w:p w:rsidR="00534340" w:rsidRDefault="00534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Italic r:id="rId1" w:fontKey="{BC8B7B1F-D27D-4462-8A08-2D76D30136F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E9D775D-A328-4F21-AB7A-1C56030DD98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7B8597B-FE82-47FA-ABE1-DBC370BBB7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55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69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83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85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8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534340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 w:rsidR="00CA4A2E">
      <w:rPr>
        <w:rFonts w:ascii="Times New Roman" w:eastAsia="Times New Roman" w:hAnsi="Times New Roman" w:cs="Times New Roman"/>
      </w:rPr>
      <w:fldChar w:fldCharType="separate"/>
    </w:r>
    <w:r w:rsidR="00CA4A2E">
      <w:rPr>
        <w:rFonts w:ascii="Times New Roman" w:eastAsia="Times New Roman" w:hAnsi="Times New Roman" w:cs="Times New Roman"/>
        <w:noProof/>
      </w:rPr>
      <w:t>20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4340" w:rsidRDefault="00534340">
      <w:pPr>
        <w:spacing w:line="240" w:lineRule="auto"/>
      </w:pPr>
      <w:r>
        <w:separator/>
      </w:r>
    </w:p>
  </w:footnote>
  <w:footnote w:type="continuationSeparator" w:id="0">
    <w:p w:rsidR="00534340" w:rsidRDefault="00534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6DA6" w:rsidRDefault="006B6DA6">
    <w:pPr>
      <w:spacing w:line="240" w:lineRule="auto"/>
      <w:jc w:val="both"/>
      <w:rPr>
        <w:rFonts w:ascii="Times New Roman" w:eastAsia="Times New Roman" w:hAnsi="Times New Roman" w:cs="Times New Roman"/>
        <w:sz w:val="28"/>
        <w:szCs w:val="28"/>
      </w:rPr>
    </w:pPr>
  </w:p>
  <w:p w:rsidR="006B6DA6" w:rsidRDefault="006B6DA6">
    <w:pPr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95310"/>
    <w:multiLevelType w:val="multilevel"/>
    <w:tmpl w:val="A8764FA8"/>
    <w:lvl w:ilvl="0">
      <w:start w:val="1"/>
      <w:numFmt w:val="bullet"/>
      <w:lvlText w:val="₋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E1D08"/>
    <w:multiLevelType w:val="multilevel"/>
    <w:tmpl w:val="EA8A53E2"/>
    <w:lvl w:ilvl="0">
      <w:start w:val="1"/>
      <w:numFmt w:val="bullet"/>
      <w:lvlText w:val="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9B222A"/>
    <w:multiLevelType w:val="multilevel"/>
    <w:tmpl w:val="C1E852E6"/>
    <w:lvl w:ilvl="0">
      <w:start w:val="1"/>
      <w:numFmt w:val="bullet"/>
      <w:lvlText w:val="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AD1942"/>
    <w:multiLevelType w:val="multilevel"/>
    <w:tmpl w:val="7D9E79D4"/>
    <w:lvl w:ilvl="0">
      <w:start w:val="1"/>
      <w:numFmt w:val="bullet"/>
      <w:lvlText w:val="₋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DC2B72"/>
    <w:multiLevelType w:val="multilevel"/>
    <w:tmpl w:val="E85008E6"/>
    <w:lvl w:ilvl="0">
      <w:start w:val="1"/>
      <w:numFmt w:val="bullet"/>
      <w:lvlText w:val="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C85329"/>
    <w:multiLevelType w:val="multilevel"/>
    <w:tmpl w:val="28CC95C0"/>
    <w:lvl w:ilvl="0">
      <w:start w:val="1"/>
      <w:numFmt w:val="bullet"/>
      <w:lvlText w:val="₋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C67BB2"/>
    <w:multiLevelType w:val="multilevel"/>
    <w:tmpl w:val="6A7C6D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F3D4769"/>
    <w:multiLevelType w:val="multilevel"/>
    <w:tmpl w:val="7C508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ED12DA"/>
    <w:multiLevelType w:val="multilevel"/>
    <w:tmpl w:val="C1A8E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A6"/>
    <w:rsid w:val="00534340"/>
    <w:rsid w:val="006B6DA6"/>
    <w:rsid w:val="00C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35711-D008-4DBD-8470-F0567FEB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pPr>
      <w:spacing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1.jpg"/><Relationship Id="rId21" Type="http://schemas.openxmlformats.org/officeDocument/2006/relationships/hyperlink" Target="https://www.zotero.org/google-docs/?S2Lfl9" TargetMode="External"/><Relationship Id="rId42" Type="http://schemas.openxmlformats.org/officeDocument/2006/relationships/hyperlink" Target="https://www.zotero.org/google-docs/?yQGaNp" TargetMode="External"/><Relationship Id="rId63" Type="http://schemas.openxmlformats.org/officeDocument/2006/relationships/image" Target="media/image3.jpg"/><Relationship Id="rId84" Type="http://schemas.openxmlformats.org/officeDocument/2006/relationships/image" Target="media/image13.png"/><Relationship Id="rId138" Type="http://schemas.openxmlformats.org/officeDocument/2006/relationships/hyperlink" Target="https://www.zotero.org/google-docs/?bd45P6" TargetMode="External"/><Relationship Id="rId159" Type="http://schemas.openxmlformats.org/officeDocument/2006/relationships/hyperlink" Target="https://www.zotero.org/google-docs/?bd45P6" TargetMode="External"/><Relationship Id="rId170" Type="http://schemas.openxmlformats.org/officeDocument/2006/relationships/hyperlink" Target="https://www.zotero.org/google-docs/?bd45P6" TargetMode="External"/><Relationship Id="rId191" Type="http://schemas.openxmlformats.org/officeDocument/2006/relationships/hyperlink" Target="https://www.zotero.org/google-docs/?bd45P6" TargetMode="External"/><Relationship Id="rId205" Type="http://schemas.openxmlformats.org/officeDocument/2006/relationships/hyperlink" Target="https://www.zotero.org/google-docs/?bd45P6" TargetMode="External"/><Relationship Id="rId226" Type="http://schemas.openxmlformats.org/officeDocument/2006/relationships/hyperlink" Target="https://www.zotero.org/google-docs/?bd45P6" TargetMode="External"/><Relationship Id="rId107" Type="http://schemas.openxmlformats.org/officeDocument/2006/relationships/image" Target="media/image31.jpg"/><Relationship Id="rId11" Type="http://schemas.openxmlformats.org/officeDocument/2006/relationships/header" Target="header3.xml"/><Relationship Id="rId32" Type="http://schemas.openxmlformats.org/officeDocument/2006/relationships/hyperlink" Target="https://www.zotero.org/google-docs/?idee27" TargetMode="External"/><Relationship Id="rId53" Type="http://schemas.openxmlformats.org/officeDocument/2006/relationships/hyperlink" Target="https://www.zotero.org/google-docs/?hfII6i" TargetMode="External"/><Relationship Id="rId74" Type="http://schemas.openxmlformats.org/officeDocument/2006/relationships/hyperlink" Target="https://www.zotero.org/google-docs/?wkTcOL" TargetMode="External"/><Relationship Id="rId128" Type="http://schemas.openxmlformats.org/officeDocument/2006/relationships/header" Target="header13.xml"/><Relationship Id="rId149" Type="http://schemas.openxmlformats.org/officeDocument/2006/relationships/hyperlink" Target="https://www.zotero.org/google-docs/?bd45P6" TargetMode="External"/><Relationship Id="rId5" Type="http://schemas.openxmlformats.org/officeDocument/2006/relationships/footnotes" Target="footnotes.xml"/><Relationship Id="rId95" Type="http://schemas.openxmlformats.org/officeDocument/2006/relationships/footer" Target="footer10.xml"/><Relationship Id="rId160" Type="http://schemas.openxmlformats.org/officeDocument/2006/relationships/hyperlink" Target="https://www.zotero.org/google-docs/?bd45P6" TargetMode="External"/><Relationship Id="rId181" Type="http://schemas.openxmlformats.org/officeDocument/2006/relationships/hyperlink" Target="https://www.zotero.org/google-docs/?bd45P6" TargetMode="External"/><Relationship Id="rId216" Type="http://schemas.openxmlformats.org/officeDocument/2006/relationships/hyperlink" Target="https://www.zotero.org/google-docs/?bd45P6" TargetMode="External"/><Relationship Id="rId237" Type="http://schemas.openxmlformats.org/officeDocument/2006/relationships/footer" Target="footer18.xml"/><Relationship Id="rId22" Type="http://schemas.openxmlformats.org/officeDocument/2006/relationships/hyperlink" Target="https://www.zotero.org/google-docs/?5HOS9J" TargetMode="External"/><Relationship Id="rId43" Type="http://schemas.openxmlformats.org/officeDocument/2006/relationships/hyperlink" Target="https://www.zotero.org/google-docs/?28IjTe" TargetMode="External"/><Relationship Id="rId64" Type="http://schemas.openxmlformats.org/officeDocument/2006/relationships/hyperlink" Target="https://www.zotero.org/google-docs/?nz9RGn" TargetMode="External"/><Relationship Id="rId118" Type="http://schemas.openxmlformats.org/officeDocument/2006/relationships/image" Target="media/image42.jpg"/><Relationship Id="rId139" Type="http://schemas.openxmlformats.org/officeDocument/2006/relationships/hyperlink" Target="https://www.zotero.org/google-docs/?bd45P6" TargetMode="External"/><Relationship Id="rId85" Type="http://schemas.openxmlformats.org/officeDocument/2006/relationships/image" Target="media/image14.png"/><Relationship Id="rId150" Type="http://schemas.openxmlformats.org/officeDocument/2006/relationships/hyperlink" Target="https://www.zotero.org/google-docs/?bd45P6" TargetMode="External"/><Relationship Id="rId171" Type="http://schemas.openxmlformats.org/officeDocument/2006/relationships/hyperlink" Target="https://www.zotero.org/google-docs/?bd45P6" TargetMode="External"/><Relationship Id="rId192" Type="http://schemas.openxmlformats.org/officeDocument/2006/relationships/hyperlink" Target="https://www.zotero.org/google-docs/?bd45P6" TargetMode="External"/><Relationship Id="rId206" Type="http://schemas.openxmlformats.org/officeDocument/2006/relationships/hyperlink" Target="https://www.zotero.org/google-docs/?bd45P6" TargetMode="External"/><Relationship Id="rId227" Type="http://schemas.openxmlformats.org/officeDocument/2006/relationships/hyperlink" Target="https://www.zotero.org/google-docs/?bd45P6" TargetMode="External"/><Relationship Id="rId12" Type="http://schemas.openxmlformats.org/officeDocument/2006/relationships/footer" Target="footer3.xml"/><Relationship Id="rId33" Type="http://schemas.openxmlformats.org/officeDocument/2006/relationships/hyperlink" Target="https://www.zotero.org/google-docs/?uShggR" TargetMode="External"/><Relationship Id="rId108" Type="http://schemas.openxmlformats.org/officeDocument/2006/relationships/image" Target="media/image32.jpg"/><Relationship Id="rId129" Type="http://schemas.openxmlformats.org/officeDocument/2006/relationships/footer" Target="footer13.xml"/><Relationship Id="rId54" Type="http://schemas.openxmlformats.org/officeDocument/2006/relationships/header" Target="header7.xml"/><Relationship Id="rId75" Type="http://schemas.openxmlformats.org/officeDocument/2006/relationships/hyperlink" Target="https://www.zotero.org/google-docs/?9nvQT9" TargetMode="External"/><Relationship Id="rId96" Type="http://schemas.openxmlformats.org/officeDocument/2006/relationships/hyperlink" Target="https://www.zotero.org/google-docs/?4wP6V1" TargetMode="External"/><Relationship Id="rId140" Type="http://schemas.openxmlformats.org/officeDocument/2006/relationships/hyperlink" Target="https://www.zotero.org/google-docs/?bd45P6" TargetMode="External"/><Relationship Id="rId161" Type="http://schemas.openxmlformats.org/officeDocument/2006/relationships/hyperlink" Target="https://www.zotero.org/google-docs/?bd45P6" TargetMode="External"/><Relationship Id="rId182" Type="http://schemas.openxmlformats.org/officeDocument/2006/relationships/hyperlink" Target="https://www.zotero.org/google-docs/?bd45P6" TargetMode="External"/><Relationship Id="rId217" Type="http://schemas.openxmlformats.org/officeDocument/2006/relationships/hyperlink" Target="https://www.zotero.org/google-docs/?bd45P6" TargetMode="External"/><Relationship Id="rId6" Type="http://schemas.openxmlformats.org/officeDocument/2006/relationships/endnotes" Target="endnotes.xml"/><Relationship Id="rId238" Type="http://schemas.openxmlformats.org/officeDocument/2006/relationships/fontTable" Target="fontTable.xml"/><Relationship Id="rId23" Type="http://schemas.openxmlformats.org/officeDocument/2006/relationships/hyperlink" Target="https://www.zotero.org/google-docs/?ICWKiz" TargetMode="External"/><Relationship Id="rId119" Type="http://schemas.openxmlformats.org/officeDocument/2006/relationships/header" Target="header11.xml"/><Relationship Id="rId44" Type="http://schemas.openxmlformats.org/officeDocument/2006/relationships/hyperlink" Target="https://www.zotero.org/google-docs/?dPkzuQ" TargetMode="External"/><Relationship Id="rId65" Type="http://schemas.openxmlformats.org/officeDocument/2006/relationships/image" Target="media/image4.jpg"/><Relationship Id="rId86" Type="http://schemas.openxmlformats.org/officeDocument/2006/relationships/image" Target="media/image15.png"/><Relationship Id="rId130" Type="http://schemas.openxmlformats.org/officeDocument/2006/relationships/header" Target="header14.xml"/><Relationship Id="rId151" Type="http://schemas.openxmlformats.org/officeDocument/2006/relationships/hyperlink" Target="https://www.zotero.org/google-docs/?bd45P6" TargetMode="External"/><Relationship Id="rId172" Type="http://schemas.openxmlformats.org/officeDocument/2006/relationships/hyperlink" Target="https://www.zotero.org/google-docs/?bd45P6" TargetMode="External"/><Relationship Id="rId193" Type="http://schemas.openxmlformats.org/officeDocument/2006/relationships/hyperlink" Target="https://www.zotero.org/google-docs/?bd45P6" TargetMode="External"/><Relationship Id="rId207" Type="http://schemas.openxmlformats.org/officeDocument/2006/relationships/hyperlink" Target="https://www.zotero.org/google-docs/?bd45P6" TargetMode="External"/><Relationship Id="rId228" Type="http://schemas.openxmlformats.org/officeDocument/2006/relationships/hyperlink" Target="https://www.zotero.org/google-docs/?bd45P6" TargetMode="External"/><Relationship Id="rId13" Type="http://schemas.openxmlformats.org/officeDocument/2006/relationships/header" Target="header4.xml"/><Relationship Id="rId109" Type="http://schemas.openxmlformats.org/officeDocument/2006/relationships/image" Target="media/image33.jpg"/><Relationship Id="rId34" Type="http://schemas.openxmlformats.org/officeDocument/2006/relationships/hyperlink" Target="https://www.zotero.org/google-docs/?yl3r1R" TargetMode="External"/><Relationship Id="rId55" Type="http://schemas.openxmlformats.org/officeDocument/2006/relationships/footer" Target="footer7.xml"/><Relationship Id="rId76" Type="http://schemas.openxmlformats.org/officeDocument/2006/relationships/hyperlink" Target="https://www.zotero.org/google-docs/?0Z3ltT" TargetMode="External"/><Relationship Id="rId97" Type="http://schemas.openxmlformats.org/officeDocument/2006/relationships/image" Target="media/image21.png"/><Relationship Id="rId120" Type="http://schemas.openxmlformats.org/officeDocument/2006/relationships/footer" Target="footer11.xml"/><Relationship Id="rId141" Type="http://schemas.openxmlformats.org/officeDocument/2006/relationships/hyperlink" Target="https://www.zotero.org/google-docs/?bd45P6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www.zotero.org/google-docs/?bd45P6" TargetMode="External"/><Relationship Id="rId183" Type="http://schemas.openxmlformats.org/officeDocument/2006/relationships/hyperlink" Target="https://www.zotero.org/google-docs/?bd45P6" TargetMode="External"/><Relationship Id="rId218" Type="http://schemas.openxmlformats.org/officeDocument/2006/relationships/hyperlink" Target="https://www.zotero.org/google-docs/?bd45P6" TargetMode="External"/><Relationship Id="rId239" Type="http://schemas.openxmlformats.org/officeDocument/2006/relationships/theme" Target="theme/theme1.xml"/><Relationship Id="rId24" Type="http://schemas.openxmlformats.org/officeDocument/2006/relationships/hyperlink" Target="https://www.zotero.org/google-docs/?Tmq8wU" TargetMode="External"/><Relationship Id="rId45" Type="http://schemas.openxmlformats.org/officeDocument/2006/relationships/hyperlink" Target="https://www.zotero.org/google-docs/?On9vfS" TargetMode="External"/><Relationship Id="rId66" Type="http://schemas.openxmlformats.org/officeDocument/2006/relationships/image" Target="media/image5.jpg"/><Relationship Id="rId87" Type="http://schemas.openxmlformats.org/officeDocument/2006/relationships/image" Target="media/image16.png"/><Relationship Id="rId110" Type="http://schemas.openxmlformats.org/officeDocument/2006/relationships/image" Target="media/image34.jpg"/><Relationship Id="rId131" Type="http://schemas.openxmlformats.org/officeDocument/2006/relationships/footer" Target="footer14.xml"/><Relationship Id="rId152" Type="http://schemas.openxmlformats.org/officeDocument/2006/relationships/hyperlink" Target="https://www.zotero.org/google-docs/?bd45P6" TargetMode="External"/><Relationship Id="rId173" Type="http://schemas.openxmlformats.org/officeDocument/2006/relationships/hyperlink" Target="https://www.zotero.org/google-docs/?bd45P6" TargetMode="External"/><Relationship Id="rId194" Type="http://schemas.openxmlformats.org/officeDocument/2006/relationships/hyperlink" Target="https://www.zotero.org/google-docs/?bd45P6" TargetMode="External"/><Relationship Id="rId208" Type="http://schemas.openxmlformats.org/officeDocument/2006/relationships/hyperlink" Target="https://www.zotero.org/google-docs/?bd45P6" TargetMode="External"/><Relationship Id="rId229" Type="http://schemas.openxmlformats.org/officeDocument/2006/relationships/hyperlink" Target="https://www.zotero.org/google-docs/?bd45P6" TargetMode="External"/><Relationship Id="rId14" Type="http://schemas.openxmlformats.org/officeDocument/2006/relationships/footer" Target="footer4.xml"/><Relationship Id="rId35" Type="http://schemas.openxmlformats.org/officeDocument/2006/relationships/hyperlink" Target="https://www.zotero.org/google-docs/?NeiP9J" TargetMode="External"/><Relationship Id="rId56" Type="http://schemas.openxmlformats.org/officeDocument/2006/relationships/header" Target="header8.xml"/><Relationship Id="rId77" Type="http://schemas.openxmlformats.org/officeDocument/2006/relationships/image" Target="media/image6.png"/><Relationship Id="rId100" Type="http://schemas.openxmlformats.org/officeDocument/2006/relationships/image" Target="media/image24.jpg"/><Relationship Id="rId8" Type="http://schemas.openxmlformats.org/officeDocument/2006/relationships/footer" Target="footer1.xml"/><Relationship Id="rId98" Type="http://schemas.openxmlformats.org/officeDocument/2006/relationships/image" Target="media/image22.png"/><Relationship Id="rId121" Type="http://schemas.openxmlformats.org/officeDocument/2006/relationships/header" Target="header12.xml"/><Relationship Id="rId142" Type="http://schemas.openxmlformats.org/officeDocument/2006/relationships/hyperlink" Target="https://www.zotero.org/google-docs/?bd45P6" TargetMode="External"/><Relationship Id="rId163" Type="http://schemas.openxmlformats.org/officeDocument/2006/relationships/hyperlink" Target="https://www.zotero.org/google-docs/?bd45P6" TargetMode="External"/><Relationship Id="rId184" Type="http://schemas.openxmlformats.org/officeDocument/2006/relationships/hyperlink" Target="https://www.zotero.org/google-docs/?bd45P6" TargetMode="External"/><Relationship Id="rId219" Type="http://schemas.openxmlformats.org/officeDocument/2006/relationships/hyperlink" Target="https://www.zotero.org/google-docs/?bd45P6" TargetMode="External"/><Relationship Id="rId230" Type="http://schemas.openxmlformats.org/officeDocument/2006/relationships/hyperlink" Target="https://www.zotero.org/google-docs/?bd45P6" TargetMode="External"/><Relationship Id="rId25" Type="http://schemas.openxmlformats.org/officeDocument/2006/relationships/hyperlink" Target="https://www.zotero.org/google-docs/?dDmmz5" TargetMode="External"/><Relationship Id="rId46" Type="http://schemas.openxmlformats.org/officeDocument/2006/relationships/hyperlink" Target="https://www.zotero.org/google-docs/?FRxtwa" TargetMode="External"/><Relationship Id="rId67" Type="http://schemas.openxmlformats.org/officeDocument/2006/relationships/hyperlink" Target="https://www.zotero.org/google-docs/?YpDqEE" TargetMode="External"/><Relationship Id="rId88" Type="http://schemas.openxmlformats.org/officeDocument/2006/relationships/image" Target="media/image17.png"/><Relationship Id="rId111" Type="http://schemas.openxmlformats.org/officeDocument/2006/relationships/image" Target="media/image35.jpg"/><Relationship Id="rId132" Type="http://schemas.openxmlformats.org/officeDocument/2006/relationships/header" Target="header15.xml"/><Relationship Id="rId153" Type="http://schemas.openxmlformats.org/officeDocument/2006/relationships/hyperlink" Target="https://www.zotero.org/google-docs/?bd45P6" TargetMode="External"/><Relationship Id="rId174" Type="http://schemas.openxmlformats.org/officeDocument/2006/relationships/hyperlink" Target="https://www.zotero.org/google-docs/?bd45P6" TargetMode="External"/><Relationship Id="rId195" Type="http://schemas.openxmlformats.org/officeDocument/2006/relationships/hyperlink" Target="https://www.zotero.org/google-docs/?bd45P6" TargetMode="External"/><Relationship Id="rId209" Type="http://schemas.openxmlformats.org/officeDocument/2006/relationships/hyperlink" Target="https://www.zotero.org/google-docs/?bd45P6" TargetMode="External"/><Relationship Id="rId190" Type="http://schemas.openxmlformats.org/officeDocument/2006/relationships/hyperlink" Target="https://www.zotero.org/google-docs/?bd45P6" TargetMode="External"/><Relationship Id="rId204" Type="http://schemas.openxmlformats.org/officeDocument/2006/relationships/hyperlink" Target="https://www.zotero.org/google-docs/?bd45P6" TargetMode="External"/><Relationship Id="rId220" Type="http://schemas.openxmlformats.org/officeDocument/2006/relationships/hyperlink" Target="https://www.zotero.org/google-docs/?bd45P6" TargetMode="External"/><Relationship Id="rId225" Type="http://schemas.openxmlformats.org/officeDocument/2006/relationships/hyperlink" Target="https://www.zotero.org/google-docs/?bd45P6" TargetMode="External"/><Relationship Id="rId15" Type="http://schemas.openxmlformats.org/officeDocument/2006/relationships/header" Target="header5.xml"/><Relationship Id="rId36" Type="http://schemas.openxmlformats.org/officeDocument/2006/relationships/hyperlink" Target="https://www.zotero.org/google-docs/?pf8QOS" TargetMode="External"/><Relationship Id="rId57" Type="http://schemas.openxmlformats.org/officeDocument/2006/relationships/footer" Target="footer8.xml"/><Relationship Id="rId106" Type="http://schemas.openxmlformats.org/officeDocument/2006/relationships/image" Target="media/image30.jpg"/><Relationship Id="rId127" Type="http://schemas.openxmlformats.org/officeDocument/2006/relationships/image" Target="media/image47.jpg"/><Relationship Id="rId10" Type="http://schemas.openxmlformats.org/officeDocument/2006/relationships/footer" Target="footer2.xml"/><Relationship Id="rId31" Type="http://schemas.openxmlformats.org/officeDocument/2006/relationships/hyperlink" Target="https://www.zotero.org/google-docs/?K7W663" TargetMode="External"/><Relationship Id="rId52" Type="http://schemas.openxmlformats.org/officeDocument/2006/relationships/hyperlink" Target="https://www.zotero.org/google-docs/?2k3J2N" TargetMode="External"/><Relationship Id="rId73" Type="http://schemas.openxmlformats.org/officeDocument/2006/relationships/hyperlink" Target="https://www.zotero.org/google-docs/?WTDjpP" TargetMode="External"/><Relationship Id="rId78" Type="http://schemas.openxmlformats.org/officeDocument/2006/relationships/image" Target="media/image7.png"/><Relationship Id="rId94" Type="http://schemas.openxmlformats.org/officeDocument/2006/relationships/header" Target="header10.xml"/><Relationship Id="rId99" Type="http://schemas.openxmlformats.org/officeDocument/2006/relationships/image" Target="media/image23.jpg"/><Relationship Id="rId101" Type="http://schemas.openxmlformats.org/officeDocument/2006/relationships/image" Target="media/image25.jpg"/><Relationship Id="rId122" Type="http://schemas.openxmlformats.org/officeDocument/2006/relationships/footer" Target="footer12.xml"/><Relationship Id="rId143" Type="http://schemas.openxmlformats.org/officeDocument/2006/relationships/hyperlink" Target="https://www.zotero.org/google-docs/?bd45P6" TargetMode="External"/><Relationship Id="rId148" Type="http://schemas.openxmlformats.org/officeDocument/2006/relationships/hyperlink" Target="https://www.zotero.org/google-docs/?bd45P6" TargetMode="External"/><Relationship Id="rId164" Type="http://schemas.openxmlformats.org/officeDocument/2006/relationships/hyperlink" Target="https://www.zotero.org/google-docs/?bd45P6" TargetMode="External"/><Relationship Id="rId169" Type="http://schemas.openxmlformats.org/officeDocument/2006/relationships/hyperlink" Target="https://www.zotero.org/google-docs/?bd45P6" TargetMode="External"/><Relationship Id="rId185" Type="http://schemas.openxmlformats.org/officeDocument/2006/relationships/hyperlink" Target="https://www.zotero.org/google-docs/?bd45P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hyperlink" Target="https://www.zotero.org/google-docs/?bd45P6" TargetMode="External"/><Relationship Id="rId210" Type="http://schemas.openxmlformats.org/officeDocument/2006/relationships/hyperlink" Target="https://www.zotero.org/google-docs/?bd45P6" TargetMode="External"/><Relationship Id="rId215" Type="http://schemas.openxmlformats.org/officeDocument/2006/relationships/hyperlink" Target="https://www.zotero.org/google-docs/?bd45P6" TargetMode="External"/><Relationship Id="rId236" Type="http://schemas.openxmlformats.org/officeDocument/2006/relationships/header" Target="header18.xml"/><Relationship Id="rId26" Type="http://schemas.openxmlformats.org/officeDocument/2006/relationships/hyperlink" Target="https://www.zotero.org/google-docs/?eJnQyY" TargetMode="External"/><Relationship Id="rId231" Type="http://schemas.openxmlformats.org/officeDocument/2006/relationships/hyperlink" Target="https://www.zotero.org/google-docs/?bd45P6" TargetMode="External"/><Relationship Id="rId47" Type="http://schemas.openxmlformats.org/officeDocument/2006/relationships/hyperlink" Target="https://www.zotero.org/google-docs/?o3v5BM" TargetMode="External"/><Relationship Id="rId68" Type="http://schemas.openxmlformats.org/officeDocument/2006/relationships/hyperlink" Target="https://www.zotero.org/google-docs/?O6Kphd" TargetMode="External"/><Relationship Id="rId89" Type="http://schemas.openxmlformats.org/officeDocument/2006/relationships/image" Target="media/image18.png"/><Relationship Id="rId112" Type="http://schemas.openxmlformats.org/officeDocument/2006/relationships/image" Target="media/image36.jpg"/><Relationship Id="rId133" Type="http://schemas.openxmlformats.org/officeDocument/2006/relationships/footer" Target="footer15.xml"/><Relationship Id="rId154" Type="http://schemas.openxmlformats.org/officeDocument/2006/relationships/hyperlink" Target="https://www.zotero.org/google-docs/?bd45P6" TargetMode="External"/><Relationship Id="rId175" Type="http://schemas.openxmlformats.org/officeDocument/2006/relationships/hyperlink" Target="https://www.zotero.org/google-docs/?bd45P6" TargetMode="External"/><Relationship Id="rId196" Type="http://schemas.openxmlformats.org/officeDocument/2006/relationships/hyperlink" Target="https://www.zotero.org/google-docs/?bd45P6" TargetMode="External"/><Relationship Id="rId200" Type="http://schemas.openxmlformats.org/officeDocument/2006/relationships/hyperlink" Target="https://www.zotero.org/google-docs/?bd45P6" TargetMode="External"/><Relationship Id="rId16" Type="http://schemas.openxmlformats.org/officeDocument/2006/relationships/footer" Target="footer5.xml"/><Relationship Id="rId221" Type="http://schemas.openxmlformats.org/officeDocument/2006/relationships/hyperlink" Target="https://www.zotero.org/google-docs/?bd45P6" TargetMode="External"/><Relationship Id="rId37" Type="http://schemas.openxmlformats.org/officeDocument/2006/relationships/hyperlink" Target="https://www.zotero.org/google-docs/?5Bb2fx" TargetMode="External"/><Relationship Id="rId58" Type="http://schemas.openxmlformats.org/officeDocument/2006/relationships/hyperlink" Target="https://www.zotero.org/google-docs/?uihb5w" TargetMode="External"/><Relationship Id="rId79" Type="http://schemas.openxmlformats.org/officeDocument/2006/relationships/image" Target="media/image8.png"/><Relationship Id="rId102" Type="http://schemas.openxmlformats.org/officeDocument/2006/relationships/image" Target="media/image26.jpg"/><Relationship Id="rId123" Type="http://schemas.openxmlformats.org/officeDocument/2006/relationships/image" Target="media/image43.jpg"/><Relationship Id="rId144" Type="http://schemas.openxmlformats.org/officeDocument/2006/relationships/hyperlink" Target="https://www.zotero.org/google-docs/?bd45P6" TargetMode="External"/><Relationship Id="rId90" Type="http://schemas.openxmlformats.org/officeDocument/2006/relationships/image" Target="media/image19.png"/><Relationship Id="rId165" Type="http://schemas.openxmlformats.org/officeDocument/2006/relationships/hyperlink" Target="https://www.zotero.org/google-docs/?bd45P6" TargetMode="External"/><Relationship Id="rId186" Type="http://schemas.openxmlformats.org/officeDocument/2006/relationships/hyperlink" Target="https://www.zotero.org/google-docs/?bd45P6" TargetMode="External"/><Relationship Id="rId211" Type="http://schemas.openxmlformats.org/officeDocument/2006/relationships/hyperlink" Target="https://www.zotero.org/google-docs/?bd45P6" TargetMode="External"/><Relationship Id="rId232" Type="http://schemas.openxmlformats.org/officeDocument/2006/relationships/hyperlink" Target="https://www.zotero.org/google-docs/?bd45P6" TargetMode="External"/><Relationship Id="rId27" Type="http://schemas.openxmlformats.org/officeDocument/2006/relationships/hyperlink" Target="https://www.zotero.org/google-docs/?AGNcJo" TargetMode="External"/><Relationship Id="rId48" Type="http://schemas.openxmlformats.org/officeDocument/2006/relationships/hyperlink" Target="https://www.zotero.org/google-docs/?8Ayx39" TargetMode="External"/><Relationship Id="rId69" Type="http://schemas.openxmlformats.org/officeDocument/2006/relationships/hyperlink" Target="https://www.zotero.org/google-docs/?mvoUBv" TargetMode="External"/><Relationship Id="rId113" Type="http://schemas.openxmlformats.org/officeDocument/2006/relationships/image" Target="media/image37.jpg"/><Relationship Id="rId134" Type="http://schemas.openxmlformats.org/officeDocument/2006/relationships/header" Target="header16.xml"/><Relationship Id="rId80" Type="http://schemas.openxmlformats.org/officeDocument/2006/relationships/image" Target="media/image9.png"/><Relationship Id="rId155" Type="http://schemas.openxmlformats.org/officeDocument/2006/relationships/hyperlink" Target="https://www.zotero.org/google-docs/?bd45P6" TargetMode="External"/><Relationship Id="rId176" Type="http://schemas.openxmlformats.org/officeDocument/2006/relationships/hyperlink" Target="https://www.zotero.org/google-docs/?bd45P6" TargetMode="External"/><Relationship Id="rId197" Type="http://schemas.openxmlformats.org/officeDocument/2006/relationships/hyperlink" Target="https://www.zotero.org/google-docs/?bd45P6" TargetMode="External"/><Relationship Id="rId201" Type="http://schemas.openxmlformats.org/officeDocument/2006/relationships/hyperlink" Target="https://www.zotero.org/google-docs/?bd45P6" TargetMode="External"/><Relationship Id="rId222" Type="http://schemas.openxmlformats.org/officeDocument/2006/relationships/hyperlink" Target="https://www.zotero.org/google-docs/?bd45P6" TargetMode="External"/><Relationship Id="rId17" Type="http://schemas.openxmlformats.org/officeDocument/2006/relationships/header" Target="header6.xml"/><Relationship Id="rId38" Type="http://schemas.openxmlformats.org/officeDocument/2006/relationships/hyperlink" Target="https://www.zotero.org/google-docs/?kTaFzs" TargetMode="External"/><Relationship Id="rId59" Type="http://schemas.openxmlformats.org/officeDocument/2006/relationships/image" Target="media/image1.jpg"/><Relationship Id="rId103" Type="http://schemas.openxmlformats.org/officeDocument/2006/relationships/image" Target="media/image27.jpg"/><Relationship Id="rId124" Type="http://schemas.openxmlformats.org/officeDocument/2006/relationships/image" Target="media/image44.png"/><Relationship Id="rId70" Type="http://schemas.openxmlformats.org/officeDocument/2006/relationships/hyperlink" Target="https://www.zotero.org/google-docs/?DiqcCS" TargetMode="External"/><Relationship Id="rId91" Type="http://schemas.openxmlformats.org/officeDocument/2006/relationships/image" Target="media/image20.png"/><Relationship Id="rId145" Type="http://schemas.openxmlformats.org/officeDocument/2006/relationships/hyperlink" Target="https://www.zotero.org/google-docs/?bd45P6" TargetMode="External"/><Relationship Id="rId166" Type="http://schemas.openxmlformats.org/officeDocument/2006/relationships/hyperlink" Target="https://www.zotero.org/google-docs/?bd45P6" TargetMode="External"/><Relationship Id="rId187" Type="http://schemas.openxmlformats.org/officeDocument/2006/relationships/hyperlink" Target="https://www.zotero.org/google-docs/?bd45P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zotero.org/google-docs/?bd45P6" TargetMode="External"/><Relationship Id="rId233" Type="http://schemas.openxmlformats.org/officeDocument/2006/relationships/hyperlink" Target="https://www.zotero.org/google-docs/?bd45P6" TargetMode="External"/><Relationship Id="rId28" Type="http://schemas.openxmlformats.org/officeDocument/2006/relationships/hyperlink" Target="https://www.zotero.org/google-docs/?9u1pq4" TargetMode="External"/><Relationship Id="rId49" Type="http://schemas.openxmlformats.org/officeDocument/2006/relationships/hyperlink" Target="https://www.zotero.org/google-docs/?crZTwk" TargetMode="External"/><Relationship Id="rId114" Type="http://schemas.openxmlformats.org/officeDocument/2006/relationships/image" Target="media/image38.jpg"/><Relationship Id="rId60" Type="http://schemas.openxmlformats.org/officeDocument/2006/relationships/hyperlink" Target="https://www.zotero.org/google-docs/?yOWJjo" TargetMode="External"/><Relationship Id="rId81" Type="http://schemas.openxmlformats.org/officeDocument/2006/relationships/image" Target="media/image10.png"/><Relationship Id="rId135" Type="http://schemas.openxmlformats.org/officeDocument/2006/relationships/footer" Target="footer16.xml"/><Relationship Id="rId156" Type="http://schemas.openxmlformats.org/officeDocument/2006/relationships/hyperlink" Target="https://www.zotero.org/google-docs/?bd45P6" TargetMode="External"/><Relationship Id="rId177" Type="http://schemas.openxmlformats.org/officeDocument/2006/relationships/hyperlink" Target="https://www.zotero.org/google-docs/?bd45P6" TargetMode="External"/><Relationship Id="rId198" Type="http://schemas.openxmlformats.org/officeDocument/2006/relationships/hyperlink" Target="https://www.zotero.org/google-docs/?bd45P6" TargetMode="External"/><Relationship Id="rId202" Type="http://schemas.openxmlformats.org/officeDocument/2006/relationships/hyperlink" Target="https://www.zotero.org/google-docs/?bd45P6" TargetMode="External"/><Relationship Id="rId223" Type="http://schemas.openxmlformats.org/officeDocument/2006/relationships/hyperlink" Target="https://www.zotero.org/google-docs/?bd45P6" TargetMode="External"/><Relationship Id="rId18" Type="http://schemas.openxmlformats.org/officeDocument/2006/relationships/footer" Target="footer6.xml"/><Relationship Id="rId39" Type="http://schemas.openxmlformats.org/officeDocument/2006/relationships/hyperlink" Target="https://www.zotero.org/google-docs/?C7Euv7" TargetMode="External"/><Relationship Id="rId50" Type="http://schemas.openxmlformats.org/officeDocument/2006/relationships/hyperlink" Target="https://www.zotero.org/google-docs/?khVcpa" TargetMode="External"/><Relationship Id="rId104" Type="http://schemas.openxmlformats.org/officeDocument/2006/relationships/image" Target="media/image28.jpg"/><Relationship Id="rId125" Type="http://schemas.openxmlformats.org/officeDocument/2006/relationships/image" Target="media/image45.png"/><Relationship Id="rId146" Type="http://schemas.openxmlformats.org/officeDocument/2006/relationships/hyperlink" Target="https://www.zotero.org/google-docs/?bd45P6" TargetMode="External"/><Relationship Id="rId167" Type="http://schemas.openxmlformats.org/officeDocument/2006/relationships/hyperlink" Target="https://www.zotero.org/google-docs/?bd45P6" TargetMode="External"/><Relationship Id="rId188" Type="http://schemas.openxmlformats.org/officeDocument/2006/relationships/hyperlink" Target="https://www.zotero.org/google-docs/?bd45P6" TargetMode="External"/><Relationship Id="rId71" Type="http://schemas.openxmlformats.org/officeDocument/2006/relationships/hyperlink" Target="https://www.zotero.org/google-docs/?nFfEIU" TargetMode="External"/><Relationship Id="rId92" Type="http://schemas.openxmlformats.org/officeDocument/2006/relationships/header" Target="header9.xml"/><Relationship Id="rId213" Type="http://schemas.openxmlformats.org/officeDocument/2006/relationships/hyperlink" Target="https://www.zotero.org/google-docs/?bd45P6" TargetMode="External"/><Relationship Id="rId234" Type="http://schemas.openxmlformats.org/officeDocument/2006/relationships/header" Target="header17.xml"/><Relationship Id="rId2" Type="http://schemas.openxmlformats.org/officeDocument/2006/relationships/styles" Target="styles.xml"/><Relationship Id="rId29" Type="http://schemas.openxmlformats.org/officeDocument/2006/relationships/hyperlink" Target="https://www.zotero.org/google-docs/?780rA5" TargetMode="External"/><Relationship Id="rId40" Type="http://schemas.openxmlformats.org/officeDocument/2006/relationships/hyperlink" Target="https://www.zotero.org/google-docs/?CWTOki" TargetMode="External"/><Relationship Id="rId115" Type="http://schemas.openxmlformats.org/officeDocument/2006/relationships/image" Target="media/image39.jpg"/><Relationship Id="rId136" Type="http://schemas.openxmlformats.org/officeDocument/2006/relationships/hyperlink" Target="https://www.zotero.org/google-docs/?bd45P6" TargetMode="External"/><Relationship Id="rId157" Type="http://schemas.openxmlformats.org/officeDocument/2006/relationships/hyperlink" Target="https://www.zotero.org/google-docs/?bd45P6" TargetMode="External"/><Relationship Id="rId178" Type="http://schemas.openxmlformats.org/officeDocument/2006/relationships/hyperlink" Target="https://www.zotero.org/google-docs/?bd45P6" TargetMode="External"/><Relationship Id="rId61" Type="http://schemas.openxmlformats.org/officeDocument/2006/relationships/image" Target="media/image2.jpg"/><Relationship Id="rId82" Type="http://schemas.openxmlformats.org/officeDocument/2006/relationships/image" Target="media/image11.png"/><Relationship Id="rId199" Type="http://schemas.openxmlformats.org/officeDocument/2006/relationships/hyperlink" Target="https://www.zotero.org/google-docs/?bd45P6" TargetMode="External"/><Relationship Id="rId203" Type="http://schemas.openxmlformats.org/officeDocument/2006/relationships/hyperlink" Target="https://www.zotero.org/google-docs/?bd45P6" TargetMode="External"/><Relationship Id="rId19" Type="http://schemas.openxmlformats.org/officeDocument/2006/relationships/hyperlink" Target="https://www.zotero.org/google-docs/?xSpwIz" TargetMode="External"/><Relationship Id="rId224" Type="http://schemas.openxmlformats.org/officeDocument/2006/relationships/hyperlink" Target="https://www.zotero.org/google-docs/?bd45P6" TargetMode="External"/><Relationship Id="rId30" Type="http://schemas.openxmlformats.org/officeDocument/2006/relationships/hyperlink" Target="https://www.zotero.org/google-docs/?n6VjTI" TargetMode="External"/><Relationship Id="rId105" Type="http://schemas.openxmlformats.org/officeDocument/2006/relationships/image" Target="media/image29.jpg"/><Relationship Id="rId126" Type="http://schemas.openxmlformats.org/officeDocument/2006/relationships/image" Target="media/image46.jpg"/><Relationship Id="rId147" Type="http://schemas.openxmlformats.org/officeDocument/2006/relationships/hyperlink" Target="https://www.zotero.org/google-docs/?bd45P6" TargetMode="External"/><Relationship Id="rId168" Type="http://schemas.openxmlformats.org/officeDocument/2006/relationships/hyperlink" Target="https://www.zotero.org/google-docs/?bd45P6" TargetMode="External"/><Relationship Id="rId51" Type="http://schemas.openxmlformats.org/officeDocument/2006/relationships/hyperlink" Target="https://www.zotero.org/google-docs/?6zSK3F" TargetMode="External"/><Relationship Id="rId72" Type="http://schemas.openxmlformats.org/officeDocument/2006/relationships/hyperlink" Target="https://www.zotero.org/google-docs/?S5KnMm" TargetMode="External"/><Relationship Id="rId93" Type="http://schemas.openxmlformats.org/officeDocument/2006/relationships/footer" Target="footer9.xml"/><Relationship Id="rId189" Type="http://schemas.openxmlformats.org/officeDocument/2006/relationships/hyperlink" Target="https://www.zotero.org/google-docs/?bd45P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zotero.org/google-docs/?bd45P6" TargetMode="External"/><Relationship Id="rId235" Type="http://schemas.openxmlformats.org/officeDocument/2006/relationships/footer" Target="footer17.xml"/><Relationship Id="rId116" Type="http://schemas.openxmlformats.org/officeDocument/2006/relationships/image" Target="media/image40.jpg"/><Relationship Id="rId137" Type="http://schemas.openxmlformats.org/officeDocument/2006/relationships/hyperlink" Target="https://www.zotero.org/google-docs/?bd45P6" TargetMode="External"/><Relationship Id="rId158" Type="http://schemas.openxmlformats.org/officeDocument/2006/relationships/hyperlink" Target="https://www.zotero.org/google-docs/?bd45P6" TargetMode="External"/><Relationship Id="rId20" Type="http://schemas.openxmlformats.org/officeDocument/2006/relationships/hyperlink" Target="https://www.zotero.org/google-docs/?8m5r4N" TargetMode="External"/><Relationship Id="rId41" Type="http://schemas.openxmlformats.org/officeDocument/2006/relationships/hyperlink" Target="https://www.zotero.org/google-docs/?or7nHn" TargetMode="External"/><Relationship Id="rId62" Type="http://schemas.openxmlformats.org/officeDocument/2006/relationships/hyperlink" Target="https://www.zotero.org/google-docs/?4BjcK9" TargetMode="External"/><Relationship Id="rId83" Type="http://schemas.openxmlformats.org/officeDocument/2006/relationships/image" Target="media/image12.png"/><Relationship Id="rId179" Type="http://schemas.openxmlformats.org/officeDocument/2006/relationships/hyperlink" Target="https://www.zotero.org/google-docs/?bd45P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88</Pages>
  <Words>24617</Words>
  <Characters>140320</Characters>
  <Application>Microsoft Office Word</Application>
  <DocSecurity>0</DocSecurity>
  <Lines>1169</Lines>
  <Paragraphs>329</Paragraphs>
  <ScaleCrop>false</ScaleCrop>
  <Company/>
  <LinksUpToDate>false</LinksUpToDate>
  <CharactersWithSpaces>164608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Ayazhan Torekankyzy</cp:lastModifiedBy>
  <cp:revision>2</cp:revision>
  <dcterms:created xsi:type="dcterms:W3CDTF">2026-04-01T10:23:00Z</dcterms:created>
  <dcterms:modified xsi:type="dcterms:W3CDTF">2026-04-01T10:28:00Z</dcterms:modified>
</cp:coreProperties>
</file>